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2307C" w14:textId="77777777" w:rsidR="00D92B14" w:rsidRPr="004F22B9" w:rsidRDefault="00D92B14" w:rsidP="009F74BB">
      <w:pPr>
        <w:pStyle w:val="Title"/>
        <w:rPr>
          <w:spacing w:val="-20"/>
        </w:rPr>
      </w:pPr>
      <w:r w:rsidRPr="004F22B9">
        <w:rPr>
          <w:spacing w:val="-20"/>
        </w:rPr>
        <w:t xml:space="preserve">SMS reminders to improve the uptake and timeliness of the primary immunisation series in infants: a multi-centre randomised controlled trial </w:t>
      </w:r>
    </w:p>
    <w:p w14:paraId="6E7ACD80" w14:textId="77777777" w:rsidR="00D92B14" w:rsidRDefault="00D92B14" w:rsidP="009F74BB">
      <w:r>
        <w:t xml:space="preserve">Kerry-Ann F O’Grady, Michelle </w:t>
      </w:r>
      <w:proofErr w:type="spellStart"/>
      <w:r>
        <w:t>Kaus</w:t>
      </w:r>
      <w:proofErr w:type="spellEnd"/>
      <w:r>
        <w:t xml:space="preserve">, Lee Jones, Gary Boddy, Sheree </w:t>
      </w:r>
      <w:proofErr w:type="spellStart"/>
      <w:r>
        <w:t>Rablin</w:t>
      </w:r>
      <w:proofErr w:type="spellEnd"/>
      <w:r>
        <w:t xml:space="preserve">, Jack Roberts, Daniel Arnold, Sarah Parfitt, Renee Johnston, Kerry K Hall, Sallyanne Le Gros-Wilson, Kaley Butten, Maree </w:t>
      </w:r>
      <w:proofErr w:type="spellStart"/>
      <w:r>
        <w:t>Toombs</w:t>
      </w:r>
      <w:proofErr w:type="spellEnd"/>
      <w:r>
        <w:t xml:space="preserve">, Stephen B Lambert </w:t>
      </w:r>
    </w:p>
    <w:p w14:paraId="782A9A23" w14:textId="77777777" w:rsidR="00D92B14" w:rsidRPr="00D92B14" w:rsidRDefault="00D92B14" w:rsidP="00D92B14">
      <w:pPr>
        <w:pStyle w:val="Heading1"/>
      </w:pPr>
      <w:r w:rsidRPr="00D92B14">
        <w:t xml:space="preserve">Abstract </w:t>
      </w:r>
    </w:p>
    <w:p w14:paraId="15682DA0" w14:textId="77777777" w:rsidR="00D92B14" w:rsidRPr="00D92B14" w:rsidRDefault="00D92B14" w:rsidP="00D92B14">
      <w:pPr>
        <w:pStyle w:val="Heading2"/>
      </w:pPr>
      <w:r w:rsidRPr="00D92B14">
        <w:t xml:space="preserve">Background </w:t>
      </w:r>
    </w:p>
    <w:p w14:paraId="58AAFECF" w14:textId="77777777" w:rsidR="00D92B14" w:rsidRDefault="00D92B14" w:rsidP="009F74BB">
      <w:r>
        <w:t xml:space="preserve">Immunisation timeliness continues to present challenges to achieving optimal vaccine coverage in infancy, particularly in disadvantaged groups and Australian First Nations infants. We aimed to determine whether a tailored, educational SMS reminder improves the timeliness of immunisation in infants up to seven months of age. </w:t>
      </w:r>
    </w:p>
    <w:p w14:paraId="32FE2111" w14:textId="77777777" w:rsidR="00D92B14" w:rsidRPr="00D92B14" w:rsidRDefault="00D92B14" w:rsidP="00D92B14">
      <w:pPr>
        <w:pStyle w:val="Heading2"/>
      </w:pPr>
      <w:r w:rsidRPr="00D92B14">
        <w:t xml:space="preserve">Methods </w:t>
      </w:r>
    </w:p>
    <w:p w14:paraId="5A476928" w14:textId="77777777" w:rsidR="00D92B14" w:rsidRDefault="00D92B14" w:rsidP="009F74BB">
      <w:r>
        <w:t xml:space="preserve">A pragmatic, three-arm, parallel-group, randomised controlled trial of immunisation reminders was conducted in two </w:t>
      </w:r>
      <w:proofErr w:type="gramStart"/>
      <w:r>
        <w:t>First-Nations</w:t>
      </w:r>
      <w:proofErr w:type="gramEnd"/>
      <w:r>
        <w:t xml:space="preserve">-specific primary health care centres and two public hospital antenatal clinics in South East Queensland, Australia. Live-born infants of mothers enrolled during pregnancy were randomised at birth and followed to eight months of age. One group received a simple SMS reminder at two weeks before, the week of, and two weeks after the due date for immunisation at two, four and six months of age. The second group received a tailored SMS with an educational message at two weeks before and on the </w:t>
      </w:r>
      <w:proofErr w:type="gramStart"/>
      <w:r>
        <w:t>date</w:t>
      </w:r>
      <w:proofErr w:type="gramEnd"/>
      <w:r>
        <w:t xml:space="preserve"> immunisations were due; those not immunised two weeks following the due date were offered support to immunise the baby. Controls received no intervention or contact until the baby turned seven months of age. The primary outcome was the proportion of infants age-appropriately vaccinated at seven months of age as recorded on the Australian Immunisation Register. Secondary outcomes included vaccination status at three and five months of age. </w:t>
      </w:r>
    </w:p>
    <w:p w14:paraId="009A1786" w14:textId="77777777" w:rsidR="00D92B14" w:rsidRPr="00D92B14" w:rsidRDefault="00D92B14" w:rsidP="00D92B14">
      <w:pPr>
        <w:pStyle w:val="Heading2"/>
      </w:pPr>
      <w:r w:rsidRPr="00D92B14">
        <w:t xml:space="preserve">Results </w:t>
      </w:r>
    </w:p>
    <w:p w14:paraId="32852A0D" w14:textId="6122718F" w:rsidR="00D92B14" w:rsidRDefault="00D92B14" w:rsidP="00D92B14">
      <w:r>
        <w:t>Between 30 May 2016 and 24 May 2018, one hundred and ninety-six infants</w:t>
      </w:r>
      <w:r>
        <w:rPr>
          <w:rStyle w:val="Strong"/>
        </w:rPr>
        <w:t xml:space="preserve"> </w:t>
      </w:r>
      <w:r>
        <w:t xml:space="preserve">(31% First Nations infants) were randomised. At seven months of age, 54/65 (83.1%) infants in the educational SMS ± additional support group (ESMS±S) were age-appropriately immunised, compared to 45/64 (70.3%) in the simple SMS group and 45/67 (67.2%) in controls. Differences were most marked at five months of age: ESMS±S 95.5%; simple SMS 73.4%; controls 75.8%. The difference between the ESMS±S group and the other two groups at seven months of age was no longer apparent when those who received additional support beyond the SMS were assumed to have not been vaccinated if that support had not been received. </w:t>
      </w:r>
    </w:p>
    <w:p w14:paraId="39AAFB4F" w14:textId="77777777" w:rsidR="00D92B14" w:rsidRPr="00D92B14" w:rsidRDefault="00D92B14" w:rsidP="00D92B14">
      <w:pPr>
        <w:pStyle w:val="Heading2"/>
      </w:pPr>
      <w:r w:rsidRPr="00D92B14">
        <w:t xml:space="preserve">Discussion </w:t>
      </w:r>
    </w:p>
    <w:p w14:paraId="6F77C8B8" w14:textId="77777777" w:rsidR="00D92B14" w:rsidRDefault="00D92B14" w:rsidP="00D92B14">
      <w:r>
        <w:t xml:space="preserve">A tailored SMS reminder system using an educational message and with provision of additional support to mothers is more effective in improving immunisation timeliness in infants at three and five months of age than a simple message and no intervention. The additional support was required at seven months of age </w:t>
      </w:r>
      <w:proofErr w:type="gramStart"/>
      <w:r>
        <w:t>in order to</w:t>
      </w:r>
      <w:proofErr w:type="gramEnd"/>
      <w:r>
        <w:t xml:space="preserve"> achieve higher coverage in the ESMS±S group. </w:t>
      </w:r>
    </w:p>
    <w:p w14:paraId="615C3A38" w14:textId="77777777" w:rsidR="00D92B14" w:rsidRDefault="00D92B14" w:rsidP="009F74BB">
      <w:r>
        <w:t xml:space="preserve">Trial Registration: ACTRN12616000204448 </w:t>
      </w:r>
    </w:p>
    <w:p w14:paraId="2A326E75" w14:textId="77777777" w:rsidR="00D92B14" w:rsidRDefault="00D92B14" w:rsidP="00D92B14">
      <w:r>
        <w:t>Keywords:</w:t>
      </w:r>
      <w:r>
        <w:rPr>
          <w:rStyle w:val="Strong"/>
        </w:rPr>
        <w:t xml:space="preserve"> </w:t>
      </w:r>
      <w:r w:rsidRPr="001042D7">
        <w:rPr>
          <w:rStyle w:val="Emphasis"/>
          <w:b w:val="0"/>
          <w:bCs w:val="0"/>
        </w:rPr>
        <w:t xml:space="preserve">immunisation; timeliness; children; short messaging service; randomised controlled trial </w:t>
      </w:r>
    </w:p>
    <w:p w14:paraId="6BC4387F" w14:textId="77777777" w:rsidR="00D92B14" w:rsidRPr="001042D7" w:rsidRDefault="00D92B14" w:rsidP="001042D7">
      <w:pPr>
        <w:pStyle w:val="Heading1"/>
      </w:pPr>
      <w:r w:rsidRPr="001042D7">
        <w:lastRenderedPageBreak/>
        <w:t xml:space="preserve">Introduction </w:t>
      </w:r>
    </w:p>
    <w:p w14:paraId="61B8509A" w14:textId="77777777" w:rsidR="00D92B14" w:rsidRDefault="00D92B14" w:rsidP="001042D7">
      <w:r>
        <w:t>Disparities exist in immunisation coverage in Australia, particularly for Australian First Nations children and those living in socio-economic disadvantaged communities.</w:t>
      </w:r>
      <w:r>
        <w:rPr>
          <w:vertAlign w:val="superscript"/>
        </w:rPr>
        <w:t>1,2</w:t>
      </w:r>
      <w:r>
        <w:t xml:space="preserve"> While the reasons for these gaps are multifactorial, the lag in timely receipt of vaccine at each milestone has been identified as a potential contributor to the discrepancies in disease burden.</w:t>
      </w:r>
      <w:r>
        <w:rPr>
          <w:vertAlign w:val="superscript"/>
        </w:rPr>
        <w:t>3,4</w:t>
      </w:r>
      <w:r>
        <w:t xml:space="preserve"> The need to address the gap in timeliness has been highlighted numerous times.</w:t>
      </w:r>
      <w:r>
        <w:rPr>
          <w:vertAlign w:val="superscript"/>
        </w:rPr>
        <w:t>2,3,5,6</w:t>
      </w:r>
      <w:r>
        <w:t xml:space="preserve"> </w:t>
      </w:r>
    </w:p>
    <w:p w14:paraId="76F91682" w14:textId="77777777" w:rsidR="00D92B14" w:rsidRDefault="00D92B14" w:rsidP="001042D7">
      <w:r>
        <w:t>Mobile phones are increasingly used in health settings, with impacts on behavioural change in some hard-to-reach groups.</w:t>
      </w:r>
      <w:r>
        <w:rPr>
          <w:vertAlign w:val="superscript"/>
        </w:rPr>
        <w:t>7–9</w:t>
      </w:r>
      <w:r>
        <w:t xml:space="preserve"> Studies describing the use of short messaging service (SMS) strategies to improve immunisation uptake and timeliness in Australian First Nations people, in regional areas, and in communities with relatively high levels of socio-economic disadvantage are scarce. Identifying simple and cost-effective interventions to improve timeliness is therefore a priority.</w:t>
      </w:r>
      <w:r>
        <w:rPr>
          <w:vertAlign w:val="superscript"/>
        </w:rPr>
        <w:t xml:space="preserve">5 </w:t>
      </w:r>
    </w:p>
    <w:p w14:paraId="4CE16F03" w14:textId="77777777" w:rsidR="00D92B14" w:rsidRDefault="00D92B14" w:rsidP="001042D7">
      <w:r>
        <w:t xml:space="preserve">Our primary objective was to evaluate the effectiveness of a targeted SMS with an educational message with or without additional support (ESMS±S) to carers in improving the timeliness of the primary immunisation series in infants. Our primary hypothesis was that ESMS±S was more effective than a simple SMS only, or no SMS, in increasing the proportion of infants considered age-appropriately immunised at seven months of age. Our secondary objectives were a) to evaluate the effectiveness in improving coverage at three and five months of age; and b) to compare time to vaccination at each milestone between groups. </w:t>
      </w:r>
    </w:p>
    <w:p w14:paraId="7F6CB49B" w14:textId="77777777" w:rsidR="00D92B14" w:rsidRPr="001042D7" w:rsidRDefault="00D92B14" w:rsidP="001042D7">
      <w:pPr>
        <w:pStyle w:val="Heading1"/>
      </w:pPr>
      <w:r w:rsidRPr="001042D7">
        <w:t xml:space="preserve">Methods </w:t>
      </w:r>
    </w:p>
    <w:p w14:paraId="08599B71" w14:textId="77777777" w:rsidR="00D92B14" w:rsidRPr="001042D7" w:rsidRDefault="00D92B14" w:rsidP="001042D7">
      <w:pPr>
        <w:pStyle w:val="Heading2"/>
      </w:pPr>
      <w:r w:rsidRPr="001042D7">
        <w:t xml:space="preserve">Design </w:t>
      </w:r>
    </w:p>
    <w:p w14:paraId="70ACFEB6" w14:textId="5ECE2AAA" w:rsidR="00D92B14" w:rsidRDefault="00D92B14" w:rsidP="001042D7">
      <w:r>
        <w:t>We undertook a single-blind, parallel-group (1:1:1 allocation), multi-centre randomised controlled trial (RCT) with women enrolled during pregnancy and their infants randomised at birth to one of three study groups (Figure 1):</w:t>
      </w:r>
      <w:r w:rsidR="008603FB">
        <w:t xml:space="preserve"> </w:t>
      </w:r>
      <w:r>
        <w:t xml:space="preserve">simple SMS; ESMS±S; or controls. Infants were followed until eight months of age with immunisation status confirmed at one month post each milestone (two, four, and six months of age) on the Australian Immunisation Register (AIR) and/or by the infant’s primary healthcare provider. The trial was registered with the Australia and New Zealand Clinical Trials Register (ACTRN12616000204448) and was approved by the Human Research Ethics Committees of Queensland Children’s Hospital and Health Services, Queensland University of Technology, and The University of Queensland. </w:t>
      </w:r>
    </w:p>
    <w:p w14:paraId="37B482F4" w14:textId="77777777" w:rsidR="00D92B14" w:rsidRPr="001042D7" w:rsidRDefault="00D92B14" w:rsidP="001042D7">
      <w:pPr>
        <w:pStyle w:val="Heading2"/>
      </w:pPr>
      <w:r w:rsidRPr="001042D7">
        <w:t xml:space="preserve">Setting </w:t>
      </w:r>
    </w:p>
    <w:p w14:paraId="2310A7C7" w14:textId="77777777" w:rsidR="00D92B14" w:rsidRDefault="00D92B14" w:rsidP="001042D7">
      <w:r>
        <w:t>The study was conducted in Caboolture, Toowoomba and Warwick in South East Queensland between June 2016</w:t>
      </w:r>
      <w:r w:rsidRPr="001042D7">
        <w:rPr>
          <w:rStyle w:val="Emphasis"/>
          <w:b w:val="0"/>
          <w:bCs w:val="0"/>
        </w:rPr>
        <w:t xml:space="preserve"> </w:t>
      </w:r>
      <w:r>
        <w:t xml:space="preserve">and June 2018. Caboolture is a satellite town north of Brisbane and Toowoomba and Warwick are rural towns west of Brisbane. Participants were recruited through three primary health care services with predominantly First Nations clients, and through two public hospital antenatal clinics. </w:t>
      </w:r>
    </w:p>
    <w:p w14:paraId="51014EAA" w14:textId="77777777" w:rsidR="00D92B14" w:rsidRPr="001042D7" w:rsidRDefault="00D92B14" w:rsidP="001042D7">
      <w:pPr>
        <w:pStyle w:val="Heading2"/>
      </w:pPr>
      <w:r w:rsidRPr="001042D7">
        <w:t xml:space="preserve">Participants </w:t>
      </w:r>
    </w:p>
    <w:p w14:paraId="3A33B3A3" w14:textId="77777777" w:rsidR="00D92B14" w:rsidRDefault="00D92B14" w:rsidP="001042D7">
      <w:r>
        <w:t xml:space="preserve">Mothers were eligible if they were: ≥ 12 weeks gestation at enrolment; not planning to move from the study area until the infant turned eight months of age; had access to a mobile phone (either own phone or family member’s); were willing to adhere to the study protocol, had provided written informed consent; and were intending on vaccinating their newborn. Entry into the RCT component required a live birth. Women were excluded if they had a previous infant enrolled. Trained research assistants approached women on presentation for antenatal care, provided a detailed study explanation and obtained written consent. Following birth, participants provided verbal consent for their infant’s ongoing participation. </w:t>
      </w:r>
    </w:p>
    <w:p w14:paraId="0E946442" w14:textId="77777777" w:rsidR="00A06C78" w:rsidRDefault="00A06C78" w:rsidP="001042D7">
      <w:pPr>
        <w:pStyle w:val="Heading2"/>
        <w:sectPr w:rsidR="00A06C7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344B63E6" w14:textId="77777777" w:rsidR="00A06C78" w:rsidRPr="00A06C78" w:rsidRDefault="00A06C78" w:rsidP="00A06C78">
      <w:pPr>
        <w:pStyle w:val="CDIFigures"/>
      </w:pPr>
      <w:r w:rsidRPr="00A06C78">
        <w:rPr>
          <w:rStyle w:val="Strong"/>
          <w:b/>
          <w:bCs w:val="0"/>
        </w:rPr>
        <w:lastRenderedPageBreak/>
        <w:t>Figure 1: Study design</w:t>
      </w:r>
    </w:p>
    <w:p w14:paraId="4B444240" w14:textId="77777777" w:rsidR="00A06C78" w:rsidRDefault="00A06C78" w:rsidP="009B37B9">
      <w:pPr>
        <w:jc w:val="center"/>
        <w:rPr>
          <w:rFonts w:eastAsia="Times New Roman"/>
          <w:lang w:val="en-GB"/>
        </w:rPr>
      </w:pPr>
      <w:r>
        <w:rPr>
          <w:rFonts w:eastAsia="Times New Roman"/>
          <w:noProof/>
          <w:lang w:val="en-GB"/>
        </w:rPr>
        <w:drawing>
          <wp:inline distT="0" distB="0" distL="0" distR="0" wp14:anchorId="01B10A25" wp14:editId="0ABFFC9A">
            <wp:extent cx="9341510" cy="2867598"/>
            <wp:effectExtent l="0" t="0" r="0" b="9525"/>
            <wp:docPr id="3" name="Picture 3" descr="Figure 1 is a graphical presentation of the study design from enrolment of mothers during pregnancy through to randomisation of the infants at birth into one of three study groups and the timepoints for infant follow-up to 7-months of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 graphical presentation of the study design from enrolment of mothers during pregnancy through to randomisation of the infants at birth into one of three study groups and the timepoints for infant follow-up to 7-months of age."/>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472528" cy="2907817"/>
                    </a:xfrm>
                    <a:prstGeom prst="rect">
                      <a:avLst/>
                    </a:prstGeom>
                  </pic:spPr>
                </pic:pic>
              </a:graphicData>
            </a:graphic>
          </wp:inline>
        </w:drawing>
      </w:r>
    </w:p>
    <w:p w14:paraId="14AE66F9" w14:textId="77777777" w:rsidR="00A06C78" w:rsidRPr="00A06C78" w:rsidRDefault="00A06C78" w:rsidP="00A06C78">
      <w:pPr>
        <w:pStyle w:val="CDIfootnotes"/>
      </w:pPr>
      <w:r w:rsidRPr="00A06C78">
        <w:t>a</w:t>
      </w:r>
      <w:r w:rsidRPr="00A06C78">
        <w:tab/>
        <w:t>Support: immunisation status checked and, if incomplete, the parent/carer was offered a home visit or other support to have the baby vaccinated.</w:t>
      </w:r>
    </w:p>
    <w:p w14:paraId="6C7A8BA0" w14:textId="77777777" w:rsidR="00A06C78" w:rsidRDefault="00A06C78" w:rsidP="001042D7">
      <w:pPr>
        <w:pStyle w:val="Heading2"/>
        <w:sectPr w:rsidR="00A06C78" w:rsidSect="00A06C78">
          <w:pgSz w:w="16838" w:h="11906" w:orient="landscape"/>
          <w:pgMar w:top="720" w:right="720" w:bottom="720" w:left="1134" w:header="709" w:footer="284" w:gutter="0"/>
          <w:cols w:space="708"/>
          <w:titlePg/>
          <w:docGrid w:linePitch="360"/>
        </w:sectPr>
      </w:pPr>
    </w:p>
    <w:p w14:paraId="6C7F52EC" w14:textId="6DD70227" w:rsidR="00D92B14" w:rsidRPr="001042D7" w:rsidRDefault="00D92B14" w:rsidP="001042D7">
      <w:pPr>
        <w:pStyle w:val="Heading2"/>
      </w:pPr>
      <w:r w:rsidRPr="001042D7">
        <w:lastRenderedPageBreak/>
        <w:t xml:space="preserve">Data collection </w:t>
      </w:r>
    </w:p>
    <w:p w14:paraId="6B9D1859" w14:textId="77777777" w:rsidR="00D92B14" w:rsidRDefault="00D92B14" w:rsidP="001042D7">
      <w:r>
        <w:t xml:space="preserve">Data were collected via interviewer-administered questionnaire at each time point; these were face-to-face at enrolment and either face-to-face or by phone at consecutive timepoints for all study groups. The birth interview could be undertaken up to 41 days post-birth. Data collected included demographics (reviewed for any changes at each time point), cultural factors, pregnancy factors, perceptions of immunisation, access to and sources of immunisation information, and usual source of healthcare. Immunisation status at each milestone was confirmed via the infant’s medical record and/or from the AIR. Data were entered into a </w:t>
      </w:r>
      <w:proofErr w:type="spellStart"/>
      <w:r>
        <w:t>Filemaker</w:t>
      </w:r>
      <w:proofErr w:type="spellEnd"/>
      <w:r>
        <w:t xml:space="preserve"> Pro V14 database. </w:t>
      </w:r>
    </w:p>
    <w:p w14:paraId="04BC0ED7" w14:textId="77777777" w:rsidR="00D92B14" w:rsidRPr="001042D7" w:rsidRDefault="00D92B14" w:rsidP="001042D7">
      <w:pPr>
        <w:pStyle w:val="Heading2"/>
      </w:pPr>
      <w:r w:rsidRPr="001042D7">
        <w:t xml:space="preserve">Intervention </w:t>
      </w:r>
    </w:p>
    <w:p w14:paraId="3D91EF00" w14:textId="77777777" w:rsidR="00D92B14" w:rsidRDefault="00D92B14" w:rsidP="001042D7">
      <w:r w:rsidRPr="001042D7">
        <w:rPr>
          <w:rStyle w:val="Emphasis"/>
          <w:b w:val="0"/>
          <w:bCs w:val="0"/>
        </w:rPr>
        <w:t xml:space="preserve">Simple SMS: </w:t>
      </w:r>
      <w:r>
        <w:t xml:space="preserve">At two weeks before, the week of, and two weeks after each age milestone due date (two, four, and six months), an SMS was sent, as presented in Box 1, to the carer’s nominated mobile number. If a carer responded “Yes” at any fortnight for that milestone, no further messages were sent until the next age milestone. </w:t>
      </w:r>
    </w:p>
    <w:p w14:paraId="059E8EE5" w14:textId="77777777" w:rsidR="00D76AC0" w:rsidRPr="00D76AC0" w:rsidRDefault="00D76AC0" w:rsidP="00D76AC0">
      <w:pPr>
        <w:pStyle w:val="CDIFigures"/>
      </w:pPr>
      <w:r w:rsidRPr="00D76AC0">
        <w:rPr>
          <w:rStyle w:val="Strong"/>
          <w:b/>
          <w:bCs w:val="0"/>
        </w:rPr>
        <w:t>Box 1: Content of SMS messages sent to simple SMS group and ESMS±S group</w:t>
      </w:r>
    </w:p>
    <w:p w14:paraId="4805125F" w14:textId="63012EEF" w:rsidR="00D76AC0" w:rsidRPr="00D76AC0" w:rsidRDefault="00D76AC0" w:rsidP="001042D7">
      <w:pPr>
        <w:rPr>
          <w:rStyle w:val="Emphasis"/>
          <w:b w:val="0"/>
          <w:bCs w:val="0"/>
          <w:i w:val="0"/>
          <w:iCs w:val="0"/>
        </w:rPr>
      </w:pPr>
      <w:r w:rsidRPr="00D76AC0">
        <w:rPr>
          <w:rStyle w:val="Emphasis"/>
          <w:b w:val="0"/>
          <w:bCs w:val="0"/>
          <w:i w:val="0"/>
          <w:iCs w:val="0"/>
          <w:noProof/>
        </w:rPr>
        <mc:AlternateContent>
          <mc:Choice Requires="wps">
            <w:drawing>
              <wp:inline distT="0" distB="0" distL="0" distR="0" wp14:anchorId="3F726649" wp14:editId="6A9D8101">
                <wp:extent cx="6625742" cy="2209190"/>
                <wp:effectExtent l="0" t="0" r="2286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742" cy="2209190"/>
                        </a:xfrm>
                        <a:prstGeom prst="rect">
                          <a:avLst/>
                        </a:prstGeom>
                        <a:solidFill>
                          <a:schemeClr val="accent6">
                            <a:lumMod val="20000"/>
                            <a:lumOff val="80000"/>
                          </a:schemeClr>
                        </a:solidFill>
                        <a:ln w="3175">
                          <a:solidFill>
                            <a:schemeClr val="accent6">
                              <a:lumMod val="40000"/>
                              <a:lumOff val="60000"/>
                            </a:schemeClr>
                          </a:solidFill>
                          <a:miter lim="800000"/>
                          <a:headEnd/>
                          <a:tailEnd/>
                        </a:ln>
                      </wps:spPr>
                      <wps:txbx>
                        <w:txbxContent>
                          <w:p w14:paraId="6E368A0A" w14:textId="77777777" w:rsidR="008603FB" w:rsidRPr="00D76AC0" w:rsidRDefault="008603FB" w:rsidP="00D76AC0">
                            <w:pPr>
                              <w:pStyle w:val="NormalWeb"/>
                              <w:rPr>
                                <w:b/>
                                <w:bCs/>
                                <w:lang w:val="en-GB"/>
                              </w:rPr>
                            </w:pPr>
                            <w:r w:rsidRPr="00D76AC0">
                              <w:rPr>
                                <w:b/>
                                <w:bCs/>
                                <w:lang w:val="en-GB"/>
                              </w:rPr>
                              <w:t>Simple SMS</w:t>
                            </w:r>
                          </w:p>
                          <w:p w14:paraId="3D5A8C8E" w14:textId="77777777" w:rsidR="008603FB" w:rsidRPr="00D76AC0" w:rsidRDefault="008603FB" w:rsidP="00D76AC0">
                            <w:pPr>
                              <w:pStyle w:val="NormalWeb"/>
                              <w:rPr>
                                <w:i/>
                                <w:iCs/>
                                <w:lang w:val="en-GB"/>
                              </w:rPr>
                            </w:pPr>
                            <w:r w:rsidRPr="00D76AC0">
                              <w:rPr>
                                <w:i/>
                                <w:iCs/>
                                <w:lang w:val="en-GB"/>
                              </w:rPr>
                              <w:t>“This is a reminder that your child’s &lt;age in months&gt; immunisations are/were due on &lt;date&gt;. Please make an appointment with your doctor. Please reply ‘Yes’ if these baby needles have already been given or ‘No’ if not”.</w:t>
                            </w:r>
                          </w:p>
                          <w:p w14:paraId="55CF0537" w14:textId="77777777" w:rsidR="008603FB" w:rsidRPr="00D76AC0" w:rsidRDefault="008603FB" w:rsidP="00D76AC0">
                            <w:pPr>
                              <w:pStyle w:val="NormalWeb"/>
                              <w:rPr>
                                <w:b/>
                                <w:bCs/>
                                <w:lang w:val="en-GB"/>
                              </w:rPr>
                            </w:pPr>
                            <w:r w:rsidRPr="00D76AC0">
                              <w:rPr>
                                <w:b/>
                                <w:bCs/>
                                <w:lang w:val="en-GB"/>
                              </w:rPr>
                              <w:t>ESMS±S</w:t>
                            </w:r>
                          </w:p>
                          <w:p w14:paraId="67758551" w14:textId="08610517" w:rsidR="008603FB" w:rsidRPr="001B2ACF" w:rsidRDefault="008603FB" w:rsidP="00D76AC0">
                            <w:pPr>
                              <w:pStyle w:val="NormalWeb"/>
                              <w:rPr>
                                <w:i/>
                                <w:iCs/>
                                <w:lang w:val="en-GB"/>
                              </w:rPr>
                            </w:pPr>
                            <w:r w:rsidRPr="001B2ACF">
                              <w:rPr>
                                <w:i/>
                                <w:iCs/>
                                <w:lang w:val="en-GB"/>
                              </w:rPr>
                              <w:t>“Dear &lt;carer name&gt;, this is a reminder that &lt;baby’s name&gt; &lt;age in months&gt; baby needles are/were due on &lt;date&gt;. It is important that &lt;he/she&gt; gets these on time so &lt;he/she&gt; doesn’t get sick from the diseases that these immunisations protect against. Please make an appointment with your doctor. Please reply “Yes” if these baby needles have already been given or “No” if not”.</w:t>
                            </w:r>
                          </w:p>
                        </w:txbxContent>
                      </wps:txbx>
                      <wps:bodyPr rot="0" vert="horz" wrap="square" lIns="91440" tIns="45720" rIns="91440" bIns="45720" anchor="t" anchorCtr="0">
                        <a:noAutofit/>
                      </wps:bodyPr>
                    </wps:wsp>
                  </a:graphicData>
                </a:graphic>
              </wp:inline>
            </w:drawing>
          </mc:Choice>
          <mc:Fallback>
            <w:pict>
              <v:shapetype w14:anchorId="3F726649" id="_x0000_t202" coordsize="21600,21600" o:spt="202" path="m,l,21600r21600,l21600,xe">
                <v:stroke joinstyle="miter"/>
                <v:path gradientshapeok="t" o:connecttype="rect"/>
              </v:shapetype>
              <v:shape id="Text Box 2" o:spid="_x0000_s1026" type="#_x0000_t202" style="width:521.7pt;height:17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" fillcolor="#fde9d9 [665]" strokecolor="#fbd4b4 [1305]" strokeweight=".25pt">
                <v:textbox>
                  <w:txbxContent>
                    <w:p w14:paraId="6E368A0A" w14:textId="77777777" w:rsidR="008603FB" w:rsidRPr="00D76AC0" w:rsidRDefault="008603FB" w:rsidP="00D76AC0">
                      <w:pPr>
                        <w:pStyle w:val="NormalWeb"/>
                        <w:rPr>
                          <w:b/>
                          <w:bCs/>
                          <w:lang w:val="en-GB"/>
                        </w:rPr>
                      </w:pPr>
                      <w:r w:rsidRPr="00D76AC0">
                        <w:rPr>
                          <w:b/>
                          <w:bCs/>
                          <w:lang w:val="en-GB"/>
                        </w:rPr>
                        <w:t>Simple SMS</w:t>
                      </w:r>
                    </w:p>
                    <w:p w14:paraId="3D5A8C8E" w14:textId="77777777" w:rsidR="008603FB" w:rsidRPr="00D76AC0" w:rsidRDefault="008603FB" w:rsidP="00D76AC0">
                      <w:pPr>
                        <w:pStyle w:val="NormalWeb"/>
                        <w:rPr>
                          <w:i/>
                          <w:iCs/>
                          <w:lang w:val="en-GB"/>
                        </w:rPr>
                      </w:pPr>
                      <w:r w:rsidRPr="00D76AC0">
                        <w:rPr>
                          <w:i/>
                          <w:iCs/>
                          <w:lang w:val="en-GB"/>
                        </w:rPr>
                        <w:t>“This is a reminder that your child’s &lt;age in months&gt; immunisations are/were due on &lt;date&gt;. Please make an appointment with your doctor. Please reply ‘Yes’ if these baby needles have already been given or ‘No’ if not”.</w:t>
                      </w:r>
                    </w:p>
                    <w:p w14:paraId="55CF0537" w14:textId="77777777" w:rsidR="008603FB" w:rsidRPr="00D76AC0" w:rsidRDefault="008603FB" w:rsidP="00D76AC0">
                      <w:pPr>
                        <w:pStyle w:val="NormalWeb"/>
                        <w:rPr>
                          <w:b/>
                          <w:bCs/>
                          <w:lang w:val="en-GB"/>
                        </w:rPr>
                      </w:pPr>
                      <w:r w:rsidRPr="00D76AC0">
                        <w:rPr>
                          <w:b/>
                          <w:bCs/>
                          <w:lang w:val="en-GB"/>
                        </w:rPr>
                        <w:t>ESMS±S</w:t>
                      </w:r>
                    </w:p>
                    <w:p w14:paraId="67758551" w14:textId="08610517" w:rsidR="008603FB" w:rsidRPr="001B2ACF" w:rsidRDefault="008603FB" w:rsidP="00D76AC0">
                      <w:pPr>
                        <w:pStyle w:val="NormalWeb"/>
                        <w:rPr>
                          <w:i/>
                          <w:iCs/>
                          <w:lang w:val="en-GB"/>
                        </w:rPr>
                      </w:pPr>
                      <w:r w:rsidRPr="001B2ACF">
                        <w:rPr>
                          <w:i/>
                          <w:iCs/>
                          <w:lang w:val="en-GB"/>
                        </w:rPr>
                        <w:t>“Dear &lt;carer name&gt;, this is a reminder that &lt;baby’s name&gt; &lt;age in months&gt; baby needles are/were due on &lt;date&gt;. It is important that &lt;he/she&gt; gets these on time so &lt;he/she&gt; doesn’t get sick from the diseases that these immunisations protect against. Please make an appointment with your doctor. Please reply “Yes” if these baby needles have already been given or “No” if not”.</w:t>
                      </w:r>
                    </w:p>
                  </w:txbxContent>
                </v:textbox>
                <w10:anchorlock/>
              </v:shape>
            </w:pict>
          </mc:Fallback>
        </mc:AlternateContent>
      </w:r>
    </w:p>
    <w:p w14:paraId="228AA2E0" w14:textId="1192CE67" w:rsidR="00D92B14" w:rsidRDefault="00D92B14" w:rsidP="001042D7">
      <w:r w:rsidRPr="001042D7">
        <w:rPr>
          <w:rStyle w:val="Emphasis"/>
          <w:b w:val="0"/>
          <w:bCs w:val="0"/>
        </w:rPr>
        <w:t xml:space="preserve">ESMS±S: </w:t>
      </w:r>
      <w:r>
        <w:t xml:space="preserve">At two weeks before and the week of each age milestone due date a more detailed SMS was sent to the carer’s nominated mobile number (Box 1). Two weeks after the second SMS had been sent, staff checked immunisation records to determine if the infant had been vaccinated. If no record was found, vaccination status was confirmed with the primary carer and, if not vaccinated, they were offered either a home visit or active support for the carer to get the infant to a healthcare provider for immunisation prior to one month past the milestone due date. </w:t>
      </w:r>
    </w:p>
    <w:p w14:paraId="3B9736FA" w14:textId="77777777" w:rsidR="00D92B14" w:rsidRDefault="00D92B14" w:rsidP="001042D7">
      <w:r>
        <w:t xml:space="preserve">For the simple SMS and ESMS±S groups, </w:t>
      </w:r>
      <w:proofErr w:type="gramStart"/>
      <w:r>
        <w:t>whether or not</w:t>
      </w:r>
      <w:proofErr w:type="gramEnd"/>
      <w:r>
        <w:t xml:space="preserve"> a response was received was recorded at each contact timepoint. </w:t>
      </w:r>
    </w:p>
    <w:p w14:paraId="3324F93A" w14:textId="77777777" w:rsidR="00D92B14" w:rsidRDefault="00D92B14" w:rsidP="001042D7">
      <w:r w:rsidRPr="001042D7">
        <w:rPr>
          <w:rStyle w:val="Emphasis"/>
          <w:b w:val="0"/>
          <w:bCs w:val="0"/>
        </w:rPr>
        <w:t xml:space="preserve">Controls: </w:t>
      </w:r>
      <w:r>
        <w:t xml:space="preserve">No contact with parents/carers was undertaken until the infant turned seven months of age. At one month after each immunisation milestone, AIR and/or the </w:t>
      </w:r>
      <w:proofErr w:type="spellStart"/>
      <w:r>
        <w:t>infants’s</w:t>
      </w:r>
      <w:proofErr w:type="spellEnd"/>
      <w:r>
        <w:t xml:space="preserve"> usual health care provider were checked to determine whether the infant had been immunised. </w:t>
      </w:r>
    </w:p>
    <w:p w14:paraId="2C79E8D5" w14:textId="77777777" w:rsidR="00D92B14" w:rsidRDefault="00D92B14" w:rsidP="001042D7">
      <w:r>
        <w:t xml:space="preserve">All infants not age-appropriately immunised at seven months of age were offered support to the parent/carer, including home visits, to complete outstanding vaccinations. </w:t>
      </w:r>
    </w:p>
    <w:p w14:paraId="5BE60726" w14:textId="77777777" w:rsidR="00D92B14" w:rsidRPr="001042D7" w:rsidRDefault="00D92B14" w:rsidP="001042D7">
      <w:pPr>
        <w:pStyle w:val="Heading2"/>
      </w:pPr>
      <w:r w:rsidRPr="001042D7">
        <w:t xml:space="preserve">Outcome </w:t>
      </w:r>
    </w:p>
    <w:p w14:paraId="22AD197E" w14:textId="77777777" w:rsidR="00D92B14" w:rsidRDefault="00D92B14" w:rsidP="001042D7">
      <w:r>
        <w:t xml:space="preserve">The primary outcome was medical record/AIR confirmed immunisation status at seven months of age; final checks were undertaken at eight months to allow time for the record to appear on the AIR. Infants with no record of vaccination were classified as unvaccinated. As the immunisation schedule changed during the study, vaccines that contributed to immunisation status were those that were on the Queensland Immunisation Schedule at the time the </w:t>
      </w:r>
      <w:r>
        <w:lastRenderedPageBreak/>
        <w:t>infant reached that age-milestone. Secondary outcomes were immunisation status at three and five months of age and time to vaccination in days for each of the three age milestones</w:t>
      </w:r>
      <w:r>
        <w:rPr>
          <w:rStyle w:val="Strong"/>
        </w:rPr>
        <w:t xml:space="preserve">. </w:t>
      </w:r>
    </w:p>
    <w:p w14:paraId="65B7C4B2" w14:textId="77777777" w:rsidR="00D92B14" w:rsidRPr="001042D7" w:rsidRDefault="00D92B14" w:rsidP="001042D7">
      <w:pPr>
        <w:pStyle w:val="Heading2"/>
      </w:pPr>
      <w:r w:rsidRPr="001042D7">
        <w:t xml:space="preserve">Sample size </w:t>
      </w:r>
    </w:p>
    <w:p w14:paraId="5601DD45" w14:textId="08CB34FA" w:rsidR="00D92B14" w:rsidRDefault="00D92B14" w:rsidP="001042D7">
      <w:r>
        <w:t>We planned a three-group study with 104 weeks accrual time and seven months follow-up in the infant cohort. At the time this study was planned, there were no existing data in this population with which to inform potential effect sizes for time-to-event analyses. For the proportion vaccinated on time, we chose coverage targets based on the desired outcome from a public health perspective. Immunisation status at each time point prior to the study was derived from our previous cohort study of First Nations children in Caboolture.</w:t>
      </w:r>
      <w:r>
        <w:rPr>
          <w:vertAlign w:val="superscript"/>
        </w:rPr>
        <w:t>6</w:t>
      </w:r>
      <w:r>
        <w:t xml:space="preserve"> Sample sizes required for the outcomes of the proportion vaccinated are presented in Box 2. </w:t>
      </w:r>
    </w:p>
    <w:p w14:paraId="2AA506F1" w14:textId="77777777" w:rsidR="00DA0E23" w:rsidRPr="00DF6CFB" w:rsidRDefault="00DA0E23" w:rsidP="00DA0E23">
      <w:pPr>
        <w:pStyle w:val="CDIFigures"/>
      </w:pPr>
      <w:r w:rsidRPr="00DF6CFB">
        <w:rPr>
          <w:rStyle w:val="Strong"/>
          <w:b/>
          <w:bCs w:val="0"/>
        </w:rPr>
        <w:t>Box 2: Sample sizes required for primary outcome</w:t>
      </w:r>
    </w:p>
    <w:tbl>
      <w:tblPr>
        <w:tblStyle w:val="CDI-StandardTable"/>
        <w:tblW w:w="0" w:type="auto"/>
        <w:tblLook w:val="04A0" w:firstRow="1" w:lastRow="0" w:firstColumn="1" w:lastColumn="0" w:noHBand="0" w:noVBand="1"/>
        <w:tblDescription w:val="Box 2 summarises the sample size targets to achieve 80% or 90% power re the study's primary outcome"/>
      </w:tblPr>
      <w:tblGrid>
        <w:gridCol w:w="2880"/>
        <w:gridCol w:w="2160"/>
        <w:gridCol w:w="1980"/>
        <w:gridCol w:w="1620"/>
        <w:gridCol w:w="1800"/>
      </w:tblGrid>
      <w:tr w:rsidR="00DA0E23" w:rsidRPr="009B37B9" w14:paraId="1E61DFF1" w14:textId="77777777" w:rsidTr="00DA0E23">
        <w:trPr>
          <w:cnfStyle w:val="100000000000" w:firstRow="1" w:lastRow="0" w:firstColumn="0" w:lastColumn="0" w:oddVBand="0" w:evenVBand="0" w:oddHBand="0" w:evenHBand="0" w:firstRowFirstColumn="0" w:firstRowLastColumn="0" w:lastRowFirstColumn="0" w:lastRowLastColumn="0"/>
          <w:tblHeader/>
        </w:trPr>
        <w:tc>
          <w:tcPr>
            <w:tcW w:w="2880" w:type="dxa"/>
            <w:vMerge w:val="restart"/>
            <w:tcBorders>
              <w:bottom w:val="single" w:sz="2" w:space="0" w:color="FFFFFF" w:themeColor="background1"/>
              <w:right w:val="single" w:sz="2" w:space="0" w:color="FFFFFF" w:themeColor="background1"/>
            </w:tcBorders>
            <w:hideMark/>
          </w:tcPr>
          <w:p w14:paraId="18081DE6" w14:textId="77777777" w:rsidR="00DA0E23" w:rsidRPr="009B37B9" w:rsidRDefault="00DA0E23" w:rsidP="008603FB">
            <w:pPr>
              <w:rPr>
                <w:color w:val="FFFFFF" w:themeColor="background1"/>
                <w:sz w:val="18"/>
                <w:szCs w:val="18"/>
                <w:lang w:val="en-GB"/>
              </w:rPr>
            </w:pPr>
          </w:p>
        </w:tc>
        <w:tc>
          <w:tcPr>
            <w:tcW w:w="2160" w:type="dxa"/>
            <w:tcBorders>
              <w:left w:val="single" w:sz="2" w:space="0" w:color="FFFFFF" w:themeColor="background1"/>
              <w:bottom w:val="single" w:sz="2" w:space="0" w:color="FFFFFF" w:themeColor="background1"/>
              <w:right w:val="single" w:sz="2" w:space="0" w:color="FFFFFF" w:themeColor="background1"/>
            </w:tcBorders>
            <w:hideMark/>
          </w:tcPr>
          <w:p w14:paraId="0A6FCBF0" w14:textId="77777777" w:rsidR="00DA0E23" w:rsidRPr="009B37B9" w:rsidRDefault="00DA0E23" w:rsidP="008603FB">
            <w:pPr>
              <w:jc w:val="center"/>
              <w:rPr>
                <w:rFonts w:eastAsia="Times New Roman"/>
                <w:color w:val="FFFFFF" w:themeColor="background1"/>
                <w:sz w:val="18"/>
                <w:szCs w:val="18"/>
              </w:rPr>
            </w:pPr>
          </w:p>
        </w:tc>
        <w:tc>
          <w:tcPr>
            <w:tcW w:w="1980" w:type="dxa"/>
            <w:tcBorders>
              <w:left w:val="single" w:sz="2" w:space="0" w:color="FFFFFF" w:themeColor="background1"/>
              <w:bottom w:val="single" w:sz="2" w:space="0" w:color="FFFFFF" w:themeColor="background1"/>
              <w:right w:val="single" w:sz="2" w:space="0" w:color="FFFFFF" w:themeColor="background1"/>
            </w:tcBorders>
            <w:hideMark/>
          </w:tcPr>
          <w:p w14:paraId="7DEF5F52" w14:textId="77777777" w:rsidR="00DA0E23" w:rsidRPr="009B37B9" w:rsidRDefault="00DA0E23" w:rsidP="008603FB">
            <w:pPr>
              <w:jc w:val="center"/>
              <w:rPr>
                <w:rFonts w:eastAsia="Times New Roman"/>
                <w:color w:val="FFFFFF" w:themeColor="background1"/>
                <w:sz w:val="18"/>
                <w:szCs w:val="18"/>
              </w:rPr>
            </w:pPr>
          </w:p>
        </w:tc>
        <w:tc>
          <w:tcPr>
            <w:tcW w:w="1620" w:type="dxa"/>
            <w:tcBorders>
              <w:left w:val="single" w:sz="2" w:space="0" w:color="FFFFFF" w:themeColor="background1"/>
              <w:bottom w:val="single" w:sz="2" w:space="0" w:color="FFFFFF" w:themeColor="background1"/>
              <w:right w:val="single" w:sz="2" w:space="0" w:color="FFFFFF" w:themeColor="background1"/>
            </w:tcBorders>
            <w:hideMark/>
          </w:tcPr>
          <w:p w14:paraId="6328C246" w14:textId="77777777" w:rsidR="00DA0E23" w:rsidRPr="009B37B9" w:rsidRDefault="00DA0E23" w:rsidP="008603FB">
            <w:pPr>
              <w:pStyle w:val="NormalWeb"/>
              <w:jc w:val="center"/>
              <w:rPr>
                <w:color w:val="FFFFFF" w:themeColor="background1"/>
                <w:sz w:val="18"/>
                <w:szCs w:val="18"/>
              </w:rPr>
            </w:pPr>
            <w:r w:rsidRPr="009B37B9">
              <w:rPr>
                <w:color w:val="FFFFFF" w:themeColor="background1"/>
                <w:sz w:val="18"/>
                <w:szCs w:val="18"/>
              </w:rPr>
              <w:t>80% power</w:t>
            </w:r>
          </w:p>
        </w:tc>
        <w:tc>
          <w:tcPr>
            <w:tcW w:w="1800" w:type="dxa"/>
            <w:tcBorders>
              <w:left w:val="single" w:sz="2" w:space="0" w:color="FFFFFF" w:themeColor="background1"/>
              <w:bottom w:val="single" w:sz="2" w:space="0" w:color="FFFFFF" w:themeColor="background1"/>
            </w:tcBorders>
            <w:hideMark/>
          </w:tcPr>
          <w:p w14:paraId="2DB1F071" w14:textId="77777777" w:rsidR="00DA0E23" w:rsidRPr="009B37B9" w:rsidRDefault="00DA0E23" w:rsidP="008603FB">
            <w:pPr>
              <w:pStyle w:val="NormalWeb"/>
              <w:jc w:val="center"/>
              <w:rPr>
                <w:color w:val="FFFFFF" w:themeColor="background1"/>
                <w:sz w:val="18"/>
                <w:szCs w:val="18"/>
              </w:rPr>
            </w:pPr>
            <w:r w:rsidRPr="009B37B9">
              <w:rPr>
                <w:color w:val="FFFFFF" w:themeColor="background1"/>
                <w:sz w:val="18"/>
                <w:szCs w:val="18"/>
              </w:rPr>
              <w:t>90% power</w:t>
            </w:r>
          </w:p>
        </w:tc>
      </w:tr>
      <w:tr w:rsidR="00DA0E23" w:rsidRPr="009B37B9" w14:paraId="2213BA15" w14:textId="77777777" w:rsidTr="00DA0E23">
        <w:trPr>
          <w:cnfStyle w:val="100000000000" w:firstRow="1" w:lastRow="0" w:firstColumn="0" w:lastColumn="0" w:oddVBand="0" w:evenVBand="0" w:oddHBand="0" w:evenHBand="0" w:firstRowFirstColumn="0" w:firstRowLastColumn="0" w:lastRowFirstColumn="0" w:lastRowLastColumn="0"/>
          <w:tblHeader/>
        </w:trPr>
        <w:tc>
          <w:tcPr>
            <w:tcW w:w="2880" w:type="dxa"/>
            <w:vMerge/>
            <w:tcBorders>
              <w:top w:val="single" w:sz="2" w:space="0" w:color="FFFFFF" w:themeColor="background1"/>
              <w:right w:val="single" w:sz="2" w:space="0" w:color="FFFFFF" w:themeColor="background1"/>
            </w:tcBorders>
            <w:hideMark/>
          </w:tcPr>
          <w:p w14:paraId="2BD8DF91" w14:textId="77777777" w:rsidR="00DA0E23" w:rsidRPr="009B37B9" w:rsidRDefault="00DA0E23" w:rsidP="008603FB">
            <w:pPr>
              <w:rPr>
                <w:color w:val="FFFFFF" w:themeColor="background1"/>
                <w:sz w:val="18"/>
                <w:szCs w:val="18"/>
                <w:lang w:val="en-GB"/>
              </w:rPr>
            </w:pPr>
          </w:p>
        </w:tc>
        <w:tc>
          <w:tcPr>
            <w:tcW w:w="2160" w:type="dxa"/>
            <w:tcBorders>
              <w:top w:val="single" w:sz="2" w:space="0" w:color="FFFFFF" w:themeColor="background1"/>
              <w:left w:val="single" w:sz="2" w:space="0" w:color="FFFFFF" w:themeColor="background1"/>
              <w:right w:val="single" w:sz="2" w:space="0" w:color="FFFFFF" w:themeColor="background1"/>
            </w:tcBorders>
            <w:hideMark/>
          </w:tcPr>
          <w:p w14:paraId="3A058E4D" w14:textId="77777777" w:rsidR="00DA0E23" w:rsidRPr="009B37B9" w:rsidRDefault="00DA0E23" w:rsidP="008603FB">
            <w:pPr>
              <w:pStyle w:val="NormalWeb"/>
              <w:jc w:val="center"/>
              <w:rPr>
                <w:color w:val="FFFFFF" w:themeColor="background1"/>
                <w:sz w:val="18"/>
                <w:szCs w:val="18"/>
              </w:rPr>
            </w:pPr>
            <w:r w:rsidRPr="009B37B9">
              <w:rPr>
                <w:color w:val="FFFFFF" w:themeColor="background1"/>
                <w:sz w:val="18"/>
                <w:szCs w:val="18"/>
              </w:rPr>
              <w:t>Baseline coverage</w:t>
            </w:r>
          </w:p>
        </w:tc>
        <w:tc>
          <w:tcPr>
            <w:tcW w:w="1980" w:type="dxa"/>
            <w:tcBorders>
              <w:top w:val="single" w:sz="2" w:space="0" w:color="FFFFFF" w:themeColor="background1"/>
              <w:left w:val="single" w:sz="2" w:space="0" w:color="FFFFFF" w:themeColor="background1"/>
              <w:right w:val="single" w:sz="2" w:space="0" w:color="FFFFFF" w:themeColor="background1"/>
            </w:tcBorders>
            <w:hideMark/>
          </w:tcPr>
          <w:p w14:paraId="0230E489" w14:textId="77777777" w:rsidR="00DA0E23" w:rsidRPr="009B37B9" w:rsidRDefault="00DA0E23" w:rsidP="008603FB">
            <w:pPr>
              <w:pStyle w:val="NormalWeb"/>
              <w:jc w:val="center"/>
              <w:rPr>
                <w:color w:val="FFFFFF" w:themeColor="background1"/>
                <w:sz w:val="18"/>
                <w:szCs w:val="18"/>
              </w:rPr>
            </w:pPr>
            <w:r w:rsidRPr="009B37B9">
              <w:rPr>
                <w:color w:val="FFFFFF" w:themeColor="background1"/>
                <w:sz w:val="18"/>
                <w:szCs w:val="18"/>
              </w:rPr>
              <w:t>Target coverage</w:t>
            </w:r>
          </w:p>
        </w:tc>
        <w:tc>
          <w:tcPr>
            <w:tcW w:w="1620" w:type="dxa"/>
            <w:tcBorders>
              <w:top w:val="single" w:sz="2" w:space="0" w:color="FFFFFF" w:themeColor="background1"/>
              <w:left w:val="single" w:sz="2" w:space="0" w:color="FFFFFF" w:themeColor="background1"/>
              <w:right w:val="single" w:sz="2" w:space="0" w:color="FFFFFF" w:themeColor="background1"/>
            </w:tcBorders>
            <w:hideMark/>
          </w:tcPr>
          <w:p w14:paraId="28BC16F7" w14:textId="77777777" w:rsidR="00DA0E23" w:rsidRPr="009B37B9" w:rsidRDefault="00DA0E23" w:rsidP="008603FB">
            <w:pPr>
              <w:pStyle w:val="NormalWeb"/>
              <w:jc w:val="center"/>
              <w:rPr>
                <w:color w:val="FFFFFF" w:themeColor="background1"/>
                <w:sz w:val="18"/>
                <w:szCs w:val="18"/>
              </w:rPr>
            </w:pPr>
            <w:r w:rsidRPr="009B37B9">
              <w:rPr>
                <w:color w:val="FFFFFF" w:themeColor="background1"/>
                <w:sz w:val="18"/>
                <w:szCs w:val="18"/>
              </w:rPr>
              <w:t>n per group</w:t>
            </w:r>
          </w:p>
        </w:tc>
        <w:tc>
          <w:tcPr>
            <w:tcW w:w="1800" w:type="dxa"/>
            <w:tcBorders>
              <w:top w:val="single" w:sz="2" w:space="0" w:color="FFFFFF" w:themeColor="background1"/>
              <w:left w:val="single" w:sz="2" w:space="0" w:color="FFFFFF" w:themeColor="background1"/>
            </w:tcBorders>
            <w:hideMark/>
          </w:tcPr>
          <w:p w14:paraId="52C9C83D" w14:textId="77777777" w:rsidR="00DA0E23" w:rsidRPr="009B37B9" w:rsidRDefault="00DA0E23" w:rsidP="008603FB">
            <w:pPr>
              <w:pStyle w:val="NormalWeb"/>
              <w:jc w:val="center"/>
              <w:rPr>
                <w:color w:val="FFFFFF" w:themeColor="background1"/>
                <w:sz w:val="18"/>
                <w:szCs w:val="18"/>
              </w:rPr>
            </w:pPr>
            <w:r w:rsidRPr="009B37B9">
              <w:rPr>
                <w:color w:val="FFFFFF" w:themeColor="background1"/>
                <w:sz w:val="18"/>
                <w:szCs w:val="18"/>
              </w:rPr>
              <w:t>n per group</w:t>
            </w:r>
          </w:p>
        </w:tc>
      </w:tr>
      <w:tr w:rsidR="00DA0E23" w:rsidRPr="009B37B9" w14:paraId="0E5767A5" w14:textId="77777777" w:rsidTr="00DA0E23">
        <w:tblPrEx>
          <w:tblCellMar>
            <w:top w:w="57" w:type="dxa"/>
            <w:left w:w="57" w:type="dxa"/>
            <w:bottom w:w="57" w:type="dxa"/>
            <w:right w:w="57" w:type="dxa"/>
          </w:tblCellMar>
        </w:tblPrEx>
        <w:tc>
          <w:tcPr>
            <w:tcW w:w="2880" w:type="dxa"/>
            <w:hideMark/>
          </w:tcPr>
          <w:p w14:paraId="69D67D03" w14:textId="77777777" w:rsidR="00DA0E23" w:rsidRPr="009B37B9" w:rsidRDefault="00DA0E23" w:rsidP="008603FB">
            <w:pPr>
              <w:pStyle w:val="NormalWeb"/>
              <w:rPr>
                <w:sz w:val="18"/>
                <w:szCs w:val="18"/>
              </w:rPr>
            </w:pPr>
            <w:r w:rsidRPr="009B37B9">
              <w:rPr>
                <w:sz w:val="18"/>
                <w:szCs w:val="18"/>
              </w:rPr>
              <w:t>3 months of age</w:t>
            </w:r>
          </w:p>
        </w:tc>
        <w:tc>
          <w:tcPr>
            <w:tcW w:w="2160" w:type="dxa"/>
            <w:hideMark/>
          </w:tcPr>
          <w:p w14:paraId="6486BD92" w14:textId="77777777" w:rsidR="00DA0E23" w:rsidRPr="009B37B9" w:rsidRDefault="00DA0E23" w:rsidP="008603FB">
            <w:pPr>
              <w:pStyle w:val="NormalWeb"/>
              <w:jc w:val="center"/>
              <w:rPr>
                <w:sz w:val="18"/>
                <w:szCs w:val="18"/>
              </w:rPr>
            </w:pPr>
            <w:r w:rsidRPr="009B37B9">
              <w:rPr>
                <w:sz w:val="18"/>
                <w:szCs w:val="18"/>
              </w:rPr>
              <w:t>79%</w:t>
            </w:r>
          </w:p>
        </w:tc>
        <w:tc>
          <w:tcPr>
            <w:tcW w:w="1980" w:type="dxa"/>
            <w:hideMark/>
          </w:tcPr>
          <w:p w14:paraId="20236FF2" w14:textId="77777777" w:rsidR="00DA0E23" w:rsidRPr="009B37B9" w:rsidRDefault="00DA0E23" w:rsidP="008603FB">
            <w:pPr>
              <w:pStyle w:val="NormalWeb"/>
              <w:jc w:val="center"/>
              <w:rPr>
                <w:sz w:val="18"/>
                <w:szCs w:val="18"/>
              </w:rPr>
            </w:pPr>
            <w:r w:rsidRPr="009B37B9">
              <w:rPr>
                <w:sz w:val="18"/>
                <w:szCs w:val="18"/>
              </w:rPr>
              <w:t>95%</w:t>
            </w:r>
          </w:p>
        </w:tc>
        <w:tc>
          <w:tcPr>
            <w:tcW w:w="1620" w:type="dxa"/>
            <w:hideMark/>
          </w:tcPr>
          <w:p w14:paraId="0A8A4B98" w14:textId="77777777" w:rsidR="00DA0E23" w:rsidRPr="009B37B9" w:rsidRDefault="00DA0E23" w:rsidP="008603FB">
            <w:pPr>
              <w:pStyle w:val="NormalWeb"/>
              <w:jc w:val="center"/>
              <w:rPr>
                <w:sz w:val="18"/>
                <w:szCs w:val="18"/>
              </w:rPr>
            </w:pPr>
            <w:r w:rsidRPr="009B37B9">
              <w:rPr>
                <w:sz w:val="18"/>
                <w:szCs w:val="18"/>
              </w:rPr>
              <w:t>81</w:t>
            </w:r>
          </w:p>
        </w:tc>
        <w:tc>
          <w:tcPr>
            <w:tcW w:w="1800" w:type="dxa"/>
            <w:hideMark/>
          </w:tcPr>
          <w:p w14:paraId="7682ADEE" w14:textId="77777777" w:rsidR="00DA0E23" w:rsidRPr="009B37B9" w:rsidRDefault="00DA0E23" w:rsidP="008603FB">
            <w:pPr>
              <w:pStyle w:val="NormalWeb"/>
              <w:jc w:val="center"/>
              <w:rPr>
                <w:sz w:val="18"/>
                <w:szCs w:val="18"/>
              </w:rPr>
            </w:pPr>
            <w:r w:rsidRPr="009B37B9">
              <w:rPr>
                <w:sz w:val="18"/>
                <w:szCs w:val="18"/>
              </w:rPr>
              <w:t>103</w:t>
            </w:r>
          </w:p>
        </w:tc>
      </w:tr>
      <w:tr w:rsidR="00DA0E23" w:rsidRPr="009B37B9" w14:paraId="04C08CFE" w14:textId="77777777" w:rsidTr="009B37B9">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880" w:type="dxa"/>
            <w:hideMark/>
          </w:tcPr>
          <w:p w14:paraId="4A2FD2DF" w14:textId="77777777" w:rsidR="00DA0E23" w:rsidRPr="009B37B9" w:rsidRDefault="00DA0E23" w:rsidP="008603FB">
            <w:pPr>
              <w:pStyle w:val="NormalWeb"/>
              <w:rPr>
                <w:sz w:val="18"/>
                <w:szCs w:val="18"/>
              </w:rPr>
            </w:pPr>
            <w:r w:rsidRPr="009B37B9">
              <w:rPr>
                <w:sz w:val="18"/>
                <w:szCs w:val="18"/>
              </w:rPr>
              <w:t>5 months of age</w:t>
            </w:r>
          </w:p>
        </w:tc>
        <w:tc>
          <w:tcPr>
            <w:tcW w:w="2160" w:type="dxa"/>
            <w:hideMark/>
          </w:tcPr>
          <w:p w14:paraId="27B99C1D" w14:textId="77777777" w:rsidR="00DA0E23" w:rsidRPr="009B37B9" w:rsidRDefault="00DA0E23" w:rsidP="008603FB">
            <w:pPr>
              <w:pStyle w:val="NormalWeb"/>
              <w:jc w:val="center"/>
              <w:rPr>
                <w:sz w:val="18"/>
                <w:szCs w:val="18"/>
              </w:rPr>
            </w:pPr>
            <w:r w:rsidRPr="009B37B9">
              <w:rPr>
                <w:sz w:val="18"/>
                <w:szCs w:val="18"/>
              </w:rPr>
              <w:t>61%</w:t>
            </w:r>
          </w:p>
        </w:tc>
        <w:tc>
          <w:tcPr>
            <w:tcW w:w="1980" w:type="dxa"/>
            <w:hideMark/>
          </w:tcPr>
          <w:p w14:paraId="16A6DBFB" w14:textId="77777777" w:rsidR="00DA0E23" w:rsidRPr="009B37B9" w:rsidRDefault="00DA0E23" w:rsidP="008603FB">
            <w:pPr>
              <w:pStyle w:val="NormalWeb"/>
              <w:jc w:val="center"/>
              <w:rPr>
                <w:sz w:val="18"/>
                <w:szCs w:val="18"/>
              </w:rPr>
            </w:pPr>
            <w:r w:rsidRPr="009B37B9">
              <w:rPr>
                <w:sz w:val="18"/>
                <w:szCs w:val="18"/>
              </w:rPr>
              <w:t>90%</w:t>
            </w:r>
          </w:p>
        </w:tc>
        <w:tc>
          <w:tcPr>
            <w:tcW w:w="1620" w:type="dxa"/>
            <w:hideMark/>
          </w:tcPr>
          <w:p w14:paraId="1A51DEB0" w14:textId="77777777" w:rsidR="00DA0E23" w:rsidRPr="009B37B9" w:rsidRDefault="00DA0E23" w:rsidP="008603FB">
            <w:pPr>
              <w:pStyle w:val="NormalWeb"/>
              <w:jc w:val="center"/>
              <w:rPr>
                <w:sz w:val="18"/>
                <w:szCs w:val="18"/>
              </w:rPr>
            </w:pPr>
            <w:r w:rsidRPr="009B37B9">
              <w:rPr>
                <w:sz w:val="18"/>
                <w:szCs w:val="18"/>
              </w:rPr>
              <w:t>40</w:t>
            </w:r>
          </w:p>
        </w:tc>
        <w:tc>
          <w:tcPr>
            <w:tcW w:w="1800" w:type="dxa"/>
            <w:hideMark/>
          </w:tcPr>
          <w:p w14:paraId="51D8C9BF" w14:textId="77777777" w:rsidR="00DA0E23" w:rsidRPr="009B37B9" w:rsidRDefault="00DA0E23" w:rsidP="008603FB">
            <w:pPr>
              <w:pStyle w:val="NormalWeb"/>
              <w:jc w:val="center"/>
              <w:rPr>
                <w:sz w:val="18"/>
                <w:szCs w:val="18"/>
              </w:rPr>
            </w:pPr>
            <w:r w:rsidRPr="009B37B9">
              <w:rPr>
                <w:sz w:val="18"/>
                <w:szCs w:val="18"/>
              </w:rPr>
              <w:t>51</w:t>
            </w:r>
          </w:p>
        </w:tc>
      </w:tr>
      <w:tr w:rsidR="00DA0E23" w:rsidRPr="009B37B9" w14:paraId="0C485A57" w14:textId="77777777" w:rsidTr="009B37B9">
        <w:tblPrEx>
          <w:tblCellMar>
            <w:top w:w="57" w:type="dxa"/>
            <w:left w:w="57" w:type="dxa"/>
            <w:bottom w:w="57" w:type="dxa"/>
            <w:right w:w="57" w:type="dxa"/>
          </w:tblCellMar>
        </w:tblPrEx>
        <w:tc>
          <w:tcPr>
            <w:tcW w:w="2880" w:type="dxa"/>
            <w:tcBorders>
              <w:bottom w:val="single" w:sz="2" w:space="0" w:color="808080" w:themeColor="background1" w:themeShade="80"/>
            </w:tcBorders>
            <w:hideMark/>
          </w:tcPr>
          <w:p w14:paraId="69ED8F43" w14:textId="77777777" w:rsidR="00DA0E23" w:rsidRPr="009B37B9" w:rsidRDefault="00DA0E23" w:rsidP="008603FB">
            <w:pPr>
              <w:pStyle w:val="NormalWeb"/>
              <w:rPr>
                <w:sz w:val="18"/>
                <w:szCs w:val="18"/>
              </w:rPr>
            </w:pPr>
            <w:r w:rsidRPr="009B37B9">
              <w:rPr>
                <w:sz w:val="18"/>
                <w:szCs w:val="18"/>
              </w:rPr>
              <w:t>7 months of age</w:t>
            </w:r>
          </w:p>
        </w:tc>
        <w:tc>
          <w:tcPr>
            <w:tcW w:w="2160" w:type="dxa"/>
            <w:tcBorders>
              <w:bottom w:val="single" w:sz="2" w:space="0" w:color="808080" w:themeColor="background1" w:themeShade="80"/>
            </w:tcBorders>
            <w:hideMark/>
          </w:tcPr>
          <w:p w14:paraId="599DF6DF" w14:textId="77777777" w:rsidR="00DA0E23" w:rsidRPr="009B37B9" w:rsidRDefault="00DA0E23" w:rsidP="008603FB">
            <w:pPr>
              <w:pStyle w:val="NormalWeb"/>
              <w:jc w:val="center"/>
              <w:rPr>
                <w:sz w:val="18"/>
                <w:szCs w:val="18"/>
              </w:rPr>
            </w:pPr>
            <w:r w:rsidRPr="009B37B9">
              <w:rPr>
                <w:sz w:val="18"/>
                <w:szCs w:val="18"/>
              </w:rPr>
              <w:t>53%</w:t>
            </w:r>
          </w:p>
        </w:tc>
        <w:tc>
          <w:tcPr>
            <w:tcW w:w="1980" w:type="dxa"/>
            <w:tcBorders>
              <w:bottom w:val="single" w:sz="2" w:space="0" w:color="808080" w:themeColor="background1" w:themeShade="80"/>
            </w:tcBorders>
            <w:hideMark/>
          </w:tcPr>
          <w:p w14:paraId="1C14BAAE" w14:textId="77777777" w:rsidR="00DA0E23" w:rsidRPr="009B37B9" w:rsidRDefault="00DA0E23" w:rsidP="008603FB">
            <w:pPr>
              <w:pStyle w:val="NormalWeb"/>
              <w:jc w:val="center"/>
              <w:rPr>
                <w:sz w:val="18"/>
                <w:szCs w:val="18"/>
              </w:rPr>
            </w:pPr>
            <w:r w:rsidRPr="009B37B9">
              <w:rPr>
                <w:sz w:val="18"/>
                <w:szCs w:val="18"/>
              </w:rPr>
              <w:t>85%</w:t>
            </w:r>
          </w:p>
        </w:tc>
        <w:tc>
          <w:tcPr>
            <w:tcW w:w="1620" w:type="dxa"/>
            <w:tcBorders>
              <w:bottom w:val="single" w:sz="2" w:space="0" w:color="808080" w:themeColor="background1" w:themeShade="80"/>
            </w:tcBorders>
            <w:hideMark/>
          </w:tcPr>
          <w:p w14:paraId="624A6DBD" w14:textId="77777777" w:rsidR="00DA0E23" w:rsidRPr="009B37B9" w:rsidRDefault="00DA0E23" w:rsidP="008603FB">
            <w:pPr>
              <w:pStyle w:val="NormalWeb"/>
              <w:jc w:val="center"/>
              <w:rPr>
                <w:sz w:val="18"/>
                <w:szCs w:val="18"/>
              </w:rPr>
            </w:pPr>
            <w:r w:rsidRPr="009B37B9">
              <w:rPr>
                <w:sz w:val="18"/>
                <w:szCs w:val="18"/>
              </w:rPr>
              <w:t>38</w:t>
            </w:r>
          </w:p>
        </w:tc>
        <w:tc>
          <w:tcPr>
            <w:tcW w:w="1800" w:type="dxa"/>
            <w:tcBorders>
              <w:bottom w:val="single" w:sz="2" w:space="0" w:color="808080" w:themeColor="background1" w:themeShade="80"/>
            </w:tcBorders>
            <w:hideMark/>
          </w:tcPr>
          <w:p w14:paraId="5C60E544" w14:textId="77777777" w:rsidR="00DA0E23" w:rsidRPr="009B37B9" w:rsidRDefault="00DA0E23" w:rsidP="008603FB">
            <w:pPr>
              <w:pStyle w:val="NormalWeb"/>
              <w:jc w:val="center"/>
              <w:rPr>
                <w:sz w:val="18"/>
                <w:szCs w:val="18"/>
              </w:rPr>
            </w:pPr>
            <w:r w:rsidRPr="009B37B9">
              <w:rPr>
                <w:sz w:val="18"/>
                <w:szCs w:val="18"/>
              </w:rPr>
              <w:t>43</w:t>
            </w:r>
          </w:p>
        </w:tc>
      </w:tr>
    </w:tbl>
    <w:p w14:paraId="508D77C1" w14:textId="77777777" w:rsidR="009B37B9" w:rsidRDefault="009B37B9" w:rsidP="001042D7"/>
    <w:p w14:paraId="20927C88" w14:textId="60A5B7EA" w:rsidR="00D92B14" w:rsidRDefault="00D92B14" w:rsidP="001042D7">
      <w:r>
        <w:t xml:space="preserve">For the time-to-immunisation analyses, Cox proportional hazards modelling was planned to evaluate intervention effectiveness by calculating hazard rate ratios (HRR) and their corresponding 95% confidence intervals (95% CI). This included a frailty model with a random effects approach to account for recurrent events and sibling effects, if applicable. We powered the study to detect a failure HRR of 1.4 in the control group compared to the ESMS±S group at seven months of age with 80% power and an alpha of 0.05. As above, the HRR estimate was based on what would be considered a public health impact. This required 142 infants per group. Accounting for a 20% loss to follow-up over the seven-months, we aimed to recruit 510 participants (170 per Group). However, given slower-than-anticipated recruitment and a high loss to follow-up between enrolment and birth, study recruitment was terminated in May 2018 given inadequate remaining funds. Applications for further funding were not successful. Thus, the proportional hazards modelling was not undertaken and only descriptive data relating to time to vaccination are presented. </w:t>
      </w:r>
    </w:p>
    <w:p w14:paraId="2EC0266E" w14:textId="77777777" w:rsidR="00D92B14" w:rsidRPr="001042D7" w:rsidRDefault="00D92B14" w:rsidP="001042D7">
      <w:pPr>
        <w:pStyle w:val="Heading2"/>
      </w:pPr>
      <w:r w:rsidRPr="001042D7">
        <w:t xml:space="preserve">Randomisation and blinding </w:t>
      </w:r>
    </w:p>
    <w:p w14:paraId="1C8F0635" w14:textId="77777777" w:rsidR="00D92B14" w:rsidRDefault="00D92B14" w:rsidP="001042D7">
      <w:r>
        <w:t xml:space="preserve">Randomisation codes were computer-generated by an independent biostatistician in permuted block sizes of six, stratified by study site. Codes were concealed in opaque envelopes until randomisation and checked by two people. </w:t>
      </w:r>
      <w:proofErr w:type="gramStart"/>
      <w:r>
        <w:t>Double-blinding</w:t>
      </w:r>
      <w:proofErr w:type="gramEnd"/>
      <w:r>
        <w:t xml:space="preserve"> was not feasible; however, participants were not informed that the infant would be randomised. They were informed the study will follow children to evaluate immunisation uptake and that at various time-points they may receive reminders that their infants’ immunisations are due. Limited disclosure involving active concealment to participants is consistent with the NHMRC National Statement,</w:t>
      </w:r>
      <w:r>
        <w:rPr>
          <w:vertAlign w:val="superscript"/>
        </w:rPr>
        <w:t>10</w:t>
      </w:r>
      <w:r>
        <w:t xml:space="preserve"> if participants are not exposed to an increased risk of harm and a full explanation of the study aims is provided to participants at the end of the study. </w:t>
      </w:r>
    </w:p>
    <w:p w14:paraId="35EDD43B" w14:textId="77777777" w:rsidR="00D92B14" w:rsidRPr="001042D7" w:rsidRDefault="00D92B14" w:rsidP="001042D7">
      <w:pPr>
        <w:pStyle w:val="Heading2"/>
      </w:pPr>
      <w:r w:rsidRPr="001042D7">
        <w:t xml:space="preserve">Statistical methods </w:t>
      </w:r>
    </w:p>
    <w:p w14:paraId="7FF39F04" w14:textId="77777777" w:rsidR="00D92B14" w:rsidRDefault="00D92B14" w:rsidP="001042D7">
      <w:r>
        <w:t xml:space="preserve">Descriptive statistics were calculated for the study population overall and by infants randomised and expressed as proportions and/or means and medians (if not normally distributed) of the selected characteristics with the corresponding 95% confidence intervals. Differences between groups were performed using </w:t>
      </w:r>
      <w:proofErr w:type="spellStart"/>
      <w:r>
        <w:t>Anova</w:t>
      </w:r>
      <w:proofErr w:type="spellEnd"/>
      <w:r>
        <w:t xml:space="preserve"> for comparisons of means and χ</w:t>
      </w:r>
      <w:r>
        <w:rPr>
          <w:vertAlign w:val="superscript"/>
        </w:rPr>
        <w:t xml:space="preserve">2 </w:t>
      </w:r>
      <w:r>
        <w:t xml:space="preserve">test for comparisons of proportions, conditional on test assumptions for each being satisfied. </w:t>
      </w:r>
      <w:r>
        <w:lastRenderedPageBreak/>
        <w:t xml:space="preserve">Medians and interquartile ranges (IQR) were calculated for non-parametric data and compared with the </w:t>
      </w:r>
      <w:proofErr w:type="spellStart"/>
      <w:r>
        <w:t>Kruskall</w:t>
      </w:r>
      <w:proofErr w:type="spellEnd"/>
      <w:r>
        <w:t xml:space="preserve">-Wallis test. </w:t>
      </w:r>
    </w:p>
    <w:p w14:paraId="40285683" w14:textId="77777777" w:rsidR="00D92B14" w:rsidRDefault="00D92B14" w:rsidP="001042D7">
      <w:r>
        <w:t>Differences in the proportions of infants age-appropriately immunised at three, five, and seven months of age were calculated using the χ</w:t>
      </w:r>
      <w:r>
        <w:rPr>
          <w:vertAlign w:val="superscript"/>
        </w:rPr>
        <w:t>2</w:t>
      </w:r>
      <w:r>
        <w:t xml:space="preserve"> test. Relative risks (outcome vaccination status) and their 95% CIs were calculated to compare the simple SMS group to controls and the ESMS±S group to controls. Baseline variables with a </w:t>
      </w:r>
      <w:r w:rsidRPr="001042D7">
        <w:rPr>
          <w:rStyle w:val="Emphasis"/>
          <w:b w:val="0"/>
          <w:bCs w:val="0"/>
        </w:rPr>
        <w:t>p</w:t>
      </w:r>
      <w:r>
        <w:t xml:space="preserve">-value of &lt; 0.1 in univariate models were included in binomial regression models to assess for independent predictors of vaccination uptake; site and First Nations status were retained in all models irrespective of statistical significance. </w:t>
      </w:r>
    </w:p>
    <w:p w14:paraId="668BB561" w14:textId="77777777" w:rsidR="00D92B14" w:rsidRPr="001042D7" w:rsidRDefault="00D92B14" w:rsidP="001042D7">
      <w:pPr>
        <w:pStyle w:val="Heading2"/>
      </w:pPr>
      <w:r w:rsidRPr="001042D7">
        <w:t xml:space="preserve">Results </w:t>
      </w:r>
    </w:p>
    <w:p w14:paraId="18BA499E" w14:textId="77777777" w:rsidR="00D92B14" w:rsidRDefault="00D92B14" w:rsidP="001042D7">
      <w:r>
        <w:t xml:space="preserve">Between 30 May 2016 and 24 May 2018, there were 883 women screened, with 322 enrolled (Figure 2); 442 were ineligible. Amongst those eligible, 109 refused, and ten were not enrolled for other reasons. There were twelve screen failures (failure to complete the baseline interview after consent), leaving 310 participants for baseline analysis. Due to loss to follow-up following baseline (n = 96) and withdrawal of consent either before or after infant birth (n = 18), a total of 196 babies were randomised to one of the three study groups (Figure 2). </w:t>
      </w:r>
    </w:p>
    <w:p w14:paraId="145D993B" w14:textId="77777777" w:rsidR="00500C54" w:rsidRPr="00500C54" w:rsidRDefault="00500C54" w:rsidP="00500C54">
      <w:pPr>
        <w:pStyle w:val="CDIFigures"/>
      </w:pPr>
      <w:r w:rsidRPr="00500C54">
        <w:rPr>
          <w:rStyle w:val="Strong"/>
          <w:b/>
          <w:bCs w:val="0"/>
        </w:rPr>
        <w:t>Figure 2: Consort diagram</w:t>
      </w:r>
    </w:p>
    <w:p w14:paraId="65CC3124" w14:textId="17ADF9E4" w:rsidR="00500C54" w:rsidRDefault="00500C54" w:rsidP="00500C54">
      <w:pPr>
        <w:jc w:val="center"/>
        <w:rPr>
          <w:rFonts w:eastAsia="Times New Roman"/>
          <w:lang w:val="en-GB"/>
        </w:rPr>
      </w:pPr>
      <w:r>
        <w:rPr>
          <w:rFonts w:eastAsia="Times New Roman"/>
          <w:noProof/>
          <w:lang w:val="en-GB"/>
        </w:rPr>
        <w:drawing>
          <wp:inline distT="0" distB="0" distL="0" distR="0" wp14:anchorId="65862192" wp14:editId="024A4A35">
            <wp:extent cx="3345561" cy="5237683"/>
            <wp:effectExtent l="0" t="0" r="7620" b="1270"/>
            <wp:docPr id="2" name="Picture 2" descr="Figure 1 presents the CONSORT diagram for the trial detailing the numbers of pregnant women screened and enrolled and the reasons for not being enrolled. It then describes the number of infants who were randomised at birth and the reasons infants of mothers enrolled were not randomised. It then presents the final number of infants included in the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presents the CONSORT diagram for the trial detailing the numbers of pregnant women screened and enrolled and the reasons for not being enrolled. It then describes the number of infants who were randomised at birth and the reasons infants of mothers enrolled were not randomised. It then presents the final number of infants included in the analysi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56549" cy="5254886"/>
                    </a:xfrm>
                    <a:prstGeom prst="rect">
                      <a:avLst/>
                    </a:prstGeom>
                  </pic:spPr>
                </pic:pic>
              </a:graphicData>
            </a:graphic>
          </wp:inline>
        </w:drawing>
      </w:r>
    </w:p>
    <w:p w14:paraId="08585B66" w14:textId="630221D3" w:rsidR="00500C54" w:rsidRPr="00500C54" w:rsidRDefault="00500C54" w:rsidP="00500C54">
      <w:pPr>
        <w:pStyle w:val="CDIfootnotes"/>
      </w:pPr>
      <w:r>
        <w:t>a</w:t>
      </w:r>
      <w:r>
        <w:tab/>
      </w:r>
      <w:r w:rsidRPr="00500C54">
        <w:t>LTFU: loss to follow-up.</w:t>
      </w:r>
    </w:p>
    <w:p w14:paraId="2F0CAD35" w14:textId="77777777" w:rsidR="00500C54" w:rsidRDefault="00500C54" w:rsidP="001042D7"/>
    <w:p w14:paraId="3DA70425" w14:textId="2CE5E320" w:rsidR="00D92B14" w:rsidRDefault="00D92B14" w:rsidP="001042D7">
      <w:r>
        <w:t>Of the infants randomised, 61/196 (31.2%) identified as First Nations; 38/196 (19.4%) were the mother’s first-born child. The baseline characteristics of mothers are presented in Appendix A and the characteristics of randomised infants are presented in Table 1. Baseline differences existed despite the randomisation process; however, although the analysis was limited by sample size, none were independently associated with study outcomes in binomial regression models (data not shown)</w:t>
      </w:r>
      <w:r>
        <w:rPr>
          <w:rStyle w:val="Strong"/>
        </w:rPr>
        <w:t>.</w:t>
      </w:r>
    </w:p>
    <w:p w14:paraId="62A64F39" w14:textId="77777777" w:rsidR="009B61D4" w:rsidRPr="00736362" w:rsidRDefault="009B61D4" w:rsidP="009B61D4">
      <w:pPr>
        <w:pStyle w:val="CDIFigures"/>
      </w:pPr>
      <w:r w:rsidRPr="00736362">
        <w:rPr>
          <w:rStyle w:val="Strong"/>
          <w:b/>
          <w:bCs w:val="0"/>
        </w:rPr>
        <w:t>Table 1: Characteristics at birth for randomised infants</w:t>
      </w:r>
      <w:r w:rsidRPr="00736362">
        <w:t xml:space="preserve"> </w:t>
      </w:r>
    </w:p>
    <w:tbl>
      <w:tblPr>
        <w:tblStyle w:val="CDI-StandardTable"/>
        <w:tblW w:w="0" w:type="auto"/>
        <w:tblLook w:val="04A0" w:firstRow="1" w:lastRow="0" w:firstColumn="1" w:lastColumn="0" w:noHBand="0" w:noVBand="1"/>
        <w:tblDescription w:val="Table 2 presents the baseline characteristics of infants at birth by the three study groups. It includes demographics, birth outcomes, planned use of childcare, impact of the family on the baby and parent/carer access to the internet and mobile phones since the baby’s birth.&#10;"/>
      </w:tblPr>
      <w:tblGrid>
        <w:gridCol w:w="4500"/>
        <w:gridCol w:w="1800"/>
        <w:gridCol w:w="1260"/>
        <w:gridCol w:w="1440"/>
        <w:gridCol w:w="1440"/>
      </w:tblGrid>
      <w:tr w:rsidR="009B61D4" w:rsidRPr="00BC2C53" w14:paraId="37A54E02" w14:textId="77777777" w:rsidTr="008603FB">
        <w:trPr>
          <w:cnfStyle w:val="100000000000" w:firstRow="1" w:lastRow="0" w:firstColumn="0" w:lastColumn="0" w:oddVBand="0" w:evenVBand="0" w:oddHBand="0" w:evenHBand="0" w:firstRowFirstColumn="0" w:firstRowLastColumn="0" w:lastRowFirstColumn="0" w:lastRowLastColumn="0"/>
          <w:tblHeader/>
        </w:trPr>
        <w:tc>
          <w:tcPr>
            <w:tcW w:w="4500" w:type="dxa"/>
            <w:tcBorders>
              <w:right w:val="single" w:sz="2" w:space="0" w:color="FFFFFF" w:themeColor="background1"/>
            </w:tcBorders>
            <w:hideMark/>
          </w:tcPr>
          <w:p w14:paraId="213A2B41" w14:textId="77777777" w:rsidR="009B61D4" w:rsidRPr="00BC2C53" w:rsidRDefault="009B61D4" w:rsidP="008603FB">
            <w:pPr>
              <w:rPr>
                <w:color w:val="FFFFFF" w:themeColor="background1"/>
                <w:sz w:val="18"/>
                <w:szCs w:val="18"/>
                <w:lang w:val="en-GB"/>
              </w:rPr>
            </w:pPr>
          </w:p>
        </w:tc>
        <w:tc>
          <w:tcPr>
            <w:tcW w:w="1800" w:type="dxa"/>
            <w:tcBorders>
              <w:left w:val="single" w:sz="2" w:space="0" w:color="FFFFFF" w:themeColor="background1"/>
              <w:right w:val="single" w:sz="2" w:space="0" w:color="FFFFFF" w:themeColor="background1"/>
            </w:tcBorders>
            <w:hideMark/>
          </w:tcPr>
          <w:p w14:paraId="4F9A2585" w14:textId="77777777" w:rsidR="009B61D4" w:rsidRPr="00BC2C53" w:rsidRDefault="009B61D4" w:rsidP="008603FB">
            <w:pPr>
              <w:pStyle w:val="NormalWeb"/>
              <w:jc w:val="center"/>
              <w:rPr>
                <w:color w:val="FFFFFF" w:themeColor="background1"/>
                <w:sz w:val="18"/>
                <w:szCs w:val="18"/>
              </w:rPr>
            </w:pPr>
            <w:r w:rsidRPr="00BC2C53">
              <w:rPr>
                <w:color w:val="FFFFFF" w:themeColor="background1"/>
                <w:sz w:val="18"/>
                <w:szCs w:val="18"/>
              </w:rPr>
              <w:t>Simple SMS</w:t>
            </w:r>
          </w:p>
        </w:tc>
        <w:tc>
          <w:tcPr>
            <w:tcW w:w="1260" w:type="dxa"/>
            <w:tcBorders>
              <w:left w:val="single" w:sz="2" w:space="0" w:color="FFFFFF" w:themeColor="background1"/>
              <w:right w:val="single" w:sz="2" w:space="0" w:color="FFFFFF" w:themeColor="background1"/>
            </w:tcBorders>
            <w:hideMark/>
          </w:tcPr>
          <w:p w14:paraId="679E2F0A" w14:textId="77777777" w:rsidR="009B61D4" w:rsidRPr="00BC2C53" w:rsidRDefault="009B61D4" w:rsidP="008603FB">
            <w:pPr>
              <w:pStyle w:val="NormalWeb"/>
              <w:jc w:val="center"/>
              <w:rPr>
                <w:color w:val="FFFFFF" w:themeColor="background1"/>
                <w:sz w:val="18"/>
                <w:szCs w:val="18"/>
              </w:rPr>
            </w:pPr>
            <w:r w:rsidRPr="00BC2C53">
              <w:rPr>
                <w:color w:val="FFFFFF" w:themeColor="background1"/>
                <w:sz w:val="18"/>
                <w:szCs w:val="18"/>
              </w:rPr>
              <w:t>ESMS±S</w:t>
            </w:r>
          </w:p>
        </w:tc>
        <w:tc>
          <w:tcPr>
            <w:tcW w:w="1440" w:type="dxa"/>
            <w:tcBorders>
              <w:left w:val="single" w:sz="2" w:space="0" w:color="FFFFFF" w:themeColor="background1"/>
              <w:right w:val="single" w:sz="2" w:space="0" w:color="FFFFFF" w:themeColor="background1"/>
            </w:tcBorders>
            <w:hideMark/>
          </w:tcPr>
          <w:p w14:paraId="3A7F76AA" w14:textId="77777777" w:rsidR="009B61D4" w:rsidRPr="00BC2C53" w:rsidRDefault="009B61D4" w:rsidP="008603FB">
            <w:pPr>
              <w:pStyle w:val="NormalWeb"/>
              <w:jc w:val="center"/>
              <w:rPr>
                <w:color w:val="FFFFFF" w:themeColor="background1"/>
                <w:sz w:val="18"/>
                <w:szCs w:val="18"/>
              </w:rPr>
            </w:pPr>
            <w:r w:rsidRPr="00BC2C53">
              <w:rPr>
                <w:color w:val="FFFFFF" w:themeColor="background1"/>
                <w:sz w:val="18"/>
                <w:szCs w:val="18"/>
              </w:rPr>
              <w:t>Controls</w:t>
            </w:r>
          </w:p>
        </w:tc>
        <w:tc>
          <w:tcPr>
            <w:tcW w:w="1440" w:type="dxa"/>
            <w:tcBorders>
              <w:left w:val="single" w:sz="2" w:space="0" w:color="FFFFFF" w:themeColor="background1"/>
            </w:tcBorders>
            <w:hideMark/>
          </w:tcPr>
          <w:p w14:paraId="46F81E0A" w14:textId="77777777" w:rsidR="009B61D4" w:rsidRPr="00BC2C53" w:rsidRDefault="009B61D4" w:rsidP="008603FB">
            <w:pPr>
              <w:pStyle w:val="NormalWeb"/>
              <w:jc w:val="center"/>
              <w:rPr>
                <w:color w:val="FFFFFF" w:themeColor="background1"/>
                <w:sz w:val="18"/>
                <w:szCs w:val="18"/>
              </w:rPr>
            </w:pPr>
            <w:r w:rsidRPr="00BC2C53">
              <w:rPr>
                <w:color w:val="FFFFFF" w:themeColor="background1"/>
                <w:sz w:val="18"/>
                <w:szCs w:val="18"/>
              </w:rPr>
              <w:t>Total</w:t>
            </w:r>
          </w:p>
        </w:tc>
      </w:tr>
      <w:tr w:rsidR="009B61D4" w:rsidRPr="00BC2C53" w14:paraId="0A1F4009" w14:textId="77777777" w:rsidTr="000F3A27">
        <w:tblPrEx>
          <w:tblCellMar>
            <w:top w:w="57" w:type="dxa"/>
            <w:left w:w="57" w:type="dxa"/>
            <w:bottom w:w="57" w:type="dxa"/>
            <w:right w:w="57" w:type="dxa"/>
          </w:tblCellMar>
        </w:tblPrEx>
        <w:tc>
          <w:tcPr>
            <w:tcW w:w="4500" w:type="dxa"/>
            <w:shd w:val="clear" w:color="auto" w:fill="595959" w:themeFill="text1" w:themeFillTint="A6"/>
            <w:hideMark/>
          </w:tcPr>
          <w:p w14:paraId="5BAE7D8A" w14:textId="77777777" w:rsidR="009B61D4" w:rsidRPr="00BC2C53" w:rsidRDefault="009B61D4" w:rsidP="008603FB">
            <w:pPr>
              <w:pStyle w:val="NormalWeb"/>
              <w:rPr>
                <w:b/>
                <w:bCs/>
                <w:color w:val="FFFFFF" w:themeColor="background1"/>
                <w:sz w:val="18"/>
                <w:szCs w:val="18"/>
              </w:rPr>
            </w:pPr>
            <w:r w:rsidRPr="00BC2C53">
              <w:rPr>
                <w:b/>
                <w:bCs/>
                <w:color w:val="FFFFFF" w:themeColor="background1"/>
                <w:sz w:val="18"/>
                <w:szCs w:val="18"/>
              </w:rPr>
              <w:t>Indigenous status of baby</w:t>
            </w:r>
          </w:p>
        </w:tc>
        <w:tc>
          <w:tcPr>
            <w:tcW w:w="1800" w:type="dxa"/>
            <w:shd w:val="clear" w:color="auto" w:fill="595959" w:themeFill="text1" w:themeFillTint="A6"/>
            <w:hideMark/>
          </w:tcPr>
          <w:p w14:paraId="5012F6AA" w14:textId="77777777" w:rsidR="009B61D4" w:rsidRPr="00BC2C53" w:rsidRDefault="009B61D4" w:rsidP="008603FB">
            <w:pPr>
              <w:jc w:val="center"/>
              <w:rPr>
                <w:b/>
                <w:bCs/>
                <w:color w:val="FFFFFF" w:themeColor="background1"/>
                <w:sz w:val="18"/>
                <w:szCs w:val="18"/>
              </w:rPr>
            </w:pPr>
          </w:p>
        </w:tc>
        <w:tc>
          <w:tcPr>
            <w:tcW w:w="1260" w:type="dxa"/>
            <w:shd w:val="clear" w:color="auto" w:fill="595959" w:themeFill="text1" w:themeFillTint="A6"/>
            <w:hideMark/>
          </w:tcPr>
          <w:p w14:paraId="028DC84E" w14:textId="77777777" w:rsidR="009B61D4" w:rsidRPr="00BC2C53" w:rsidRDefault="009B61D4"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144A0512" w14:textId="77777777" w:rsidR="009B61D4" w:rsidRPr="00BC2C53" w:rsidRDefault="009B61D4"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76B147DF" w14:textId="77777777" w:rsidR="009B61D4" w:rsidRPr="00BC2C53" w:rsidRDefault="009B61D4" w:rsidP="008603FB">
            <w:pPr>
              <w:jc w:val="center"/>
              <w:rPr>
                <w:rFonts w:eastAsia="Times New Roman"/>
                <w:b/>
                <w:bCs/>
                <w:color w:val="FFFFFF" w:themeColor="background1"/>
                <w:sz w:val="18"/>
                <w:szCs w:val="18"/>
              </w:rPr>
            </w:pPr>
          </w:p>
        </w:tc>
      </w:tr>
      <w:tr w:rsidR="009B61D4" w:rsidRPr="00BC2C53" w14:paraId="16827E12"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500" w:type="dxa"/>
            <w:hideMark/>
          </w:tcPr>
          <w:p w14:paraId="6BE83CDC" w14:textId="77777777" w:rsidR="009B61D4" w:rsidRPr="00BC2C53" w:rsidRDefault="009B61D4" w:rsidP="008603FB">
            <w:pPr>
              <w:pStyle w:val="NormalWeb"/>
              <w:rPr>
                <w:sz w:val="18"/>
                <w:szCs w:val="18"/>
              </w:rPr>
            </w:pPr>
            <w:r w:rsidRPr="00BC2C53">
              <w:rPr>
                <w:sz w:val="18"/>
                <w:szCs w:val="18"/>
              </w:rPr>
              <w:t>Non-Indigenous</w:t>
            </w:r>
          </w:p>
        </w:tc>
        <w:tc>
          <w:tcPr>
            <w:tcW w:w="1800" w:type="dxa"/>
            <w:hideMark/>
          </w:tcPr>
          <w:p w14:paraId="4773A87A" w14:textId="77777777" w:rsidR="009B61D4" w:rsidRPr="00BC2C53" w:rsidRDefault="009B61D4" w:rsidP="008603FB">
            <w:pPr>
              <w:pStyle w:val="NormalWeb"/>
              <w:jc w:val="center"/>
              <w:rPr>
                <w:sz w:val="18"/>
                <w:szCs w:val="18"/>
              </w:rPr>
            </w:pPr>
            <w:r w:rsidRPr="00BC2C53">
              <w:rPr>
                <w:sz w:val="18"/>
                <w:szCs w:val="18"/>
              </w:rPr>
              <w:t>43 (67.2)</w:t>
            </w:r>
          </w:p>
        </w:tc>
        <w:tc>
          <w:tcPr>
            <w:tcW w:w="1260" w:type="dxa"/>
            <w:hideMark/>
          </w:tcPr>
          <w:p w14:paraId="3B13212B" w14:textId="77777777" w:rsidR="009B61D4" w:rsidRPr="00BC2C53" w:rsidRDefault="009B61D4" w:rsidP="008603FB">
            <w:pPr>
              <w:pStyle w:val="NormalWeb"/>
              <w:jc w:val="center"/>
              <w:rPr>
                <w:sz w:val="18"/>
                <w:szCs w:val="18"/>
              </w:rPr>
            </w:pPr>
            <w:r w:rsidRPr="00BC2C53">
              <w:rPr>
                <w:sz w:val="18"/>
                <w:szCs w:val="18"/>
              </w:rPr>
              <w:t>49 (75.4)</w:t>
            </w:r>
          </w:p>
        </w:tc>
        <w:tc>
          <w:tcPr>
            <w:tcW w:w="1440" w:type="dxa"/>
            <w:hideMark/>
          </w:tcPr>
          <w:p w14:paraId="67EC4815" w14:textId="77777777" w:rsidR="009B61D4" w:rsidRPr="00BC2C53" w:rsidRDefault="009B61D4" w:rsidP="008603FB">
            <w:pPr>
              <w:pStyle w:val="NormalWeb"/>
              <w:jc w:val="center"/>
              <w:rPr>
                <w:sz w:val="18"/>
                <w:szCs w:val="18"/>
              </w:rPr>
            </w:pPr>
            <w:r w:rsidRPr="00BC2C53">
              <w:rPr>
                <w:sz w:val="18"/>
                <w:szCs w:val="18"/>
              </w:rPr>
              <w:t>43 (64.2)</w:t>
            </w:r>
          </w:p>
        </w:tc>
        <w:tc>
          <w:tcPr>
            <w:tcW w:w="1440" w:type="dxa"/>
            <w:hideMark/>
          </w:tcPr>
          <w:p w14:paraId="6E96492F" w14:textId="77777777" w:rsidR="009B61D4" w:rsidRPr="00BC2C53" w:rsidRDefault="009B61D4" w:rsidP="008603FB">
            <w:pPr>
              <w:pStyle w:val="NormalWeb"/>
              <w:jc w:val="center"/>
              <w:rPr>
                <w:sz w:val="18"/>
                <w:szCs w:val="18"/>
              </w:rPr>
            </w:pPr>
            <w:r w:rsidRPr="00BC2C53">
              <w:rPr>
                <w:sz w:val="18"/>
                <w:szCs w:val="18"/>
              </w:rPr>
              <w:t>135 (68.9)</w:t>
            </w:r>
          </w:p>
        </w:tc>
      </w:tr>
      <w:tr w:rsidR="009B61D4" w:rsidRPr="00BC2C53" w14:paraId="27FD69A6" w14:textId="77777777" w:rsidTr="008603FB">
        <w:tblPrEx>
          <w:tblCellMar>
            <w:top w:w="57" w:type="dxa"/>
            <w:left w:w="57" w:type="dxa"/>
            <w:bottom w:w="57" w:type="dxa"/>
            <w:right w:w="57" w:type="dxa"/>
          </w:tblCellMar>
        </w:tblPrEx>
        <w:tc>
          <w:tcPr>
            <w:tcW w:w="4500" w:type="dxa"/>
            <w:hideMark/>
          </w:tcPr>
          <w:p w14:paraId="272B44E5" w14:textId="77777777" w:rsidR="009B61D4" w:rsidRPr="00BC2C53" w:rsidRDefault="009B61D4" w:rsidP="008603FB">
            <w:pPr>
              <w:pStyle w:val="NormalWeb"/>
              <w:rPr>
                <w:sz w:val="18"/>
                <w:szCs w:val="18"/>
              </w:rPr>
            </w:pPr>
            <w:r w:rsidRPr="00BC2C53">
              <w:rPr>
                <w:sz w:val="18"/>
                <w:szCs w:val="18"/>
              </w:rPr>
              <w:t>First Nations</w:t>
            </w:r>
          </w:p>
        </w:tc>
        <w:tc>
          <w:tcPr>
            <w:tcW w:w="1800" w:type="dxa"/>
            <w:hideMark/>
          </w:tcPr>
          <w:p w14:paraId="41FEBC30" w14:textId="77777777" w:rsidR="009B61D4" w:rsidRPr="00BC2C53" w:rsidRDefault="009B61D4" w:rsidP="008603FB">
            <w:pPr>
              <w:pStyle w:val="NormalWeb"/>
              <w:jc w:val="center"/>
              <w:rPr>
                <w:sz w:val="18"/>
                <w:szCs w:val="18"/>
              </w:rPr>
            </w:pPr>
            <w:r w:rsidRPr="00BC2C53">
              <w:rPr>
                <w:sz w:val="18"/>
                <w:szCs w:val="18"/>
              </w:rPr>
              <w:t>21 (32.8)</w:t>
            </w:r>
          </w:p>
        </w:tc>
        <w:tc>
          <w:tcPr>
            <w:tcW w:w="1260" w:type="dxa"/>
            <w:hideMark/>
          </w:tcPr>
          <w:p w14:paraId="648663B6" w14:textId="77777777" w:rsidR="009B61D4" w:rsidRPr="00BC2C53" w:rsidRDefault="009B61D4" w:rsidP="008603FB">
            <w:pPr>
              <w:pStyle w:val="NormalWeb"/>
              <w:jc w:val="center"/>
              <w:rPr>
                <w:sz w:val="18"/>
                <w:szCs w:val="18"/>
              </w:rPr>
            </w:pPr>
            <w:r w:rsidRPr="00BC2C53">
              <w:rPr>
                <w:sz w:val="18"/>
                <w:szCs w:val="18"/>
              </w:rPr>
              <w:t>16 (24.6)</w:t>
            </w:r>
          </w:p>
        </w:tc>
        <w:tc>
          <w:tcPr>
            <w:tcW w:w="1440" w:type="dxa"/>
            <w:hideMark/>
          </w:tcPr>
          <w:p w14:paraId="12AC3B00" w14:textId="77777777" w:rsidR="009B61D4" w:rsidRPr="00BC2C53" w:rsidRDefault="009B61D4" w:rsidP="008603FB">
            <w:pPr>
              <w:pStyle w:val="NormalWeb"/>
              <w:jc w:val="center"/>
              <w:rPr>
                <w:sz w:val="18"/>
                <w:szCs w:val="18"/>
              </w:rPr>
            </w:pPr>
            <w:r w:rsidRPr="00BC2C53">
              <w:rPr>
                <w:sz w:val="18"/>
                <w:szCs w:val="18"/>
              </w:rPr>
              <w:t>24 (35.8)</w:t>
            </w:r>
          </w:p>
        </w:tc>
        <w:tc>
          <w:tcPr>
            <w:tcW w:w="1440" w:type="dxa"/>
            <w:hideMark/>
          </w:tcPr>
          <w:p w14:paraId="74602878" w14:textId="77777777" w:rsidR="009B61D4" w:rsidRPr="00BC2C53" w:rsidRDefault="009B61D4" w:rsidP="008603FB">
            <w:pPr>
              <w:pStyle w:val="NormalWeb"/>
              <w:jc w:val="center"/>
              <w:rPr>
                <w:sz w:val="18"/>
                <w:szCs w:val="18"/>
              </w:rPr>
            </w:pPr>
            <w:r w:rsidRPr="00BC2C53">
              <w:rPr>
                <w:sz w:val="18"/>
                <w:szCs w:val="18"/>
              </w:rPr>
              <w:t>61 (31.2)</w:t>
            </w:r>
          </w:p>
        </w:tc>
      </w:tr>
      <w:tr w:rsidR="009B61D4" w:rsidRPr="00BC2C53" w14:paraId="5D293713"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500" w:type="dxa"/>
            <w:shd w:val="clear" w:color="auto" w:fill="595959" w:themeFill="text1" w:themeFillTint="A6"/>
            <w:hideMark/>
          </w:tcPr>
          <w:p w14:paraId="3FCAC811" w14:textId="77777777" w:rsidR="009B61D4" w:rsidRPr="00BC2C53" w:rsidRDefault="009B61D4" w:rsidP="008603FB">
            <w:pPr>
              <w:pStyle w:val="NormalWeb"/>
              <w:rPr>
                <w:b/>
                <w:bCs/>
                <w:color w:val="FFFFFF" w:themeColor="background1"/>
                <w:sz w:val="18"/>
                <w:szCs w:val="18"/>
              </w:rPr>
            </w:pPr>
            <w:r w:rsidRPr="00BC2C53">
              <w:rPr>
                <w:b/>
                <w:bCs/>
                <w:color w:val="FFFFFF" w:themeColor="background1"/>
                <w:sz w:val="18"/>
                <w:szCs w:val="18"/>
              </w:rPr>
              <w:t>Birth weight (grams)</w:t>
            </w:r>
          </w:p>
        </w:tc>
        <w:tc>
          <w:tcPr>
            <w:tcW w:w="1800" w:type="dxa"/>
            <w:shd w:val="clear" w:color="auto" w:fill="595959" w:themeFill="text1" w:themeFillTint="A6"/>
            <w:hideMark/>
          </w:tcPr>
          <w:p w14:paraId="616A07F2" w14:textId="77777777" w:rsidR="009B61D4" w:rsidRPr="00BC2C53" w:rsidRDefault="009B61D4" w:rsidP="008603FB">
            <w:pPr>
              <w:jc w:val="center"/>
              <w:rPr>
                <w:b/>
                <w:bCs/>
                <w:color w:val="FFFFFF" w:themeColor="background1"/>
                <w:sz w:val="18"/>
                <w:szCs w:val="18"/>
              </w:rPr>
            </w:pPr>
          </w:p>
        </w:tc>
        <w:tc>
          <w:tcPr>
            <w:tcW w:w="1260" w:type="dxa"/>
            <w:shd w:val="clear" w:color="auto" w:fill="595959" w:themeFill="text1" w:themeFillTint="A6"/>
            <w:hideMark/>
          </w:tcPr>
          <w:p w14:paraId="3BBFAB9A" w14:textId="77777777" w:rsidR="009B61D4" w:rsidRPr="00BC2C53" w:rsidRDefault="009B61D4"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432700DF" w14:textId="77777777" w:rsidR="009B61D4" w:rsidRPr="00BC2C53" w:rsidRDefault="009B61D4"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4A594141" w14:textId="77777777" w:rsidR="009B61D4" w:rsidRPr="00BC2C53" w:rsidRDefault="009B61D4" w:rsidP="008603FB">
            <w:pPr>
              <w:jc w:val="center"/>
              <w:rPr>
                <w:rFonts w:eastAsia="Times New Roman"/>
                <w:b/>
                <w:bCs/>
                <w:color w:val="FFFFFF" w:themeColor="background1"/>
                <w:sz w:val="18"/>
                <w:szCs w:val="18"/>
              </w:rPr>
            </w:pPr>
          </w:p>
        </w:tc>
      </w:tr>
      <w:tr w:rsidR="009B61D4" w:rsidRPr="00BC2C53" w14:paraId="43976CB9" w14:textId="77777777" w:rsidTr="008603FB">
        <w:tblPrEx>
          <w:tblCellMar>
            <w:top w:w="57" w:type="dxa"/>
            <w:left w:w="57" w:type="dxa"/>
            <w:bottom w:w="57" w:type="dxa"/>
            <w:right w:w="57" w:type="dxa"/>
          </w:tblCellMar>
        </w:tblPrEx>
        <w:tc>
          <w:tcPr>
            <w:tcW w:w="4500" w:type="dxa"/>
            <w:hideMark/>
          </w:tcPr>
          <w:p w14:paraId="1132B34A" w14:textId="77777777" w:rsidR="009B61D4" w:rsidRPr="00BC2C53" w:rsidRDefault="009B61D4" w:rsidP="008603FB">
            <w:pPr>
              <w:pStyle w:val="NormalWeb"/>
              <w:rPr>
                <w:sz w:val="18"/>
                <w:szCs w:val="18"/>
              </w:rPr>
            </w:pPr>
            <w:r w:rsidRPr="00BC2C53">
              <w:rPr>
                <w:sz w:val="18"/>
                <w:szCs w:val="18"/>
              </w:rPr>
              <w:t>&lt; 2500</w:t>
            </w:r>
          </w:p>
        </w:tc>
        <w:tc>
          <w:tcPr>
            <w:tcW w:w="1800" w:type="dxa"/>
            <w:hideMark/>
          </w:tcPr>
          <w:p w14:paraId="6114DA20" w14:textId="77777777" w:rsidR="009B61D4" w:rsidRPr="00BC2C53" w:rsidRDefault="009B61D4" w:rsidP="008603FB">
            <w:pPr>
              <w:pStyle w:val="NormalWeb"/>
              <w:jc w:val="center"/>
              <w:rPr>
                <w:sz w:val="18"/>
                <w:szCs w:val="18"/>
              </w:rPr>
            </w:pPr>
            <w:r w:rsidRPr="00BC2C53">
              <w:rPr>
                <w:sz w:val="18"/>
                <w:szCs w:val="18"/>
              </w:rPr>
              <w:t>3 (4.7)</w:t>
            </w:r>
          </w:p>
        </w:tc>
        <w:tc>
          <w:tcPr>
            <w:tcW w:w="1260" w:type="dxa"/>
            <w:hideMark/>
          </w:tcPr>
          <w:p w14:paraId="7800D8F6" w14:textId="77777777" w:rsidR="009B61D4" w:rsidRPr="00BC2C53" w:rsidRDefault="009B61D4" w:rsidP="008603FB">
            <w:pPr>
              <w:pStyle w:val="NormalWeb"/>
              <w:jc w:val="center"/>
              <w:rPr>
                <w:sz w:val="18"/>
                <w:szCs w:val="18"/>
              </w:rPr>
            </w:pPr>
            <w:r w:rsidRPr="00BC2C53">
              <w:rPr>
                <w:sz w:val="18"/>
                <w:szCs w:val="18"/>
              </w:rPr>
              <w:t>5 (7.7)</w:t>
            </w:r>
          </w:p>
        </w:tc>
        <w:tc>
          <w:tcPr>
            <w:tcW w:w="1440" w:type="dxa"/>
            <w:hideMark/>
          </w:tcPr>
          <w:p w14:paraId="53903F51" w14:textId="77777777" w:rsidR="009B61D4" w:rsidRPr="00BC2C53" w:rsidRDefault="009B61D4" w:rsidP="008603FB">
            <w:pPr>
              <w:pStyle w:val="NormalWeb"/>
              <w:jc w:val="center"/>
              <w:rPr>
                <w:sz w:val="18"/>
                <w:szCs w:val="18"/>
              </w:rPr>
            </w:pPr>
            <w:r w:rsidRPr="00BC2C53">
              <w:rPr>
                <w:sz w:val="18"/>
                <w:szCs w:val="18"/>
              </w:rPr>
              <w:t>7 (10.5)</w:t>
            </w:r>
          </w:p>
        </w:tc>
        <w:tc>
          <w:tcPr>
            <w:tcW w:w="1440" w:type="dxa"/>
            <w:hideMark/>
          </w:tcPr>
          <w:p w14:paraId="5FD9DA45" w14:textId="77777777" w:rsidR="009B61D4" w:rsidRPr="00BC2C53" w:rsidRDefault="009B61D4" w:rsidP="008603FB">
            <w:pPr>
              <w:pStyle w:val="NormalWeb"/>
              <w:jc w:val="center"/>
              <w:rPr>
                <w:sz w:val="18"/>
                <w:szCs w:val="18"/>
              </w:rPr>
            </w:pPr>
            <w:r w:rsidRPr="00BC2C53">
              <w:rPr>
                <w:sz w:val="18"/>
                <w:szCs w:val="18"/>
              </w:rPr>
              <w:t>15 (7.7)</w:t>
            </w:r>
          </w:p>
        </w:tc>
      </w:tr>
      <w:tr w:rsidR="009B61D4" w:rsidRPr="00BC2C53" w14:paraId="72650607"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500" w:type="dxa"/>
            <w:hideMark/>
          </w:tcPr>
          <w:p w14:paraId="2332BF03" w14:textId="77777777" w:rsidR="009B61D4" w:rsidRPr="00BC2C53" w:rsidRDefault="009B61D4" w:rsidP="008603FB">
            <w:pPr>
              <w:pStyle w:val="NormalWeb"/>
              <w:rPr>
                <w:sz w:val="18"/>
                <w:szCs w:val="18"/>
              </w:rPr>
            </w:pPr>
            <w:r w:rsidRPr="00BC2C53">
              <w:rPr>
                <w:sz w:val="18"/>
                <w:szCs w:val="18"/>
              </w:rPr>
              <w:t>≥ 2500</w:t>
            </w:r>
          </w:p>
        </w:tc>
        <w:tc>
          <w:tcPr>
            <w:tcW w:w="1800" w:type="dxa"/>
            <w:hideMark/>
          </w:tcPr>
          <w:p w14:paraId="6CD6ACB4" w14:textId="77777777" w:rsidR="009B61D4" w:rsidRPr="00BC2C53" w:rsidRDefault="009B61D4" w:rsidP="008603FB">
            <w:pPr>
              <w:pStyle w:val="NormalWeb"/>
              <w:jc w:val="center"/>
              <w:rPr>
                <w:sz w:val="18"/>
                <w:szCs w:val="18"/>
              </w:rPr>
            </w:pPr>
            <w:r w:rsidRPr="00BC2C53">
              <w:rPr>
                <w:sz w:val="18"/>
                <w:szCs w:val="18"/>
              </w:rPr>
              <w:t>61 (95.3)</w:t>
            </w:r>
          </w:p>
        </w:tc>
        <w:tc>
          <w:tcPr>
            <w:tcW w:w="1260" w:type="dxa"/>
            <w:hideMark/>
          </w:tcPr>
          <w:p w14:paraId="02AC74B3" w14:textId="77777777" w:rsidR="009B61D4" w:rsidRPr="00BC2C53" w:rsidRDefault="009B61D4" w:rsidP="008603FB">
            <w:pPr>
              <w:pStyle w:val="NormalWeb"/>
              <w:jc w:val="center"/>
              <w:rPr>
                <w:sz w:val="18"/>
                <w:szCs w:val="18"/>
              </w:rPr>
            </w:pPr>
            <w:r w:rsidRPr="00BC2C53">
              <w:rPr>
                <w:sz w:val="18"/>
                <w:szCs w:val="18"/>
              </w:rPr>
              <w:t>59 (90.8)</w:t>
            </w:r>
          </w:p>
        </w:tc>
        <w:tc>
          <w:tcPr>
            <w:tcW w:w="1440" w:type="dxa"/>
            <w:hideMark/>
          </w:tcPr>
          <w:p w14:paraId="2D059B85" w14:textId="77777777" w:rsidR="009B61D4" w:rsidRPr="00BC2C53" w:rsidRDefault="009B61D4" w:rsidP="008603FB">
            <w:pPr>
              <w:pStyle w:val="NormalWeb"/>
              <w:jc w:val="center"/>
              <w:rPr>
                <w:sz w:val="18"/>
                <w:szCs w:val="18"/>
              </w:rPr>
            </w:pPr>
            <w:r w:rsidRPr="00BC2C53">
              <w:rPr>
                <w:sz w:val="18"/>
                <w:szCs w:val="18"/>
              </w:rPr>
              <w:t>60 (89.6)</w:t>
            </w:r>
          </w:p>
        </w:tc>
        <w:tc>
          <w:tcPr>
            <w:tcW w:w="1440" w:type="dxa"/>
            <w:hideMark/>
          </w:tcPr>
          <w:p w14:paraId="4B2C0267" w14:textId="77777777" w:rsidR="009B61D4" w:rsidRPr="00BC2C53" w:rsidRDefault="009B61D4" w:rsidP="008603FB">
            <w:pPr>
              <w:pStyle w:val="NormalWeb"/>
              <w:jc w:val="center"/>
              <w:rPr>
                <w:sz w:val="18"/>
                <w:szCs w:val="18"/>
              </w:rPr>
            </w:pPr>
            <w:r w:rsidRPr="00BC2C53">
              <w:rPr>
                <w:sz w:val="18"/>
                <w:szCs w:val="18"/>
              </w:rPr>
              <w:t>180 (91.8)</w:t>
            </w:r>
          </w:p>
        </w:tc>
      </w:tr>
      <w:tr w:rsidR="009B61D4" w:rsidRPr="00BC2C53" w14:paraId="044096C7" w14:textId="77777777" w:rsidTr="008603FB">
        <w:tblPrEx>
          <w:tblCellMar>
            <w:top w:w="57" w:type="dxa"/>
            <w:left w:w="57" w:type="dxa"/>
            <w:bottom w:w="57" w:type="dxa"/>
            <w:right w:w="57" w:type="dxa"/>
          </w:tblCellMar>
        </w:tblPrEx>
        <w:tc>
          <w:tcPr>
            <w:tcW w:w="4500" w:type="dxa"/>
            <w:hideMark/>
          </w:tcPr>
          <w:p w14:paraId="28A527DD" w14:textId="77777777" w:rsidR="009B61D4" w:rsidRPr="00BC2C53" w:rsidRDefault="009B61D4" w:rsidP="008603FB">
            <w:pPr>
              <w:pStyle w:val="NormalWeb"/>
              <w:rPr>
                <w:sz w:val="18"/>
                <w:szCs w:val="18"/>
              </w:rPr>
            </w:pPr>
            <w:r w:rsidRPr="00BC2C53">
              <w:rPr>
                <w:sz w:val="18"/>
                <w:szCs w:val="18"/>
              </w:rPr>
              <w:t>Declined/missing/unknown</w:t>
            </w:r>
          </w:p>
        </w:tc>
        <w:tc>
          <w:tcPr>
            <w:tcW w:w="1800" w:type="dxa"/>
            <w:hideMark/>
          </w:tcPr>
          <w:p w14:paraId="62F723B9" w14:textId="77777777" w:rsidR="009B61D4" w:rsidRPr="00BC2C53" w:rsidRDefault="009B61D4" w:rsidP="008603FB">
            <w:pPr>
              <w:pStyle w:val="NormalWeb"/>
              <w:jc w:val="center"/>
              <w:rPr>
                <w:sz w:val="18"/>
                <w:szCs w:val="18"/>
              </w:rPr>
            </w:pPr>
            <w:r w:rsidRPr="00BC2C53">
              <w:rPr>
                <w:sz w:val="18"/>
                <w:szCs w:val="18"/>
              </w:rPr>
              <w:t>0</w:t>
            </w:r>
          </w:p>
        </w:tc>
        <w:tc>
          <w:tcPr>
            <w:tcW w:w="1260" w:type="dxa"/>
            <w:hideMark/>
          </w:tcPr>
          <w:p w14:paraId="3E225343" w14:textId="77777777" w:rsidR="009B61D4" w:rsidRPr="00BC2C53" w:rsidRDefault="009B61D4" w:rsidP="008603FB">
            <w:pPr>
              <w:pStyle w:val="NormalWeb"/>
              <w:jc w:val="center"/>
              <w:rPr>
                <w:sz w:val="18"/>
                <w:szCs w:val="18"/>
              </w:rPr>
            </w:pPr>
            <w:r w:rsidRPr="00BC2C53">
              <w:rPr>
                <w:sz w:val="18"/>
                <w:szCs w:val="18"/>
              </w:rPr>
              <w:t>1 (1.5)</w:t>
            </w:r>
          </w:p>
        </w:tc>
        <w:tc>
          <w:tcPr>
            <w:tcW w:w="1440" w:type="dxa"/>
            <w:hideMark/>
          </w:tcPr>
          <w:p w14:paraId="45E11020" w14:textId="77777777" w:rsidR="009B61D4" w:rsidRPr="00BC2C53" w:rsidRDefault="009B61D4" w:rsidP="008603FB">
            <w:pPr>
              <w:pStyle w:val="NormalWeb"/>
              <w:jc w:val="center"/>
              <w:rPr>
                <w:sz w:val="18"/>
                <w:szCs w:val="18"/>
              </w:rPr>
            </w:pPr>
            <w:r w:rsidRPr="00BC2C53">
              <w:rPr>
                <w:sz w:val="18"/>
                <w:szCs w:val="18"/>
              </w:rPr>
              <w:t>0</w:t>
            </w:r>
          </w:p>
        </w:tc>
        <w:tc>
          <w:tcPr>
            <w:tcW w:w="1440" w:type="dxa"/>
            <w:hideMark/>
          </w:tcPr>
          <w:p w14:paraId="66346CD8" w14:textId="77777777" w:rsidR="009B61D4" w:rsidRPr="00BC2C53" w:rsidRDefault="009B61D4" w:rsidP="008603FB">
            <w:pPr>
              <w:pStyle w:val="NormalWeb"/>
              <w:jc w:val="center"/>
              <w:rPr>
                <w:sz w:val="18"/>
                <w:szCs w:val="18"/>
              </w:rPr>
            </w:pPr>
            <w:r w:rsidRPr="00BC2C53">
              <w:rPr>
                <w:sz w:val="18"/>
                <w:szCs w:val="18"/>
              </w:rPr>
              <w:t>1 (0.5)</w:t>
            </w:r>
          </w:p>
        </w:tc>
      </w:tr>
      <w:tr w:rsidR="00AE5D29" w:rsidRPr="00BC2C53" w14:paraId="7EF2DB02"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500" w:type="dxa"/>
            <w:shd w:val="clear" w:color="auto" w:fill="595959" w:themeFill="text1" w:themeFillTint="A6"/>
            <w:hideMark/>
          </w:tcPr>
          <w:p w14:paraId="3CE510E2" w14:textId="77777777" w:rsidR="009B61D4" w:rsidRPr="00BC2C53" w:rsidRDefault="009B61D4" w:rsidP="008603FB">
            <w:pPr>
              <w:pStyle w:val="NormalWeb"/>
              <w:rPr>
                <w:b/>
                <w:bCs/>
                <w:color w:val="FFFFFF" w:themeColor="background1"/>
                <w:sz w:val="18"/>
                <w:szCs w:val="18"/>
              </w:rPr>
            </w:pPr>
            <w:r w:rsidRPr="00BC2C53">
              <w:rPr>
                <w:b/>
                <w:bCs/>
                <w:color w:val="FFFFFF" w:themeColor="background1"/>
                <w:sz w:val="18"/>
                <w:szCs w:val="18"/>
              </w:rPr>
              <w:t>Gestational age (weeks)</w:t>
            </w:r>
          </w:p>
        </w:tc>
        <w:tc>
          <w:tcPr>
            <w:tcW w:w="1800" w:type="dxa"/>
            <w:shd w:val="clear" w:color="auto" w:fill="595959" w:themeFill="text1" w:themeFillTint="A6"/>
            <w:hideMark/>
          </w:tcPr>
          <w:p w14:paraId="3AC5779B" w14:textId="77777777" w:rsidR="009B61D4" w:rsidRPr="00BC2C53" w:rsidRDefault="009B61D4" w:rsidP="008603FB">
            <w:pPr>
              <w:jc w:val="center"/>
              <w:rPr>
                <w:b/>
                <w:bCs/>
                <w:color w:val="FFFFFF" w:themeColor="background1"/>
                <w:sz w:val="18"/>
                <w:szCs w:val="18"/>
              </w:rPr>
            </w:pPr>
          </w:p>
        </w:tc>
        <w:tc>
          <w:tcPr>
            <w:tcW w:w="1260" w:type="dxa"/>
            <w:shd w:val="clear" w:color="auto" w:fill="595959" w:themeFill="text1" w:themeFillTint="A6"/>
            <w:hideMark/>
          </w:tcPr>
          <w:p w14:paraId="448A566A" w14:textId="77777777" w:rsidR="009B61D4" w:rsidRPr="00BC2C53" w:rsidRDefault="009B61D4"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0A2209EF" w14:textId="77777777" w:rsidR="009B61D4" w:rsidRPr="00BC2C53" w:rsidRDefault="009B61D4"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56E3DF1A" w14:textId="77777777" w:rsidR="009B61D4" w:rsidRPr="00BC2C53" w:rsidRDefault="009B61D4" w:rsidP="008603FB">
            <w:pPr>
              <w:jc w:val="center"/>
              <w:rPr>
                <w:rFonts w:eastAsia="Times New Roman"/>
                <w:b/>
                <w:bCs/>
                <w:color w:val="FFFFFF" w:themeColor="background1"/>
                <w:sz w:val="18"/>
                <w:szCs w:val="18"/>
              </w:rPr>
            </w:pPr>
          </w:p>
        </w:tc>
      </w:tr>
      <w:tr w:rsidR="009B61D4" w:rsidRPr="00BC2C53" w14:paraId="14100459" w14:textId="77777777" w:rsidTr="008603FB">
        <w:tblPrEx>
          <w:tblCellMar>
            <w:top w:w="57" w:type="dxa"/>
            <w:left w:w="57" w:type="dxa"/>
            <w:bottom w:w="57" w:type="dxa"/>
            <w:right w:w="57" w:type="dxa"/>
          </w:tblCellMar>
        </w:tblPrEx>
        <w:tc>
          <w:tcPr>
            <w:tcW w:w="4500" w:type="dxa"/>
            <w:hideMark/>
          </w:tcPr>
          <w:p w14:paraId="45C8D184" w14:textId="77777777" w:rsidR="009B61D4" w:rsidRPr="00BC2C53" w:rsidRDefault="009B61D4" w:rsidP="008603FB">
            <w:pPr>
              <w:pStyle w:val="NormalWeb"/>
              <w:rPr>
                <w:sz w:val="18"/>
                <w:szCs w:val="18"/>
              </w:rPr>
            </w:pPr>
            <w:r w:rsidRPr="00BC2C53">
              <w:rPr>
                <w:sz w:val="18"/>
                <w:szCs w:val="18"/>
              </w:rPr>
              <w:t>&lt; 37 weeks</w:t>
            </w:r>
          </w:p>
        </w:tc>
        <w:tc>
          <w:tcPr>
            <w:tcW w:w="1800" w:type="dxa"/>
            <w:hideMark/>
          </w:tcPr>
          <w:p w14:paraId="441A7D1C" w14:textId="77777777" w:rsidR="009B61D4" w:rsidRPr="00BC2C53" w:rsidRDefault="009B61D4" w:rsidP="008603FB">
            <w:pPr>
              <w:pStyle w:val="NormalWeb"/>
              <w:jc w:val="center"/>
              <w:rPr>
                <w:sz w:val="18"/>
                <w:szCs w:val="18"/>
              </w:rPr>
            </w:pPr>
            <w:r w:rsidRPr="00BC2C53">
              <w:rPr>
                <w:sz w:val="18"/>
                <w:szCs w:val="18"/>
              </w:rPr>
              <w:t>4 (6.2)</w:t>
            </w:r>
          </w:p>
        </w:tc>
        <w:tc>
          <w:tcPr>
            <w:tcW w:w="1260" w:type="dxa"/>
            <w:hideMark/>
          </w:tcPr>
          <w:p w14:paraId="473E71F0" w14:textId="77777777" w:rsidR="009B61D4" w:rsidRPr="00BC2C53" w:rsidRDefault="009B61D4" w:rsidP="008603FB">
            <w:pPr>
              <w:pStyle w:val="NormalWeb"/>
              <w:jc w:val="center"/>
              <w:rPr>
                <w:sz w:val="18"/>
                <w:szCs w:val="18"/>
              </w:rPr>
            </w:pPr>
            <w:r w:rsidRPr="00BC2C53">
              <w:rPr>
                <w:sz w:val="18"/>
                <w:szCs w:val="18"/>
              </w:rPr>
              <w:t>5 (7.7)</w:t>
            </w:r>
          </w:p>
        </w:tc>
        <w:tc>
          <w:tcPr>
            <w:tcW w:w="1440" w:type="dxa"/>
            <w:hideMark/>
          </w:tcPr>
          <w:p w14:paraId="41A5EB10" w14:textId="77777777" w:rsidR="009B61D4" w:rsidRPr="00BC2C53" w:rsidRDefault="009B61D4" w:rsidP="008603FB">
            <w:pPr>
              <w:pStyle w:val="NormalWeb"/>
              <w:jc w:val="center"/>
              <w:rPr>
                <w:sz w:val="18"/>
                <w:szCs w:val="18"/>
              </w:rPr>
            </w:pPr>
            <w:r w:rsidRPr="00BC2C53">
              <w:rPr>
                <w:sz w:val="18"/>
                <w:szCs w:val="18"/>
              </w:rPr>
              <w:t>5 (7.5)</w:t>
            </w:r>
          </w:p>
        </w:tc>
        <w:tc>
          <w:tcPr>
            <w:tcW w:w="1440" w:type="dxa"/>
            <w:hideMark/>
          </w:tcPr>
          <w:p w14:paraId="1537ADB7" w14:textId="77777777" w:rsidR="009B61D4" w:rsidRPr="00BC2C53" w:rsidRDefault="009B61D4" w:rsidP="008603FB">
            <w:pPr>
              <w:pStyle w:val="NormalWeb"/>
              <w:jc w:val="center"/>
              <w:rPr>
                <w:sz w:val="18"/>
                <w:szCs w:val="18"/>
              </w:rPr>
            </w:pPr>
            <w:r w:rsidRPr="00BC2C53">
              <w:rPr>
                <w:sz w:val="18"/>
                <w:szCs w:val="18"/>
              </w:rPr>
              <w:t>14 (7.1)</w:t>
            </w:r>
          </w:p>
        </w:tc>
      </w:tr>
      <w:tr w:rsidR="009B61D4" w:rsidRPr="00BC2C53" w14:paraId="43447FCC"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500" w:type="dxa"/>
            <w:hideMark/>
          </w:tcPr>
          <w:p w14:paraId="45838D05" w14:textId="77777777" w:rsidR="009B61D4" w:rsidRPr="00BC2C53" w:rsidRDefault="009B61D4" w:rsidP="008603FB">
            <w:pPr>
              <w:pStyle w:val="NormalWeb"/>
              <w:rPr>
                <w:sz w:val="18"/>
                <w:szCs w:val="18"/>
              </w:rPr>
            </w:pPr>
            <w:r w:rsidRPr="00BC2C53">
              <w:rPr>
                <w:sz w:val="18"/>
                <w:szCs w:val="18"/>
              </w:rPr>
              <w:t>≥ 37 weeks</w:t>
            </w:r>
          </w:p>
        </w:tc>
        <w:tc>
          <w:tcPr>
            <w:tcW w:w="1800" w:type="dxa"/>
            <w:hideMark/>
          </w:tcPr>
          <w:p w14:paraId="62C5C59E" w14:textId="77777777" w:rsidR="009B61D4" w:rsidRPr="00BC2C53" w:rsidRDefault="009B61D4" w:rsidP="008603FB">
            <w:pPr>
              <w:pStyle w:val="NormalWeb"/>
              <w:jc w:val="center"/>
              <w:rPr>
                <w:sz w:val="18"/>
                <w:szCs w:val="18"/>
              </w:rPr>
            </w:pPr>
            <w:r w:rsidRPr="00BC2C53">
              <w:rPr>
                <w:sz w:val="18"/>
                <w:szCs w:val="18"/>
              </w:rPr>
              <w:t>60 (93.8)</w:t>
            </w:r>
          </w:p>
        </w:tc>
        <w:tc>
          <w:tcPr>
            <w:tcW w:w="1260" w:type="dxa"/>
            <w:hideMark/>
          </w:tcPr>
          <w:p w14:paraId="583B1F34" w14:textId="77777777" w:rsidR="009B61D4" w:rsidRPr="00BC2C53" w:rsidRDefault="009B61D4" w:rsidP="008603FB">
            <w:pPr>
              <w:pStyle w:val="NormalWeb"/>
              <w:jc w:val="center"/>
              <w:rPr>
                <w:sz w:val="18"/>
                <w:szCs w:val="18"/>
              </w:rPr>
            </w:pPr>
            <w:r w:rsidRPr="00BC2C53">
              <w:rPr>
                <w:sz w:val="18"/>
                <w:szCs w:val="18"/>
              </w:rPr>
              <w:t>60 (92.3)</w:t>
            </w:r>
          </w:p>
        </w:tc>
        <w:tc>
          <w:tcPr>
            <w:tcW w:w="1440" w:type="dxa"/>
            <w:hideMark/>
          </w:tcPr>
          <w:p w14:paraId="6F2901CD" w14:textId="77777777" w:rsidR="009B61D4" w:rsidRPr="00BC2C53" w:rsidRDefault="009B61D4" w:rsidP="008603FB">
            <w:pPr>
              <w:pStyle w:val="NormalWeb"/>
              <w:jc w:val="center"/>
              <w:rPr>
                <w:sz w:val="18"/>
                <w:szCs w:val="18"/>
              </w:rPr>
            </w:pPr>
            <w:r w:rsidRPr="00BC2C53">
              <w:rPr>
                <w:sz w:val="18"/>
                <w:szCs w:val="18"/>
              </w:rPr>
              <w:t>62 (92.5)</w:t>
            </w:r>
          </w:p>
        </w:tc>
        <w:tc>
          <w:tcPr>
            <w:tcW w:w="1440" w:type="dxa"/>
            <w:hideMark/>
          </w:tcPr>
          <w:p w14:paraId="1337159A" w14:textId="77777777" w:rsidR="009B61D4" w:rsidRPr="00BC2C53" w:rsidRDefault="009B61D4" w:rsidP="008603FB">
            <w:pPr>
              <w:pStyle w:val="NormalWeb"/>
              <w:jc w:val="center"/>
              <w:rPr>
                <w:sz w:val="18"/>
                <w:szCs w:val="18"/>
              </w:rPr>
            </w:pPr>
            <w:r w:rsidRPr="00BC2C53">
              <w:rPr>
                <w:sz w:val="18"/>
                <w:szCs w:val="18"/>
              </w:rPr>
              <w:t>182 (92.9)</w:t>
            </w:r>
          </w:p>
        </w:tc>
      </w:tr>
      <w:tr w:rsidR="009B61D4" w:rsidRPr="00BC2C53" w14:paraId="23BF2AFC" w14:textId="77777777" w:rsidTr="008603FB">
        <w:tblPrEx>
          <w:tblCellMar>
            <w:top w:w="57" w:type="dxa"/>
            <w:left w:w="57" w:type="dxa"/>
            <w:bottom w:w="57" w:type="dxa"/>
            <w:right w:w="57" w:type="dxa"/>
          </w:tblCellMar>
        </w:tblPrEx>
        <w:tc>
          <w:tcPr>
            <w:tcW w:w="4500" w:type="dxa"/>
            <w:hideMark/>
          </w:tcPr>
          <w:p w14:paraId="35E7A08F" w14:textId="77777777" w:rsidR="009B61D4" w:rsidRPr="00BC2C53" w:rsidRDefault="009B61D4" w:rsidP="008603FB">
            <w:pPr>
              <w:pStyle w:val="NormalWeb"/>
              <w:rPr>
                <w:sz w:val="18"/>
                <w:szCs w:val="18"/>
              </w:rPr>
            </w:pPr>
            <w:r w:rsidRPr="00BC2C53">
              <w:rPr>
                <w:sz w:val="18"/>
                <w:szCs w:val="18"/>
              </w:rPr>
              <w:t>Declined/missing/unknown</w:t>
            </w:r>
          </w:p>
        </w:tc>
        <w:tc>
          <w:tcPr>
            <w:tcW w:w="1800" w:type="dxa"/>
            <w:hideMark/>
          </w:tcPr>
          <w:p w14:paraId="12075390" w14:textId="77777777" w:rsidR="009B61D4" w:rsidRPr="00BC2C53" w:rsidRDefault="009B61D4" w:rsidP="008603FB">
            <w:pPr>
              <w:pStyle w:val="NormalWeb"/>
              <w:jc w:val="center"/>
              <w:rPr>
                <w:sz w:val="18"/>
                <w:szCs w:val="18"/>
              </w:rPr>
            </w:pPr>
            <w:r w:rsidRPr="00BC2C53">
              <w:rPr>
                <w:sz w:val="18"/>
                <w:szCs w:val="18"/>
              </w:rPr>
              <w:t>0</w:t>
            </w:r>
          </w:p>
        </w:tc>
        <w:tc>
          <w:tcPr>
            <w:tcW w:w="1260" w:type="dxa"/>
            <w:hideMark/>
          </w:tcPr>
          <w:p w14:paraId="3E1D64F9" w14:textId="77777777" w:rsidR="009B61D4" w:rsidRPr="00BC2C53" w:rsidRDefault="009B61D4" w:rsidP="008603FB">
            <w:pPr>
              <w:pStyle w:val="NormalWeb"/>
              <w:jc w:val="center"/>
              <w:rPr>
                <w:sz w:val="18"/>
                <w:szCs w:val="18"/>
              </w:rPr>
            </w:pPr>
            <w:r w:rsidRPr="00BC2C53">
              <w:rPr>
                <w:sz w:val="18"/>
                <w:szCs w:val="18"/>
              </w:rPr>
              <w:t>0</w:t>
            </w:r>
          </w:p>
        </w:tc>
        <w:tc>
          <w:tcPr>
            <w:tcW w:w="1440" w:type="dxa"/>
            <w:hideMark/>
          </w:tcPr>
          <w:p w14:paraId="08B77E00" w14:textId="77777777" w:rsidR="009B61D4" w:rsidRPr="00BC2C53" w:rsidRDefault="009B61D4" w:rsidP="008603FB">
            <w:pPr>
              <w:pStyle w:val="NormalWeb"/>
              <w:jc w:val="center"/>
              <w:rPr>
                <w:sz w:val="18"/>
                <w:szCs w:val="18"/>
              </w:rPr>
            </w:pPr>
            <w:r w:rsidRPr="00BC2C53">
              <w:rPr>
                <w:sz w:val="18"/>
                <w:szCs w:val="18"/>
              </w:rPr>
              <w:t>0</w:t>
            </w:r>
          </w:p>
        </w:tc>
        <w:tc>
          <w:tcPr>
            <w:tcW w:w="1440" w:type="dxa"/>
            <w:hideMark/>
          </w:tcPr>
          <w:p w14:paraId="02697BCD" w14:textId="77777777" w:rsidR="009B61D4" w:rsidRPr="00BC2C53" w:rsidRDefault="009B61D4" w:rsidP="008603FB">
            <w:pPr>
              <w:pStyle w:val="NormalWeb"/>
              <w:jc w:val="center"/>
              <w:rPr>
                <w:sz w:val="18"/>
                <w:szCs w:val="18"/>
              </w:rPr>
            </w:pPr>
            <w:r w:rsidRPr="00BC2C53">
              <w:rPr>
                <w:sz w:val="18"/>
                <w:szCs w:val="18"/>
              </w:rPr>
              <w:t>0</w:t>
            </w:r>
          </w:p>
        </w:tc>
      </w:tr>
      <w:tr w:rsidR="00AE5D29" w:rsidRPr="00BC2C53" w14:paraId="7074A1B7"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500" w:type="dxa"/>
            <w:shd w:val="clear" w:color="auto" w:fill="595959" w:themeFill="text1" w:themeFillTint="A6"/>
            <w:hideMark/>
          </w:tcPr>
          <w:p w14:paraId="77E0D246" w14:textId="77777777" w:rsidR="009B61D4" w:rsidRPr="00BC2C53" w:rsidRDefault="009B61D4" w:rsidP="008603FB">
            <w:pPr>
              <w:pStyle w:val="NormalWeb"/>
              <w:rPr>
                <w:b/>
                <w:bCs/>
                <w:color w:val="FFFFFF" w:themeColor="background1"/>
                <w:sz w:val="18"/>
                <w:szCs w:val="18"/>
              </w:rPr>
            </w:pPr>
            <w:r w:rsidRPr="00BC2C53">
              <w:rPr>
                <w:b/>
                <w:bCs/>
                <w:color w:val="FFFFFF" w:themeColor="background1"/>
                <w:sz w:val="18"/>
                <w:szCs w:val="18"/>
              </w:rPr>
              <w:t>Birth type</w:t>
            </w:r>
          </w:p>
        </w:tc>
        <w:tc>
          <w:tcPr>
            <w:tcW w:w="1800" w:type="dxa"/>
            <w:shd w:val="clear" w:color="auto" w:fill="595959" w:themeFill="text1" w:themeFillTint="A6"/>
            <w:hideMark/>
          </w:tcPr>
          <w:p w14:paraId="06EFB847" w14:textId="77777777" w:rsidR="009B61D4" w:rsidRPr="00BC2C53" w:rsidRDefault="009B61D4" w:rsidP="008603FB">
            <w:pPr>
              <w:jc w:val="center"/>
              <w:rPr>
                <w:b/>
                <w:bCs/>
                <w:color w:val="FFFFFF" w:themeColor="background1"/>
                <w:sz w:val="18"/>
                <w:szCs w:val="18"/>
              </w:rPr>
            </w:pPr>
          </w:p>
        </w:tc>
        <w:tc>
          <w:tcPr>
            <w:tcW w:w="1260" w:type="dxa"/>
            <w:shd w:val="clear" w:color="auto" w:fill="595959" w:themeFill="text1" w:themeFillTint="A6"/>
            <w:hideMark/>
          </w:tcPr>
          <w:p w14:paraId="357D1E30" w14:textId="77777777" w:rsidR="009B61D4" w:rsidRPr="00BC2C53" w:rsidRDefault="009B61D4"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1BFBD93A" w14:textId="77777777" w:rsidR="009B61D4" w:rsidRPr="00BC2C53" w:rsidRDefault="009B61D4"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27C94BFB" w14:textId="77777777" w:rsidR="009B61D4" w:rsidRPr="00BC2C53" w:rsidRDefault="009B61D4" w:rsidP="008603FB">
            <w:pPr>
              <w:jc w:val="center"/>
              <w:rPr>
                <w:rFonts w:eastAsia="Times New Roman"/>
                <w:b/>
                <w:bCs/>
                <w:color w:val="FFFFFF" w:themeColor="background1"/>
                <w:sz w:val="18"/>
                <w:szCs w:val="18"/>
              </w:rPr>
            </w:pPr>
          </w:p>
        </w:tc>
      </w:tr>
      <w:tr w:rsidR="009B61D4" w:rsidRPr="00BC2C53" w14:paraId="6C71F01F" w14:textId="77777777" w:rsidTr="008603FB">
        <w:tblPrEx>
          <w:tblCellMar>
            <w:top w:w="57" w:type="dxa"/>
            <w:left w:w="57" w:type="dxa"/>
            <w:bottom w:w="57" w:type="dxa"/>
            <w:right w:w="57" w:type="dxa"/>
          </w:tblCellMar>
        </w:tblPrEx>
        <w:tc>
          <w:tcPr>
            <w:tcW w:w="4500" w:type="dxa"/>
            <w:hideMark/>
          </w:tcPr>
          <w:p w14:paraId="456CD8E6" w14:textId="77777777" w:rsidR="009B61D4" w:rsidRPr="00BC2C53" w:rsidRDefault="009B61D4" w:rsidP="008603FB">
            <w:pPr>
              <w:pStyle w:val="NormalWeb"/>
              <w:rPr>
                <w:sz w:val="18"/>
                <w:szCs w:val="18"/>
              </w:rPr>
            </w:pPr>
            <w:r w:rsidRPr="00BC2C53">
              <w:rPr>
                <w:sz w:val="18"/>
                <w:szCs w:val="18"/>
              </w:rPr>
              <w:t>Singleton</w:t>
            </w:r>
          </w:p>
        </w:tc>
        <w:tc>
          <w:tcPr>
            <w:tcW w:w="1800" w:type="dxa"/>
            <w:hideMark/>
          </w:tcPr>
          <w:p w14:paraId="7BC9CD49" w14:textId="77777777" w:rsidR="009B61D4" w:rsidRPr="00BC2C53" w:rsidRDefault="009B61D4" w:rsidP="008603FB">
            <w:pPr>
              <w:pStyle w:val="NormalWeb"/>
              <w:jc w:val="center"/>
              <w:rPr>
                <w:sz w:val="18"/>
                <w:szCs w:val="18"/>
              </w:rPr>
            </w:pPr>
            <w:r w:rsidRPr="00BC2C53">
              <w:rPr>
                <w:sz w:val="18"/>
                <w:szCs w:val="18"/>
              </w:rPr>
              <w:t>64 (100.0)</w:t>
            </w:r>
          </w:p>
        </w:tc>
        <w:tc>
          <w:tcPr>
            <w:tcW w:w="1260" w:type="dxa"/>
            <w:hideMark/>
          </w:tcPr>
          <w:p w14:paraId="07D572A4" w14:textId="77777777" w:rsidR="009B61D4" w:rsidRPr="00BC2C53" w:rsidRDefault="009B61D4" w:rsidP="008603FB">
            <w:pPr>
              <w:pStyle w:val="NormalWeb"/>
              <w:jc w:val="center"/>
              <w:rPr>
                <w:sz w:val="18"/>
                <w:szCs w:val="18"/>
              </w:rPr>
            </w:pPr>
            <w:r w:rsidRPr="00BC2C53">
              <w:rPr>
                <w:sz w:val="18"/>
                <w:szCs w:val="18"/>
              </w:rPr>
              <w:t>61 (93.9)</w:t>
            </w:r>
          </w:p>
        </w:tc>
        <w:tc>
          <w:tcPr>
            <w:tcW w:w="1440" w:type="dxa"/>
            <w:hideMark/>
          </w:tcPr>
          <w:p w14:paraId="229BC0A4" w14:textId="77777777" w:rsidR="009B61D4" w:rsidRPr="00BC2C53" w:rsidRDefault="009B61D4" w:rsidP="008603FB">
            <w:pPr>
              <w:pStyle w:val="NormalWeb"/>
              <w:jc w:val="center"/>
              <w:rPr>
                <w:sz w:val="18"/>
                <w:szCs w:val="18"/>
              </w:rPr>
            </w:pPr>
            <w:r w:rsidRPr="00BC2C53">
              <w:rPr>
                <w:sz w:val="18"/>
                <w:szCs w:val="18"/>
              </w:rPr>
              <w:t>67 (100.0)</w:t>
            </w:r>
          </w:p>
        </w:tc>
        <w:tc>
          <w:tcPr>
            <w:tcW w:w="1440" w:type="dxa"/>
            <w:hideMark/>
          </w:tcPr>
          <w:p w14:paraId="4C3A1CDC" w14:textId="77777777" w:rsidR="009B61D4" w:rsidRPr="00BC2C53" w:rsidRDefault="009B61D4" w:rsidP="008603FB">
            <w:pPr>
              <w:pStyle w:val="NormalWeb"/>
              <w:jc w:val="center"/>
              <w:rPr>
                <w:sz w:val="18"/>
                <w:szCs w:val="18"/>
              </w:rPr>
            </w:pPr>
            <w:r w:rsidRPr="00BC2C53">
              <w:rPr>
                <w:sz w:val="18"/>
                <w:szCs w:val="18"/>
              </w:rPr>
              <w:t>192 (98.0)</w:t>
            </w:r>
          </w:p>
        </w:tc>
      </w:tr>
      <w:tr w:rsidR="009B61D4" w:rsidRPr="00BC2C53" w14:paraId="1AB4840D"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500" w:type="dxa"/>
            <w:hideMark/>
          </w:tcPr>
          <w:p w14:paraId="6A15CB0C" w14:textId="77777777" w:rsidR="009B61D4" w:rsidRPr="00BC2C53" w:rsidRDefault="009B61D4" w:rsidP="008603FB">
            <w:pPr>
              <w:pStyle w:val="NormalWeb"/>
              <w:rPr>
                <w:sz w:val="18"/>
                <w:szCs w:val="18"/>
              </w:rPr>
            </w:pPr>
            <w:r w:rsidRPr="00BC2C53">
              <w:rPr>
                <w:sz w:val="18"/>
                <w:szCs w:val="18"/>
              </w:rPr>
              <w:t>Multiple</w:t>
            </w:r>
          </w:p>
        </w:tc>
        <w:tc>
          <w:tcPr>
            <w:tcW w:w="1800" w:type="dxa"/>
            <w:hideMark/>
          </w:tcPr>
          <w:p w14:paraId="611B79E0" w14:textId="77777777" w:rsidR="009B61D4" w:rsidRPr="00BC2C53" w:rsidRDefault="009B61D4" w:rsidP="008603FB">
            <w:pPr>
              <w:pStyle w:val="NormalWeb"/>
              <w:jc w:val="center"/>
              <w:rPr>
                <w:sz w:val="18"/>
                <w:szCs w:val="18"/>
              </w:rPr>
            </w:pPr>
            <w:r w:rsidRPr="00BC2C53">
              <w:rPr>
                <w:sz w:val="18"/>
                <w:szCs w:val="18"/>
              </w:rPr>
              <w:t>0</w:t>
            </w:r>
          </w:p>
        </w:tc>
        <w:tc>
          <w:tcPr>
            <w:tcW w:w="1260" w:type="dxa"/>
            <w:hideMark/>
          </w:tcPr>
          <w:p w14:paraId="761F8381" w14:textId="77777777" w:rsidR="009B61D4" w:rsidRPr="00BC2C53" w:rsidRDefault="009B61D4" w:rsidP="008603FB">
            <w:pPr>
              <w:pStyle w:val="NormalWeb"/>
              <w:jc w:val="center"/>
              <w:rPr>
                <w:sz w:val="18"/>
                <w:szCs w:val="18"/>
              </w:rPr>
            </w:pPr>
            <w:r w:rsidRPr="00BC2C53">
              <w:rPr>
                <w:sz w:val="18"/>
                <w:szCs w:val="18"/>
              </w:rPr>
              <w:t>4 (6.1)</w:t>
            </w:r>
          </w:p>
        </w:tc>
        <w:tc>
          <w:tcPr>
            <w:tcW w:w="1440" w:type="dxa"/>
            <w:hideMark/>
          </w:tcPr>
          <w:p w14:paraId="3204D2BE" w14:textId="77777777" w:rsidR="009B61D4" w:rsidRPr="00BC2C53" w:rsidRDefault="009B61D4" w:rsidP="008603FB">
            <w:pPr>
              <w:pStyle w:val="NormalWeb"/>
              <w:jc w:val="center"/>
              <w:rPr>
                <w:sz w:val="18"/>
                <w:szCs w:val="18"/>
              </w:rPr>
            </w:pPr>
            <w:r w:rsidRPr="00BC2C53">
              <w:rPr>
                <w:sz w:val="18"/>
                <w:szCs w:val="18"/>
              </w:rPr>
              <w:t>0</w:t>
            </w:r>
          </w:p>
        </w:tc>
        <w:tc>
          <w:tcPr>
            <w:tcW w:w="1440" w:type="dxa"/>
            <w:hideMark/>
          </w:tcPr>
          <w:p w14:paraId="7E1585A2" w14:textId="77777777" w:rsidR="009B61D4" w:rsidRPr="00BC2C53" w:rsidRDefault="009B61D4" w:rsidP="008603FB">
            <w:pPr>
              <w:pStyle w:val="NormalWeb"/>
              <w:jc w:val="center"/>
              <w:rPr>
                <w:sz w:val="18"/>
                <w:szCs w:val="18"/>
              </w:rPr>
            </w:pPr>
            <w:r w:rsidRPr="00BC2C53">
              <w:rPr>
                <w:sz w:val="18"/>
                <w:szCs w:val="18"/>
              </w:rPr>
              <w:t>4 (2.0)</w:t>
            </w:r>
          </w:p>
        </w:tc>
      </w:tr>
      <w:tr w:rsidR="009B61D4" w:rsidRPr="00BC2C53" w14:paraId="4BA2D85F" w14:textId="77777777" w:rsidTr="008603FB">
        <w:tblPrEx>
          <w:tblCellMar>
            <w:top w:w="57" w:type="dxa"/>
            <w:left w:w="57" w:type="dxa"/>
            <w:bottom w:w="57" w:type="dxa"/>
            <w:right w:w="57" w:type="dxa"/>
          </w:tblCellMar>
        </w:tblPrEx>
        <w:tc>
          <w:tcPr>
            <w:tcW w:w="4500" w:type="dxa"/>
            <w:hideMark/>
          </w:tcPr>
          <w:p w14:paraId="1A3AA54A" w14:textId="77777777" w:rsidR="009B61D4" w:rsidRPr="00BC2C53" w:rsidRDefault="009B61D4" w:rsidP="008603FB">
            <w:pPr>
              <w:pStyle w:val="NormalWeb"/>
              <w:rPr>
                <w:sz w:val="18"/>
                <w:szCs w:val="18"/>
              </w:rPr>
            </w:pPr>
            <w:r w:rsidRPr="00BC2C53">
              <w:rPr>
                <w:sz w:val="18"/>
                <w:szCs w:val="18"/>
              </w:rPr>
              <w:t>Declined/missing/unknown</w:t>
            </w:r>
          </w:p>
        </w:tc>
        <w:tc>
          <w:tcPr>
            <w:tcW w:w="1800" w:type="dxa"/>
            <w:hideMark/>
          </w:tcPr>
          <w:p w14:paraId="56E3D50F" w14:textId="77777777" w:rsidR="009B61D4" w:rsidRPr="00BC2C53" w:rsidRDefault="009B61D4" w:rsidP="008603FB">
            <w:pPr>
              <w:pStyle w:val="NormalWeb"/>
              <w:jc w:val="center"/>
              <w:rPr>
                <w:sz w:val="18"/>
                <w:szCs w:val="18"/>
              </w:rPr>
            </w:pPr>
            <w:r w:rsidRPr="00BC2C53">
              <w:rPr>
                <w:sz w:val="18"/>
                <w:szCs w:val="18"/>
              </w:rPr>
              <w:t>0</w:t>
            </w:r>
          </w:p>
        </w:tc>
        <w:tc>
          <w:tcPr>
            <w:tcW w:w="1260" w:type="dxa"/>
            <w:hideMark/>
          </w:tcPr>
          <w:p w14:paraId="7D717DBB" w14:textId="77777777" w:rsidR="009B61D4" w:rsidRPr="00BC2C53" w:rsidRDefault="009B61D4" w:rsidP="008603FB">
            <w:pPr>
              <w:pStyle w:val="NormalWeb"/>
              <w:jc w:val="center"/>
              <w:rPr>
                <w:sz w:val="18"/>
                <w:szCs w:val="18"/>
              </w:rPr>
            </w:pPr>
            <w:r w:rsidRPr="00BC2C53">
              <w:rPr>
                <w:sz w:val="18"/>
                <w:szCs w:val="18"/>
              </w:rPr>
              <w:t>0</w:t>
            </w:r>
          </w:p>
        </w:tc>
        <w:tc>
          <w:tcPr>
            <w:tcW w:w="1440" w:type="dxa"/>
            <w:hideMark/>
          </w:tcPr>
          <w:p w14:paraId="05F1749C" w14:textId="77777777" w:rsidR="009B61D4" w:rsidRPr="00BC2C53" w:rsidRDefault="009B61D4" w:rsidP="008603FB">
            <w:pPr>
              <w:pStyle w:val="NormalWeb"/>
              <w:jc w:val="center"/>
              <w:rPr>
                <w:sz w:val="18"/>
                <w:szCs w:val="18"/>
              </w:rPr>
            </w:pPr>
            <w:r w:rsidRPr="00BC2C53">
              <w:rPr>
                <w:sz w:val="18"/>
                <w:szCs w:val="18"/>
              </w:rPr>
              <w:t>0</w:t>
            </w:r>
          </w:p>
        </w:tc>
        <w:tc>
          <w:tcPr>
            <w:tcW w:w="1440" w:type="dxa"/>
            <w:hideMark/>
          </w:tcPr>
          <w:p w14:paraId="1B1339F3" w14:textId="77777777" w:rsidR="009B61D4" w:rsidRPr="00BC2C53" w:rsidRDefault="009B61D4" w:rsidP="008603FB">
            <w:pPr>
              <w:pStyle w:val="NormalWeb"/>
              <w:jc w:val="center"/>
              <w:rPr>
                <w:sz w:val="18"/>
                <w:szCs w:val="18"/>
              </w:rPr>
            </w:pPr>
            <w:r w:rsidRPr="00BC2C53">
              <w:rPr>
                <w:sz w:val="18"/>
                <w:szCs w:val="18"/>
              </w:rPr>
              <w:t>0</w:t>
            </w:r>
          </w:p>
        </w:tc>
      </w:tr>
      <w:tr w:rsidR="008E2BD2" w:rsidRPr="00BC2C53" w14:paraId="334FB8AE"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500" w:type="dxa"/>
            <w:shd w:val="clear" w:color="auto" w:fill="595959" w:themeFill="text1" w:themeFillTint="A6"/>
            <w:hideMark/>
          </w:tcPr>
          <w:p w14:paraId="41539E16" w14:textId="77777777" w:rsidR="009B61D4" w:rsidRPr="00BC2C53" w:rsidRDefault="009B61D4" w:rsidP="008603FB">
            <w:pPr>
              <w:pStyle w:val="NormalWeb"/>
              <w:rPr>
                <w:b/>
                <w:bCs/>
                <w:color w:val="FFFFFF" w:themeColor="background1"/>
                <w:sz w:val="18"/>
                <w:szCs w:val="18"/>
              </w:rPr>
            </w:pPr>
            <w:r w:rsidRPr="00BC2C53">
              <w:rPr>
                <w:b/>
                <w:bCs/>
                <w:color w:val="FFFFFF" w:themeColor="background1"/>
                <w:sz w:val="18"/>
                <w:szCs w:val="18"/>
              </w:rPr>
              <w:t>Length of stay in hospital post birth (days)</w:t>
            </w:r>
          </w:p>
        </w:tc>
        <w:tc>
          <w:tcPr>
            <w:tcW w:w="1800" w:type="dxa"/>
            <w:shd w:val="clear" w:color="auto" w:fill="595959" w:themeFill="text1" w:themeFillTint="A6"/>
            <w:hideMark/>
          </w:tcPr>
          <w:p w14:paraId="3FE48936" w14:textId="77777777" w:rsidR="009B61D4" w:rsidRPr="00BC2C53" w:rsidRDefault="009B61D4" w:rsidP="008603FB">
            <w:pPr>
              <w:jc w:val="center"/>
              <w:rPr>
                <w:b/>
                <w:bCs/>
                <w:color w:val="FFFFFF" w:themeColor="background1"/>
                <w:sz w:val="18"/>
                <w:szCs w:val="18"/>
              </w:rPr>
            </w:pPr>
          </w:p>
        </w:tc>
        <w:tc>
          <w:tcPr>
            <w:tcW w:w="1260" w:type="dxa"/>
            <w:shd w:val="clear" w:color="auto" w:fill="595959" w:themeFill="text1" w:themeFillTint="A6"/>
            <w:hideMark/>
          </w:tcPr>
          <w:p w14:paraId="3D70A094" w14:textId="77777777" w:rsidR="009B61D4" w:rsidRPr="00BC2C53" w:rsidRDefault="009B61D4"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24CD1DF1" w14:textId="77777777" w:rsidR="009B61D4" w:rsidRPr="00BC2C53" w:rsidRDefault="009B61D4"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6C0267A9" w14:textId="77777777" w:rsidR="009B61D4" w:rsidRPr="00BC2C53" w:rsidRDefault="009B61D4" w:rsidP="008603FB">
            <w:pPr>
              <w:jc w:val="center"/>
              <w:rPr>
                <w:rFonts w:eastAsia="Times New Roman"/>
                <w:b/>
                <w:bCs/>
                <w:color w:val="FFFFFF" w:themeColor="background1"/>
                <w:sz w:val="18"/>
                <w:szCs w:val="18"/>
              </w:rPr>
            </w:pPr>
          </w:p>
        </w:tc>
      </w:tr>
      <w:tr w:rsidR="009B61D4" w:rsidRPr="00BC2C53" w14:paraId="6F8EA8FB" w14:textId="77777777" w:rsidTr="008603FB">
        <w:tblPrEx>
          <w:tblCellMar>
            <w:top w:w="57" w:type="dxa"/>
            <w:left w:w="57" w:type="dxa"/>
            <w:bottom w:w="57" w:type="dxa"/>
            <w:right w:w="57" w:type="dxa"/>
          </w:tblCellMar>
        </w:tblPrEx>
        <w:tc>
          <w:tcPr>
            <w:tcW w:w="4500" w:type="dxa"/>
            <w:hideMark/>
          </w:tcPr>
          <w:p w14:paraId="146CAF79" w14:textId="77777777" w:rsidR="009B61D4" w:rsidRPr="00BC2C53" w:rsidRDefault="009B61D4" w:rsidP="008603FB">
            <w:pPr>
              <w:pStyle w:val="NormalWeb"/>
              <w:rPr>
                <w:sz w:val="18"/>
                <w:szCs w:val="18"/>
              </w:rPr>
            </w:pPr>
            <w:r w:rsidRPr="00BC2C53">
              <w:rPr>
                <w:sz w:val="18"/>
                <w:szCs w:val="18"/>
              </w:rPr>
              <w:t>Median (IQR)</w:t>
            </w:r>
          </w:p>
        </w:tc>
        <w:tc>
          <w:tcPr>
            <w:tcW w:w="1800" w:type="dxa"/>
            <w:hideMark/>
          </w:tcPr>
          <w:p w14:paraId="28947AA4" w14:textId="77777777" w:rsidR="009B61D4" w:rsidRPr="00BC2C53" w:rsidRDefault="009B61D4" w:rsidP="008603FB">
            <w:pPr>
              <w:pStyle w:val="NormalWeb"/>
              <w:jc w:val="center"/>
              <w:rPr>
                <w:sz w:val="18"/>
                <w:szCs w:val="18"/>
              </w:rPr>
            </w:pPr>
            <w:r w:rsidRPr="00BC2C53">
              <w:rPr>
                <w:sz w:val="18"/>
                <w:szCs w:val="18"/>
              </w:rPr>
              <w:t>2 (1–3)</w:t>
            </w:r>
          </w:p>
        </w:tc>
        <w:tc>
          <w:tcPr>
            <w:tcW w:w="1260" w:type="dxa"/>
            <w:hideMark/>
          </w:tcPr>
          <w:p w14:paraId="6331BC91" w14:textId="77777777" w:rsidR="009B61D4" w:rsidRPr="00BC2C53" w:rsidRDefault="009B61D4" w:rsidP="008603FB">
            <w:pPr>
              <w:pStyle w:val="NormalWeb"/>
              <w:jc w:val="center"/>
              <w:rPr>
                <w:sz w:val="18"/>
                <w:szCs w:val="18"/>
              </w:rPr>
            </w:pPr>
            <w:r w:rsidRPr="00BC2C53">
              <w:rPr>
                <w:sz w:val="18"/>
                <w:szCs w:val="18"/>
              </w:rPr>
              <w:t>2 (1–4)</w:t>
            </w:r>
          </w:p>
        </w:tc>
        <w:tc>
          <w:tcPr>
            <w:tcW w:w="1440" w:type="dxa"/>
            <w:hideMark/>
          </w:tcPr>
          <w:p w14:paraId="061C0276" w14:textId="77777777" w:rsidR="009B61D4" w:rsidRPr="00BC2C53" w:rsidRDefault="009B61D4" w:rsidP="008603FB">
            <w:pPr>
              <w:pStyle w:val="NormalWeb"/>
              <w:jc w:val="center"/>
              <w:rPr>
                <w:sz w:val="18"/>
                <w:szCs w:val="18"/>
              </w:rPr>
            </w:pPr>
            <w:r w:rsidRPr="00BC2C53">
              <w:rPr>
                <w:sz w:val="18"/>
                <w:szCs w:val="18"/>
              </w:rPr>
              <w:t>2 (1–3)</w:t>
            </w:r>
          </w:p>
        </w:tc>
        <w:tc>
          <w:tcPr>
            <w:tcW w:w="1440" w:type="dxa"/>
            <w:hideMark/>
          </w:tcPr>
          <w:p w14:paraId="7B971F09" w14:textId="77777777" w:rsidR="009B61D4" w:rsidRPr="00BC2C53" w:rsidRDefault="009B61D4" w:rsidP="008603FB">
            <w:pPr>
              <w:pStyle w:val="NormalWeb"/>
              <w:jc w:val="center"/>
              <w:rPr>
                <w:sz w:val="18"/>
                <w:szCs w:val="18"/>
              </w:rPr>
            </w:pPr>
            <w:r w:rsidRPr="00BC2C53">
              <w:rPr>
                <w:sz w:val="18"/>
                <w:szCs w:val="18"/>
              </w:rPr>
              <w:t>2 (1–3)</w:t>
            </w:r>
          </w:p>
        </w:tc>
      </w:tr>
      <w:tr w:rsidR="00AE5D29" w:rsidRPr="00BC2C53" w14:paraId="418E906F"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0440" w:type="dxa"/>
            <w:gridSpan w:val="5"/>
            <w:shd w:val="clear" w:color="auto" w:fill="595959" w:themeFill="text1" w:themeFillTint="A6"/>
            <w:hideMark/>
          </w:tcPr>
          <w:p w14:paraId="4EF5AA2E" w14:textId="77777777" w:rsidR="009B61D4" w:rsidRPr="00BC2C53" w:rsidRDefault="009B61D4" w:rsidP="00AE5D29">
            <w:pPr>
              <w:pStyle w:val="NormalWeb"/>
              <w:rPr>
                <w:b/>
                <w:bCs/>
                <w:color w:val="FFFFFF" w:themeColor="background1"/>
                <w:sz w:val="18"/>
                <w:szCs w:val="18"/>
              </w:rPr>
            </w:pPr>
            <w:r w:rsidRPr="00BC2C53">
              <w:rPr>
                <w:b/>
                <w:bCs/>
                <w:color w:val="FFFFFF" w:themeColor="background1"/>
                <w:sz w:val="18"/>
                <w:szCs w:val="18"/>
              </w:rPr>
              <w:t>Infant diagnosed with medical condition post birth</w:t>
            </w:r>
          </w:p>
        </w:tc>
      </w:tr>
      <w:tr w:rsidR="009B61D4" w:rsidRPr="00BC2C53" w14:paraId="6FC82DED" w14:textId="77777777" w:rsidTr="008603FB">
        <w:tblPrEx>
          <w:tblCellMar>
            <w:top w:w="57" w:type="dxa"/>
            <w:left w:w="57" w:type="dxa"/>
            <w:bottom w:w="57" w:type="dxa"/>
            <w:right w:w="57" w:type="dxa"/>
          </w:tblCellMar>
        </w:tblPrEx>
        <w:tc>
          <w:tcPr>
            <w:tcW w:w="4500" w:type="dxa"/>
            <w:hideMark/>
          </w:tcPr>
          <w:p w14:paraId="1547D77B" w14:textId="77777777" w:rsidR="009B61D4" w:rsidRPr="00BC2C53" w:rsidRDefault="009B61D4" w:rsidP="008603FB">
            <w:pPr>
              <w:pStyle w:val="NormalWeb"/>
              <w:rPr>
                <w:sz w:val="18"/>
                <w:szCs w:val="18"/>
              </w:rPr>
            </w:pPr>
            <w:r w:rsidRPr="00BC2C53">
              <w:rPr>
                <w:sz w:val="18"/>
                <w:szCs w:val="18"/>
              </w:rPr>
              <w:t>Yes</w:t>
            </w:r>
          </w:p>
        </w:tc>
        <w:tc>
          <w:tcPr>
            <w:tcW w:w="1800" w:type="dxa"/>
            <w:hideMark/>
          </w:tcPr>
          <w:p w14:paraId="00224568" w14:textId="77777777" w:rsidR="009B61D4" w:rsidRPr="00BC2C53" w:rsidRDefault="009B61D4" w:rsidP="008603FB">
            <w:pPr>
              <w:pStyle w:val="NormalWeb"/>
              <w:jc w:val="center"/>
              <w:rPr>
                <w:sz w:val="18"/>
                <w:szCs w:val="18"/>
              </w:rPr>
            </w:pPr>
            <w:r w:rsidRPr="00BC2C53">
              <w:rPr>
                <w:sz w:val="18"/>
                <w:szCs w:val="18"/>
              </w:rPr>
              <w:t>13 (20.3)</w:t>
            </w:r>
          </w:p>
        </w:tc>
        <w:tc>
          <w:tcPr>
            <w:tcW w:w="1260" w:type="dxa"/>
            <w:hideMark/>
          </w:tcPr>
          <w:p w14:paraId="3DCD5157" w14:textId="77777777" w:rsidR="009B61D4" w:rsidRPr="00BC2C53" w:rsidRDefault="009B61D4" w:rsidP="008603FB">
            <w:pPr>
              <w:pStyle w:val="NormalWeb"/>
              <w:jc w:val="center"/>
              <w:rPr>
                <w:sz w:val="18"/>
                <w:szCs w:val="18"/>
              </w:rPr>
            </w:pPr>
            <w:r w:rsidRPr="00BC2C53">
              <w:rPr>
                <w:sz w:val="18"/>
                <w:szCs w:val="18"/>
              </w:rPr>
              <w:t>7 (10.8)</w:t>
            </w:r>
          </w:p>
        </w:tc>
        <w:tc>
          <w:tcPr>
            <w:tcW w:w="1440" w:type="dxa"/>
            <w:hideMark/>
          </w:tcPr>
          <w:p w14:paraId="08B6570B" w14:textId="77777777" w:rsidR="009B61D4" w:rsidRPr="00BC2C53" w:rsidRDefault="009B61D4" w:rsidP="008603FB">
            <w:pPr>
              <w:pStyle w:val="NormalWeb"/>
              <w:jc w:val="center"/>
              <w:rPr>
                <w:sz w:val="18"/>
                <w:szCs w:val="18"/>
              </w:rPr>
            </w:pPr>
            <w:r w:rsidRPr="00BC2C53">
              <w:rPr>
                <w:sz w:val="18"/>
                <w:szCs w:val="18"/>
              </w:rPr>
              <w:t>11 (16.4)</w:t>
            </w:r>
          </w:p>
        </w:tc>
        <w:tc>
          <w:tcPr>
            <w:tcW w:w="1440" w:type="dxa"/>
            <w:hideMark/>
          </w:tcPr>
          <w:p w14:paraId="5635FA17" w14:textId="77777777" w:rsidR="009B61D4" w:rsidRPr="00BC2C53" w:rsidRDefault="009B61D4" w:rsidP="008603FB">
            <w:pPr>
              <w:pStyle w:val="NormalWeb"/>
              <w:jc w:val="center"/>
              <w:rPr>
                <w:sz w:val="18"/>
                <w:szCs w:val="18"/>
              </w:rPr>
            </w:pPr>
            <w:r w:rsidRPr="00BC2C53">
              <w:rPr>
                <w:sz w:val="18"/>
                <w:szCs w:val="18"/>
              </w:rPr>
              <w:t>31 (15.8)</w:t>
            </w:r>
          </w:p>
        </w:tc>
      </w:tr>
      <w:tr w:rsidR="009B61D4" w:rsidRPr="00BC2C53" w14:paraId="31328BC5"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500" w:type="dxa"/>
            <w:hideMark/>
          </w:tcPr>
          <w:p w14:paraId="6D96DAAD" w14:textId="77777777" w:rsidR="009B61D4" w:rsidRPr="00BC2C53" w:rsidRDefault="009B61D4" w:rsidP="008603FB">
            <w:pPr>
              <w:pStyle w:val="NormalWeb"/>
              <w:rPr>
                <w:sz w:val="18"/>
                <w:szCs w:val="18"/>
              </w:rPr>
            </w:pPr>
            <w:r w:rsidRPr="00BC2C53">
              <w:rPr>
                <w:sz w:val="18"/>
                <w:szCs w:val="18"/>
              </w:rPr>
              <w:t>No</w:t>
            </w:r>
          </w:p>
        </w:tc>
        <w:tc>
          <w:tcPr>
            <w:tcW w:w="1800" w:type="dxa"/>
            <w:hideMark/>
          </w:tcPr>
          <w:p w14:paraId="4F50092C" w14:textId="77777777" w:rsidR="009B61D4" w:rsidRPr="00BC2C53" w:rsidRDefault="009B61D4" w:rsidP="008603FB">
            <w:pPr>
              <w:pStyle w:val="NormalWeb"/>
              <w:jc w:val="center"/>
              <w:rPr>
                <w:sz w:val="18"/>
                <w:szCs w:val="18"/>
              </w:rPr>
            </w:pPr>
            <w:r w:rsidRPr="00BC2C53">
              <w:rPr>
                <w:sz w:val="18"/>
                <w:szCs w:val="18"/>
              </w:rPr>
              <w:t>51 (79.7)</w:t>
            </w:r>
          </w:p>
        </w:tc>
        <w:tc>
          <w:tcPr>
            <w:tcW w:w="1260" w:type="dxa"/>
            <w:hideMark/>
          </w:tcPr>
          <w:p w14:paraId="4C7CAD3B" w14:textId="77777777" w:rsidR="009B61D4" w:rsidRPr="00BC2C53" w:rsidRDefault="009B61D4" w:rsidP="008603FB">
            <w:pPr>
              <w:pStyle w:val="NormalWeb"/>
              <w:jc w:val="center"/>
              <w:rPr>
                <w:sz w:val="18"/>
                <w:szCs w:val="18"/>
              </w:rPr>
            </w:pPr>
            <w:r w:rsidRPr="00BC2C53">
              <w:rPr>
                <w:sz w:val="18"/>
                <w:szCs w:val="18"/>
              </w:rPr>
              <w:t>58 (89.2)</w:t>
            </w:r>
          </w:p>
        </w:tc>
        <w:tc>
          <w:tcPr>
            <w:tcW w:w="1440" w:type="dxa"/>
            <w:hideMark/>
          </w:tcPr>
          <w:p w14:paraId="660E9EE0" w14:textId="77777777" w:rsidR="009B61D4" w:rsidRPr="00BC2C53" w:rsidRDefault="009B61D4" w:rsidP="008603FB">
            <w:pPr>
              <w:pStyle w:val="NormalWeb"/>
              <w:jc w:val="center"/>
              <w:rPr>
                <w:sz w:val="18"/>
                <w:szCs w:val="18"/>
              </w:rPr>
            </w:pPr>
            <w:r w:rsidRPr="00BC2C53">
              <w:rPr>
                <w:sz w:val="18"/>
                <w:szCs w:val="18"/>
              </w:rPr>
              <w:t>56 (83.6)</w:t>
            </w:r>
          </w:p>
        </w:tc>
        <w:tc>
          <w:tcPr>
            <w:tcW w:w="1440" w:type="dxa"/>
            <w:hideMark/>
          </w:tcPr>
          <w:p w14:paraId="59F1ED89" w14:textId="77777777" w:rsidR="009B61D4" w:rsidRPr="00BC2C53" w:rsidRDefault="009B61D4" w:rsidP="008603FB">
            <w:pPr>
              <w:pStyle w:val="NormalWeb"/>
              <w:jc w:val="center"/>
              <w:rPr>
                <w:sz w:val="18"/>
                <w:szCs w:val="18"/>
              </w:rPr>
            </w:pPr>
            <w:r w:rsidRPr="00BC2C53">
              <w:rPr>
                <w:sz w:val="18"/>
                <w:szCs w:val="18"/>
              </w:rPr>
              <w:t>165 (84.2)</w:t>
            </w:r>
          </w:p>
        </w:tc>
      </w:tr>
      <w:tr w:rsidR="009B61D4" w:rsidRPr="00BC2C53" w14:paraId="20944542" w14:textId="77777777" w:rsidTr="008603FB">
        <w:tblPrEx>
          <w:tblCellMar>
            <w:top w:w="57" w:type="dxa"/>
            <w:left w:w="57" w:type="dxa"/>
            <w:bottom w:w="57" w:type="dxa"/>
            <w:right w:w="57" w:type="dxa"/>
          </w:tblCellMar>
        </w:tblPrEx>
        <w:tc>
          <w:tcPr>
            <w:tcW w:w="4500" w:type="dxa"/>
            <w:hideMark/>
          </w:tcPr>
          <w:p w14:paraId="7B28C6BA" w14:textId="77777777" w:rsidR="009B61D4" w:rsidRPr="00BC2C53" w:rsidRDefault="009B61D4" w:rsidP="008603FB">
            <w:pPr>
              <w:pStyle w:val="NormalWeb"/>
              <w:rPr>
                <w:sz w:val="18"/>
                <w:szCs w:val="18"/>
              </w:rPr>
            </w:pPr>
            <w:r w:rsidRPr="00BC2C53">
              <w:rPr>
                <w:sz w:val="18"/>
                <w:szCs w:val="18"/>
              </w:rPr>
              <w:t>Declined/Missing/Unknown</w:t>
            </w:r>
          </w:p>
        </w:tc>
        <w:tc>
          <w:tcPr>
            <w:tcW w:w="1800" w:type="dxa"/>
            <w:hideMark/>
          </w:tcPr>
          <w:p w14:paraId="665CB651" w14:textId="77777777" w:rsidR="009B61D4" w:rsidRPr="00BC2C53" w:rsidRDefault="009B61D4" w:rsidP="008603FB">
            <w:pPr>
              <w:pStyle w:val="NormalWeb"/>
              <w:jc w:val="center"/>
              <w:rPr>
                <w:sz w:val="18"/>
                <w:szCs w:val="18"/>
              </w:rPr>
            </w:pPr>
            <w:r w:rsidRPr="00BC2C53">
              <w:rPr>
                <w:sz w:val="18"/>
                <w:szCs w:val="18"/>
              </w:rPr>
              <w:t>0</w:t>
            </w:r>
          </w:p>
        </w:tc>
        <w:tc>
          <w:tcPr>
            <w:tcW w:w="1260" w:type="dxa"/>
            <w:hideMark/>
          </w:tcPr>
          <w:p w14:paraId="0DCB3F3C" w14:textId="77777777" w:rsidR="009B61D4" w:rsidRPr="00BC2C53" w:rsidRDefault="009B61D4" w:rsidP="008603FB">
            <w:pPr>
              <w:pStyle w:val="NormalWeb"/>
              <w:jc w:val="center"/>
              <w:rPr>
                <w:sz w:val="18"/>
                <w:szCs w:val="18"/>
              </w:rPr>
            </w:pPr>
            <w:r w:rsidRPr="00BC2C53">
              <w:rPr>
                <w:sz w:val="18"/>
                <w:szCs w:val="18"/>
              </w:rPr>
              <w:t>0</w:t>
            </w:r>
          </w:p>
        </w:tc>
        <w:tc>
          <w:tcPr>
            <w:tcW w:w="1440" w:type="dxa"/>
            <w:hideMark/>
          </w:tcPr>
          <w:p w14:paraId="4945934C" w14:textId="77777777" w:rsidR="009B61D4" w:rsidRPr="00BC2C53" w:rsidRDefault="009B61D4" w:rsidP="008603FB">
            <w:pPr>
              <w:pStyle w:val="NormalWeb"/>
              <w:jc w:val="center"/>
              <w:rPr>
                <w:sz w:val="18"/>
                <w:szCs w:val="18"/>
              </w:rPr>
            </w:pPr>
            <w:r w:rsidRPr="00BC2C53">
              <w:rPr>
                <w:sz w:val="18"/>
                <w:szCs w:val="18"/>
              </w:rPr>
              <w:t>0</w:t>
            </w:r>
          </w:p>
        </w:tc>
        <w:tc>
          <w:tcPr>
            <w:tcW w:w="1440" w:type="dxa"/>
            <w:hideMark/>
          </w:tcPr>
          <w:p w14:paraId="0D30B4C9" w14:textId="77777777" w:rsidR="009B61D4" w:rsidRPr="00BC2C53" w:rsidRDefault="009B61D4" w:rsidP="008603FB">
            <w:pPr>
              <w:pStyle w:val="NormalWeb"/>
              <w:jc w:val="center"/>
              <w:rPr>
                <w:sz w:val="18"/>
                <w:szCs w:val="18"/>
              </w:rPr>
            </w:pPr>
            <w:r w:rsidRPr="00BC2C53">
              <w:rPr>
                <w:sz w:val="18"/>
                <w:szCs w:val="18"/>
              </w:rPr>
              <w:t>0</w:t>
            </w:r>
          </w:p>
        </w:tc>
      </w:tr>
      <w:tr w:rsidR="00AE5D29" w:rsidRPr="00BC2C53" w14:paraId="081F098F"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500" w:type="dxa"/>
            <w:shd w:val="clear" w:color="auto" w:fill="595959" w:themeFill="text1" w:themeFillTint="A6"/>
            <w:hideMark/>
          </w:tcPr>
          <w:p w14:paraId="7331BE54" w14:textId="77777777" w:rsidR="009B61D4" w:rsidRPr="00BC2C53" w:rsidRDefault="009B61D4" w:rsidP="00AE5D29">
            <w:pPr>
              <w:pStyle w:val="NormalWeb"/>
              <w:rPr>
                <w:b/>
                <w:bCs/>
                <w:color w:val="FFFFFF" w:themeColor="background1"/>
                <w:sz w:val="18"/>
                <w:szCs w:val="18"/>
              </w:rPr>
            </w:pPr>
            <w:r w:rsidRPr="00BC2C53">
              <w:rPr>
                <w:b/>
                <w:bCs/>
                <w:color w:val="FFFFFF" w:themeColor="background1"/>
                <w:sz w:val="18"/>
                <w:szCs w:val="18"/>
              </w:rPr>
              <w:t>Planned use of childcare</w:t>
            </w:r>
          </w:p>
        </w:tc>
        <w:tc>
          <w:tcPr>
            <w:tcW w:w="1800" w:type="dxa"/>
            <w:shd w:val="clear" w:color="auto" w:fill="595959" w:themeFill="text1" w:themeFillTint="A6"/>
            <w:hideMark/>
          </w:tcPr>
          <w:p w14:paraId="565F960C" w14:textId="77777777" w:rsidR="009B61D4" w:rsidRPr="00BC2C53" w:rsidRDefault="009B61D4" w:rsidP="00AE5D29">
            <w:pPr>
              <w:rPr>
                <w:b/>
                <w:bCs/>
                <w:color w:val="FFFFFF" w:themeColor="background1"/>
                <w:sz w:val="18"/>
                <w:szCs w:val="18"/>
              </w:rPr>
            </w:pPr>
          </w:p>
        </w:tc>
        <w:tc>
          <w:tcPr>
            <w:tcW w:w="1260" w:type="dxa"/>
            <w:shd w:val="clear" w:color="auto" w:fill="595959" w:themeFill="text1" w:themeFillTint="A6"/>
            <w:hideMark/>
          </w:tcPr>
          <w:p w14:paraId="2C0C3C2D" w14:textId="77777777" w:rsidR="009B61D4" w:rsidRPr="00BC2C53" w:rsidRDefault="009B61D4" w:rsidP="00AE5D29">
            <w:pPr>
              <w:rPr>
                <w:rFonts w:eastAsia="Times New Roman"/>
                <w:b/>
                <w:bCs/>
                <w:color w:val="FFFFFF" w:themeColor="background1"/>
                <w:sz w:val="18"/>
                <w:szCs w:val="18"/>
              </w:rPr>
            </w:pPr>
          </w:p>
        </w:tc>
        <w:tc>
          <w:tcPr>
            <w:tcW w:w="1440" w:type="dxa"/>
            <w:shd w:val="clear" w:color="auto" w:fill="595959" w:themeFill="text1" w:themeFillTint="A6"/>
            <w:hideMark/>
          </w:tcPr>
          <w:p w14:paraId="6C6D60D0" w14:textId="77777777" w:rsidR="009B61D4" w:rsidRPr="00BC2C53" w:rsidRDefault="009B61D4" w:rsidP="00AE5D29">
            <w:pPr>
              <w:rPr>
                <w:rFonts w:eastAsia="Times New Roman"/>
                <w:b/>
                <w:bCs/>
                <w:color w:val="FFFFFF" w:themeColor="background1"/>
                <w:sz w:val="18"/>
                <w:szCs w:val="18"/>
              </w:rPr>
            </w:pPr>
          </w:p>
        </w:tc>
        <w:tc>
          <w:tcPr>
            <w:tcW w:w="1440" w:type="dxa"/>
            <w:shd w:val="clear" w:color="auto" w:fill="595959" w:themeFill="text1" w:themeFillTint="A6"/>
            <w:hideMark/>
          </w:tcPr>
          <w:p w14:paraId="3B27FCEE" w14:textId="77777777" w:rsidR="009B61D4" w:rsidRPr="00BC2C53" w:rsidRDefault="009B61D4" w:rsidP="00AE5D29">
            <w:pPr>
              <w:rPr>
                <w:rFonts w:eastAsia="Times New Roman"/>
                <w:b/>
                <w:bCs/>
                <w:color w:val="FFFFFF" w:themeColor="background1"/>
                <w:sz w:val="18"/>
                <w:szCs w:val="18"/>
              </w:rPr>
            </w:pPr>
          </w:p>
        </w:tc>
      </w:tr>
      <w:tr w:rsidR="009B61D4" w:rsidRPr="00BC2C53" w14:paraId="42CFA1DD" w14:textId="77777777" w:rsidTr="008603FB">
        <w:tblPrEx>
          <w:tblCellMar>
            <w:top w:w="57" w:type="dxa"/>
            <w:left w:w="57" w:type="dxa"/>
            <w:bottom w:w="57" w:type="dxa"/>
            <w:right w:w="57" w:type="dxa"/>
          </w:tblCellMar>
        </w:tblPrEx>
        <w:tc>
          <w:tcPr>
            <w:tcW w:w="4500" w:type="dxa"/>
            <w:hideMark/>
          </w:tcPr>
          <w:p w14:paraId="29BE7749" w14:textId="77777777" w:rsidR="009B61D4" w:rsidRPr="00BC2C53" w:rsidRDefault="009B61D4" w:rsidP="008603FB">
            <w:pPr>
              <w:pStyle w:val="NormalWeb"/>
              <w:rPr>
                <w:sz w:val="18"/>
                <w:szCs w:val="18"/>
              </w:rPr>
            </w:pPr>
            <w:r w:rsidRPr="00BC2C53">
              <w:rPr>
                <w:sz w:val="18"/>
                <w:szCs w:val="18"/>
              </w:rPr>
              <w:t>Yes</w:t>
            </w:r>
          </w:p>
        </w:tc>
        <w:tc>
          <w:tcPr>
            <w:tcW w:w="1800" w:type="dxa"/>
            <w:hideMark/>
          </w:tcPr>
          <w:p w14:paraId="0AF2F82D" w14:textId="77777777" w:rsidR="009B61D4" w:rsidRPr="00BC2C53" w:rsidRDefault="009B61D4" w:rsidP="008603FB">
            <w:pPr>
              <w:pStyle w:val="NormalWeb"/>
              <w:jc w:val="center"/>
              <w:rPr>
                <w:sz w:val="18"/>
                <w:szCs w:val="18"/>
              </w:rPr>
            </w:pPr>
            <w:r w:rsidRPr="00BC2C53">
              <w:rPr>
                <w:sz w:val="18"/>
                <w:szCs w:val="18"/>
              </w:rPr>
              <w:t>36 (56.3)</w:t>
            </w:r>
          </w:p>
        </w:tc>
        <w:tc>
          <w:tcPr>
            <w:tcW w:w="1260" w:type="dxa"/>
            <w:hideMark/>
          </w:tcPr>
          <w:p w14:paraId="262782DB" w14:textId="77777777" w:rsidR="009B61D4" w:rsidRPr="00BC2C53" w:rsidRDefault="009B61D4" w:rsidP="008603FB">
            <w:pPr>
              <w:pStyle w:val="NormalWeb"/>
              <w:jc w:val="center"/>
              <w:rPr>
                <w:sz w:val="18"/>
                <w:szCs w:val="18"/>
              </w:rPr>
            </w:pPr>
            <w:r w:rsidRPr="00BC2C53">
              <w:rPr>
                <w:sz w:val="18"/>
                <w:szCs w:val="18"/>
              </w:rPr>
              <w:t>40 (61.5)</w:t>
            </w:r>
          </w:p>
        </w:tc>
        <w:tc>
          <w:tcPr>
            <w:tcW w:w="1440" w:type="dxa"/>
            <w:hideMark/>
          </w:tcPr>
          <w:p w14:paraId="54D3E15A" w14:textId="77777777" w:rsidR="009B61D4" w:rsidRPr="00BC2C53" w:rsidRDefault="009B61D4" w:rsidP="008603FB">
            <w:pPr>
              <w:pStyle w:val="NormalWeb"/>
              <w:jc w:val="center"/>
              <w:rPr>
                <w:sz w:val="18"/>
                <w:szCs w:val="18"/>
              </w:rPr>
            </w:pPr>
            <w:r w:rsidRPr="00BC2C53">
              <w:rPr>
                <w:sz w:val="18"/>
                <w:szCs w:val="18"/>
              </w:rPr>
              <w:t>40 (59.7)</w:t>
            </w:r>
          </w:p>
        </w:tc>
        <w:tc>
          <w:tcPr>
            <w:tcW w:w="1440" w:type="dxa"/>
            <w:hideMark/>
          </w:tcPr>
          <w:p w14:paraId="5F7912B5" w14:textId="77777777" w:rsidR="009B61D4" w:rsidRPr="00BC2C53" w:rsidRDefault="009B61D4" w:rsidP="008603FB">
            <w:pPr>
              <w:pStyle w:val="NormalWeb"/>
              <w:jc w:val="center"/>
              <w:rPr>
                <w:sz w:val="18"/>
                <w:szCs w:val="18"/>
              </w:rPr>
            </w:pPr>
            <w:r w:rsidRPr="00BC2C53">
              <w:rPr>
                <w:sz w:val="18"/>
                <w:szCs w:val="18"/>
              </w:rPr>
              <w:t>116 (59.2)</w:t>
            </w:r>
          </w:p>
        </w:tc>
      </w:tr>
      <w:tr w:rsidR="009B61D4" w:rsidRPr="00BC2C53" w14:paraId="07B9A07E"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500" w:type="dxa"/>
            <w:hideMark/>
          </w:tcPr>
          <w:p w14:paraId="32817BA5" w14:textId="77777777" w:rsidR="009B61D4" w:rsidRPr="00BC2C53" w:rsidRDefault="009B61D4" w:rsidP="008603FB">
            <w:pPr>
              <w:pStyle w:val="NormalWeb"/>
              <w:rPr>
                <w:sz w:val="18"/>
                <w:szCs w:val="18"/>
              </w:rPr>
            </w:pPr>
            <w:r w:rsidRPr="00BC2C53">
              <w:rPr>
                <w:sz w:val="18"/>
                <w:szCs w:val="18"/>
              </w:rPr>
              <w:t>No</w:t>
            </w:r>
          </w:p>
        </w:tc>
        <w:tc>
          <w:tcPr>
            <w:tcW w:w="1800" w:type="dxa"/>
            <w:hideMark/>
          </w:tcPr>
          <w:p w14:paraId="2C71330C" w14:textId="77777777" w:rsidR="009B61D4" w:rsidRPr="00BC2C53" w:rsidRDefault="009B61D4" w:rsidP="008603FB">
            <w:pPr>
              <w:pStyle w:val="NormalWeb"/>
              <w:jc w:val="center"/>
              <w:rPr>
                <w:sz w:val="18"/>
                <w:szCs w:val="18"/>
              </w:rPr>
            </w:pPr>
            <w:r w:rsidRPr="00BC2C53">
              <w:rPr>
                <w:sz w:val="18"/>
                <w:szCs w:val="18"/>
              </w:rPr>
              <w:t>21 (32.8)</w:t>
            </w:r>
          </w:p>
        </w:tc>
        <w:tc>
          <w:tcPr>
            <w:tcW w:w="1260" w:type="dxa"/>
            <w:hideMark/>
          </w:tcPr>
          <w:p w14:paraId="0DC01F7D" w14:textId="77777777" w:rsidR="009B61D4" w:rsidRPr="00BC2C53" w:rsidRDefault="009B61D4" w:rsidP="008603FB">
            <w:pPr>
              <w:pStyle w:val="NormalWeb"/>
              <w:jc w:val="center"/>
              <w:rPr>
                <w:sz w:val="18"/>
                <w:szCs w:val="18"/>
              </w:rPr>
            </w:pPr>
            <w:r w:rsidRPr="00BC2C53">
              <w:rPr>
                <w:sz w:val="18"/>
                <w:szCs w:val="18"/>
              </w:rPr>
              <w:t>24 (36.9)</w:t>
            </w:r>
          </w:p>
        </w:tc>
        <w:tc>
          <w:tcPr>
            <w:tcW w:w="1440" w:type="dxa"/>
            <w:hideMark/>
          </w:tcPr>
          <w:p w14:paraId="1E84C6DE" w14:textId="77777777" w:rsidR="009B61D4" w:rsidRPr="00BC2C53" w:rsidRDefault="009B61D4" w:rsidP="008603FB">
            <w:pPr>
              <w:pStyle w:val="NormalWeb"/>
              <w:jc w:val="center"/>
              <w:rPr>
                <w:sz w:val="18"/>
                <w:szCs w:val="18"/>
              </w:rPr>
            </w:pPr>
            <w:r w:rsidRPr="00BC2C53">
              <w:rPr>
                <w:sz w:val="18"/>
                <w:szCs w:val="18"/>
              </w:rPr>
              <w:t>21 (31.3)</w:t>
            </w:r>
          </w:p>
        </w:tc>
        <w:tc>
          <w:tcPr>
            <w:tcW w:w="1440" w:type="dxa"/>
            <w:hideMark/>
          </w:tcPr>
          <w:p w14:paraId="66CDFEEC" w14:textId="77777777" w:rsidR="009B61D4" w:rsidRPr="00BC2C53" w:rsidRDefault="009B61D4" w:rsidP="008603FB">
            <w:pPr>
              <w:pStyle w:val="NormalWeb"/>
              <w:jc w:val="center"/>
              <w:rPr>
                <w:sz w:val="18"/>
                <w:szCs w:val="18"/>
              </w:rPr>
            </w:pPr>
            <w:r w:rsidRPr="00BC2C53">
              <w:rPr>
                <w:sz w:val="18"/>
                <w:szCs w:val="18"/>
              </w:rPr>
              <w:t>66 (33.7)</w:t>
            </w:r>
          </w:p>
        </w:tc>
      </w:tr>
      <w:tr w:rsidR="009B61D4" w:rsidRPr="00BC2C53" w14:paraId="1368D3C9" w14:textId="77777777" w:rsidTr="008603FB">
        <w:tblPrEx>
          <w:tblCellMar>
            <w:top w:w="57" w:type="dxa"/>
            <w:left w:w="57" w:type="dxa"/>
            <w:bottom w:w="57" w:type="dxa"/>
            <w:right w:w="57" w:type="dxa"/>
          </w:tblCellMar>
        </w:tblPrEx>
        <w:tc>
          <w:tcPr>
            <w:tcW w:w="4500" w:type="dxa"/>
            <w:hideMark/>
          </w:tcPr>
          <w:p w14:paraId="774EC5CE" w14:textId="77777777" w:rsidR="009B61D4" w:rsidRPr="00BC2C53" w:rsidRDefault="009B61D4" w:rsidP="008603FB">
            <w:pPr>
              <w:pStyle w:val="NormalWeb"/>
              <w:rPr>
                <w:sz w:val="18"/>
                <w:szCs w:val="18"/>
              </w:rPr>
            </w:pPr>
            <w:r w:rsidRPr="00BC2C53">
              <w:rPr>
                <w:sz w:val="18"/>
                <w:szCs w:val="18"/>
              </w:rPr>
              <w:t>Unknown</w:t>
            </w:r>
          </w:p>
        </w:tc>
        <w:tc>
          <w:tcPr>
            <w:tcW w:w="1800" w:type="dxa"/>
            <w:hideMark/>
          </w:tcPr>
          <w:p w14:paraId="24076D58" w14:textId="77777777" w:rsidR="009B61D4" w:rsidRPr="00BC2C53" w:rsidRDefault="009B61D4" w:rsidP="008603FB">
            <w:pPr>
              <w:pStyle w:val="NormalWeb"/>
              <w:jc w:val="center"/>
              <w:rPr>
                <w:sz w:val="18"/>
                <w:szCs w:val="18"/>
              </w:rPr>
            </w:pPr>
            <w:r w:rsidRPr="00BC2C53">
              <w:rPr>
                <w:sz w:val="18"/>
                <w:szCs w:val="18"/>
              </w:rPr>
              <w:t>7 (10.9)</w:t>
            </w:r>
          </w:p>
        </w:tc>
        <w:tc>
          <w:tcPr>
            <w:tcW w:w="1260" w:type="dxa"/>
            <w:hideMark/>
          </w:tcPr>
          <w:p w14:paraId="4BFA8609" w14:textId="77777777" w:rsidR="009B61D4" w:rsidRPr="00BC2C53" w:rsidRDefault="009B61D4" w:rsidP="008603FB">
            <w:pPr>
              <w:pStyle w:val="NormalWeb"/>
              <w:jc w:val="center"/>
              <w:rPr>
                <w:sz w:val="18"/>
                <w:szCs w:val="18"/>
              </w:rPr>
            </w:pPr>
            <w:r w:rsidRPr="00BC2C53">
              <w:rPr>
                <w:sz w:val="18"/>
                <w:szCs w:val="18"/>
              </w:rPr>
              <w:t>1 (1.5)</w:t>
            </w:r>
          </w:p>
        </w:tc>
        <w:tc>
          <w:tcPr>
            <w:tcW w:w="1440" w:type="dxa"/>
            <w:hideMark/>
          </w:tcPr>
          <w:p w14:paraId="64F4E288" w14:textId="77777777" w:rsidR="009B61D4" w:rsidRPr="00BC2C53" w:rsidRDefault="009B61D4" w:rsidP="008603FB">
            <w:pPr>
              <w:pStyle w:val="NormalWeb"/>
              <w:jc w:val="center"/>
              <w:rPr>
                <w:sz w:val="18"/>
                <w:szCs w:val="18"/>
              </w:rPr>
            </w:pPr>
            <w:r w:rsidRPr="00BC2C53">
              <w:rPr>
                <w:sz w:val="18"/>
                <w:szCs w:val="18"/>
              </w:rPr>
              <w:t>6 (9.0)</w:t>
            </w:r>
          </w:p>
        </w:tc>
        <w:tc>
          <w:tcPr>
            <w:tcW w:w="1440" w:type="dxa"/>
            <w:hideMark/>
          </w:tcPr>
          <w:p w14:paraId="21A35E64" w14:textId="77777777" w:rsidR="009B61D4" w:rsidRPr="00BC2C53" w:rsidRDefault="009B61D4" w:rsidP="008603FB">
            <w:pPr>
              <w:pStyle w:val="NormalWeb"/>
              <w:jc w:val="center"/>
              <w:rPr>
                <w:sz w:val="18"/>
                <w:szCs w:val="18"/>
              </w:rPr>
            </w:pPr>
            <w:r w:rsidRPr="00BC2C53">
              <w:rPr>
                <w:sz w:val="18"/>
                <w:szCs w:val="18"/>
              </w:rPr>
              <w:t>14 (7.1)</w:t>
            </w:r>
          </w:p>
        </w:tc>
      </w:tr>
      <w:tr w:rsidR="00AE5D29" w:rsidRPr="00BC2C53" w14:paraId="62425691"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0440" w:type="dxa"/>
            <w:gridSpan w:val="5"/>
            <w:shd w:val="clear" w:color="auto" w:fill="595959" w:themeFill="text1" w:themeFillTint="A6"/>
            <w:hideMark/>
          </w:tcPr>
          <w:p w14:paraId="37917500" w14:textId="77777777" w:rsidR="009B61D4" w:rsidRPr="00BC2C53" w:rsidRDefault="009B61D4" w:rsidP="00AE5D29">
            <w:pPr>
              <w:pStyle w:val="NormalWeb"/>
              <w:rPr>
                <w:b/>
                <w:bCs/>
                <w:color w:val="FFFFFF" w:themeColor="background1"/>
                <w:sz w:val="18"/>
                <w:szCs w:val="18"/>
              </w:rPr>
            </w:pPr>
            <w:r w:rsidRPr="00BC2C53">
              <w:rPr>
                <w:b/>
                <w:bCs/>
                <w:color w:val="FFFFFF" w:themeColor="background1"/>
                <w:sz w:val="18"/>
                <w:szCs w:val="18"/>
              </w:rPr>
              <w:t>Planned age in months for start of childcare if planned use is “Yes”</w:t>
            </w:r>
          </w:p>
        </w:tc>
      </w:tr>
      <w:tr w:rsidR="009B61D4" w:rsidRPr="00BC2C53" w14:paraId="4C30CE83" w14:textId="77777777" w:rsidTr="008603FB">
        <w:tblPrEx>
          <w:tblCellMar>
            <w:top w:w="57" w:type="dxa"/>
            <w:left w:w="57" w:type="dxa"/>
            <w:bottom w:w="57" w:type="dxa"/>
            <w:right w:w="57" w:type="dxa"/>
          </w:tblCellMar>
        </w:tblPrEx>
        <w:tc>
          <w:tcPr>
            <w:tcW w:w="4500" w:type="dxa"/>
            <w:hideMark/>
          </w:tcPr>
          <w:p w14:paraId="25FFE327" w14:textId="77777777" w:rsidR="009B61D4" w:rsidRPr="00BC2C53" w:rsidRDefault="009B61D4" w:rsidP="008603FB">
            <w:pPr>
              <w:pStyle w:val="NormalWeb"/>
              <w:rPr>
                <w:sz w:val="18"/>
                <w:szCs w:val="18"/>
              </w:rPr>
            </w:pPr>
            <w:r w:rsidRPr="00BC2C53">
              <w:rPr>
                <w:sz w:val="18"/>
                <w:szCs w:val="18"/>
              </w:rPr>
              <w:t>0–5 months</w:t>
            </w:r>
          </w:p>
        </w:tc>
        <w:tc>
          <w:tcPr>
            <w:tcW w:w="1800" w:type="dxa"/>
            <w:hideMark/>
          </w:tcPr>
          <w:p w14:paraId="64BA06EA" w14:textId="77777777" w:rsidR="009B61D4" w:rsidRPr="00BC2C53" w:rsidRDefault="009B61D4" w:rsidP="008603FB">
            <w:pPr>
              <w:pStyle w:val="NormalWeb"/>
              <w:jc w:val="center"/>
              <w:rPr>
                <w:sz w:val="18"/>
                <w:szCs w:val="18"/>
              </w:rPr>
            </w:pPr>
            <w:r w:rsidRPr="00BC2C53">
              <w:rPr>
                <w:sz w:val="18"/>
                <w:szCs w:val="18"/>
              </w:rPr>
              <w:t>1 (2.8)</w:t>
            </w:r>
          </w:p>
        </w:tc>
        <w:tc>
          <w:tcPr>
            <w:tcW w:w="1260" w:type="dxa"/>
            <w:hideMark/>
          </w:tcPr>
          <w:p w14:paraId="4FA81E3E" w14:textId="77777777" w:rsidR="009B61D4" w:rsidRPr="00BC2C53" w:rsidRDefault="009B61D4" w:rsidP="008603FB">
            <w:pPr>
              <w:pStyle w:val="NormalWeb"/>
              <w:jc w:val="center"/>
              <w:rPr>
                <w:sz w:val="18"/>
                <w:szCs w:val="18"/>
              </w:rPr>
            </w:pPr>
            <w:r w:rsidRPr="00BC2C53">
              <w:rPr>
                <w:sz w:val="18"/>
                <w:szCs w:val="18"/>
              </w:rPr>
              <w:t>8 (20.0)</w:t>
            </w:r>
          </w:p>
        </w:tc>
        <w:tc>
          <w:tcPr>
            <w:tcW w:w="1440" w:type="dxa"/>
            <w:hideMark/>
          </w:tcPr>
          <w:p w14:paraId="7F9D0530" w14:textId="77777777" w:rsidR="009B61D4" w:rsidRPr="00BC2C53" w:rsidRDefault="009B61D4" w:rsidP="008603FB">
            <w:pPr>
              <w:pStyle w:val="NormalWeb"/>
              <w:jc w:val="center"/>
              <w:rPr>
                <w:sz w:val="18"/>
                <w:szCs w:val="18"/>
              </w:rPr>
            </w:pPr>
            <w:r w:rsidRPr="00BC2C53">
              <w:rPr>
                <w:sz w:val="18"/>
                <w:szCs w:val="18"/>
              </w:rPr>
              <w:t>8 (20.0)</w:t>
            </w:r>
          </w:p>
        </w:tc>
        <w:tc>
          <w:tcPr>
            <w:tcW w:w="1440" w:type="dxa"/>
            <w:hideMark/>
          </w:tcPr>
          <w:p w14:paraId="45DD0C61" w14:textId="77777777" w:rsidR="009B61D4" w:rsidRPr="00BC2C53" w:rsidRDefault="009B61D4" w:rsidP="008603FB">
            <w:pPr>
              <w:pStyle w:val="NormalWeb"/>
              <w:jc w:val="center"/>
              <w:rPr>
                <w:sz w:val="18"/>
                <w:szCs w:val="18"/>
              </w:rPr>
            </w:pPr>
            <w:r w:rsidRPr="00BC2C53">
              <w:rPr>
                <w:sz w:val="18"/>
                <w:szCs w:val="18"/>
              </w:rPr>
              <w:t>17 (14.7)</w:t>
            </w:r>
          </w:p>
        </w:tc>
      </w:tr>
      <w:tr w:rsidR="009B61D4" w:rsidRPr="00BC2C53" w14:paraId="77EF70E2"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500" w:type="dxa"/>
            <w:hideMark/>
          </w:tcPr>
          <w:p w14:paraId="076F594D" w14:textId="77777777" w:rsidR="009B61D4" w:rsidRPr="00BC2C53" w:rsidRDefault="009B61D4" w:rsidP="008603FB">
            <w:pPr>
              <w:pStyle w:val="NormalWeb"/>
              <w:rPr>
                <w:sz w:val="18"/>
                <w:szCs w:val="18"/>
              </w:rPr>
            </w:pPr>
            <w:r w:rsidRPr="00BC2C53">
              <w:rPr>
                <w:sz w:val="18"/>
                <w:szCs w:val="18"/>
              </w:rPr>
              <w:t>6–11 months</w:t>
            </w:r>
          </w:p>
        </w:tc>
        <w:tc>
          <w:tcPr>
            <w:tcW w:w="1800" w:type="dxa"/>
            <w:hideMark/>
          </w:tcPr>
          <w:p w14:paraId="55C18D0D" w14:textId="77777777" w:rsidR="009B61D4" w:rsidRPr="00BC2C53" w:rsidRDefault="009B61D4" w:rsidP="008603FB">
            <w:pPr>
              <w:pStyle w:val="NormalWeb"/>
              <w:jc w:val="center"/>
              <w:rPr>
                <w:sz w:val="18"/>
                <w:szCs w:val="18"/>
              </w:rPr>
            </w:pPr>
            <w:r w:rsidRPr="00BC2C53">
              <w:rPr>
                <w:sz w:val="18"/>
                <w:szCs w:val="18"/>
              </w:rPr>
              <w:t>18 (50.0)</w:t>
            </w:r>
          </w:p>
        </w:tc>
        <w:tc>
          <w:tcPr>
            <w:tcW w:w="1260" w:type="dxa"/>
            <w:hideMark/>
          </w:tcPr>
          <w:p w14:paraId="7D4D20C2" w14:textId="77777777" w:rsidR="009B61D4" w:rsidRPr="00BC2C53" w:rsidRDefault="009B61D4" w:rsidP="008603FB">
            <w:pPr>
              <w:pStyle w:val="NormalWeb"/>
              <w:jc w:val="center"/>
              <w:rPr>
                <w:sz w:val="18"/>
                <w:szCs w:val="18"/>
              </w:rPr>
            </w:pPr>
            <w:r w:rsidRPr="00BC2C53">
              <w:rPr>
                <w:sz w:val="18"/>
                <w:szCs w:val="18"/>
              </w:rPr>
              <w:t>20 (25.0)</w:t>
            </w:r>
          </w:p>
        </w:tc>
        <w:tc>
          <w:tcPr>
            <w:tcW w:w="1440" w:type="dxa"/>
            <w:hideMark/>
          </w:tcPr>
          <w:p w14:paraId="12EEA80B" w14:textId="77777777" w:rsidR="009B61D4" w:rsidRPr="00BC2C53" w:rsidRDefault="009B61D4" w:rsidP="008603FB">
            <w:pPr>
              <w:pStyle w:val="NormalWeb"/>
              <w:jc w:val="center"/>
              <w:rPr>
                <w:sz w:val="18"/>
                <w:szCs w:val="18"/>
              </w:rPr>
            </w:pPr>
            <w:r w:rsidRPr="00BC2C53">
              <w:rPr>
                <w:sz w:val="18"/>
                <w:szCs w:val="18"/>
              </w:rPr>
              <w:t>12 (30.0)</w:t>
            </w:r>
          </w:p>
        </w:tc>
        <w:tc>
          <w:tcPr>
            <w:tcW w:w="1440" w:type="dxa"/>
            <w:hideMark/>
          </w:tcPr>
          <w:p w14:paraId="68B16152" w14:textId="77777777" w:rsidR="009B61D4" w:rsidRPr="00BC2C53" w:rsidRDefault="009B61D4" w:rsidP="008603FB">
            <w:pPr>
              <w:pStyle w:val="NormalWeb"/>
              <w:jc w:val="center"/>
              <w:rPr>
                <w:sz w:val="18"/>
                <w:szCs w:val="18"/>
              </w:rPr>
            </w:pPr>
            <w:r w:rsidRPr="00BC2C53">
              <w:rPr>
                <w:sz w:val="18"/>
                <w:szCs w:val="18"/>
              </w:rPr>
              <w:t>40 (34.5)</w:t>
            </w:r>
          </w:p>
        </w:tc>
      </w:tr>
      <w:tr w:rsidR="009B61D4" w:rsidRPr="00BC2C53" w14:paraId="181FD4A3" w14:textId="77777777" w:rsidTr="008603FB">
        <w:tblPrEx>
          <w:tblCellMar>
            <w:top w:w="57" w:type="dxa"/>
            <w:left w:w="57" w:type="dxa"/>
            <w:bottom w:w="57" w:type="dxa"/>
            <w:right w:w="57" w:type="dxa"/>
          </w:tblCellMar>
        </w:tblPrEx>
        <w:tc>
          <w:tcPr>
            <w:tcW w:w="4500" w:type="dxa"/>
            <w:hideMark/>
          </w:tcPr>
          <w:p w14:paraId="37CA9619" w14:textId="77777777" w:rsidR="009B61D4" w:rsidRPr="00BC2C53" w:rsidRDefault="009B61D4" w:rsidP="008603FB">
            <w:pPr>
              <w:pStyle w:val="NormalWeb"/>
              <w:rPr>
                <w:sz w:val="18"/>
                <w:szCs w:val="18"/>
              </w:rPr>
            </w:pPr>
            <w:r w:rsidRPr="00BC2C53">
              <w:rPr>
                <w:sz w:val="18"/>
                <w:szCs w:val="18"/>
              </w:rPr>
              <w:t>12+ months</w:t>
            </w:r>
          </w:p>
        </w:tc>
        <w:tc>
          <w:tcPr>
            <w:tcW w:w="1800" w:type="dxa"/>
            <w:hideMark/>
          </w:tcPr>
          <w:p w14:paraId="71ED0AA1" w14:textId="77777777" w:rsidR="009B61D4" w:rsidRPr="00BC2C53" w:rsidRDefault="009B61D4" w:rsidP="008603FB">
            <w:pPr>
              <w:pStyle w:val="NormalWeb"/>
              <w:jc w:val="center"/>
              <w:rPr>
                <w:sz w:val="18"/>
                <w:szCs w:val="18"/>
              </w:rPr>
            </w:pPr>
            <w:r w:rsidRPr="00BC2C53">
              <w:rPr>
                <w:sz w:val="18"/>
                <w:szCs w:val="18"/>
              </w:rPr>
              <w:t>14 (38.9)</w:t>
            </w:r>
          </w:p>
        </w:tc>
        <w:tc>
          <w:tcPr>
            <w:tcW w:w="1260" w:type="dxa"/>
            <w:hideMark/>
          </w:tcPr>
          <w:p w14:paraId="2DBDC29E" w14:textId="77777777" w:rsidR="009B61D4" w:rsidRPr="00BC2C53" w:rsidRDefault="009B61D4" w:rsidP="008603FB">
            <w:pPr>
              <w:pStyle w:val="NormalWeb"/>
              <w:jc w:val="center"/>
              <w:rPr>
                <w:sz w:val="18"/>
                <w:szCs w:val="18"/>
              </w:rPr>
            </w:pPr>
            <w:r w:rsidRPr="00BC2C53">
              <w:rPr>
                <w:sz w:val="18"/>
                <w:szCs w:val="18"/>
              </w:rPr>
              <w:t>21 (52.5)</w:t>
            </w:r>
          </w:p>
        </w:tc>
        <w:tc>
          <w:tcPr>
            <w:tcW w:w="1440" w:type="dxa"/>
            <w:hideMark/>
          </w:tcPr>
          <w:p w14:paraId="63DFF240" w14:textId="77777777" w:rsidR="009B61D4" w:rsidRPr="00BC2C53" w:rsidRDefault="009B61D4" w:rsidP="008603FB">
            <w:pPr>
              <w:pStyle w:val="NormalWeb"/>
              <w:jc w:val="center"/>
              <w:rPr>
                <w:sz w:val="18"/>
                <w:szCs w:val="18"/>
              </w:rPr>
            </w:pPr>
            <w:r w:rsidRPr="00BC2C53">
              <w:rPr>
                <w:sz w:val="18"/>
                <w:szCs w:val="18"/>
              </w:rPr>
              <w:t>15 (37.5)</w:t>
            </w:r>
          </w:p>
        </w:tc>
        <w:tc>
          <w:tcPr>
            <w:tcW w:w="1440" w:type="dxa"/>
            <w:hideMark/>
          </w:tcPr>
          <w:p w14:paraId="215D6CB3" w14:textId="77777777" w:rsidR="009B61D4" w:rsidRPr="00BC2C53" w:rsidRDefault="009B61D4" w:rsidP="008603FB">
            <w:pPr>
              <w:pStyle w:val="NormalWeb"/>
              <w:jc w:val="center"/>
              <w:rPr>
                <w:sz w:val="18"/>
                <w:szCs w:val="18"/>
              </w:rPr>
            </w:pPr>
            <w:r w:rsidRPr="00BC2C53">
              <w:rPr>
                <w:sz w:val="18"/>
                <w:szCs w:val="18"/>
              </w:rPr>
              <w:t>50 (43.1)</w:t>
            </w:r>
          </w:p>
        </w:tc>
      </w:tr>
      <w:tr w:rsidR="009B61D4" w:rsidRPr="00BC2C53" w14:paraId="07987C3A"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500" w:type="dxa"/>
            <w:hideMark/>
          </w:tcPr>
          <w:p w14:paraId="182D413E" w14:textId="77777777" w:rsidR="009B61D4" w:rsidRPr="00BC2C53" w:rsidRDefault="009B61D4" w:rsidP="008603FB">
            <w:pPr>
              <w:pStyle w:val="NormalWeb"/>
              <w:rPr>
                <w:sz w:val="18"/>
                <w:szCs w:val="18"/>
              </w:rPr>
            </w:pPr>
            <w:r w:rsidRPr="00BC2C53">
              <w:rPr>
                <w:sz w:val="18"/>
                <w:szCs w:val="18"/>
              </w:rPr>
              <w:t>Declined/missing/unknown</w:t>
            </w:r>
          </w:p>
        </w:tc>
        <w:tc>
          <w:tcPr>
            <w:tcW w:w="1800" w:type="dxa"/>
            <w:hideMark/>
          </w:tcPr>
          <w:p w14:paraId="1B2C9AB4" w14:textId="77777777" w:rsidR="009B61D4" w:rsidRPr="00BC2C53" w:rsidRDefault="009B61D4" w:rsidP="008603FB">
            <w:pPr>
              <w:pStyle w:val="NormalWeb"/>
              <w:jc w:val="center"/>
              <w:rPr>
                <w:sz w:val="18"/>
                <w:szCs w:val="18"/>
              </w:rPr>
            </w:pPr>
            <w:r w:rsidRPr="00BC2C53">
              <w:rPr>
                <w:sz w:val="18"/>
                <w:szCs w:val="18"/>
              </w:rPr>
              <w:t>3 (8.3)</w:t>
            </w:r>
          </w:p>
        </w:tc>
        <w:tc>
          <w:tcPr>
            <w:tcW w:w="1260" w:type="dxa"/>
            <w:hideMark/>
          </w:tcPr>
          <w:p w14:paraId="1937A131" w14:textId="77777777" w:rsidR="009B61D4" w:rsidRPr="00BC2C53" w:rsidRDefault="009B61D4" w:rsidP="008603FB">
            <w:pPr>
              <w:pStyle w:val="NormalWeb"/>
              <w:jc w:val="center"/>
              <w:rPr>
                <w:sz w:val="18"/>
                <w:szCs w:val="18"/>
              </w:rPr>
            </w:pPr>
            <w:r w:rsidRPr="00BC2C53">
              <w:rPr>
                <w:sz w:val="18"/>
                <w:szCs w:val="18"/>
              </w:rPr>
              <w:t>1 (2.5)</w:t>
            </w:r>
          </w:p>
        </w:tc>
        <w:tc>
          <w:tcPr>
            <w:tcW w:w="1440" w:type="dxa"/>
            <w:hideMark/>
          </w:tcPr>
          <w:p w14:paraId="062F9851" w14:textId="77777777" w:rsidR="009B61D4" w:rsidRPr="00BC2C53" w:rsidRDefault="009B61D4" w:rsidP="008603FB">
            <w:pPr>
              <w:pStyle w:val="NormalWeb"/>
              <w:jc w:val="center"/>
              <w:rPr>
                <w:sz w:val="18"/>
                <w:szCs w:val="18"/>
              </w:rPr>
            </w:pPr>
            <w:r w:rsidRPr="00BC2C53">
              <w:rPr>
                <w:sz w:val="18"/>
                <w:szCs w:val="18"/>
              </w:rPr>
              <w:t>5 (12.5)</w:t>
            </w:r>
          </w:p>
        </w:tc>
        <w:tc>
          <w:tcPr>
            <w:tcW w:w="1440" w:type="dxa"/>
            <w:hideMark/>
          </w:tcPr>
          <w:p w14:paraId="6AF301C9" w14:textId="77777777" w:rsidR="009B61D4" w:rsidRPr="00BC2C53" w:rsidRDefault="009B61D4" w:rsidP="008603FB">
            <w:pPr>
              <w:pStyle w:val="NormalWeb"/>
              <w:jc w:val="center"/>
              <w:rPr>
                <w:sz w:val="18"/>
                <w:szCs w:val="18"/>
              </w:rPr>
            </w:pPr>
            <w:r w:rsidRPr="00BC2C53">
              <w:rPr>
                <w:sz w:val="18"/>
                <w:szCs w:val="18"/>
              </w:rPr>
              <w:t>9 (7.8)</w:t>
            </w:r>
          </w:p>
        </w:tc>
      </w:tr>
      <w:tr w:rsidR="00AE5D29" w:rsidRPr="00BC2C53" w14:paraId="2BCE0A80" w14:textId="77777777" w:rsidTr="000F3A27">
        <w:tblPrEx>
          <w:tblCellMar>
            <w:top w:w="57" w:type="dxa"/>
            <w:left w:w="57" w:type="dxa"/>
            <w:bottom w:w="57" w:type="dxa"/>
            <w:right w:w="57" w:type="dxa"/>
          </w:tblCellMar>
        </w:tblPrEx>
        <w:tc>
          <w:tcPr>
            <w:tcW w:w="10440" w:type="dxa"/>
            <w:gridSpan w:val="5"/>
            <w:shd w:val="clear" w:color="auto" w:fill="595959" w:themeFill="text1" w:themeFillTint="A6"/>
            <w:hideMark/>
          </w:tcPr>
          <w:p w14:paraId="7FE26873" w14:textId="77777777" w:rsidR="009B61D4" w:rsidRPr="00BC2C53" w:rsidRDefault="009B61D4" w:rsidP="00AE5D29">
            <w:pPr>
              <w:pStyle w:val="NormalWeb"/>
              <w:rPr>
                <w:b/>
                <w:bCs/>
                <w:color w:val="FFFFFF" w:themeColor="background1"/>
                <w:sz w:val="18"/>
                <w:szCs w:val="18"/>
              </w:rPr>
            </w:pPr>
            <w:r w:rsidRPr="00BC2C53">
              <w:rPr>
                <w:b/>
                <w:bCs/>
                <w:color w:val="FFFFFF" w:themeColor="background1"/>
                <w:sz w:val="18"/>
                <w:szCs w:val="18"/>
              </w:rPr>
              <w:t>Impact of the baby on the family (score of 1–</w:t>
            </w:r>
            <w:proofErr w:type="gramStart"/>
            <w:r w:rsidRPr="00BC2C53">
              <w:rPr>
                <w:b/>
                <w:bCs/>
                <w:color w:val="FFFFFF" w:themeColor="background1"/>
                <w:sz w:val="18"/>
                <w:szCs w:val="18"/>
              </w:rPr>
              <w:t>10)</w:t>
            </w:r>
            <w:r w:rsidRPr="00BC2C53">
              <w:rPr>
                <w:b/>
                <w:bCs/>
                <w:color w:val="FFFFFF" w:themeColor="background1"/>
                <w:sz w:val="18"/>
                <w:szCs w:val="18"/>
                <w:vertAlign w:val="superscript"/>
              </w:rPr>
              <w:t>a</w:t>
            </w:r>
            <w:proofErr w:type="gramEnd"/>
          </w:p>
        </w:tc>
      </w:tr>
      <w:tr w:rsidR="009B61D4" w:rsidRPr="00BC2C53" w14:paraId="506E2F02"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500" w:type="dxa"/>
            <w:hideMark/>
          </w:tcPr>
          <w:p w14:paraId="1A759AC2" w14:textId="77777777" w:rsidR="009B61D4" w:rsidRPr="00BC2C53" w:rsidRDefault="009B61D4" w:rsidP="008603FB">
            <w:pPr>
              <w:pStyle w:val="NormalWeb"/>
              <w:rPr>
                <w:sz w:val="18"/>
                <w:szCs w:val="18"/>
              </w:rPr>
            </w:pPr>
            <w:r w:rsidRPr="00BC2C53">
              <w:rPr>
                <w:sz w:val="18"/>
                <w:szCs w:val="18"/>
              </w:rPr>
              <w:t>Mean (SD)</w:t>
            </w:r>
          </w:p>
        </w:tc>
        <w:tc>
          <w:tcPr>
            <w:tcW w:w="1800" w:type="dxa"/>
            <w:hideMark/>
          </w:tcPr>
          <w:p w14:paraId="2CBEB82E" w14:textId="77777777" w:rsidR="009B61D4" w:rsidRPr="00BC2C53" w:rsidRDefault="009B61D4" w:rsidP="008603FB">
            <w:pPr>
              <w:pStyle w:val="NormalWeb"/>
              <w:jc w:val="center"/>
              <w:rPr>
                <w:sz w:val="18"/>
                <w:szCs w:val="18"/>
              </w:rPr>
            </w:pPr>
            <w:r w:rsidRPr="00BC2C53">
              <w:rPr>
                <w:sz w:val="18"/>
                <w:szCs w:val="18"/>
              </w:rPr>
              <w:t>5.0 (3.8)</w:t>
            </w:r>
          </w:p>
        </w:tc>
        <w:tc>
          <w:tcPr>
            <w:tcW w:w="1260" w:type="dxa"/>
            <w:hideMark/>
          </w:tcPr>
          <w:p w14:paraId="2BAC7CED" w14:textId="77777777" w:rsidR="009B61D4" w:rsidRPr="00BC2C53" w:rsidRDefault="009B61D4" w:rsidP="008603FB">
            <w:pPr>
              <w:pStyle w:val="NormalWeb"/>
              <w:jc w:val="center"/>
              <w:rPr>
                <w:sz w:val="18"/>
                <w:szCs w:val="18"/>
              </w:rPr>
            </w:pPr>
            <w:r w:rsidRPr="00BC2C53">
              <w:rPr>
                <w:sz w:val="18"/>
                <w:szCs w:val="18"/>
              </w:rPr>
              <w:t>5.4 (6.1)</w:t>
            </w:r>
          </w:p>
        </w:tc>
        <w:tc>
          <w:tcPr>
            <w:tcW w:w="1440" w:type="dxa"/>
            <w:hideMark/>
          </w:tcPr>
          <w:p w14:paraId="13415D21" w14:textId="77777777" w:rsidR="009B61D4" w:rsidRPr="00BC2C53" w:rsidRDefault="009B61D4" w:rsidP="008603FB">
            <w:pPr>
              <w:pStyle w:val="NormalWeb"/>
              <w:jc w:val="center"/>
              <w:rPr>
                <w:sz w:val="18"/>
                <w:szCs w:val="18"/>
              </w:rPr>
            </w:pPr>
            <w:r w:rsidRPr="00BC2C53">
              <w:rPr>
                <w:sz w:val="18"/>
                <w:szCs w:val="18"/>
              </w:rPr>
              <w:t>5.7 (6.1)</w:t>
            </w:r>
          </w:p>
        </w:tc>
        <w:tc>
          <w:tcPr>
            <w:tcW w:w="1440" w:type="dxa"/>
            <w:hideMark/>
          </w:tcPr>
          <w:p w14:paraId="4D9E63F9" w14:textId="77777777" w:rsidR="009B61D4" w:rsidRPr="00BC2C53" w:rsidRDefault="009B61D4" w:rsidP="008603FB">
            <w:pPr>
              <w:pStyle w:val="NormalWeb"/>
              <w:jc w:val="center"/>
              <w:rPr>
                <w:sz w:val="18"/>
                <w:szCs w:val="18"/>
              </w:rPr>
            </w:pPr>
            <w:r w:rsidRPr="00BC2C53">
              <w:rPr>
                <w:sz w:val="18"/>
                <w:szCs w:val="18"/>
              </w:rPr>
              <w:t>6.6 (5.3)</w:t>
            </w:r>
          </w:p>
        </w:tc>
      </w:tr>
      <w:tr w:rsidR="00AE5D29" w:rsidRPr="00BC2C53" w14:paraId="72EB7F89" w14:textId="77777777" w:rsidTr="000F3A27">
        <w:tblPrEx>
          <w:tblCellMar>
            <w:top w:w="57" w:type="dxa"/>
            <w:left w:w="57" w:type="dxa"/>
            <w:bottom w:w="57" w:type="dxa"/>
            <w:right w:w="57" w:type="dxa"/>
          </w:tblCellMar>
        </w:tblPrEx>
        <w:tc>
          <w:tcPr>
            <w:tcW w:w="10440" w:type="dxa"/>
            <w:gridSpan w:val="5"/>
            <w:shd w:val="clear" w:color="auto" w:fill="595959" w:themeFill="text1" w:themeFillTint="A6"/>
            <w:hideMark/>
          </w:tcPr>
          <w:p w14:paraId="2E0E3A9E" w14:textId="77777777" w:rsidR="009B61D4" w:rsidRPr="00BC2C53" w:rsidRDefault="009B61D4" w:rsidP="00AE5D29">
            <w:pPr>
              <w:pStyle w:val="NormalWeb"/>
              <w:rPr>
                <w:b/>
                <w:bCs/>
                <w:color w:val="FFFFFF" w:themeColor="background1"/>
                <w:sz w:val="18"/>
                <w:szCs w:val="18"/>
              </w:rPr>
            </w:pPr>
            <w:r w:rsidRPr="00BC2C53">
              <w:rPr>
                <w:b/>
                <w:bCs/>
                <w:color w:val="FFFFFF" w:themeColor="background1"/>
                <w:sz w:val="18"/>
                <w:szCs w:val="18"/>
              </w:rPr>
              <w:t>Internet access at home since birth of baby</w:t>
            </w:r>
          </w:p>
        </w:tc>
      </w:tr>
      <w:tr w:rsidR="009B61D4" w:rsidRPr="00BC2C53" w14:paraId="27DAF198"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500" w:type="dxa"/>
            <w:hideMark/>
          </w:tcPr>
          <w:p w14:paraId="4F889731" w14:textId="77777777" w:rsidR="009B61D4" w:rsidRPr="00BC2C53" w:rsidRDefault="009B61D4" w:rsidP="008603FB">
            <w:pPr>
              <w:pStyle w:val="NormalWeb"/>
              <w:rPr>
                <w:sz w:val="18"/>
                <w:szCs w:val="18"/>
              </w:rPr>
            </w:pPr>
            <w:proofErr w:type="gramStart"/>
            <w:r w:rsidRPr="00BC2C53">
              <w:rPr>
                <w:sz w:val="18"/>
                <w:szCs w:val="18"/>
              </w:rPr>
              <w:lastRenderedPageBreak/>
              <w:t>All of</w:t>
            </w:r>
            <w:proofErr w:type="gramEnd"/>
            <w:r w:rsidRPr="00BC2C53">
              <w:rPr>
                <w:sz w:val="18"/>
                <w:szCs w:val="18"/>
              </w:rPr>
              <w:t xml:space="preserve"> the time</w:t>
            </w:r>
          </w:p>
        </w:tc>
        <w:tc>
          <w:tcPr>
            <w:tcW w:w="1800" w:type="dxa"/>
            <w:hideMark/>
          </w:tcPr>
          <w:p w14:paraId="461D0659" w14:textId="77777777" w:rsidR="009B61D4" w:rsidRPr="00BC2C53" w:rsidRDefault="009B61D4" w:rsidP="008603FB">
            <w:pPr>
              <w:pStyle w:val="NormalWeb"/>
              <w:jc w:val="center"/>
              <w:rPr>
                <w:sz w:val="18"/>
                <w:szCs w:val="18"/>
              </w:rPr>
            </w:pPr>
            <w:r w:rsidRPr="00BC2C53">
              <w:rPr>
                <w:sz w:val="18"/>
                <w:szCs w:val="18"/>
              </w:rPr>
              <w:t>55 (85.9)</w:t>
            </w:r>
          </w:p>
        </w:tc>
        <w:tc>
          <w:tcPr>
            <w:tcW w:w="1260" w:type="dxa"/>
            <w:hideMark/>
          </w:tcPr>
          <w:p w14:paraId="62894C1D" w14:textId="77777777" w:rsidR="009B61D4" w:rsidRPr="00BC2C53" w:rsidRDefault="009B61D4" w:rsidP="008603FB">
            <w:pPr>
              <w:pStyle w:val="NormalWeb"/>
              <w:jc w:val="center"/>
              <w:rPr>
                <w:sz w:val="18"/>
                <w:szCs w:val="18"/>
              </w:rPr>
            </w:pPr>
            <w:r w:rsidRPr="00BC2C53">
              <w:rPr>
                <w:sz w:val="18"/>
                <w:szCs w:val="18"/>
              </w:rPr>
              <w:t>51 (78.5)</w:t>
            </w:r>
          </w:p>
        </w:tc>
        <w:tc>
          <w:tcPr>
            <w:tcW w:w="1440" w:type="dxa"/>
            <w:hideMark/>
          </w:tcPr>
          <w:p w14:paraId="4839CED3" w14:textId="77777777" w:rsidR="009B61D4" w:rsidRPr="00BC2C53" w:rsidRDefault="009B61D4" w:rsidP="008603FB">
            <w:pPr>
              <w:pStyle w:val="NormalWeb"/>
              <w:jc w:val="center"/>
              <w:rPr>
                <w:sz w:val="18"/>
                <w:szCs w:val="18"/>
              </w:rPr>
            </w:pPr>
            <w:r w:rsidRPr="00BC2C53">
              <w:rPr>
                <w:sz w:val="18"/>
                <w:szCs w:val="18"/>
              </w:rPr>
              <w:t>58 (86.6)</w:t>
            </w:r>
          </w:p>
        </w:tc>
        <w:tc>
          <w:tcPr>
            <w:tcW w:w="1440" w:type="dxa"/>
            <w:hideMark/>
          </w:tcPr>
          <w:p w14:paraId="6CC049C5" w14:textId="77777777" w:rsidR="009B61D4" w:rsidRPr="00BC2C53" w:rsidRDefault="009B61D4" w:rsidP="008603FB">
            <w:pPr>
              <w:pStyle w:val="NormalWeb"/>
              <w:jc w:val="center"/>
              <w:rPr>
                <w:sz w:val="18"/>
                <w:szCs w:val="18"/>
              </w:rPr>
            </w:pPr>
            <w:r w:rsidRPr="00BC2C53">
              <w:rPr>
                <w:sz w:val="18"/>
                <w:szCs w:val="18"/>
              </w:rPr>
              <w:t>164 (83.7)</w:t>
            </w:r>
          </w:p>
        </w:tc>
      </w:tr>
      <w:tr w:rsidR="009B61D4" w:rsidRPr="00BC2C53" w14:paraId="48C37E41" w14:textId="77777777" w:rsidTr="008603FB">
        <w:tblPrEx>
          <w:tblCellMar>
            <w:top w:w="57" w:type="dxa"/>
            <w:left w:w="57" w:type="dxa"/>
            <w:bottom w:w="57" w:type="dxa"/>
            <w:right w:w="57" w:type="dxa"/>
          </w:tblCellMar>
        </w:tblPrEx>
        <w:tc>
          <w:tcPr>
            <w:tcW w:w="4500" w:type="dxa"/>
            <w:hideMark/>
          </w:tcPr>
          <w:p w14:paraId="157324C5" w14:textId="77777777" w:rsidR="009B61D4" w:rsidRPr="00BC2C53" w:rsidRDefault="009B61D4" w:rsidP="008603FB">
            <w:pPr>
              <w:pStyle w:val="NormalWeb"/>
              <w:rPr>
                <w:sz w:val="18"/>
                <w:szCs w:val="18"/>
              </w:rPr>
            </w:pPr>
            <w:r w:rsidRPr="00BC2C53">
              <w:rPr>
                <w:sz w:val="18"/>
                <w:szCs w:val="18"/>
              </w:rPr>
              <w:t>Some of the time</w:t>
            </w:r>
          </w:p>
        </w:tc>
        <w:tc>
          <w:tcPr>
            <w:tcW w:w="1800" w:type="dxa"/>
            <w:hideMark/>
          </w:tcPr>
          <w:p w14:paraId="7D565727" w14:textId="77777777" w:rsidR="009B61D4" w:rsidRPr="00BC2C53" w:rsidRDefault="009B61D4" w:rsidP="008603FB">
            <w:pPr>
              <w:pStyle w:val="NormalWeb"/>
              <w:jc w:val="center"/>
              <w:rPr>
                <w:sz w:val="18"/>
                <w:szCs w:val="18"/>
              </w:rPr>
            </w:pPr>
            <w:r w:rsidRPr="00BC2C53">
              <w:rPr>
                <w:sz w:val="18"/>
                <w:szCs w:val="18"/>
              </w:rPr>
              <w:t>4 (6.3)</w:t>
            </w:r>
          </w:p>
        </w:tc>
        <w:tc>
          <w:tcPr>
            <w:tcW w:w="1260" w:type="dxa"/>
            <w:hideMark/>
          </w:tcPr>
          <w:p w14:paraId="745A7F35" w14:textId="77777777" w:rsidR="009B61D4" w:rsidRPr="00BC2C53" w:rsidRDefault="009B61D4" w:rsidP="008603FB">
            <w:pPr>
              <w:pStyle w:val="NormalWeb"/>
              <w:jc w:val="center"/>
              <w:rPr>
                <w:sz w:val="18"/>
                <w:szCs w:val="18"/>
              </w:rPr>
            </w:pPr>
            <w:r w:rsidRPr="00BC2C53">
              <w:rPr>
                <w:sz w:val="18"/>
                <w:szCs w:val="18"/>
              </w:rPr>
              <w:t>7 (10.8)</w:t>
            </w:r>
          </w:p>
        </w:tc>
        <w:tc>
          <w:tcPr>
            <w:tcW w:w="1440" w:type="dxa"/>
            <w:hideMark/>
          </w:tcPr>
          <w:p w14:paraId="4ECF00D3" w14:textId="77777777" w:rsidR="009B61D4" w:rsidRPr="00BC2C53" w:rsidRDefault="009B61D4" w:rsidP="008603FB">
            <w:pPr>
              <w:pStyle w:val="NormalWeb"/>
              <w:jc w:val="center"/>
              <w:rPr>
                <w:sz w:val="18"/>
                <w:szCs w:val="18"/>
              </w:rPr>
            </w:pPr>
            <w:r w:rsidRPr="00BC2C53">
              <w:rPr>
                <w:sz w:val="18"/>
                <w:szCs w:val="18"/>
              </w:rPr>
              <w:t>4 (6.0)</w:t>
            </w:r>
          </w:p>
        </w:tc>
        <w:tc>
          <w:tcPr>
            <w:tcW w:w="1440" w:type="dxa"/>
            <w:hideMark/>
          </w:tcPr>
          <w:p w14:paraId="765F8022" w14:textId="77777777" w:rsidR="009B61D4" w:rsidRPr="00BC2C53" w:rsidRDefault="009B61D4" w:rsidP="008603FB">
            <w:pPr>
              <w:pStyle w:val="NormalWeb"/>
              <w:jc w:val="center"/>
              <w:rPr>
                <w:sz w:val="18"/>
                <w:szCs w:val="18"/>
              </w:rPr>
            </w:pPr>
            <w:r w:rsidRPr="00BC2C53">
              <w:rPr>
                <w:sz w:val="18"/>
                <w:szCs w:val="18"/>
              </w:rPr>
              <w:t>15 (7.7)</w:t>
            </w:r>
          </w:p>
        </w:tc>
      </w:tr>
      <w:tr w:rsidR="009B61D4" w:rsidRPr="00BC2C53" w14:paraId="5B32D7E6"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500" w:type="dxa"/>
            <w:hideMark/>
          </w:tcPr>
          <w:p w14:paraId="0ECF5EA8" w14:textId="77777777" w:rsidR="009B61D4" w:rsidRPr="00BC2C53" w:rsidRDefault="009B61D4" w:rsidP="008603FB">
            <w:pPr>
              <w:pStyle w:val="NormalWeb"/>
              <w:rPr>
                <w:sz w:val="18"/>
                <w:szCs w:val="18"/>
              </w:rPr>
            </w:pPr>
            <w:r w:rsidRPr="00BC2C53">
              <w:rPr>
                <w:sz w:val="18"/>
                <w:szCs w:val="18"/>
              </w:rPr>
              <w:t>None of the time</w:t>
            </w:r>
          </w:p>
        </w:tc>
        <w:tc>
          <w:tcPr>
            <w:tcW w:w="1800" w:type="dxa"/>
            <w:hideMark/>
          </w:tcPr>
          <w:p w14:paraId="446EFABE" w14:textId="77777777" w:rsidR="009B61D4" w:rsidRPr="00BC2C53" w:rsidRDefault="009B61D4" w:rsidP="008603FB">
            <w:pPr>
              <w:pStyle w:val="NormalWeb"/>
              <w:jc w:val="center"/>
              <w:rPr>
                <w:sz w:val="18"/>
                <w:szCs w:val="18"/>
              </w:rPr>
            </w:pPr>
            <w:r w:rsidRPr="00BC2C53">
              <w:rPr>
                <w:sz w:val="18"/>
                <w:szCs w:val="18"/>
              </w:rPr>
              <w:t>1 (1.6)</w:t>
            </w:r>
          </w:p>
        </w:tc>
        <w:tc>
          <w:tcPr>
            <w:tcW w:w="1260" w:type="dxa"/>
            <w:hideMark/>
          </w:tcPr>
          <w:p w14:paraId="70962F33" w14:textId="77777777" w:rsidR="009B61D4" w:rsidRPr="00BC2C53" w:rsidRDefault="009B61D4" w:rsidP="008603FB">
            <w:pPr>
              <w:pStyle w:val="NormalWeb"/>
              <w:jc w:val="center"/>
              <w:rPr>
                <w:sz w:val="18"/>
                <w:szCs w:val="18"/>
              </w:rPr>
            </w:pPr>
            <w:r w:rsidRPr="00BC2C53">
              <w:rPr>
                <w:sz w:val="18"/>
                <w:szCs w:val="18"/>
              </w:rPr>
              <w:t>2 (3.1)</w:t>
            </w:r>
          </w:p>
        </w:tc>
        <w:tc>
          <w:tcPr>
            <w:tcW w:w="1440" w:type="dxa"/>
            <w:hideMark/>
          </w:tcPr>
          <w:p w14:paraId="4C9DB21C" w14:textId="77777777" w:rsidR="009B61D4" w:rsidRPr="00BC2C53" w:rsidRDefault="009B61D4" w:rsidP="008603FB">
            <w:pPr>
              <w:pStyle w:val="NormalWeb"/>
              <w:jc w:val="center"/>
              <w:rPr>
                <w:sz w:val="18"/>
                <w:szCs w:val="18"/>
              </w:rPr>
            </w:pPr>
            <w:r w:rsidRPr="00BC2C53">
              <w:rPr>
                <w:sz w:val="18"/>
                <w:szCs w:val="18"/>
              </w:rPr>
              <w:t>0</w:t>
            </w:r>
          </w:p>
        </w:tc>
        <w:tc>
          <w:tcPr>
            <w:tcW w:w="1440" w:type="dxa"/>
            <w:hideMark/>
          </w:tcPr>
          <w:p w14:paraId="58C6BC4E" w14:textId="77777777" w:rsidR="009B61D4" w:rsidRPr="00BC2C53" w:rsidRDefault="009B61D4" w:rsidP="008603FB">
            <w:pPr>
              <w:pStyle w:val="NormalWeb"/>
              <w:jc w:val="center"/>
              <w:rPr>
                <w:sz w:val="18"/>
                <w:szCs w:val="18"/>
              </w:rPr>
            </w:pPr>
            <w:r w:rsidRPr="00BC2C53">
              <w:rPr>
                <w:sz w:val="18"/>
                <w:szCs w:val="18"/>
              </w:rPr>
              <w:t>3 (1.5)</w:t>
            </w:r>
          </w:p>
        </w:tc>
      </w:tr>
      <w:tr w:rsidR="009B61D4" w:rsidRPr="00BC2C53" w14:paraId="120CC632" w14:textId="77777777" w:rsidTr="008603FB">
        <w:tblPrEx>
          <w:tblCellMar>
            <w:top w:w="57" w:type="dxa"/>
            <w:left w:w="57" w:type="dxa"/>
            <w:bottom w:w="57" w:type="dxa"/>
            <w:right w:w="57" w:type="dxa"/>
          </w:tblCellMar>
        </w:tblPrEx>
        <w:tc>
          <w:tcPr>
            <w:tcW w:w="4500" w:type="dxa"/>
            <w:hideMark/>
          </w:tcPr>
          <w:p w14:paraId="48916B0B" w14:textId="77777777" w:rsidR="009B61D4" w:rsidRPr="00BC2C53" w:rsidRDefault="009B61D4" w:rsidP="008603FB">
            <w:pPr>
              <w:pStyle w:val="NormalWeb"/>
              <w:rPr>
                <w:sz w:val="18"/>
                <w:szCs w:val="18"/>
              </w:rPr>
            </w:pPr>
            <w:r w:rsidRPr="00BC2C53">
              <w:rPr>
                <w:sz w:val="18"/>
                <w:szCs w:val="18"/>
              </w:rPr>
              <w:t>Declined/missing/unknown</w:t>
            </w:r>
          </w:p>
        </w:tc>
        <w:tc>
          <w:tcPr>
            <w:tcW w:w="1800" w:type="dxa"/>
            <w:hideMark/>
          </w:tcPr>
          <w:p w14:paraId="0DC472B2" w14:textId="77777777" w:rsidR="009B61D4" w:rsidRPr="00BC2C53" w:rsidRDefault="009B61D4" w:rsidP="008603FB">
            <w:pPr>
              <w:pStyle w:val="NormalWeb"/>
              <w:jc w:val="center"/>
              <w:rPr>
                <w:sz w:val="18"/>
                <w:szCs w:val="18"/>
              </w:rPr>
            </w:pPr>
            <w:r w:rsidRPr="00BC2C53">
              <w:rPr>
                <w:sz w:val="18"/>
                <w:szCs w:val="18"/>
              </w:rPr>
              <w:t>4 (6.3)</w:t>
            </w:r>
          </w:p>
        </w:tc>
        <w:tc>
          <w:tcPr>
            <w:tcW w:w="1260" w:type="dxa"/>
            <w:hideMark/>
          </w:tcPr>
          <w:p w14:paraId="4470C725" w14:textId="77777777" w:rsidR="009B61D4" w:rsidRPr="00BC2C53" w:rsidRDefault="009B61D4" w:rsidP="008603FB">
            <w:pPr>
              <w:pStyle w:val="NormalWeb"/>
              <w:jc w:val="center"/>
              <w:rPr>
                <w:sz w:val="18"/>
                <w:szCs w:val="18"/>
              </w:rPr>
            </w:pPr>
            <w:r w:rsidRPr="00BC2C53">
              <w:rPr>
                <w:sz w:val="18"/>
                <w:szCs w:val="18"/>
              </w:rPr>
              <w:t>5 (7.7)</w:t>
            </w:r>
          </w:p>
        </w:tc>
        <w:tc>
          <w:tcPr>
            <w:tcW w:w="1440" w:type="dxa"/>
            <w:hideMark/>
          </w:tcPr>
          <w:p w14:paraId="35949DED" w14:textId="77777777" w:rsidR="009B61D4" w:rsidRPr="00BC2C53" w:rsidRDefault="009B61D4" w:rsidP="008603FB">
            <w:pPr>
              <w:pStyle w:val="NormalWeb"/>
              <w:jc w:val="center"/>
              <w:rPr>
                <w:sz w:val="18"/>
                <w:szCs w:val="18"/>
              </w:rPr>
            </w:pPr>
            <w:r w:rsidRPr="00BC2C53">
              <w:rPr>
                <w:sz w:val="18"/>
                <w:szCs w:val="18"/>
              </w:rPr>
              <w:t>5 (7.5)</w:t>
            </w:r>
          </w:p>
        </w:tc>
        <w:tc>
          <w:tcPr>
            <w:tcW w:w="1440" w:type="dxa"/>
            <w:hideMark/>
          </w:tcPr>
          <w:p w14:paraId="217B4B84" w14:textId="77777777" w:rsidR="009B61D4" w:rsidRPr="00BC2C53" w:rsidRDefault="009B61D4" w:rsidP="008603FB">
            <w:pPr>
              <w:pStyle w:val="NormalWeb"/>
              <w:jc w:val="center"/>
              <w:rPr>
                <w:sz w:val="18"/>
                <w:szCs w:val="18"/>
              </w:rPr>
            </w:pPr>
            <w:r w:rsidRPr="00BC2C53">
              <w:rPr>
                <w:sz w:val="18"/>
                <w:szCs w:val="18"/>
              </w:rPr>
              <w:t>14 (7.1)</w:t>
            </w:r>
          </w:p>
        </w:tc>
      </w:tr>
      <w:tr w:rsidR="00125873" w:rsidRPr="00BC2C53" w14:paraId="46B71413"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0440" w:type="dxa"/>
            <w:gridSpan w:val="5"/>
            <w:shd w:val="clear" w:color="auto" w:fill="595959" w:themeFill="text1" w:themeFillTint="A6"/>
            <w:hideMark/>
          </w:tcPr>
          <w:p w14:paraId="0F1C2B55" w14:textId="77777777" w:rsidR="009B61D4" w:rsidRPr="00BC2C53" w:rsidRDefault="009B61D4" w:rsidP="00125873">
            <w:pPr>
              <w:pStyle w:val="NormalWeb"/>
              <w:rPr>
                <w:b/>
                <w:bCs/>
                <w:color w:val="FFFFFF" w:themeColor="background1"/>
                <w:sz w:val="18"/>
                <w:szCs w:val="18"/>
              </w:rPr>
            </w:pPr>
            <w:r w:rsidRPr="00BC2C53">
              <w:rPr>
                <w:b/>
                <w:bCs/>
                <w:color w:val="FFFFFF" w:themeColor="background1"/>
                <w:sz w:val="18"/>
                <w:szCs w:val="18"/>
              </w:rPr>
              <w:t>Mother has had access to working mobile phone since birth of baby</w:t>
            </w:r>
          </w:p>
        </w:tc>
      </w:tr>
      <w:tr w:rsidR="009B61D4" w:rsidRPr="00BC2C53" w14:paraId="1895819B" w14:textId="77777777" w:rsidTr="008603FB">
        <w:tblPrEx>
          <w:tblCellMar>
            <w:top w:w="57" w:type="dxa"/>
            <w:left w:w="57" w:type="dxa"/>
            <w:bottom w:w="57" w:type="dxa"/>
            <w:right w:w="57" w:type="dxa"/>
          </w:tblCellMar>
        </w:tblPrEx>
        <w:tc>
          <w:tcPr>
            <w:tcW w:w="4500" w:type="dxa"/>
            <w:hideMark/>
          </w:tcPr>
          <w:p w14:paraId="7889FF94" w14:textId="77777777" w:rsidR="009B61D4" w:rsidRPr="00BC2C53" w:rsidRDefault="009B61D4" w:rsidP="008603FB">
            <w:pPr>
              <w:pStyle w:val="NormalWeb"/>
              <w:rPr>
                <w:sz w:val="18"/>
                <w:szCs w:val="18"/>
              </w:rPr>
            </w:pPr>
            <w:r w:rsidRPr="00BC2C53">
              <w:rPr>
                <w:sz w:val="18"/>
                <w:szCs w:val="18"/>
              </w:rPr>
              <w:t>Yes</w:t>
            </w:r>
          </w:p>
        </w:tc>
        <w:tc>
          <w:tcPr>
            <w:tcW w:w="1800" w:type="dxa"/>
            <w:hideMark/>
          </w:tcPr>
          <w:p w14:paraId="611ED96F" w14:textId="77777777" w:rsidR="009B61D4" w:rsidRPr="00BC2C53" w:rsidRDefault="009B61D4" w:rsidP="008603FB">
            <w:pPr>
              <w:pStyle w:val="NormalWeb"/>
              <w:jc w:val="center"/>
              <w:rPr>
                <w:sz w:val="18"/>
                <w:szCs w:val="18"/>
              </w:rPr>
            </w:pPr>
            <w:r w:rsidRPr="00BC2C53">
              <w:rPr>
                <w:sz w:val="18"/>
                <w:szCs w:val="18"/>
              </w:rPr>
              <w:t>63 (98.4)</w:t>
            </w:r>
          </w:p>
        </w:tc>
        <w:tc>
          <w:tcPr>
            <w:tcW w:w="1260" w:type="dxa"/>
            <w:hideMark/>
          </w:tcPr>
          <w:p w14:paraId="77885D26" w14:textId="77777777" w:rsidR="009B61D4" w:rsidRPr="00BC2C53" w:rsidRDefault="009B61D4" w:rsidP="008603FB">
            <w:pPr>
              <w:pStyle w:val="NormalWeb"/>
              <w:jc w:val="center"/>
              <w:rPr>
                <w:sz w:val="18"/>
                <w:szCs w:val="18"/>
              </w:rPr>
            </w:pPr>
            <w:r w:rsidRPr="00BC2C53">
              <w:rPr>
                <w:sz w:val="18"/>
                <w:szCs w:val="18"/>
              </w:rPr>
              <w:t>63 (96.9)</w:t>
            </w:r>
          </w:p>
        </w:tc>
        <w:tc>
          <w:tcPr>
            <w:tcW w:w="1440" w:type="dxa"/>
            <w:hideMark/>
          </w:tcPr>
          <w:p w14:paraId="456A753D" w14:textId="77777777" w:rsidR="009B61D4" w:rsidRPr="00BC2C53" w:rsidRDefault="009B61D4" w:rsidP="008603FB">
            <w:pPr>
              <w:pStyle w:val="NormalWeb"/>
              <w:jc w:val="center"/>
              <w:rPr>
                <w:sz w:val="18"/>
                <w:szCs w:val="18"/>
              </w:rPr>
            </w:pPr>
            <w:r w:rsidRPr="00BC2C53">
              <w:rPr>
                <w:sz w:val="18"/>
                <w:szCs w:val="18"/>
              </w:rPr>
              <w:t>62 (92.5)</w:t>
            </w:r>
          </w:p>
        </w:tc>
        <w:tc>
          <w:tcPr>
            <w:tcW w:w="1440" w:type="dxa"/>
            <w:hideMark/>
          </w:tcPr>
          <w:p w14:paraId="20207782" w14:textId="77777777" w:rsidR="009B61D4" w:rsidRPr="00BC2C53" w:rsidRDefault="009B61D4" w:rsidP="008603FB">
            <w:pPr>
              <w:pStyle w:val="NormalWeb"/>
              <w:jc w:val="center"/>
              <w:rPr>
                <w:sz w:val="18"/>
                <w:szCs w:val="18"/>
              </w:rPr>
            </w:pPr>
            <w:r w:rsidRPr="00BC2C53">
              <w:rPr>
                <w:sz w:val="18"/>
                <w:szCs w:val="18"/>
              </w:rPr>
              <w:t>188 (96.0)</w:t>
            </w:r>
          </w:p>
        </w:tc>
      </w:tr>
      <w:tr w:rsidR="009B61D4" w:rsidRPr="00BC2C53" w14:paraId="31AC0C19" w14:textId="77777777" w:rsidTr="0012587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500" w:type="dxa"/>
            <w:hideMark/>
          </w:tcPr>
          <w:p w14:paraId="3A99E6CF" w14:textId="77777777" w:rsidR="009B61D4" w:rsidRPr="00BC2C53" w:rsidRDefault="009B61D4" w:rsidP="008603FB">
            <w:pPr>
              <w:pStyle w:val="NormalWeb"/>
              <w:rPr>
                <w:sz w:val="18"/>
                <w:szCs w:val="18"/>
              </w:rPr>
            </w:pPr>
            <w:r w:rsidRPr="00BC2C53">
              <w:rPr>
                <w:sz w:val="18"/>
                <w:szCs w:val="18"/>
              </w:rPr>
              <w:t>No</w:t>
            </w:r>
          </w:p>
        </w:tc>
        <w:tc>
          <w:tcPr>
            <w:tcW w:w="1800" w:type="dxa"/>
            <w:hideMark/>
          </w:tcPr>
          <w:p w14:paraId="3D386253" w14:textId="77777777" w:rsidR="009B61D4" w:rsidRPr="00BC2C53" w:rsidRDefault="009B61D4" w:rsidP="008603FB">
            <w:pPr>
              <w:pStyle w:val="NormalWeb"/>
              <w:jc w:val="center"/>
              <w:rPr>
                <w:sz w:val="18"/>
                <w:szCs w:val="18"/>
              </w:rPr>
            </w:pPr>
            <w:r w:rsidRPr="00BC2C53">
              <w:rPr>
                <w:sz w:val="18"/>
                <w:szCs w:val="18"/>
              </w:rPr>
              <w:t>0</w:t>
            </w:r>
          </w:p>
        </w:tc>
        <w:tc>
          <w:tcPr>
            <w:tcW w:w="1260" w:type="dxa"/>
            <w:hideMark/>
          </w:tcPr>
          <w:p w14:paraId="3720DCCD" w14:textId="77777777" w:rsidR="009B61D4" w:rsidRPr="00BC2C53" w:rsidRDefault="009B61D4" w:rsidP="008603FB">
            <w:pPr>
              <w:pStyle w:val="NormalWeb"/>
              <w:jc w:val="center"/>
              <w:rPr>
                <w:sz w:val="18"/>
                <w:szCs w:val="18"/>
              </w:rPr>
            </w:pPr>
            <w:r w:rsidRPr="00BC2C53">
              <w:rPr>
                <w:sz w:val="18"/>
                <w:szCs w:val="18"/>
              </w:rPr>
              <w:t>1 (1.5)</w:t>
            </w:r>
          </w:p>
        </w:tc>
        <w:tc>
          <w:tcPr>
            <w:tcW w:w="1440" w:type="dxa"/>
            <w:hideMark/>
          </w:tcPr>
          <w:p w14:paraId="02C3655D" w14:textId="77777777" w:rsidR="009B61D4" w:rsidRPr="00BC2C53" w:rsidRDefault="009B61D4" w:rsidP="008603FB">
            <w:pPr>
              <w:pStyle w:val="NormalWeb"/>
              <w:jc w:val="center"/>
              <w:rPr>
                <w:sz w:val="18"/>
                <w:szCs w:val="18"/>
              </w:rPr>
            </w:pPr>
            <w:r w:rsidRPr="00BC2C53">
              <w:rPr>
                <w:sz w:val="18"/>
                <w:szCs w:val="18"/>
              </w:rPr>
              <w:t>1 (1.5)</w:t>
            </w:r>
          </w:p>
        </w:tc>
        <w:tc>
          <w:tcPr>
            <w:tcW w:w="1440" w:type="dxa"/>
            <w:hideMark/>
          </w:tcPr>
          <w:p w14:paraId="1D145FCD" w14:textId="77777777" w:rsidR="009B61D4" w:rsidRPr="00BC2C53" w:rsidRDefault="009B61D4" w:rsidP="008603FB">
            <w:pPr>
              <w:pStyle w:val="NormalWeb"/>
              <w:jc w:val="center"/>
              <w:rPr>
                <w:sz w:val="18"/>
                <w:szCs w:val="18"/>
              </w:rPr>
            </w:pPr>
            <w:r w:rsidRPr="00BC2C53">
              <w:rPr>
                <w:sz w:val="18"/>
                <w:szCs w:val="18"/>
              </w:rPr>
              <w:t>2 (1.0)</w:t>
            </w:r>
          </w:p>
        </w:tc>
      </w:tr>
      <w:tr w:rsidR="009B61D4" w:rsidRPr="00BC2C53" w14:paraId="592C0656" w14:textId="77777777" w:rsidTr="00125873">
        <w:tblPrEx>
          <w:tblCellMar>
            <w:top w:w="57" w:type="dxa"/>
            <w:left w:w="57" w:type="dxa"/>
            <w:bottom w:w="57" w:type="dxa"/>
            <w:right w:w="57" w:type="dxa"/>
          </w:tblCellMar>
        </w:tblPrEx>
        <w:tc>
          <w:tcPr>
            <w:tcW w:w="4500" w:type="dxa"/>
            <w:tcBorders>
              <w:bottom w:val="single" w:sz="2" w:space="0" w:color="808080" w:themeColor="background1" w:themeShade="80"/>
            </w:tcBorders>
            <w:hideMark/>
          </w:tcPr>
          <w:p w14:paraId="3058F6A5" w14:textId="66763699" w:rsidR="009B61D4" w:rsidRPr="00BC2C53" w:rsidRDefault="009B61D4" w:rsidP="008603FB">
            <w:pPr>
              <w:pStyle w:val="NormalWeb"/>
              <w:rPr>
                <w:sz w:val="18"/>
                <w:szCs w:val="18"/>
              </w:rPr>
            </w:pPr>
            <w:r w:rsidRPr="00BC2C53">
              <w:rPr>
                <w:sz w:val="18"/>
                <w:szCs w:val="18"/>
              </w:rPr>
              <w:t>Declined/</w:t>
            </w:r>
            <w:r w:rsidR="008E2BD2" w:rsidRPr="00BC2C53">
              <w:rPr>
                <w:sz w:val="18"/>
                <w:szCs w:val="18"/>
              </w:rPr>
              <w:t>missing</w:t>
            </w:r>
            <w:r w:rsidRPr="00BC2C53">
              <w:rPr>
                <w:sz w:val="18"/>
                <w:szCs w:val="18"/>
              </w:rPr>
              <w:t>/unknown</w:t>
            </w:r>
          </w:p>
        </w:tc>
        <w:tc>
          <w:tcPr>
            <w:tcW w:w="1800" w:type="dxa"/>
            <w:tcBorders>
              <w:bottom w:val="single" w:sz="2" w:space="0" w:color="808080" w:themeColor="background1" w:themeShade="80"/>
            </w:tcBorders>
            <w:hideMark/>
          </w:tcPr>
          <w:p w14:paraId="5FFAF06E" w14:textId="77777777" w:rsidR="009B61D4" w:rsidRPr="00BC2C53" w:rsidRDefault="009B61D4" w:rsidP="008603FB">
            <w:pPr>
              <w:pStyle w:val="NormalWeb"/>
              <w:jc w:val="center"/>
              <w:rPr>
                <w:sz w:val="18"/>
                <w:szCs w:val="18"/>
              </w:rPr>
            </w:pPr>
            <w:r w:rsidRPr="00BC2C53">
              <w:rPr>
                <w:sz w:val="18"/>
                <w:szCs w:val="18"/>
              </w:rPr>
              <w:t>1 (1.6)</w:t>
            </w:r>
          </w:p>
        </w:tc>
        <w:tc>
          <w:tcPr>
            <w:tcW w:w="1260" w:type="dxa"/>
            <w:tcBorders>
              <w:bottom w:val="single" w:sz="2" w:space="0" w:color="808080" w:themeColor="background1" w:themeShade="80"/>
            </w:tcBorders>
            <w:hideMark/>
          </w:tcPr>
          <w:p w14:paraId="38E699A8" w14:textId="77777777" w:rsidR="009B61D4" w:rsidRPr="00BC2C53" w:rsidRDefault="009B61D4" w:rsidP="008603FB">
            <w:pPr>
              <w:pStyle w:val="NormalWeb"/>
              <w:jc w:val="center"/>
              <w:rPr>
                <w:sz w:val="18"/>
                <w:szCs w:val="18"/>
              </w:rPr>
            </w:pPr>
            <w:r w:rsidRPr="00BC2C53">
              <w:rPr>
                <w:sz w:val="18"/>
                <w:szCs w:val="18"/>
              </w:rPr>
              <w:t>1 (1.5)</w:t>
            </w:r>
          </w:p>
        </w:tc>
        <w:tc>
          <w:tcPr>
            <w:tcW w:w="1440" w:type="dxa"/>
            <w:tcBorders>
              <w:bottom w:val="single" w:sz="2" w:space="0" w:color="808080" w:themeColor="background1" w:themeShade="80"/>
            </w:tcBorders>
            <w:hideMark/>
          </w:tcPr>
          <w:p w14:paraId="01A198E1" w14:textId="77777777" w:rsidR="009B61D4" w:rsidRPr="00BC2C53" w:rsidRDefault="009B61D4" w:rsidP="008603FB">
            <w:pPr>
              <w:pStyle w:val="NormalWeb"/>
              <w:jc w:val="center"/>
              <w:rPr>
                <w:sz w:val="18"/>
                <w:szCs w:val="18"/>
              </w:rPr>
            </w:pPr>
            <w:r w:rsidRPr="00BC2C53">
              <w:rPr>
                <w:sz w:val="18"/>
                <w:szCs w:val="18"/>
              </w:rPr>
              <w:t>4 (6.0)</w:t>
            </w:r>
          </w:p>
        </w:tc>
        <w:tc>
          <w:tcPr>
            <w:tcW w:w="1440" w:type="dxa"/>
            <w:tcBorders>
              <w:bottom w:val="single" w:sz="2" w:space="0" w:color="808080" w:themeColor="background1" w:themeShade="80"/>
            </w:tcBorders>
            <w:hideMark/>
          </w:tcPr>
          <w:p w14:paraId="2F7290DC" w14:textId="77777777" w:rsidR="009B61D4" w:rsidRPr="00BC2C53" w:rsidRDefault="009B61D4" w:rsidP="008603FB">
            <w:pPr>
              <w:pStyle w:val="NormalWeb"/>
              <w:jc w:val="center"/>
              <w:rPr>
                <w:sz w:val="18"/>
                <w:szCs w:val="18"/>
              </w:rPr>
            </w:pPr>
            <w:r w:rsidRPr="00BC2C53">
              <w:rPr>
                <w:sz w:val="18"/>
                <w:szCs w:val="18"/>
              </w:rPr>
              <w:t>6 (3.0)</w:t>
            </w:r>
          </w:p>
        </w:tc>
      </w:tr>
    </w:tbl>
    <w:p w14:paraId="0A470C0F" w14:textId="357C30FD" w:rsidR="009B61D4" w:rsidRPr="00951A73" w:rsidRDefault="009B61D4" w:rsidP="00951A73">
      <w:pPr>
        <w:pStyle w:val="CDIfootnotes"/>
        <w:rPr>
          <w:lang w:val="en-GB"/>
        </w:rPr>
      </w:pPr>
      <w:r>
        <w:rPr>
          <w:lang w:val="en-GB"/>
        </w:rPr>
        <w:t>a</w:t>
      </w:r>
      <w:r>
        <w:rPr>
          <w:lang w:val="en-GB"/>
        </w:rPr>
        <w:tab/>
        <w:t>Question asked of mother to rank on a scale of 1 (no impact) to 10 (significant impact): “How much do you think this baby has had an impact on the other members of your family?”</w:t>
      </w:r>
    </w:p>
    <w:p w14:paraId="4B56DFCC" w14:textId="330AEADA" w:rsidR="00D92B14" w:rsidRDefault="00D92B14" w:rsidP="001042D7">
      <w:r>
        <w:t>At seven months of age, 144/196 infants (73.5%) were age-appropriately immunised; the corresponding proportions at three and five months of age were 171/196 (87.2%) and 160/196 (81.6%) respectively. For First Nations infants, the corresponding proportions at three, five, and seven months of age were 54/54 (100%), 48/54 (88.9%) and 35/54 (64.8%), and for other infants, 125/134 (93.3%), 116/134 (86.6%) and 102/134 (76.1%); the differences at each time point were not statistically significant. The median times in days to vaccination at each age milestone, overall and by group, are presented in Table 2. There were no statistically significant differences between the groups at any timepoint.</w:t>
      </w:r>
    </w:p>
    <w:p w14:paraId="6E443982" w14:textId="77777777" w:rsidR="00063A70" w:rsidRPr="00063A70" w:rsidRDefault="00063A70" w:rsidP="00063A70">
      <w:pPr>
        <w:pStyle w:val="CDIFigures"/>
      </w:pPr>
      <w:r w:rsidRPr="00063A70">
        <w:rPr>
          <w:rStyle w:val="Strong"/>
          <w:b/>
          <w:bCs w:val="0"/>
        </w:rPr>
        <w:t>Table 2: Days to vaccination from each age milestone</w:t>
      </w:r>
    </w:p>
    <w:tbl>
      <w:tblPr>
        <w:tblStyle w:val="CDI-StandardTable"/>
        <w:tblW w:w="0" w:type="auto"/>
        <w:tblLook w:val="04A0" w:firstRow="1" w:lastRow="0" w:firstColumn="1" w:lastColumn="0" w:noHBand="0" w:noVBand="1"/>
        <w:tblDescription w:val="Table 2 presents the median, interquartile range, and range in days to vaccination from each age milestone, for each of the three study groups&#10;"/>
      </w:tblPr>
      <w:tblGrid>
        <w:gridCol w:w="1740"/>
        <w:gridCol w:w="1740"/>
        <w:gridCol w:w="1740"/>
        <w:gridCol w:w="1740"/>
        <w:gridCol w:w="1740"/>
        <w:gridCol w:w="1740"/>
      </w:tblGrid>
      <w:tr w:rsidR="00063A70" w:rsidRPr="00BC2C53" w14:paraId="416DBEAA" w14:textId="77777777" w:rsidTr="00063A70">
        <w:trPr>
          <w:cnfStyle w:val="100000000000" w:firstRow="1" w:lastRow="0" w:firstColumn="0" w:lastColumn="0" w:oddVBand="0" w:evenVBand="0" w:oddHBand="0" w:evenHBand="0" w:firstRowFirstColumn="0" w:firstRowLastColumn="0" w:lastRowFirstColumn="0" w:lastRowLastColumn="0"/>
        </w:trPr>
        <w:tc>
          <w:tcPr>
            <w:tcW w:w="1740" w:type="dxa"/>
            <w:tcBorders>
              <w:right w:val="single" w:sz="2" w:space="0" w:color="FFFFFF" w:themeColor="background1"/>
            </w:tcBorders>
            <w:hideMark/>
          </w:tcPr>
          <w:p w14:paraId="4A5F1D66" w14:textId="77777777" w:rsidR="00063A70" w:rsidRPr="00BC2C53" w:rsidRDefault="00063A70" w:rsidP="008603FB">
            <w:pPr>
              <w:rPr>
                <w:color w:val="FFFFFF" w:themeColor="background1"/>
                <w:sz w:val="18"/>
                <w:szCs w:val="18"/>
                <w:lang w:val="en-GB"/>
              </w:rPr>
            </w:pPr>
          </w:p>
        </w:tc>
        <w:tc>
          <w:tcPr>
            <w:tcW w:w="1740" w:type="dxa"/>
            <w:tcBorders>
              <w:left w:val="single" w:sz="2" w:space="0" w:color="FFFFFF" w:themeColor="background1"/>
              <w:right w:val="single" w:sz="2" w:space="0" w:color="FFFFFF" w:themeColor="background1"/>
            </w:tcBorders>
            <w:hideMark/>
          </w:tcPr>
          <w:p w14:paraId="3DF79E8F" w14:textId="77777777" w:rsidR="00063A70" w:rsidRPr="00BC2C53" w:rsidRDefault="00063A70" w:rsidP="00063A70">
            <w:pPr>
              <w:pStyle w:val="NormalWeb"/>
              <w:jc w:val="center"/>
              <w:rPr>
                <w:color w:val="FFFFFF" w:themeColor="background1"/>
                <w:sz w:val="18"/>
                <w:szCs w:val="18"/>
              </w:rPr>
            </w:pPr>
            <w:r w:rsidRPr="00BC2C53">
              <w:rPr>
                <w:color w:val="FFFFFF" w:themeColor="background1"/>
                <w:sz w:val="18"/>
                <w:szCs w:val="18"/>
              </w:rPr>
              <w:t>Simple SMS</w:t>
            </w:r>
          </w:p>
        </w:tc>
        <w:tc>
          <w:tcPr>
            <w:tcW w:w="1740" w:type="dxa"/>
            <w:tcBorders>
              <w:left w:val="single" w:sz="2" w:space="0" w:color="FFFFFF" w:themeColor="background1"/>
              <w:right w:val="single" w:sz="2" w:space="0" w:color="FFFFFF" w:themeColor="background1"/>
            </w:tcBorders>
            <w:hideMark/>
          </w:tcPr>
          <w:p w14:paraId="5F8A98E2" w14:textId="77777777" w:rsidR="00063A70" w:rsidRPr="00BC2C53" w:rsidRDefault="00063A70" w:rsidP="00063A70">
            <w:pPr>
              <w:pStyle w:val="NormalWeb"/>
              <w:jc w:val="center"/>
              <w:rPr>
                <w:color w:val="FFFFFF" w:themeColor="background1"/>
                <w:sz w:val="18"/>
                <w:szCs w:val="18"/>
              </w:rPr>
            </w:pPr>
            <w:r w:rsidRPr="00BC2C53">
              <w:rPr>
                <w:color w:val="FFFFFF" w:themeColor="background1"/>
                <w:sz w:val="18"/>
                <w:szCs w:val="18"/>
              </w:rPr>
              <w:t>ESMS±S</w:t>
            </w:r>
          </w:p>
        </w:tc>
        <w:tc>
          <w:tcPr>
            <w:tcW w:w="1740" w:type="dxa"/>
            <w:tcBorders>
              <w:left w:val="single" w:sz="2" w:space="0" w:color="FFFFFF" w:themeColor="background1"/>
              <w:right w:val="single" w:sz="2" w:space="0" w:color="FFFFFF" w:themeColor="background1"/>
            </w:tcBorders>
            <w:hideMark/>
          </w:tcPr>
          <w:p w14:paraId="6317F422" w14:textId="77777777" w:rsidR="00063A70" w:rsidRPr="00BC2C53" w:rsidRDefault="00063A70" w:rsidP="00063A70">
            <w:pPr>
              <w:pStyle w:val="NormalWeb"/>
              <w:jc w:val="center"/>
              <w:rPr>
                <w:color w:val="FFFFFF" w:themeColor="background1"/>
                <w:sz w:val="18"/>
                <w:szCs w:val="18"/>
              </w:rPr>
            </w:pPr>
            <w:r w:rsidRPr="00BC2C53">
              <w:rPr>
                <w:color w:val="FFFFFF" w:themeColor="background1"/>
                <w:sz w:val="18"/>
                <w:szCs w:val="18"/>
              </w:rPr>
              <w:t>Controls</w:t>
            </w:r>
          </w:p>
        </w:tc>
        <w:tc>
          <w:tcPr>
            <w:tcW w:w="1740" w:type="dxa"/>
            <w:tcBorders>
              <w:left w:val="single" w:sz="2" w:space="0" w:color="FFFFFF" w:themeColor="background1"/>
              <w:right w:val="single" w:sz="2" w:space="0" w:color="FFFFFF" w:themeColor="background1"/>
            </w:tcBorders>
            <w:hideMark/>
          </w:tcPr>
          <w:p w14:paraId="28FDBAFB" w14:textId="77777777" w:rsidR="00063A70" w:rsidRPr="00BC2C53" w:rsidRDefault="00063A70" w:rsidP="00063A70">
            <w:pPr>
              <w:pStyle w:val="NormalWeb"/>
              <w:jc w:val="center"/>
              <w:rPr>
                <w:color w:val="FFFFFF" w:themeColor="background1"/>
                <w:sz w:val="18"/>
                <w:szCs w:val="18"/>
              </w:rPr>
            </w:pPr>
            <w:r w:rsidRPr="00BC2C53">
              <w:rPr>
                <w:color w:val="FFFFFF" w:themeColor="background1"/>
                <w:sz w:val="18"/>
                <w:szCs w:val="18"/>
              </w:rPr>
              <w:t>Total</w:t>
            </w:r>
          </w:p>
        </w:tc>
        <w:tc>
          <w:tcPr>
            <w:tcW w:w="1740" w:type="dxa"/>
            <w:tcBorders>
              <w:left w:val="single" w:sz="2" w:space="0" w:color="FFFFFF" w:themeColor="background1"/>
            </w:tcBorders>
            <w:hideMark/>
          </w:tcPr>
          <w:p w14:paraId="28FB07FA" w14:textId="77777777" w:rsidR="00063A70" w:rsidRPr="00BC2C53" w:rsidRDefault="00063A70" w:rsidP="00063A70">
            <w:pPr>
              <w:pStyle w:val="NormalWeb"/>
              <w:jc w:val="center"/>
              <w:rPr>
                <w:color w:val="FFFFFF" w:themeColor="background1"/>
                <w:sz w:val="18"/>
                <w:szCs w:val="18"/>
              </w:rPr>
            </w:pPr>
            <w:r w:rsidRPr="00D82D7B">
              <w:rPr>
                <w:i/>
                <w:iCs/>
                <w:color w:val="FFFFFF" w:themeColor="background1"/>
                <w:sz w:val="18"/>
                <w:szCs w:val="18"/>
              </w:rPr>
              <w:t>p</w:t>
            </w:r>
            <w:r w:rsidRPr="00BC2C53">
              <w:rPr>
                <w:color w:val="FFFFFF" w:themeColor="background1"/>
                <w:sz w:val="18"/>
                <w:szCs w:val="18"/>
              </w:rPr>
              <w:t xml:space="preserve"> </w:t>
            </w:r>
            <w:proofErr w:type="spellStart"/>
            <w:r w:rsidRPr="00BC2C53">
              <w:rPr>
                <w:color w:val="FFFFFF" w:themeColor="background1"/>
                <w:sz w:val="18"/>
                <w:szCs w:val="18"/>
              </w:rPr>
              <w:t>value</w:t>
            </w:r>
            <w:r w:rsidRPr="00BC2C53">
              <w:rPr>
                <w:color w:val="FFFFFF" w:themeColor="background1"/>
                <w:sz w:val="18"/>
                <w:szCs w:val="18"/>
                <w:vertAlign w:val="superscript"/>
              </w:rPr>
              <w:t>a</w:t>
            </w:r>
            <w:proofErr w:type="spellEnd"/>
          </w:p>
        </w:tc>
      </w:tr>
      <w:tr w:rsidR="00063A70" w:rsidRPr="00BC2C53" w14:paraId="0B89F008" w14:textId="77777777" w:rsidTr="000F3A27">
        <w:tblPrEx>
          <w:tblCellMar>
            <w:top w:w="57" w:type="dxa"/>
            <w:left w:w="57" w:type="dxa"/>
            <w:bottom w:w="57" w:type="dxa"/>
            <w:right w:w="57" w:type="dxa"/>
          </w:tblCellMar>
        </w:tblPrEx>
        <w:tc>
          <w:tcPr>
            <w:tcW w:w="1740" w:type="dxa"/>
            <w:shd w:val="clear" w:color="auto" w:fill="595959" w:themeFill="text1" w:themeFillTint="A6"/>
            <w:hideMark/>
          </w:tcPr>
          <w:p w14:paraId="2A38461E" w14:textId="77777777" w:rsidR="00063A70" w:rsidRPr="00BC2C53" w:rsidRDefault="00063A70" w:rsidP="008603FB">
            <w:pPr>
              <w:pStyle w:val="NormalWeb"/>
              <w:rPr>
                <w:b/>
                <w:bCs/>
                <w:color w:val="FFFFFF" w:themeColor="background1"/>
                <w:sz w:val="18"/>
                <w:szCs w:val="18"/>
              </w:rPr>
            </w:pPr>
            <w:r w:rsidRPr="00BC2C53">
              <w:rPr>
                <w:b/>
                <w:bCs/>
                <w:color w:val="FFFFFF" w:themeColor="background1"/>
                <w:sz w:val="18"/>
                <w:szCs w:val="18"/>
              </w:rPr>
              <w:t>2 months</w:t>
            </w:r>
          </w:p>
        </w:tc>
        <w:tc>
          <w:tcPr>
            <w:tcW w:w="1740" w:type="dxa"/>
            <w:shd w:val="clear" w:color="auto" w:fill="595959" w:themeFill="text1" w:themeFillTint="A6"/>
            <w:hideMark/>
          </w:tcPr>
          <w:p w14:paraId="4BE6B5E1" w14:textId="77777777" w:rsidR="00063A70" w:rsidRPr="00BC2C53" w:rsidRDefault="00063A70" w:rsidP="00063A70">
            <w:pPr>
              <w:jc w:val="center"/>
              <w:rPr>
                <w:b/>
                <w:bCs/>
                <w:color w:val="FFFFFF" w:themeColor="background1"/>
                <w:sz w:val="18"/>
                <w:szCs w:val="18"/>
              </w:rPr>
            </w:pPr>
          </w:p>
        </w:tc>
        <w:tc>
          <w:tcPr>
            <w:tcW w:w="1740" w:type="dxa"/>
            <w:shd w:val="clear" w:color="auto" w:fill="595959" w:themeFill="text1" w:themeFillTint="A6"/>
            <w:hideMark/>
          </w:tcPr>
          <w:p w14:paraId="6CDC4F6E" w14:textId="77777777" w:rsidR="00063A70" w:rsidRPr="00BC2C53" w:rsidRDefault="00063A70" w:rsidP="00063A70">
            <w:pPr>
              <w:jc w:val="center"/>
              <w:rPr>
                <w:rFonts w:eastAsia="Times New Roman"/>
                <w:b/>
                <w:bCs/>
                <w:color w:val="FFFFFF" w:themeColor="background1"/>
                <w:sz w:val="18"/>
                <w:szCs w:val="18"/>
              </w:rPr>
            </w:pPr>
          </w:p>
        </w:tc>
        <w:tc>
          <w:tcPr>
            <w:tcW w:w="1740" w:type="dxa"/>
            <w:shd w:val="clear" w:color="auto" w:fill="595959" w:themeFill="text1" w:themeFillTint="A6"/>
            <w:hideMark/>
          </w:tcPr>
          <w:p w14:paraId="5AE00EDE" w14:textId="77777777" w:rsidR="00063A70" w:rsidRPr="00BC2C53" w:rsidRDefault="00063A70" w:rsidP="00063A70">
            <w:pPr>
              <w:jc w:val="center"/>
              <w:rPr>
                <w:rFonts w:eastAsia="Times New Roman"/>
                <w:b/>
                <w:bCs/>
                <w:color w:val="FFFFFF" w:themeColor="background1"/>
                <w:sz w:val="18"/>
                <w:szCs w:val="18"/>
              </w:rPr>
            </w:pPr>
          </w:p>
        </w:tc>
        <w:tc>
          <w:tcPr>
            <w:tcW w:w="1740" w:type="dxa"/>
            <w:shd w:val="clear" w:color="auto" w:fill="595959" w:themeFill="text1" w:themeFillTint="A6"/>
            <w:hideMark/>
          </w:tcPr>
          <w:p w14:paraId="60A747AB" w14:textId="77777777" w:rsidR="00063A70" w:rsidRPr="00BC2C53" w:rsidRDefault="00063A70" w:rsidP="00063A70">
            <w:pPr>
              <w:jc w:val="center"/>
              <w:rPr>
                <w:rFonts w:eastAsia="Times New Roman"/>
                <w:b/>
                <w:bCs/>
                <w:color w:val="FFFFFF" w:themeColor="background1"/>
                <w:sz w:val="18"/>
                <w:szCs w:val="18"/>
              </w:rPr>
            </w:pPr>
          </w:p>
        </w:tc>
        <w:tc>
          <w:tcPr>
            <w:tcW w:w="1740" w:type="dxa"/>
            <w:shd w:val="clear" w:color="auto" w:fill="595959" w:themeFill="text1" w:themeFillTint="A6"/>
            <w:hideMark/>
          </w:tcPr>
          <w:p w14:paraId="0C754FFA" w14:textId="77777777" w:rsidR="00063A70" w:rsidRPr="00BC2C53" w:rsidRDefault="00063A70" w:rsidP="00063A70">
            <w:pPr>
              <w:jc w:val="center"/>
              <w:rPr>
                <w:rFonts w:eastAsia="Times New Roman"/>
                <w:b/>
                <w:bCs/>
                <w:color w:val="FFFFFF" w:themeColor="background1"/>
                <w:sz w:val="18"/>
                <w:szCs w:val="18"/>
              </w:rPr>
            </w:pPr>
          </w:p>
        </w:tc>
      </w:tr>
      <w:tr w:rsidR="00063A70" w:rsidRPr="00BC2C53" w14:paraId="6BBA9195" w14:textId="77777777" w:rsidTr="00063A70">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740" w:type="dxa"/>
            <w:hideMark/>
          </w:tcPr>
          <w:p w14:paraId="45CA1DF3" w14:textId="77777777" w:rsidR="00063A70" w:rsidRPr="00BC2C53" w:rsidRDefault="00063A70" w:rsidP="008603FB">
            <w:pPr>
              <w:pStyle w:val="NormalWeb"/>
              <w:rPr>
                <w:sz w:val="18"/>
                <w:szCs w:val="18"/>
              </w:rPr>
            </w:pPr>
            <w:r w:rsidRPr="00BC2C53">
              <w:rPr>
                <w:sz w:val="18"/>
                <w:szCs w:val="18"/>
              </w:rPr>
              <w:t>Median (IQR)</w:t>
            </w:r>
          </w:p>
        </w:tc>
        <w:tc>
          <w:tcPr>
            <w:tcW w:w="1740" w:type="dxa"/>
            <w:hideMark/>
          </w:tcPr>
          <w:p w14:paraId="75EBD235" w14:textId="77777777" w:rsidR="00063A70" w:rsidRPr="00BC2C53" w:rsidRDefault="00063A70" w:rsidP="00063A70">
            <w:pPr>
              <w:pStyle w:val="NormalWeb"/>
              <w:jc w:val="center"/>
              <w:rPr>
                <w:sz w:val="18"/>
                <w:szCs w:val="18"/>
              </w:rPr>
            </w:pPr>
            <w:r w:rsidRPr="00BC2C53">
              <w:rPr>
                <w:sz w:val="18"/>
                <w:szCs w:val="18"/>
              </w:rPr>
              <w:t>-16.5 (-18, -12)</w:t>
            </w:r>
          </w:p>
        </w:tc>
        <w:tc>
          <w:tcPr>
            <w:tcW w:w="1740" w:type="dxa"/>
            <w:hideMark/>
          </w:tcPr>
          <w:p w14:paraId="72EC40C6" w14:textId="77777777" w:rsidR="00063A70" w:rsidRPr="00BC2C53" w:rsidRDefault="00063A70" w:rsidP="00063A70">
            <w:pPr>
              <w:pStyle w:val="NormalWeb"/>
              <w:jc w:val="center"/>
              <w:rPr>
                <w:sz w:val="18"/>
                <w:szCs w:val="18"/>
              </w:rPr>
            </w:pPr>
            <w:r w:rsidRPr="00BC2C53">
              <w:rPr>
                <w:sz w:val="18"/>
                <w:szCs w:val="18"/>
              </w:rPr>
              <w:t>-16 (-18, -12)</w:t>
            </w:r>
          </w:p>
        </w:tc>
        <w:tc>
          <w:tcPr>
            <w:tcW w:w="1740" w:type="dxa"/>
            <w:hideMark/>
          </w:tcPr>
          <w:p w14:paraId="6C7DE024" w14:textId="77777777" w:rsidR="00063A70" w:rsidRPr="00BC2C53" w:rsidRDefault="00063A70" w:rsidP="00063A70">
            <w:pPr>
              <w:pStyle w:val="NormalWeb"/>
              <w:jc w:val="center"/>
              <w:rPr>
                <w:sz w:val="18"/>
                <w:szCs w:val="18"/>
              </w:rPr>
            </w:pPr>
            <w:r w:rsidRPr="00BC2C53">
              <w:rPr>
                <w:sz w:val="18"/>
                <w:szCs w:val="18"/>
              </w:rPr>
              <w:t>-16 (-18, 10)</w:t>
            </w:r>
          </w:p>
        </w:tc>
        <w:tc>
          <w:tcPr>
            <w:tcW w:w="1740" w:type="dxa"/>
            <w:hideMark/>
          </w:tcPr>
          <w:p w14:paraId="340CBACB" w14:textId="77777777" w:rsidR="00063A70" w:rsidRPr="00BC2C53" w:rsidRDefault="00063A70" w:rsidP="00063A70">
            <w:pPr>
              <w:pStyle w:val="NormalWeb"/>
              <w:jc w:val="center"/>
              <w:rPr>
                <w:sz w:val="18"/>
                <w:szCs w:val="18"/>
              </w:rPr>
            </w:pPr>
            <w:r w:rsidRPr="00BC2C53">
              <w:rPr>
                <w:sz w:val="18"/>
                <w:szCs w:val="18"/>
              </w:rPr>
              <w:t>- 16 (-18, 10)</w:t>
            </w:r>
          </w:p>
        </w:tc>
        <w:tc>
          <w:tcPr>
            <w:tcW w:w="1740" w:type="dxa"/>
            <w:hideMark/>
          </w:tcPr>
          <w:p w14:paraId="6766BF02" w14:textId="77777777" w:rsidR="00063A70" w:rsidRPr="00BC2C53" w:rsidRDefault="00063A70" w:rsidP="00063A70">
            <w:pPr>
              <w:pStyle w:val="NormalWeb"/>
              <w:jc w:val="center"/>
              <w:rPr>
                <w:sz w:val="18"/>
                <w:szCs w:val="18"/>
              </w:rPr>
            </w:pPr>
            <w:r w:rsidRPr="00BC2C53">
              <w:rPr>
                <w:sz w:val="18"/>
                <w:szCs w:val="18"/>
              </w:rPr>
              <w:t>0.707</w:t>
            </w:r>
          </w:p>
        </w:tc>
      </w:tr>
      <w:tr w:rsidR="00063A70" w:rsidRPr="00BC2C53" w14:paraId="70C59658" w14:textId="77777777" w:rsidTr="00063A70">
        <w:tblPrEx>
          <w:tblCellMar>
            <w:top w:w="57" w:type="dxa"/>
            <w:left w:w="57" w:type="dxa"/>
            <w:bottom w:w="57" w:type="dxa"/>
            <w:right w:w="57" w:type="dxa"/>
          </w:tblCellMar>
        </w:tblPrEx>
        <w:tc>
          <w:tcPr>
            <w:tcW w:w="1740" w:type="dxa"/>
            <w:hideMark/>
          </w:tcPr>
          <w:p w14:paraId="6F6FE382" w14:textId="77777777" w:rsidR="00063A70" w:rsidRPr="00BC2C53" w:rsidRDefault="00063A70" w:rsidP="008603FB">
            <w:pPr>
              <w:pStyle w:val="NormalWeb"/>
              <w:rPr>
                <w:sz w:val="18"/>
                <w:szCs w:val="18"/>
              </w:rPr>
            </w:pPr>
            <w:r w:rsidRPr="00BC2C53">
              <w:rPr>
                <w:sz w:val="18"/>
                <w:szCs w:val="18"/>
              </w:rPr>
              <w:t>Range</w:t>
            </w:r>
          </w:p>
        </w:tc>
        <w:tc>
          <w:tcPr>
            <w:tcW w:w="1740" w:type="dxa"/>
            <w:hideMark/>
          </w:tcPr>
          <w:p w14:paraId="3277DF19" w14:textId="77777777" w:rsidR="00063A70" w:rsidRPr="00BC2C53" w:rsidRDefault="00063A70" w:rsidP="00063A70">
            <w:pPr>
              <w:pStyle w:val="NormalWeb"/>
              <w:jc w:val="center"/>
              <w:rPr>
                <w:sz w:val="18"/>
                <w:szCs w:val="18"/>
              </w:rPr>
            </w:pPr>
            <w:r w:rsidRPr="00BC2C53">
              <w:rPr>
                <w:sz w:val="18"/>
                <w:szCs w:val="18"/>
              </w:rPr>
              <w:t>-20, 91</w:t>
            </w:r>
          </w:p>
        </w:tc>
        <w:tc>
          <w:tcPr>
            <w:tcW w:w="1740" w:type="dxa"/>
            <w:hideMark/>
          </w:tcPr>
          <w:p w14:paraId="3BB69913" w14:textId="77777777" w:rsidR="00063A70" w:rsidRPr="00BC2C53" w:rsidRDefault="00063A70" w:rsidP="00063A70">
            <w:pPr>
              <w:pStyle w:val="NormalWeb"/>
              <w:jc w:val="center"/>
              <w:rPr>
                <w:sz w:val="18"/>
                <w:szCs w:val="18"/>
              </w:rPr>
            </w:pPr>
            <w:r w:rsidRPr="00BC2C53">
              <w:rPr>
                <w:sz w:val="18"/>
                <w:szCs w:val="18"/>
              </w:rPr>
              <w:t>-18, 7</w:t>
            </w:r>
          </w:p>
        </w:tc>
        <w:tc>
          <w:tcPr>
            <w:tcW w:w="1740" w:type="dxa"/>
            <w:hideMark/>
          </w:tcPr>
          <w:p w14:paraId="671B4352" w14:textId="77777777" w:rsidR="00063A70" w:rsidRPr="00BC2C53" w:rsidRDefault="00063A70" w:rsidP="00063A70">
            <w:pPr>
              <w:pStyle w:val="NormalWeb"/>
              <w:jc w:val="center"/>
              <w:rPr>
                <w:sz w:val="18"/>
                <w:szCs w:val="18"/>
              </w:rPr>
            </w:pPr>
            <w:r w:rsidRPr="00BC2C53">
              <w:rPr>
                <w:sz w:val="18"/>
                <w:szCs w:val="18"/>
              </w:rPr>
              <w:t>-20, 59</w:t>
            </w:r>
          </w:p>
        </w:tc>
        <w:tc>
          <w:tcPr>
            <w:tcW w:w="1740" w:type="dxa"/>
            <w:hideMark/>
          </w:tcPr>
          <w:p w14:paraId="1BF27D54" w14:textId="77777777" w:rsidR="00063A70" w:rsidRPr="00BC2C53" w:rsidRDefault="00063A70" w:rsidP="00063A70">
            <w:pPr>
              <w:pStyle w:val="NormalWeb"/>
              <w:jc w:val="center"/>
              <w:rPr>
                <w:sz w:val="18"/>
                <w:szCs w:val="18"/>
              </w:rPr>
            </w:pPr>
            <w:r w:rsidRPr="00BC2C53">
              <w:rPr>
                <w:sz w:val="18"/>
                <w:szCs w:val="18"/>
              </w:rPr>
              <w:t>-21, 91</w:t>
            </w:r>
          </w:p>
        </w:tc>
        <w:tc>
          <w:tcPr>
            <w:tcW w:w="1740" w:type="dxa"/>
            <w:hideMark/>
          </w:tcPr>
          <w:p w14:paraId="40BEBF81" w14:textId="77777777" w:rsidR="00063A70" w:rsidRPr="00BC2C53" w:rsidRDefault="00063A70" w:rsidP="00063A70">
            <w:pPr>
              <w:jc w:val="center"/>
              <w:rPr>
                <w:sz w:val="18"/>
                <w:szCs w:val="18"/>
              </w:rPr>
            </w:pPr>
          </w:p>
        </w:tc>
      </w:tr>
      <w:tr w:rsidR="00063A70" w:rsidRPr="00BC2C53" w14:paraId="6DE78E67"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740" w:type="dxa"/>
            <w:shd w:val="clear" w:color="auto" w:fill="595959" w:themeFill="text1" w:themeFillTint="A6"/>
            <w:hideMark/>
          </w:tcPr>
          <w:p w14:paraId="6725B00B" w14:textId="77777777" w:rsidR="00063A70" w:rsidRPr="00BC2C53" w:rsidRDefault="00063A70" w:rsidP="008603FB">
            <w:pPr>
              <w:pStyle w:val="NormalWeb"/>
              <w:rPr>
                <w:b/>
                <w:bCs/>
                <w:color w:val="FFFFFF" w:themeColor="background1"/>
                <w:sz w:val="18"/>
                <w:szCs w:val="18"/>
              </w:rPr>
            </w:pPr>
            <w:r w:rsidRPr="00BC2C53">
              <w:rPr>
                <w:b/>
                <w:bCs/>
                <w:color w:val="FFFFFF" w:themeColor="background1"/>
                <w:sz w:val="18"/>
                <w:szCs w:val="18"/>
              </w:rPr>
              <w:t>4 months</w:t>
            </w:r>
          </w:p>
        </w:tc>
        <w:tc>
          <w:tcPr>
            <w:tcW w:w="1740" w:type="dxa"/>
            <w:shd w:val="clear" w:color="auto" w:fill="595959" w:themeFill="text1" w:themeFillTint="A6"/>
            <w:hideMark/>
          </w:tcPr>
          <w:p w14:paraId="2BDF7C6D" w14:textId="77777777" w:rsidR="00063A70" w:rsidRPr="00BC2C53" w:rsidRDefault="00063A70" w:rsidP="00063A70">
            <w:pPr>
              <w:jc w:val="center"/>
              <w:rPr>
                <w:b/>
                <w:bCs/>
                <w:color w:val="FFFFFF" w:themeColor="background1"/>
                <w:sz w:val="18"/>
                <w:szCs w:val="18"/>
              </w:rPr>
            </w:pPr>
          </w:p>
        </w:tc>
        <w:tc>
          <w:tcPr>
            <w:tcW w:w="1740" w:type="dxa"/>
            <w:shd w:val="clear" w:color="auto" w:fill="595959" w:themeFill="text1" w:themeFillTint="A6"/>
            <w:hideMark/>
          </w:tcPr>
          <w:p w14:paraId="37B520B0" w14:textId="77777777" w:rsidR="00063A70" w:rsidRPr="00BC2C53" w:rsidRDefault="00063A70" w:rsidP="00063A70">
            <w:pPr>
              <w:jc w:val="center"/>
              <w:rPr>
                <w:rFonts w:eastAsia="Times New Roman"/>
                <w:b/>
                <w:bCs/>
                <w:color w:val="FFFFFF" w:themeColor="background1"/>
                <w:sz w:val="18"/>
                <w:szCs w:val="18"/>
              </w:rPr>
            </w:pPr>
          </w:p>
        </w:tc>
        <w:tc>
          <w:tcPr>
            <w:tcW w:w="1740" w:type="dxa"/>
            <w:shd w:val="clear" w:color="auto" w:fill="595959" w:themeFill="text1" w:themeFillTint="A6"/>
            <w:hideMark/>
          </w:tcPr>
          <w:p w14:paraId="3AB3D788" w14:textId="77777777" w:rsidR="00063A70" w:rsidRPr="00BC2C53" w:rsidRDefault="00063A70" w:rsidP="00063A70">
            <w:pPr>
              <w:jc w:val="center"/>
              <w:rPr>
                <w:rFonts w:eastAsia="Times New Roman"/>
                <w:b/>
                <w:bCs/>
                <w:color w:val="FFFFFF" w:themeColor="background1"/>
                <w:sz w:val="18"/>
                <w:szCs w:val="18"/>
              </w:rPr>
            </w:pPr>
          </w:p>
        </w:tc>
        <w:tc>
          <w:tcPr>
            <w:tcW w:w="1740" w:type="dxa"/>
            <w:shd w:val="clear" w:color="auto" w:fill="595959" w:themeFill="text1" w:themeFillTint="A6"/>
            <w:hideMark/>
          </w:tcPr>
          <w:p w14:paraId="20603CD9" w14:textId="77777777" w:rsidR="00063A70" w:rsidRPr="00BC2C53" w:rsidRDefault="00063A70" w:rsidP="00063A70">
            <w:pPr>
              <w:jc w:val="center"/>
              <w:rPr>
                <w:rFonts w:eastAsia="Times New Roman"/>
                <w:b/>
                <w:bCs/>
                <w:color w:val="FFFFFF" w:themeColor="background1"/>
                <w:sz w:val="18"/>
                <w:szCs w:val="18"/>
              </w:rPr>
            </w:pPr>
          </w:p>
        </w:tc>
        <w:tc>
          <w:tcPr>
            <w:tcW w:w="1740" w:type="dxa"/>
            <w:shd w:val="clear" w:color="auto" w:fill="595959" w:themeFill="text1" w:themeFillTint="A6"/>
            <w:hideMark/>
          </w:tcPr>
          <w:p w14:paraId="270B0C67" w14:textId="77777777" w:rsidR="00063A70" w:rsidRPr="00BC2C53" w:rsidRDefault="00063A70" w:rsidP="00063A70">
            <w:pPr>
              <w:jc w:val="center"/>
              <w:rPr>
                <w:rFonts w:eastAsia="Times New Roman"/>
                <w:b/>
                <w:bCs/>
                <w:color w:val="FFFFFF" w:themeColor="background1"/>
                <w:sz w:val="18"/>
                <w:szCs w:val="18"/>
              </w:rPr>
            </w:pPr>
          </w:p>
        </w:tc>
      </w:tr>
      <w:tr w:rsidR="00063A70" w:rsidRPr="00BC2C53" w14:paraId="67A9572D" w14:textId="77777777" w:rsidTr="00063A70">
        <w:tblPrEx>
          <w:tblCellMar>
            <w:top w:w="57" w:type="dxa"/>
            <w:left w:w="57" w:type="dxa"/>
            <w:bottom w:w="57" w:type="dxa"/>
            <w:right w:w="57" w:type="dxa"/>
          </w:tblCellMar>
        </w:tblPrEx>
        <w:tc>
          <w:tcPr>
            <w:tcW w:w="1740" w:type="dxa"/>
            <w:hideMark/>
          </w:tcPr>
          <w:p w14:paraId="674EEE17" w14:textId="77777777" w:rsidR="00063A70" w:rsidRPr="00BC2C53" w:rsidRDefault="00063A70" w:rsidP="008603FB">
            <w:pPr>
              <w:pStyle w:val="NormalWeb"/>
              <w:rPr>
                <w:sz w:val="18"/>
                <w:szCs w:val="18"/>
              </w:rPr>
            </w:pPr>
            <w:r w:rsidRPr="00BC2C53">
              <w:rPr>
                <w:sz w:val="18"/>
                <w:szCs w:val="18"/>
              </w:rPr>
              <w:t>Median (IQR)</w:t>
            </w:r>
          </w:p>
        </w:tc>
        <w:tc>
          <w:tcPr>
            <w:tcW w:w="1740" w:type="dxa"/>
            <w:hideMark/>
          </w:tcPr>
          <w:p w14:paraId="5A10DF1E" w14:textId="77777777" w:rsidR="00063A70" w:rsidRPr="00BC2C53" w:rsidRDefault="00063A70" w:rsidP="00063A70">
            <w:pPr>
              <w:pStyle w:val="NormalWeb"/>
              <w:jc w:val="center"/>
              <w:rPr>
                <w:sz w:val="18"/>
                <w:szCs w:val="18"/>
              </w:rPr>
            </w:pPr>
            <w:r w:rsidRPr="00BC2C53">
              <w:rPr>
                <w:sz w:val="18"/>
                <w:szCs w:val="18"/>
              </w:rPr>
              <w:t>3.5 (0, 11)</w:t>
            </w:r>
          </w:p>
        </w:tc>
        <w:tc>
          <w:tcPr>
            <w:tcW w:w="1740" w:type="dxa"/>
            <w:hideMark/>
          </w:tcPr>
          <w:p w14:paraId="544C57EA" w14:textId="77777777" w:rsidR="00063A70" w:rsidRPr="00BC2C53" w:rsidRDefault="00063A70" w:rsidP="00063A70">
            <w:pPr>
              <w:pStyle w:val="NormalWeb"/>
              <w:jc w:val="center"/>
              <w:rPr>
                <w:sz w:val="18"/>
                <w:szCs w:val="18"/>
              </w:rPr>
            </w:pPr>
            <w:r w:rsidRPr="00BC2C53">
              <w:rPr>
                <w:sz w:val="18"/>
                <w:szCs w:val="18"/>
              </w:rPr>
              <w:t>1 (0, 6.5)</w:t>
            </w:r>
          </w:p>
        </w:tc>
        <w:tc>
          <w:tcPr>
            <w:tcW w:w="1740" w:type="dxa"/>
            <w:hideMark/>
          </w:tcPr>
          <w:p w14:paraId="0FD599EE" w14:textId="77777777" w:rsidR="00063A70" w:rsidRPr="00BC2C53" w:rsidRDefault="00063A70" w:rsidP="00063A70">
            <w:pPr>
              <w:pStyle w:val="NormalWeb"/>
              <w:jc w:val="center"/>
              <w:rPr>
                <w:sz w:val="18"/>
                <w:szCs w:val="18"/>
              </w:rPr>
            </w:pPr>
            <w:r w:rsidRPr="00BC2C53">
              <w:rPr>
                <w:sz w:val="18"/>
                <w:szCs w:val="18"/>
              </w:rPr>
              <w:t>5 (1, 10)</w:t>
            </w:r>
          </w:p>
        </w:tc>
        <w:tc>
          <w:tcPr>
            <w:tcW w:w="1740" w:type="dxa"/>
            <w:hideMark/>
          </w:tcPr>
          <w:p w14:paraId="107F04D9" w14:textId="77777777" w:rsidR="00063A70" w:rsidRPr="00BC2C53" w:rsidRDefault="00063A70" w:rsidP="00063A70">
            <w:pPr>
              <w:pStyle w:val="NormalWeb"/>
              <w:jc w:val="center"/>
              <w:rPr>
                <w:sz w:val="18"/>
                <w:szCs w:val="18"/>
              </w:rPr>
            </w:pPr>
            <w:r w:rsidRPr="00BC2C53">
              <w:rPr>
                <w:sz w:val="18"/>
                <w:szCs w:val="18"/>
              </w:rPr>
              <w:t>3 (0, 10)</w:t>
            </w:r>
          </w:p>
        </w:tc>
        <w:tc>
          <w:tcPr>
            <w:tcW w:w="1740" w:type="dxa"/>
            <w:hideMark/>
          </w:tcPr>
          <w:p w14:paraId="73E9B3F3" w14:textId="77777777" w:rsidR="00063A70" w:rsidRPr="00BC2C53" w:rsidRDefault="00063A70" w:rsidP="00063A70">
            <w:pPr>
              <w:pStyle w:val="NormalWeb"/>
              <w:jc w:val="center"/>
              <w:rPr>
                <w:sz w:val="18"/>
                <w:szCs w:val="18"/>
              </w:rPr>
            </w:pPr>
            <w:r w:rsidRPr="00BC2C53">
              <w:rPr>
                <w:sz w:val="18"/>
                <w:szCs w:val="18"/>
              </w:rPr>
              <w:t>0.089</w:t>
            </w:r>
          </w:p>
        </w:tc>
      </w:tr>
      <w:tr w:rsidR="00063A70" w:rsidRPr="00BC2C53" w14:paraId="2ADD597D" w14:textId="77777777" w:rsidTr="00063A70">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740" w:type="dxa"/>
            <w:hideMark/>
          </w:tcPr>
          <w:p w14:paraId="66825ABF" w14:textId="77777777" w:rsidR="00063A70" w:rsidRPr="00BC2C53" w:rsidRDefault="00063A70" w:rsidP="008603FB">
            <w:pPr>
              <w:pStyle w:val="NormalWeb"/>
              <w:rPr>
                <w:sz w:val="18"/>
                <w:szCs w:val="18"/>
              </w:rPr>
            </w:pPr>
            <w:r w:rsidRPr="00BC2C53">
              <w:rPr>
                <w:sz w:val="18"/>
                <w:szCs w:val="18"/>
              </w:rPr>
              <w:t>Range</w:t>
            </w:r>
          </w:p>
        </w:tc>
        <w:tc>
          <w:tcPr>
            <w:tcW w:w="1740" w:type="dxa"/>
            <w:hideMark/>
          </w:tcPr>
          <w:p w14:paraId="31E045D4" w14:textId="77777777" w:rsidR="00063A70" w:rsidRPr="00BC2C53" w:rsidRDefault="00063A70" w:rsidP="00063A70">
            <w:pPr>
              <w:pStyle w:val="NormalWeb"/>
              <w:jc w:val="center"/>
              <w:rPr>
                <w:sz w:val="18"/>
                <w:szCs w:val="18"/>
              </w:rPr>
            </w:pPr>
            <w:r w:rsidRPr="00BC2C53">
              <w:rPr>
                <w:sz w:val="18"/>
                <w:szCs w:val="18"/>
              </w:rPr>
              <w:t>-18, 101</w:t>
            </w:r>
          </w:p>
        </w:tc>
        <w:tc>
          <w:tcPr>
            <w:tcW w:w="1740" w:type="dxa"/>
            <w:hideMark/>
          </w:tcPr>
          <w:p w14:paraId="03E393D6" w14:textId="77777777" w:rsidR="00063A70" w:rsidRPr="00BC2C53" w:rsidRDefault="00063A70" w:rsidP="00063A70">
            <w:pPr>
              <w:pStyle w:val="NormalWeb"/>
              <w:jc w:val="center"/>
              <w:rPr>
                <w:sz w:val="18"/>
                <w:szCs w:val="18"/>
              </w:rPr>
            </w:pPr>
            <w:r w:rsidRPr="00BC2C53">
              <w:rPr>
                <w:sz w:val="18"/>
                <w:szCs w:val="18"/>
              </w:rPr>
              <w:t>-19, 27</w:t>
            </w:r>
          </w:p>
        </w:tc>
        <w:tc>
          <w:tcPr>
            <w:tcW w:w="1740" w:type="dxa"/>
            <w:hideMark/>
          </w:tcPr>
          <w:p w14:paraId="4CAB2699" w14:textId="77777777" w:rsidR="00063A70" w:rsidRPr="00BC2C53" w:rsidRDefault="00063A70" w:rsidP="00063A70">
            <w:pPr>
              <w:pStyle w:val="NormalWeb"/>
              <w:jc w:val="center"/>
              <w:rPr>
                <w:sz w:val="18"/>
                <w:szCs w:val="18"/>
              </w:rPr>
            </w:pPr>
            <w:r w:rsidRPr="00BC2C53">
              <w:rPr>
                <w:sz w:val="18"/>
                <w:szCs w:val="18"/>
              </w:rPr>
              <w:t>-19, 99</w:t>
            </w:r>
          </w:p>
        </w:tc>
        <w:tc>
          <w:tcPr>
            <w:tcW w:w="1740" w:type="dxa"/>
            <w:hideMark/>
          </w:tcPr>
          <w:p w14:paraId="5CF49BB7" w14:textId="77777777" w:rsidR="00063A70" w:rsidRPr="00BC2C53" w:rsidRDefault="00063A70" w:rsidP="00063A70">
            <w:pPr>
              <w:pStyle w:val="NormalWeb"/>
              <w:jc w:val="center"/>
              <w:rPr>
                <w:sz w:val="18"/>
                <w:szCs w:val="18"/>
              </w:rPr>
            </w:pPr>
            <w:r w:rsidRPr="00BC2C53">
              <w:rPr>
                <w:sz w:val="18"/>
                <w:szCs w:val="18"/>
              </w:rPr>
              <w:t>-19, 101</w:t>
            </w:r>
          </w:p>
        </w:tc>
        <w:tc>
          <w:tcPr>
            <w:tcW w:w="1740" w:type="dxa"/>
            <w:hideMark/>
          </w:tcPr>
          <w:p w14:paraId="2F06970B" w14:textId="77777777" w:rsidR="00063A70" w:rsidRPr="00BC2C53" w:rsidRDefault="00063A70" w:rsidP="00063A70">
            <w:pPr>
              <w:jc w:val="center"/>
              <w:rPr>
                <w:sz w:val="18"/>
                <w:szCs w:val="18"/>
              </w:rPr>
            </w:pPr>
          </w:p>
        </w:tc>
      </w:tr>
      <w:tr w:rsidR="00063A70" w:rsidRPr="00BC2C53" w14:paraId="17068259" w14:textId="77777777" w:rsidTr="000F3A27">
        <w:tblPrEx>
          <w:tblCellMar>
            <w:top w:w="57" w:type="dxa"/>
            <w:left w:w="57" w:type="dxa"/>
            <w:bottom w:w="57" w:type="dxa"/>
            <w:right w:w="57" w:type="dxa"/>
          </w:tblCellMar>
        </w:tblPrEx>
        <w:tc>
          <w:tcPr>
            <w:tcW w:w="1740" w:type="dxa"/>
            <w:shd w:val="clear" w:color="auto" w:fill="595959" w:themeFill="text1" w:themeFillTint="A6"/>
            <w:hideMark/>
          </w:tcPr>
          <w:p w14:paraId="08BED7BF" w14:textId="77777777" w:rsidR="00063A70" w:rsidRPr="00BC2C53" w:rsidRDefault="00063A70" w:rsidP="008603FB">
            <w:pPr>
              <w:pStyle w:val="NormalWeb"/>
              <w:rPr>
                <w:b/>
                <w:bCs/>
                <w:color w:val="FFFFFF" w:themeColor="background1"/>
                <w:sz w:val="18"/>
                <w:szCs w:val="18"/>
              </w:rPr>
            </w:pPr>
            <w:r w:rsidRPr="00BC2C53">
              <w:rPr>
                <w:b/>
                <w:bCs/>
                <w:color w:val="FFFFFF" w:themeColor="background1"/>
                <w:sz w:val="18"/>
                <w:szCs w:val="18"/>
              </w:rPr>
              <w:t>6 months</w:t>
            </w:r>
          </w:p>
        </w:tc>
        <w:tc>
          <w:tcPr>
            <w:tcW w:w="1740" w:type="dxa"/>
            <w:shd w:val="clear" w:color="auto" w:fill="595959" w:themeFill="text1" w:themeFillTint="A6"/>
            <w:hideMark/>
          </w:tcPr>
          <w:p w14:paraId="1C676ADE" w14:textId="77777777" w:rsidR="00063A70" w:rsidRPr="00BC2C53" w:rsidRDefault="00063A70" w:rsidP="00063A70">
            <w:pPr>
              <w:jc w:val="center"/>
              <w:rPr>
                <w:b/>
                <w:bCs/>
                <w:color w:val="FFFFFF" w:themeColor="background1"/>
                <w:sz w:val="18"/>
                <w:szCs w:val="18"/>
              </w:rPr>
            </w:pPr>
          </w:p>
        </w:tc>
        <w:tc>
          <w:tcPr>
            <w:tcW w:w="1740" w:type="dxa"/>
            <w:shd w:val="clear" w:color="auto" w:fill="595959" w:themeFill="text1" w:themeFillTint="A6"/>
            <w:hideMark/>
          </w:tcPr>
          <w:p w14:paraId="467B8E21" w14:textId="77777777" w:rsidR="00063A70" w:rsidRPr="00BC2C53" w:rsidRDefault="00063A70" w:rsidP="00063A70">
            <w:pPr>
              <w:jc w:val="center"/>
              <w:rPr>
                <w:rFonts w:eastAsia="Times New Roman"/>
                <w:b/>
                <w:bCs/>
                <w:color w:val="FFFFFF" w:themeColor="background1"/>
                <w:sz w:val="18"/>
                <w:szCs w:val="18"/>
              </w:rPr>
            </w:pPr>
          </w:p>
        </w:tc>
        <w:tc>
          <w:tcPr>
            <w:tcW w:w="1740" w:type="dxa"/>
            <w:shd w:val="clear" w:color="auto" w:fill="595959" w:themeFill="text1" w:themeFillTint="A6"/>
            <w:hideMark/>
          </w:tcPr>
          <w:p w14:paraId="0D086CC5" w14:textId="77777777" w:rsidR="00063A70" w:rsidRPr="00BC2C53" w:rsidRDefault="00063A70" w:rsidP="00063A70">
            <w:pPr>
              <w:jc w:val="center"/>
              <w:rPr>
                <w:rFonts w:eastAsia="Times New Roman"/>
                <w:b/>
                <w:bCs/>
                <w:color w:val="FFFFFF" w:themeColor="background1"/>
                <w:sz w:val="18"/>
                <w:szCs w:val="18"/>
              </w:rPr>
            </w:pPr>
          </w:p>
        </w:tc>
        <w:tc>
          <w:tcPr>
            <w:tcW w:w="1740" w:type="dxa"/>
            <w:shd w:val="clear" w:color="auto" w:fill="595959" w:themeFill="text1" w:themeFillTint="A6"/>
            <w:hideMark/>
          </w:tcPr>
          <w:p w14:paraId="174180CF" w14:textId="77777777" w:rsidR="00063A70" w:rsidRPr="00BC2C53" w:rsidRDefault="00063A70" w:rsidP="00063A70">
            <w:pPr>
              <w:jc w:val="center"/>
              <w:rPr>
                <w:rFonts w:eastAsia="Times New Roman"/>
                <w:b/>
                <w:bCs/>
                <w:color w:val="FFFFFF" w:themeColor="background1"/>
                <w:sz w:val="18"/>
                <w:szCs w:val="18"/>
              </w:rPr>
            </w:pPr>
          </w:p>
        </w:tc>
        <w:tc>
          <w:tcPr>
            <w:tcW w:w="1740" w:type="dxa"/>
            <w:shd w:val="clear" w:color="auto" w:fill="595959" w:themeFill="text1" w:themeFillTint="A6"/>
            <w:hideMark/>
          </w:tcPr>
          <w:p w14:paraId="46F7445D" w14:textId="77777777" w:rsidR="00063A70" w:rsidRPr="00BC2C53" w:rsidRDefault="00063A70" w:rsidP="00063A70">
            <w:pPr>
              <w:jc w:val="center"/>
              <w:rPr>
                <w:rFonts w:eastAsia="Times New Roman"/>
                <w:b/>
                <w:bCs/>
                <w:color w:val="FFFFFF" w:themeColor="background1"/>
                <w:sz w:val="18"/>
                <w:szCs w:val="18"/>
              </w:rPr>
            </w:pPr>
          </w:p>
        </w:tc>
      </w:tr>
      <w:tr w:rsidR="00063A70" w:rsidRPr="00BC2C53" w14:paraId="271869B0" w14:textId="77777777" w:rsidTr="00063A70">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740" w:type="dxa"/>
            <w:hideMark/>
          </w:tcPr>
          <w:p w14:paraId="6FC34CA6" w14:textId="77777777" w:rsidR="00063A70" w:rsidRPr="00BC2C53" w:rsidRDefault="00063A70" w:rsidP="008603FB">
            <w:pPr>
              <w:pStyle w:val="NormalWeb"/>
              <w:rPr>
                <w:sz w:val="18"/>
                <w:szCs w:val="18"/>
              </w:rPr>
            </w:pPr>
            <w:r w:rsidRPr="00BC2C53">
              <w:rPr>
                <w:sz w:val="18"/>
                <w:szCs w:val="18"/>
              </w:rPr>
              <w:t>Median (IQR)</w:t>
            </w:r>
          </w:p>
        </w:tc>
        <w:tc>
          <w:tcPr>
            <w:tcW w:w="1740" w:type="dxa"/>
            <w:hideMark/>
          </w:tcPr>
          <w:p w14:paraId="32605E9D" w14:textId="77777777" w:rsidR="00063A70" w:rsidRPr="00BC2C53" w:rsidRDefault="00063A70" w:rsidP="00063A70">
            <w:pPr>
              <w:pStyle w:val="NormalWeb"/>
              <w:jc w:val="center"/>
              <w:rPr>
                <w:sz w:val="18"/>
                <w:szCs w:val="18"/>
              </w:rPr>
            </w:pPr>
            <w:r w:rsidRPr="00BC2C53">
              <w:rPr>
                <w:sz w:val="18"/>
                <w:szCs w:val="18"/>
              </w:rPr>
              <w:t>6 (1, 13.5)</w:t>
            </w:r>
          </w:p>
        </w:tc>
        <w:tc>
          <w:tcPr>
            <w:tcW w:w="1740" w:type="dxa"/>
            <w:hideMark/>
          </w:tcPr>
          <w:p w14:paraId="361A6C80" w14:textId="77777777" w:rsidR="00063A70" w:rsidRPr="00BC2C53" w:rsidRDefault="00063A70" w:rsidP="00063A70">
            <w:pPr>
              <w:pStyle w:val="NormalWeb"/>
              <w:jc w:val="center"/>
              <w:rPr>
                <w:sz w:val="18"/>
                <w:szCs w:val="18"/>
              </w:rPr>
            </w:pPr>
            <w:r w:rsidRPr="00BC2C53">
              <w:rPr>
                <w:sz w:val="18"/>
                <w:szCs w:val="18"/>
              </w:rPr>
              <w:t>6 (2, 15)</w:t>
            </w:r>
          </w:p>
        </w:tc>
        <w:tc>
          <w:tcPr>
            <w:tcW w:w="1740" w:type="dxa"/>
            <w:hideMark/>
          </w:tcPr>
          <w:p w14:paraId="2EC13E92" w14:textId="77777777" w:rsidR="00063A70" w:rsidRPr="00BC2C53" w:rsidRDefault="00063A70" w:rsidP="00063A70">
            <w:pPr>
              <w:pStyle w:val="NormalWeb"/>
              <w:jc w:val="center"/>
              <w:rPr>
                <w:sz w:val="18"/>
                <w:szCs w:val="18"/>
              </w:rPr>
            </w:pPr>
            <w:r w:rsidRPr="00BC2C53">
              <w:rPr>
                <w:sz w:val="18"/>
                <w:szCs w:val="18"/>
              </w:rPr>
              <w:t>6.5 (3, 18)</w:t>
            </w:r>
          </w:p>
        </w:tc>
        <w:tc>
          <w:tcPr>
            <w:tcW w:w="1740" w:type="dxa"/>
            <w:hideMark/>
          </w:tcPr>
          <w:p w14:paraId="468A393C" w14:textId="77777777" w:rsidR="00063A70" w:rsidRPr="00BC2C53" w:rsidRDefault="00063A70" w:rsidP="00063A70">
            <w:pPr>
              <w:pStyle w:val="NormalWeb"/>
              <w:jc w:val="center"/>
              <w:rPr>
                <w:sz w:val="18"/>
                <w:szCs w:val="18"/>
              </w:rPr>
            </w:pPr>
            <w:r w:rsidRPr="00BC2C53">
              <w:rPr>
                <w:sz w:val="18"/>
                <w:szCs w:val="18"/>
              </w:rPr>
              <w:t>6 (2, 16)</w:t>
            </w:r>
          </w:p>
        </w:tc>
        <w:tc>
          <w:tcPr>
            <w:tcW w:w="1740" w:type="dxa"/>
            <w:hideMark/>
          </w:tcPr>
          <w:p w14:paraId="3FC2969A" w14:textId="77777777" w:rsidR="00063A70" w:rsidRPr="00BC2C53" w:rsidRDefault="00063A70" w:rsidP="00063A70">
            <w:pPr>
              <w:pStyle w:val="NormalWeb"/>
              <w:jc w:val="center"/>
              <w:rPr>
                <w:sz w:val="18"/>
                <w:szCs w:val="18"/>
              </w:rPr>
            </w:pPr>
            <w:r w:rsidRPr="00BC2C53">
              <w:rPr>
                <w:sz w:val="18"/>
                <w:szCs w:val="18"/>
              </w:rPr>
              <w:t>0.412</w:t>
            </w:r>
          </w:p>
        </w:tc>
      </w:tr>
      <w:tr w:rsidR="00063A70" w:rsidRPr="00BC2C53" w14:paraId="7E9DF96A" w14:textId="77777777" w:rsidTr="00063A70">
        <w:tblPrEx>
          <w:tblCellMar>
            <w:top w:w="57" w:type="dxa"/>
            <w:left w:w="57" w:type="dxa"/>
            <w:bottom w:w="57" w:type="dxa"/>
            <w:right w:w="57" w:type="dxa"/>
          </w:tblCellMar>
        </w:tblPrEx>
        <w:tc>
          <w:tcPr>
            <w:tcW w:w="1740" w:type="dxa"/>
            <w:tcBorders>
              <w:bottom w:val="single" w:sz="2" w:space="0" w:color="808080" w:themeColor="background1" w:themeShade="80"/>
            </w:tcBorders>
            <w:hideMark/>
          </w:tcPr>
          <w:p w14:paraId="6E9B534F" w14:textId="77777777" w:rsidR="00063A70" w:rsidRPr="00BC2C53" w:rsidRDefault="00063A70" w:rsidP="008603FB">
            <w:pPr>
              <w:pStyle w:val="NormalWeb"/>
              <w:rPr>
                <w:sz w:val="18"/>
                <w:szCs w:val="18"/>
              </w:rPr>
            </w:pPr>
            <w:r w:rsidRPr="00BC2C53">
              <w:rPr>
                <w:sz w:val="18"/>
                <w:szCs w:val="18"/>
              </w:rPr>
              <w:t>Range</w:t>
            </w:r>
          </w:p>
        </w:tc>
        <w:tc>
          <w:tcPr>
            <w:tcW w:w="1740" w:type="dxa"/>
            <w:tcBorders>
              <w:bottom w:val="single" w:sz="2" w:space="0" w:color="808080" w:themeColor="background1" w:themeShade="80"/>
            </w:tcBorders>
            <w:hideMark/>
          </w:tcPr>
          <w:p w14:paraId="57D7FDC0" w14:textId="77777777" w:rsidR="00063A70" w:rsidRPr="00BC2C53" w:rsidRDefault="00063A70" w:rsidP="00063A70">
            <w:pPr>
              <w:pStyle w:val="NormalWeb"/>
              <w:jc w:val="center"/>
              <w:rPr>
                <w:sz w:val="18"/>
                <w:szCs w:val="18"/>
              </w:rPr>
            </w:pPr>
            <w:r w:rsidRPr="00BC2C53">
              <w:rPr>
                <w:sz w:val="18"/>
                <w:szCs w:val="18"/>
              </w:rPr>
              <w:t>(-18, 45)</w:t>
            </w:r>
          </w:p>
        </w:tc>
        <w:tc>
          <w:tcPr>
            <w:tcW w:w="1740" w:type="dxa"/>
            <w:tcBorders>
              <w:bottom w:val="single" w:sz="2" w:space="0" w:color="808080" w:themeColor="background1" w:themeShade="80"/>
            </w:tcBorders>
            <w:hideMark/>
          </w:tcPr>
          <w:p w14:paraId="142E98ED" w14:textId="77777777" w:rsidR="00063A70" w:rsidRPr="00BC2C53" w:rsidRDefault="00063A70" w:rsidP="00063A70">
            <w:pPr>
              <w:pStyle w:val="NormalWeb"/>
              <w:jc w:val="center"/>
              <w:rPr>
                <w:sz w:val="18"/>
                <w:szCs w:val="18"/>
              </w:rPr>
            </w:pPr>
            <w:r w:rsidRPr="00BC2C53">
              <w:rPr>
                <w:sz w:val="18"/>
                <w:szCs w:val="18"/>
              </w:rPr>
              <w:t>-3, 50</w:t>
            </w:r>
          </w:p>
        </w:tc>
        <w:tc>
          <w:tcPr>
            <w:tcW w:w="1740" w:type="dxa"/>
            <w:tcBorders>
              <w:bottom w:val="single" w:sz="2" w:space="0" w:color="808080" w:themeColor="background1" w:themeShade="80"/>
            </w:tcBorders>
            <w:hideMark/>
          </w:tcPr>
          <w:p w14:paraId="5AAD7E55" w14:textId="77777777" w:rsidR="00063A70" w:rsidRPr="00BC2C53" w:rsidRDefault="00063A70" w:rsidP="00063A70">
            <w:pPr>
              <w:pStyle w:val="NormalWeb"/>
              <w:jc w:val="center"/>
              <w:rPr>
                <w:sz w:val="18"/>
                <w:szCs w:val="18"/>
              </w:rPr>
            </w:pPr>
            <w:r w:rsidRPr="00BC2C53">
              <w:rPr>
                <w:sz w:val="18"/>
                <w:szCs w:val="18"/>
              </w:rPr>
              <w:t>(-13, 57)</w:t>
            </w:r>
          </w:p>
        </w:tc>
        <w:tc>
          <w:tcPr>
            <w:tcW w:w="1740" w:type="dxa"/>
            <w:tcBorders>
              <w:bottom w:val="single" w:sz="2" w:space="0" w:color="808080" w:themeColor="background1" w:themeShade="80"/>
            </w:tcBorders>
            <w:hideMark/>
          </w:tcPr>
          <w:p w14:paraId="4CD47299" w14:textId="77777777" w:rsidR="00063A70" w:rsidRPr="00BC2C53" w:rsidRDefault="00063A70" w:rsidP="00063A70">
            <w:pPr>
              <w:pStyle w:val="NormalWeb"/>
              <w:jc w:val="center"/>
              <w:rPr>
                <w:sz w:val="18"/>
                <w:szCs w:val="18"/>
              </w:rPr>
            </w:pPr>
            <w:r w:rsidRPr="00BC2C53">
              <w:rPr>
                <w:sz w:val="18"/>
                <w:szCs w:val="18"/>
              </w:rPr>
              <w:t>(-18, 57)</w:t>
            </w:r>
          </w:p>
        </w:tc>
        <w:tc>
          <w:tcPr>
            <w:tcW w:w="1740" w:type="dxa"/>
            <w:tcBorders>
              <w:bottom w:val="single" w:sz="2" w:space="0" w:color="808080" w:themeColor="background1" w:themeShade="80"/>
            </w:tcBorders>
            <w:hideMark/>
          </w:tcPr>
          <w:p w14:paraId="0D3D2AC2" w14:textId="77777777" w:rsidR="00063A70" w:rsidRPr="00BC2C53" w:rsidRDefault="00063A70" w:rsidP="00063A70">
            <w:pPr>
              <w:jc w:val="center"/>
              <w:rPr>
                <w:sz w:val="18"/>
                <w:szCs w:val="18"/>
              </w:rPr>
            </w:pPr>
          </w:p>
        </w:tc>
      </w:tr>
    </w:tbl>
    <w:p w14:paraId="44E08563" w14:textId="6CDEBB3E" w:rsidR="00063A70" w:rsidRPr="00063A70" w:rsidRDefault="00063A70" w:rsidP="00063A70">
      <w:pPr>
        <w:pStyle w:val="CDIfootnotes"/>
        <w:rPr>
          <w:sz w:val="24"/>
          <w:szCs w:val="24"/>
          <w:lang w:val="en-GB"/>
        </w:rPr>
      </w:pPr>
      <w:r>
        <w:rPr>
          <w:lang w:val="en-GB"/>
        </w:rPr>
        <w:t>a</w:t>
      </w:r>
      <w:r>
        <w:rPr>
          <w:lang w:val="en-GB"/>
        </w:rPr>
        <w:tab/>
        <w:t>Kruskal-Wallis rank test.</w:t>
      </w:r>
    </w:p>
    <w:p w14:paraId="5ED48593" w14:textId="77777777" w:rsidR="00D92B14" w:rsidRDefault="00D92B14" w:rsidP="001042D7">
      <w:r>
        <w:t>The proportion of infants age-appropriately immunised and adjusted relative risks (</w:t>
      </w:r>
      <w:proofErr w:type="spellStart"/>
      <w:r>
        <w:t>aRR</w:t>
      </w:r>
      <w:proofErr w:type="spellEnd"/>
      <w:r>
        <w:t>) comparing infants in intervention groups to controls at each age milestone are presented in Table 3. Infants randomised to the ESMS±S group were more likely to be age-appropriately immunised at each time point than infants in the control group, with the strongest effect at five months of age (</w:t>
      </w:r>
      <w:proofErr w:type="spellStart"/>
      <w:r>
        <w:t>aRR</w:t>
      </w:r>
      <w:proofErr w:type="spellEnd"/>
      <w:r>
        <w:t xml:space="preserve">: 6.9; 95% CI: 1.9–25.3). There were no differences between the simple SMS group and controls at any milestone. </w:t>
      </w:r>
    </w:p>
    <w:p w14:paraId="4A2F713D" w14:textId="77777777" w:rsidR="00456EC2" w:rsidRDefault="00456EC2">
      <w:r>
        <w:br w:type="page"/>
      </w:r>
    </w:p>
    <w:p w14:paraId="19181F9B" w14:textId="77777777" w:rsidR="00456EC2" w:rsidRDefault="00456EC2" w:rsidP="00456EC2">
      <w:pPr>
        <w:pStyle w:val="NormalWeb"/>
        <w:rPr>
          <w:lang w:val="en-GB"/>
        </w:rPr>
      </w:pPr>
      <w:r>
        <w:rPr>
          <w:rStyle w:val="Strong"/>
          <w:lang w:val="en-GB"/>
        </w:rPr>
        <w:lastRenderedPageBreak/>
        <w:t>Table 3: Proportion vaccinated by randomised group and stratified by age</w:t>
      </w:r>
    </w:p>
    <w:tbl>
      <w:tblPr>
        <w:tblStyle w:val="CDI-StandardTable"/>
        <w:tblW w:w="0" w:type="auto"/>
        <w:tblLook w:val="04A0" w:firstRow="1" w:lastRow="0" w:firstColumn="1" w:lastColumn="0" w:noHBand="0" w:noVBand="1"/>
        <w:tblDescription w:val="Table 3 presents the proportions of babies age appropriately vaccinated at each milestone by study group and the adjusted relative risks for age appropriately vaccinated with their corresponding 95% confidence intervals. The reference group was infants whose parent/carer received no intervention. &#10;"/>
      </w:tblPr>
      <w:tblGrid>
        <w:gridCol w:w="949"/>
        <w:gridCol w:w="949"/>
        <w:gridCol w:w="949"/>
        <w:gridCol w:w="949"/>
        <w:gridCol w:w="1024"/>
        <w:gridCol w:w="874"/>
        <w:gridCol w:w="949"/>
        <w:gridCol w:w="949"/>
        <w:gridCol w:w="949"/>
        <w:gridCol w:w="949"/>
        <w:gridCol w:w="950"/>
      </w:tblGrid>
      <w:tr w:rsidR="00456EC2" w:rsidRPr="00456EC2" w14:paraId="008EE327" w14:textId="77777777" w:rsidTr="00456EC2">
        <w:trPr>
          <w:cnfStyle w:val="100000000000" w:firstRow="1" w:lastRow="0" w:firstColumn="0" w:lastColumn="0" w:oddVBand="0" w:evenVBand="0" w:oddHBand="0" w:evenHBand="0" w:firstRowFirstColumn="0" w:firstRowLastColumn="0" w:lastRowFirstColumn="0" w:lastRowLastColumn="0"/>
          <w:tblHeader/>
        </w:trPr>
        <w:tc>
          <w:tcPr>
            <w:tcW w:w="949" w:type="dxa"/>
            <w:tcBorders>
              <w:bottom w:val="single" w:sz="2" w:space="0" w:color="FFFFFF" w:themeColor="background1"/>
              <w:right w:val="single" w:sz="2" w:space="0" w:color="FFFFFF" w:themeColor="background1"/>
            </w:tcBorders>
            <w:hideMark/>
          </w:tcPr>
          <w:p w14:paraId="4D814D1B" w14:textId="77777777" w:rsidR="00456EC2" w:rsidRPr="00456EC2" w:rsidRDefault="00456EC2" w:rsidP="008603FB">
            <w:pPr>
              <w:rPr>
                <w:color w:val="FFFFFF" w:themeColor="background1"/>
                <w:sz w:val="18"/>
                <w:szCs w:val="18"/>
                <w:lang w:val="en-GB"/>
              </w:rPr>
            </w:pPr>
          </w:p>
        </w:tc>
        <w:tc>
          <w:tcPr>
            <w:tcW w:w="3871" w:type="dxa"/>
            <w:gridSpan w:val="4"/>
            <w:tcBorders>
              <w:left w:val="single" w:sz="2" w:space="0" w:color="FFFFFF" w:themeColor="background1"/>
              <w:bottom w:val="single" w:sz="2" w:space="0" w:color="FFFFFF" w:themeColor="background1"/>
              <w:right w:val="single" w:sz="2" w:space="0" w:color="FFFFFF" w:themeColor="background1"/>
            </w:tcBorders>
            <w:hideMark/>
          </w:tcPr>
          <w:p w14:paraId="7477EFCE" w14:textId="77777777" w:rsidR="00456EC2" w:rsidRPr="00456EC2" w:rsidRDefault="00456EC2" w:rsidP="002D09F9">
            <w:pPr>
              <w:pStyle w:val="NormalWeb"/>
              <w:jc w:val="center"/>
              <w:rPr>
                <w:color w:val="FFFFFF" w:themeColor="background1"/>
                <w:sz w:val="18"/>
                <w:szCs w:val="18"/>
              </w:rPr>
            </w:pPr>
            <w:r w:rsidRPr="00456EC2">
              <w:rPr>
                <w:color w:val="FFFFFF" w:themeColor="background1"/>
                <w:sz w:val="18"/>
                <w:szCs w:val="18"/>
              </w:rPr>
              <w:t>Simple SMS (N = 64)</w:t>
            </w:r>
          </w:p>
        </w:tc>
        <w:tc>
          <w:tcPr>
            <w:tcW w:w="3721" w:type="dxa"/>
            <w:gridSpan w:val="4"/>
            <w:tcBorders>
              <w:left w:val="single" w:sz="2" w:space="0" w:color="FFFFFF" w:themeColor="background1"/>
              <w:bottom w:val="single" w:sz="2" w:space="0" w:color="FFFFFF" w:themeColor="background1"/>
              <w:right w:val="single" w:sz="2" w:space="0" w:color="FFFFFF" w:themeColor="background1"/>
            </w:tcBorders>
            <w:hideMark/>
          </w:tcPr>
          <w:p w14:paraId="38379A5D" w14:textId="77777777" w:rsidR="00456EC2" w:rsidRPr="00456EC2" w:rsidRDefault="00456EC2" w:rsidP="002D09F9">
            <w:pPr>
              <w:pStyle w:val="NormalWeb"/>
              <w:jc w:val="center"/>
              <w:rPr>
                <w:color w:val="FFFFFF" w:themeColor="background1"/>
                <w:sz w:val="18"/>
                <w:szCs w:val="18"/>
              </w:rPr>
            </w:pPr>
            <w:r w:rsidRPr="00456EC2">
              <w:rPr>
                <w:color w:val="FFFFFF" w:themeColor="background1"/>
                <w:sz w:val="18"/>
                <w:szCs w:val="18"/>
              </w:rPr>
              <w:t>ESMS±S (N = 65)</w:t>
            </w:r>
          </w:p>
        </w:tc>
        <w:tc>
          <w:tcPr>
            <w:tcW w:w="1899" w:type="dxa"/>
            <w:gridSpan w:val="2"/>
            <w:tcBorders>
              <w:left w:val="single" w:sz="2" w:space="0" w:color="FFFFFF" w:themeColor="background1"/>
              <w:bottom w:val="single" w:sz="2" w:space="0" w:color="FFFFFF" w:themeColor="background1"/>
            </w:tcBorders>
            <w:hideMark/>
          </w:tcPr>
          <w:p w14:paraId="4829A43F" w14:textId="77777777" w:rsidR="00456EC2" w:rsidRPr="00456EC2" w:rsidRDefault="00456EC2" w:rsidP="002D09F9">
            <w:pPr>
              <w:pStyle w:val="NormalWeb"/>
              <w:jc w:val="center"/>
              <w:rPr>
                <w:color w:val="FFFFFF" w:themeColor="background1"/>
                <w:sz w:val="18"/>
                <w:szCs w:val="18"/>
              </w:rPr>
            </w:pPr>
            <w:r w:rsidRPr="00456EC2">
              <w:rPr>
                <w:color w:val="FFFFFF" w:themeColor="background1"/>
                <w:sz w:val="18"/>
                <w:szCs w:val="18"/>
              </w:rPr>
              <w:t>Controls (N = 67)</w:t>
            </w:r>
          </w:p>
        </w:tc>
      </w:tr>
      <w:tr w:rsidR="00456EC2" w:rsidRPr="00456EC2" w14:paraId="043DC3F1" w14:textId="77777777" w:rsidTr="00456EC2">
        <w:trPr>
          <w:cnfStyle w:val="100000000000" w:firstRow="1" w:lastRow="0" w:firstColumn="0" w:lastColumn="0" w:oddVBand="0" w:evenVBand="0" w:oddHBand="0" w:evenHBand="0" w:firstRowFirstColumn="0" w:firstRowLastColumn="0" w:lastRowFirstColumn="0" w:lastRowLastColumn="0"/>
          <w:tblHeader/>
        </w:trPr>
        <w:tc>
          <w:tcPr>
            <w:tcW w:w="949" w:type="dxa"/>
            <w:tcBorders>
              <w:top w:val="single" w:sz="2" w:space="0" w:color="FFFFFF" w:themeColor="background1"/>
              <w:right w:val="single" w:sz="2" w:space="0" w:color="FFFFFF" w:themeColor="background1"/>
            </w:tcBorders>
            <w:hideMark/>
          </w:tcPr>
          <w:p w14:paraId="04ACEF9E" w14:textId="77777777" w:rsidR="00456EC2" w:rsidRPr="00456EC2" w:rsidRDefault="00456EC2" w:rsidP="008603FB">
            <w:pPr>
              <w:pStyle w:val="NormalWeb"/>
              <w:rPr>
                <w:color w:val="FFFFFF" w:themeColor="background1"/>
                <w:sz w:val="18"/>
                <w:szCs w:val="18"/>
              </w:rPr>
            </w:pPr>
            <w:r w:rsidRPr="00456EC2">
              <w:rPr>
                <w:color w:val="FFFFFF" w:themeColor="background1"/>
                <w:sz w:val="18"/>
                <w:szCs w:val="18"/>
              </w:rPr>
              <w:t>Age</w:t>
            </w:r>
          </w:p>
        </w:tc>
        <w:tc>
          <w:tcPr>
            <w:tcW w:w="949" w:type="dxa"/>
            <w:tcBorders>
              <w:top w:val="single" w:sz="2" w:space="0" w:color="FFFFFF" w:themeColor="background1"/>
              <w:left w:val="single" w:sz="2" w:space="0" w:color="FFFFFF" w:themeColor="background1"/>
              <w:right w:val="single" w:sz="2" w:space="0" w:color="FFFFFF" w:themeColor="background1"/>
            </w:tcBorders>
            <w:hideMark/>
          </w:tcPr>
          <w:p w14:paraId="79712676" w14:textId="77777777" w:rsidR="00456EC2" w:rsidRPr="00456EC2" w:rsidRDefault="00456EC2" w:rsidP="002D09F9">
            <w:pPr>
              <w:pStyle w:val="NormalWeb"/>
              <w:jc w:val="center"/>
              <w:rPr>
                <w:color w:val="FFFFFF" w:themeColor="background1"/>
                <w:sz w:val="18"/>
                <w:szCs w:val="18"/>
              </w:rPr>
            </w:pPr>
            <w:r w:rsidRPr="00456EC2">
              <w:rPr>
                <w:color w:val="FFFFFF" w:themeColor="background1"/>
                <w:sz w:val="18"/>
                <w:szCs w:val="18"/>
              </w:rPr>
              <w:t>n (%)</w:t>
            </w:r>
          </w:p>
        </w:tc>
        <w:tc>
          <w:tcPr>
            <w:tcW w:w="949" w:type="dxa"/>
            <w:tcBorders>
              <w:top w:val="single" w:sz="2" w:space="0" w:color="FFFFFF" w:themeColor="background1"/>
              <w:left w:val="single" w:sz="2" w:space="0" w:color="FFFFFF" w:themeColor="background1"/>
              <w:right w:val="single" w:sz="2" w:space="0" w:color="FFFFFF" w:themeColor="background1"/>
            </w:tcBorders>
            <w:hideMark/>
          </w:tcPr>
          <w:p w14:paraId="04DD6CB2" w14:textId="77777777" w:rsidR="00456EC2" w:rsidRPr="00456EC2" w:rsidRDefault="00456EC2" w:rsidP="002D09F9">
            <w:pPr>
              <w:pStyle w:val="NormalWeb"/>
              <w:jc w:val="center"/>
              <w:rPr>
                <w:color w:val="FFFFFF" w:themeColor="background1"/>
                <w:sz w:val="18"/>
                <w:szCs w:val="18"/>
              </w:rPr>
            </w:pPr>
            <w:proofErr w:type="spellStart"/>
            <w:r w:rsidRPr="00456EC2">
              <w:rPr>
                <w:color w:val="FFFFFF" w:themeColor="background1"/>
                <w:sz w:val="18"/>
                <w:szCs w:val="18"/>
              </w:rPr>
              <w:t>aRR</w:t>
            </w:r>
            <w:r w:rsidRPr="00456EC2">
              <w:rPr>
                <w:color w:val="FFFFFF" w:themeColor="background1"/>
                <w:sz w:val="18"/>
                <w:szCs w:val="18"/>
                <w:vertAlign w:val="superscript"/>
              </w:rPr>
              <w:t>a</w:t>
            </w:r>
            <w:proofErr w:type="spellEnd"/>
          </w:p>
        </w:tc>
        <w:tc>
          <w:tcPr>
            <w:tcW w:w="949" w:type="dxa"/>
            <w:tcBorders>
              <w:top w:val="single" w:sz="2" w:space="0" w:color="FFFFFF" w:themeColor="background1"/>
              <w:left w:val="single" w:sz="2" w:space="0" w:color="FFFFFF" w:themeColor="background1"/>
              <w:right w:val="single" w:sz="2" w:space="0" w:color="FFFFFF" w:themeColor="background1"/>
            </w:tcBorders>
            <w:hideMark/>
          </w:tcPr>
          <w:p w14:paraId="3D9FAB93" w14:textId="77777777" w:rsidR="00456EC2" w:rsidRPr="00456EC2" w:rsidRDefault="00456EC2" w:rsidP="002D09F9">
            <w:pPr>
              <w:pStyle w:val="NormalWeb"/>
              <w:jc w:val="center"/>
              <w:rPr>
                <w:color w:val="FFFFFF" w:themeColor="background1"/>
                <w:sz w:val="18"/>
                <w:szCs w:val="18"/>
              </w:rPr>
            </w:pPr>
            <w:r w:rsidRPr="00456EC2">
              <w:rPr>
                <w:color w:val="FFFFFF" w:themeColor="background1"/>
                <w:sz w:val="18"/>
                <w:szCs w:val="18"/>
              </w:rPr>
              <w:t>95% CI</w:t>
            </w:r>
          </w:p>
        </w:tc>
        <w:tc>
          <w:tcPr>
            <w:tcW w:w="1024" w:type="dxa"/>
            <w:tcBorders>
              <w:top w:val="single" w:sz="2" w:space="0" w:color="FFFFFF" w:themeColor="background1"/>
              <w:left w:val="single" w:sz="2" w:space="0" w:color="FFFFFF" w:themeColor="background1"/>
              <w:right w:val="single" w:sz="2" w:space="0" w:color="FFFFFF" w:themeColor="background1"/>
            </w:tcBorders>
            <w:hideMark/>
          </w:tcPr>
          <w:p w14:paraId="3186081C" w14:textId="77777777" w:rsidR="00456EC2" w:rsidRPr="00456EC2" w:rsidRDefault="00456EC2" w:rsidP="002D09F9">
            <w:pPr>
              <w:pStyle w:val="NormalWeb"/>
              <w:jc w:val="center"/>
              <w:rPr>
                <w:color w:val="FFFFFF" w:themeColor="background1"/>
                <w:sz w:val="18"/>
                <w:szCs w:val="18"/>
              </w:rPr>
            </w:pPr>
            <w:r w:rsidRPr="008603FB">
              <w:rPr>
                <w:i/>
                <w:iCs/>
                <w:color w:val="FFFFFF" w:themeColor="background1"/>
                <w:sz w:val="18"/>
                <w:szCs w:val="18"/>
              </w:rPr>
              <w:t>p</w:t>
            </w:r>
            <w:r w:rsidRPr="00456EC2">
              <w:rPr>
                <w:color w:val="FFFFFF" w:themeColor="background1"/>
                <w:sz w:val="18"/>
                <w:szCs w:val="18"/>
              </w:rPr>
              <w:t xml:space="preserve"> value</w:t>
            </w:r>
          </w:p>
        </w:tc>
        <w:tc>
          <w:tcPr>
            <w:tcW w:w="874" w:type="dxa"/>
            <w:tcBorders>
              <w:top w:val="single" w:sz="2" w:space="0" w:color="FFFFFF" w:themeColor="background1"/>
              <w:left w:val="single" w:sz="2" w:space="0" w:color="FFFFFF" w:themeColor="background1"/>
              <w:right w:val="single" w:sz="2" w:space="0" w:color="FFFFFF" w:themeColor="background1"/>
            </w:tcBorders>
            <w:hideMark/>
          </w:tcPr>
          <w:p w14:paraId="7DF1EE9D" w14:textId="77777777" w:rsidR="00456EC2" w:rsidRPr="00456EC2" w:rsidRDefault="00456EC2" w:rsidP="002D09F9">
            <w:pPr>
              <w:pStyle w:val="NormalWeb"/>
              <w:jc w:val="center"/>
              <w:rPr>
                <w:color w:val="FFFFFF" w:themeColor="background1"/>
                <w:sz w:val="18"/>
                <w:szCs w:val="18"/>
              </w:rPr>
            </w:pPr>
            <w:r w:rsidRPr="00456EC2">
              <w:rPr>
                <w:color w:val="FFFFFF" w:themeColor="background1"/>
                <w:sz w:val="18"/>
                <w:szCs w:val="18"/>
              </w:rPr>
              <w:t>n (%)</w:t>
            </w:r>
          </w:p>
        </w:tc>
        <w:tc>
          <w:tcPr>
            <w:tcW w:w="949" w:type="dxa"/>
            <w:tcBorders>
              <w:top w:val="single" w:sz="2" w:space="0" w:color="FFFFFF" w:themeColor="background1"/>
              <w:left w:val="single" w:sz="2" w:space="0" w:color="FFFFFF" w:themeColor="background1"/>
              <w:right w:val="single" w:sz="2" w:space="0" w:color="FFFFFF" w:themeColor="background1"/>
            </w:tcBorders>
            <w:hideMark/>
          </w:tcPr>
          <w:p w14:paraId="455BF213" w14:textId="77777777" w:rsidR="00456EC2" w:rsidRPr="00456EC2" w:rsidRDefault="00456EC2" w:rsidP="002D09F9">
            <w:pPr>
              <w:pStyle w:val="NormalWeb"/>
              <w:jc w:val="center"/>
              <w:rPr>
                <w:color w:val="FFFFFF" w:themeColor="background1"/>
                <w:sz w:val="18"/>
                <w:szCs w:val="18"/>
              </w:rPr>
            </w:pPr>
            <w:proofErr w:type="spellStart"/>
            <w:r w:rsidRPr="00456EC2">
              <w:rPr>
                <w:color w:val="FFFFFF" w:themeColor="background1"/>
                <w:sz w:val="18"/>
                <w:szCs w:val="18"/>
              </w:rPr>
              <w:t>aRR</w:t>
            </w:r>
            <w:r w:rsidRPr="00456EC2">
              <w:rPr>
                <w:color w:val="FFFFFF" w:themeColor="background1"/>
                <w:sz w:val="18"/>
                <w:szCs w:val="18"/>
                <w:vertAlign w:val="superscript"/>
              </w:rPr>
              <w:t>a</w:t>
            </w:r>
            <w:proofErr w:type="spellEnd"/>
          </w:p>
        </w:tc>
        <w:tc>
          <w:tcPr>
            <w:tcW w:w="949" w:type="dxa"/>
            <w:tcBorders>
              <w:top w:val="single" w:sz="2" w:space="0" w:color="FFFFFF" w:themeColor="background1"/>
              <w:left w:val="single" w:sz="2" w:space="0" w:color="FFFFFF" w:themeColor="background1"/>
              <w:right w:val="single" w:sz="2" w:space="0" w:color="FFFFFF" w:themeColor="background1"/>
            </w:tcBorders>
            <w:hideMark/>
          </w:tcPr>
          <w:p w14:paraId="73629240" w14:textId="77777777" w:rsidR="00456EC2" w:rsidRPr="00456EC2" w:rsidRDefault="00456EC2" w:rsidP="002D09F9">
            <w:pPr>
              <w:pStyle w:val="NormalWeb"/>
              <w:jc w:val="center"/>
              <w:rPr>
                <w:color w:val="FFFFFF" w:themeColor="background1"/>
                <w:sz w:val="18"/>
                <w:szCs w:val="18"/>
              </w:rPr>
            </w:pPr>
            <w:r w:rsidRPr="00456EC2">
              <w:rPr>
                <w:color w:val="FFFFFF" w:themeColor="background1"/>
                <w:sz w:val="18"/>
                <w:szCs w:val="18"/>
              </w:rPr>
              <w:t>95% CI</w:t>
            </w:r>
          </w:p>
        </w:tc>
        <w:tc>
          <w:tcPr>
            <w:tcW w:w="949" w:type="dxa"/>
            <w:tcBorders>
              <w:top w:val="single" w:sz="2" w:space="0" w:color="FFFFFF" w:themeColor="background1"/>
              <w:left w:val="single" w:sz="2" w:space="0" w:color="FFFFFF" w:themeColor="background1"/>
              <w:right w:val="single" w:sz="2" w:space="0" w:color="FFFFFF" w:themeColor="background1"/>
            </w:tcBorders>
            <w:hideMark/>
          </w:tcPr>
          <w:p w14:paraId="279188CD" w14:textId="77777777" w:rsidR="00456EC2" w:rsidRPr="00456EC2" w:rsidRDefault="00456EC2" w:rsidP="002D09F9">
            <w:pPr>
              <w:pStyle w:val="NormalWeb"/>
              <w:jc w:val="center"/>
              <w:rPr>
                <w:color w:val="FFFFFF" w:themeColor="background1"/>
                <w:sz w:val="18"/>
                <w:szCs w:val="18"/>
              </w:rPr>
            </w:pPr>
            <w:r w:rsidRPr="008603FB">
              <w:rPr>
                <w:i/>
                <w:iCs/>
                <w:color w:val="FFFFFF" w:themeColor="background1"/>
                <w:sz w:val="18"/>
                <w:szCs w:val="18"/>
              </w:rPr>
              <w:t>p</w:t>
            </w:r>
            <w:r w:rsidRPr="00456EC2">
              <w:rPr>
                <w:color w:val="FFFFFF" w:themeColor="background1"/>
                <w:sz w:val="18"/>
                <w:szCs w:val="18"/>
              </w:rPr>
              <w:t xml:space="preserve"> value</w:t>
            </w:r>
          </w:p>
        </w:tc>
        <w:tc>
          <w:tcPr>
            <w:tcW w:w="949" w:type="dxa"/>
            <w:tcBorders>
              <w:top w:val="single" w:sz="2" w:space="0" w:color="FFFFFF" w:themeColor="background1"/>
              <w:left w:val="single" w:sz="2" w:space="0" w:color="FFFFFF" w:themeColor="background1"/>
              <w:right w:val="single" w:sz="2" w:space="0" w:color="FFFFFF" w:themeColor="background1"/>
            </w:tcBorders>
            <w:hideMark/>
          </w:tcPr>
          <w:p w14:paraId="1539FB83" w14:textId="77777777" w:rsidR="00456EC2" w:rsidRPr="00456EC2" w:rsidRDefault="00456EC2" w:rsidP="002D09F9">
            <w:pPr>
              <w:pStyle w:val="NormalWeb"/>
              <w:jc w:val="center"/>
              <w:rPr>
                <w:color w:val="FFFFFF" w:themeColor="background1"/>
                <w:sz w:val="18"/>
                <w:szCs w:val="18"/>
              </w:rPr>
            </w:pPr>
            <w:r w:rsidRPr="00456EC2">
              <w:rPr>
                <w:color w:val="FFFFFF" w:themeColor="background1"/>
                <w:sz w:val="18"/>
                <w:szCs w:val="18"/>
              </w:rPr>
              <w:t>n (%)</w:t>
            </w:r>
          </w:p>
        </w:tc>
        <w:tc>
          <w:tcPr>
            <w:tcW w:w="950" w:type="dxa"/>
            <w:tcBorders>
              <w:top w:val="single" w:sz="2" w:space="0" w:color="FFFFFF" w:themeColor="background1"/>
              <w:left w:val="single" w:sz="2" w:space="0" w:color="FFFFFF" w:themeColor="background1"/>
            </w:tcBorders>
            <w:hideMark/>
          </w:tcPr>
          <w:p w14:paraId="6C729EAA" w14:textId="77777777" w:rsidR="00456EC2" w:rsidRPr="00456EC2" w:rsidRDefault="00456EC2" w:rsidP="002D09F9">
            <w:pPr>
              <w:pStyle w:val="NormalWeb"/>
              <w:jc w:val="center"/>
              <w:rPr>
                <w:color w:val="FFFFFF" w:themeColor="background1"/>
                <w:sz w:val="18"/>
                <w:szCs w:val="18"/>
              </w:rPr>
            </w:pPr>
            <w:proofErr w:type="spellStart"/>
            <w:r w:rsidRPr="00456EC2">
              <w:rPr>
                <w:color w:val="FFFFFF" w:themeColor="background1"/>
                <w:sz w:val="18"/>
                <w:szCs w:val="18"/>
              </w:rPr>
              <w:t>aRR</w:t>
            </w:r>
            <w:r w:rsidRPr="00456EC2">
              <w:rPr>
                <w:color w:val="FFFFFF" w:themeColor="background1"/>
                <w:sz w:val="18"/>
                <w:szCs w:val="18"/>
                <w:vertAlign w:val="superscript"/>
              </w:rPr>
              <w:t>a</w:t>
            </w:r>
            <w:proofErr w:type="spellEnd"/>
          </w:p>
        </w:tc>
      </w:tr>
      <w:tr w:rsidR="00456EC2" w:rsidRPr="00456EC2" w14:paraId="399689BB" w14:textId="77777777" w:rsidTr="00456EC2">
        <w:tblPrEx>
          <w:tblCellMar>
            <w:top w:w="57" w:type="dxa"/>
            <w:left w:w="57" w:type="dxa"/>
            <w:bottom w:w="57" w:type="dxa"/>
            <w:right w:w="57" w:type="dxa"/>
          </w:tblCellMar>
        </w:tblPrEx>
        <w:tc>
          <w:tcPr>
            <w:tcW w:w="949" w:type="dxa"/>
            <w:hideMark/>
          </w:tcPr>
          <w:p w14:paraId="5092A27B" w14:textId="77777777" w:rsidR="00456EC2" w:rsidRPr="00456EC2" w:rsidRDefault="00456EC2" w:rsidP="008603FB">
            <w:pPr>
              <w:pStyle w:val="NormalWeb"/>
              <w:rPr>
                <w:sz w:val="18"/>
                <w:szCs w:val="18"/>
              </w:rPr>
            </w:pPr>
            <w:r w:rsidRPr="00456EC2">
              <w:rPr>
                <w:sz w:val="18"/>
                <w:szCs w:val="18"/>
              </w:rPr>
              <w:t>3 months</w:t>
            </w:r>
          </w:p>
        </w:tc>
        <w:tc>
          <w:tcPr>
            <w:tcW w:w="949" w:type="dxa"/>
            <w:hideMark/>
          </w:tcPr>
          <w:p w14:paraId="24702FC9" w14:textId="77777777" w:rsidR="00456EC2" w:rsidRPr="00456EC2" w:rsidRDefault="00456EC2" w:rsidP="002D09F9">
            <w:pPr>
              <w:pStyle w:val="NormalWeb"/>
              <w:jc w:val="center"/>
              <w:rPr>
                <w:sz w:val="18"/>
                <w:szCs w:val="18"/>
              </w:rPr>
            </w:pPr>
            <w:r w:rsidRPr="00456EC2">
              <w:rPr>
                <w:sz w:val="18"/>
                <w:szCs w:val="18"/>
              </w:rPr>
              <w:t>57 (89.1)</w:t>
            </w:r>
          </w:p>
        </w:tc>
        <w:tc>
          <w:tcPr>
            <w:tcW w:w="949" w:type="dxa"/>
            <w:hideMark/>
          </w:tcPr>
          <w:p w14:paraId="7EE60975" w14:textId="77777777" w:rsidR="00456EC2" w:rsidRPr="00456EC2" w:rsidRDefault="00456EC2" w:rsidP="002D09F9">
            <w:pPr>
              <w:pStyle w:val="NormalWeb"/>
              <w:jc w:val="center"/>
              <w:rPr>
                <w:sz w:val="18"/>
                <w:szCs w:val="18"/>
              </w:rPr>
            </w:pPr>
            <w:r w:rsidRPr="00456EC2">
              <w:rPr>
                <w:sz w:val="18"/>
                <w:szCs w:val="18"/>
              </w:rPr>
              <w:t>2.01</w:t>
            </w:r>
          </w:p>
        </w:tc>
        <w:tc>
          <w:tcPr>
            <w:tcW w:w="949" w:type="dxa"/>
            <w:hideMark/>
          </w:tcPr>
          <w:p w14:paraId="5A05CCBB" w14:textId="77777777" w:rsidR="00456EC2" w:rsidRPr="00456EC2" w:rsidRDefault="00456EC2" w:rsidP="002D09F9">
            <w:pPr>
              <w:pStyle w:val="NormalWeb"/>
              <w:jc w:val="center"/>
              <w:rPr>
                <w:sz w:val="18"/>
                <w:szCs w:val="18"/>
              </w:rPr>
            </w:pPr>
            <w:r w:rsidRPr="00456EC2">
              <w:rPr>
                <w:sz w:val="18"/>
                <w:szCs w:val="18"/>
              </w:rPr>
              <w:t>0.74, 5.46</w:t>
            </w:r>
          </w:p>
        </w:tc>
        <w:tc>
          <w:tcPr>
            <w:tcW w:w="1024" w:type="dxa"/>
            <w:hideMark/>
          </w:tcPr>
          <w:p w14:paraId="2B8C0C42" w14:textId="77777777" w:rsidR="00456EC2" w:rsidRPr="00456EC2" w:rsidRDefault="00456EC2" w:rsidP="002D09F9">
            <w:pPr>
              <w:pStyle w:val="NormalWeb"/>
              <w:jc w:val="center"/>
              <w:rPr>
                <w:sz w:val="18"/>
                <w:szCs w:val="18"/>
              </w:rPr>
            </w:pPr>
            <w:r w:rsidRPr="00456EC2">
              <w:rPr>
                <w:sz w:val="18"/>
                <w:szCs w:val="18"/>
              </w:rPr>
              <w:t>0.169</w:t>
            </w:r>
          </w:p>
        </w:tc>
        <w:tc>
          <w:tcPr>
            <w:tcW w:w="874" w:type="dxa"/>
            <w:hideMark/>
          </w:tcPr>
          <w:p w14:paraId="36BF1027" w14:textId="77777777" w:rsidR="00456EC2" w:rsidRPr="00456EC2" w:rsidRDefault="00456EC2" w:rsidP="002D09F9">
            <w:pPr>
              <w:pStyle w:val="NormalWeb"/>
              <w:jc w:val="center"/>
              <w:rPr>
                <w:sz w:val="18"/>
                <w:szCs w:val="18"/>
              </w:rPr>
            </w:pPr>
            <w:r w:rsidRPr="00456EC2">
              <w:rPr>
                <w:sz w:val="18"/>
                <w:szCs w:val="18"/>
              </w:rPr>
              <w:t>61 (92.4)</w:t>
            </w:r>
          </w:p>
        </w:tc>
        <w:tc>
          <w:tcPr>
            <w:tcW w:w="949" w:type="dxa"/>
            <w:hideMark/>
          </w:tcPr>
          <w:p w14:paraId="5ADB6948" w14:textId="77777777" w:rsidR="00456EC2" w:rsidRPr="00456EC2" w:rsidRDefault="00456EC2" w:rsidP="002D09F9">
            <w:pPr>
              <w:pStyle w:val="NormalWeb"/>
              <w:jc w:val="center"/>
              <w:rPr>
                <w:sz w:val="18"/>
                <w:szCs w:val="18"/>
              </w:rPr>
            </w:pPr>
            <w:r w:rsidRPr="00456EC2">
              <w:rPr>
                <w:sz w:val="18"/>
                <w:szCs w:val="18"/>
              </w:rPr>
              <w:t>3.10</w:t>
            </w:r>
          </w:p>
        </w:tc>
        <w:tc>
          <w:tcPr>
            <w:tcW w:w="949" w:type="dxa"/>
            <w:hideMark/>
          </w:tcPr>
          <w:p w14:paraId="2E62C314" w14:textId="77777777" w:rsidR="00456EC2" w:rsidRPr="00456EC2" w:rsidRDefault="00456EC2" w:rsidP="002D09F9">
            <w:pPr>
              <w:pStyle w:val="NormalWeb"/>
              <w:jc w:val="center"/>
              <w:rPr>
                <w:sz w:val="18"/>
                <w:szCs w:val="18"/>
              </w:rPr>
            </w:pPr>
            <w:r w:rsidRPr="00456EC2">
              <w:rPr>
                <w:sz w:val="18"/>
                <w:szCs w:val="18"/>
              </w:rPr>
              <w:t>1.03, 9.32</w:t>
            </w:r>
          </w:p>
        </w:tc>
        <w:tc>
          <w:tcPr>
            <w:tcW w:w="949" w:type="dxa"/>
            <w:hideMark/>
          </w:tcPr>
          <w:p w14:paraId="1DE29A87" w14:textId="77777777" w:rsidR="00456EC2" w:rsidRPr="00456EC2" w:rsidRDefault="00456EC2" w:rsidP="002D09F9">
            <w:pPr>
              <w:pStyle w:val="NormalWeb"/>
              <w:jc w:val="center"/>
              <w:rPr>
                <w:sz w:val="18"/>
                <w:szCs w:val="18"/>
              </w:rPr>
            </w:pPr>
            <w:r w:rsidRPr="00456EC2">
              <w:rPr>
                <w:sz w:val="18"/>
                <w:szCs w:val="18"/>
              </w:rPr>
              <w:t>0.044</w:t>
            </w:r>
          </w:p>
        </w:tc>
        <w:tc>
          <w:tcPr>
            <w:tcW w:w="949" w:type="dxa"/>
            <w:hideMark/>
          </w:tcPr>
          <w:p w14:paraId="194EF2BB" w14:textId="77777777" w:rsidR="00456EC2" w:rsidRPr="00456EC2" w:rsidRDefault="00456EC2" w:rsidP="002D09F9">
            <w:pPr>
              <w:pStyle w:val="NormalWeb"/>
              <w:jc w:val="center"/>
              <w:rPr>
                <w:sz w:val="18"/>
                <w:szCs w:val="18"/>
              </w:rPr>
            </w:pPr>
            <w:r w:rsidRPr="00456EC2">
              <w:rPr>
                <w:sz w:val="18"/>
                <w:szCs w:val="18"/>
              </w:rPr>
              <w:t>53 (80.3)</w:t>
            </w:r>
          </w:p>
        </w:tc>
        <w:tc>
          <w:tcPr>
            <w:tcW w:w="950" w:type="dxa"/>
            <w:hideMark/>
          </w:tcPr>
          <w:p w14:paraId="04C2A091" w14:textId="77777777" w:rsidR="00456EC2" w:rsidRPr="00456EC2" w:rsidRDefault="00456EC2" w:rsidP="002D09F9">
            <w:pPr>
              <w:pStyle w:val="NormalWeb"/>
              <w:jc w:val="center"/>
              <w:rPr>
                <w:sz w:val="18"/>
                <w:szCs w:val="18"/>
              </w:rPr>
            </w:pPr>
            <w:r w:rsidRPr="00456EC2">
              <w:rPr>
                <w:sz w:val="18"/>
                <w:szCs w:val="18"/>
              </w:rPr>
              <w:t>Ref</w:t>
            </w:r>
          </w:p>
        </w:tc>
      </w:tr>
      <w:tr w:rsidR="00456EC2" w:rsidRPr="00456EC2" w14:paraId="51FB6564" w14:textId="77777777" w:rsidTr="00442B9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949" w:type="dxa"/>
            <w:hideMark/>
          </w:tcPr>
          <w:p w14:paraId="5F2EA778" w14:textId="77777777" w:rsidR="00456EC2" w:rsidRPr="00456EC2" w:rsidRDefault="00456EC2" w:rsidP="008603FB">
            <w:pPr>
              <w:pStyle w:val="NormalWeb"/>
              <w:rPr>
                <w:sz w:val="18"/>
                <w:szCs w:val="18"/>
              </w:rPr>
            </w:pPr>
            <w:r w:rsidRPr="00456EC2">
              <w:rPr>
                <w:sz w:val="18"/>
                <w:szCs w:val="18"/>
              </w:rPr>
              <w:t>5 months</w:t>
            </w:r>
          </w:p>
        </w:tc>
        <w:tc>
          <w:tcPr>
            <w:tcW w:w="949" w:type="dxa"/>
            <w:hideMark/>
          </w:tcPr>
          <w:p w14:paraId="1BDB8CF3" w14:textId="77777777" w:rsidR="00456EC2" w:rsidRPr="00456EC2" w:rsidRDefault="00456EC2" w:rsidP="002D09F9">
            <w:pPr>
              <w:pStyle w:val="NormalWeb"/>
              <w:jc w:val="center"/>
              <w:rPr>
                <w:sz w:val="18"/>
                <w:szCs w:val="18"/>
              </w:rPr>
            </w:pPr>
            <w:r w:rsidRPr="00456EC2">
              <w:rPr>
                <w:sz w:val="18"/>
                <w:szCs w:val="18"/>
              </w:rPr>
              <w:t>47 (73.4)</w:t>
            </w:r>
          </w:p>
        </w:tc>
        <w:tc>
          <w:tcPr>
            <w:tcW w:w="949" w:type="dxa"/>
            <w:hideMark/>
          </w:tcPr>
          <w:p w14:paraId="50BAFE66" w14:textId="77777777" w:rsidR="00456EC2" w:rsidRPr="00456EC2" w:rsidRDefault="00456EC2" w:rsidP="002D09F9">
            <w:pPr>
              <w:pStyle w:val="NormalWeb"/>
              <w:jc w:val="center"/>
              <w:rPr>
                <w:sz w:val="18"/>
                <w:szCs w:val="18"/>
              </w:rPr>
            </w:pPr>
            <w:r w:rsidRPr="00456EC2">
              <w:rPr>
                <w:sz w:val="18"/>
                <w:szCs w:val="18"/>
              </w:rPr>
              <w:t>0.89</w:t>
            </w:r>
          </w:p>
        </w:tc>
        <w:tc>
          <w:tcPr>
            <w:tcW w:w="949" w:type="dxa"/>
            <w:hideMark/>
          </w:tcPr>
          <w:p w14:paraId="30BE6AC5" w14:textId="77777777" w:rsidR="00456EC2" w:rsidRPr="00456EC2" w:rsidRDefault="00456EC2" w:rsidP="002D09F9">
            <w:pPr>
              <w:pStyle w:val="NormalWeb"/>
              <w:jc w:val="center"/>
              <w:rPr>
                <w:sz w:val="18"/>
                <w:szCs w:val="18"/>
              </w:rPr>
            </w:pPr>
            <w:r w:rsidRPr="00456EC2">
              <w:rPr>
                <w:sz w:val="18"/>
                <w:szCs w:val="18"/>
              </w:rPr>
              <w:t>0.40, 1.96</w:t>
            </w:r>
          </w:p>
        </w:tc>
        <w:tc>
          <w:tcPr>
            <w:tcW w:w="1024" w:type="dxa"/>
            <w:hideMark/>
          </w:tcPr>
          <w:p w14:paraId="1412C7A2" w14:textId="77777777" w:rsidR="00456EC2" w:rsidRPr="00456EC2" w:rsidRDefault="00456EC2" w:rsidP="002D09F9">
            <w:pPr>
              <w:pStyle w:val="NormalWeb"/>
              <w:jc w:val="center"/>
              <w:rPr>
                <w:sz w:val="18"/>
                <w:szCs w:val="18"/>
              </w:rPr>
            </w:pPr>
            <w:r w:rsidRPr="00456EC2">
              <w:rPr>
                <w:sz w:val="18"/>
                <w:szCs w:val="18"/>
              </w:rPr>
              <w:t>0.765</w:t>
            </w:r>
          </w:p>
        </w:tc>
        <w:tc>
          <w:tcPr>
            <w:tcW w:w="874" w:type="dxa"/>
            <w:hideMark/>
          </w:tcPr>
          <w:p w14:paraId="2F8150F1" w14:textId="77777777" w:rsidR="00456EC2" w:rsidRPr="00456EC2" w:rsidRDefault="00456EC2" w:rsidP="002D09F9">
            <w:pPr>
              <w:pStyle w:val="NormalWeb"/>
              <w:jc w:val="center"/>
              <w:rPr>
                <w:sz w:val="18"/>
                <w:szCs w:val="18"/>
              </w:rPr>
            </w:pPr>
            <w:r w:rsidRPr="00456EC2">
              <w:rPr>
                <w:sz w:val="18"/>
                <w:szCs w:val="18"/>
              </w:rPr>
              <w:t>63 (95.5)</w:t>
            </w:r>
          </w:p>
        </w:tc>
        <w:tc>
          <w:tcPr>
            <w:tcW w:w="949" w:type="dxa"/>
            <w:hideMark/>
          </w:tcPr>
          <w:p w14:paraId="0F0B0525" w14:textId="77777777" w:rsidR="00456EC2" w:rsidRPr="00456EC2" w:rsidRDefault="00456EC2" w:rsidP="002D09F9">
            <w:pPr>
              <w:pStyle w:val="NormalWeb"/>
              <w:jc w:val="center"/>
              <w:rPr>
                <w:sz w:val="18"/>
                <w:szCs w:val="18"/>
              </w:rPr>
            </w:pPr>
            <w:r w:rsidRPr="00456EC2">
              <w:rPr>
                <w:sz w:val="18"/>
                <w:szCs w:val="18"/>
              </w:rPr>
              <w:t>6.94</w:t>
            </w:r>
          </w:p>
        </w:tc>
        <w:tc>
          <w:tcPr>
            <w:tcW w:w="949" w:type="dxa"/>
            <w:hideMark/>
          </w:tcPr>
          <w:p w14:paraId="34D11CE1" w14:textId="77777777" w:rsidR="00456EC2" w:rsidRPr="00456EC2" w:rsidRDefault="00456EC2" w:rsidP="002D09F9">
            <w:pPr>
              <w:pStyle w:val="NormalWeb"/>
              <w:jc w:val="center"/>
              <w:rPr>
                <w:sz w:val="18"/>
                <w:szCs w:val="18"/>
              </w:rPr>
            </w:pPr>
            <w:r w:rsidRPr="00456EC2">
              <w:rPr>
                <w:sz w:val="18"/>
                <w:szCs w:val="18"/>
              </w:rPr>
              <w:t>1.91, 25.25</w:t>
            </w:r>
          </w:p>
        </w:tc>
        <w:tc>
          <w:tcPr>
            <w:tcW w:w="949" w:type="dxa"/>
            <w:hideMark/>
          </w:tcPr>
          <w:p w14:paraId="554DC5AB" w14:textId="77777777" w:rsidR="00456EC2" w:rsidRPr="00456EC2" w:rsidRDefault="00456EC2" w:rsidP="002D09F9">
            <w:pPr>
              <w:pStyle w:val="NormalWeb"/>
              <w:jc w:val="center"/>
              <w:rPr>
                <w:sz w:val="18"/>
                <w:szCs w:val="18"/>
              </w:rPr>
            </w:pPr>
            <w:r w:rsidRPr="00456EC2">
              <w:rPr>
                <w:sz w:val="18"/>
                <w:szCs w:val="18"/>
              </w:rPr>
              <w:t>0.003</w:t>
            </w:r>
          </w:p>
        </w:tc>
        <w:tc>
          <w:tcPr>
            <w:tcW w:w="949" w:type="dxa"/>
            <w:hideMark/>
          </w:tcPr>
          <w:p w14:paraId="23A51A79" w14:textId="77777777" w:rsidR="00456EC2" w:rsidRPr="00456EC2" w:rsidRDefault="00456EC2" w:rsidP="002D09F9">
            <w:pPr>
              <w:pStyle w:val="NormalWeb"/>
              <w:jc w:val="center"/>
              <w:rPr>
                <w:sz w:val="18"/>
                <w:szCs w:val="18"/>
              </w:rPr>
            </w:pPr>
            <w:r w:rsidRPr="00456EC2">
              <w:rPr>
                <w:sz w:val="18"/>
                <w:szCs w:val="18"/>
              </w:rPr>
              <w:t>50 (75.8)</w:t>
            </w:r>
          </w:p>
        </w:tc>
        <w:tc>
          <w:tcPr>
            <w:tcW w:w="950" w:type="dxa"/>
            <w:hideMark/>
          </w:tcPr>
          <w:p w14:paraId="0FF55646" w14:textId="77777777" w:rsidR="00456EC2" w:rsidRPr="00456EC2" w:rsidRDefault="00456EC2" w:rsidP="002D09F9">
            <w:pPr>
              <w:pStyle w:val="NormalWeb"/>
              <w:jc w:val="center"/>
              <w:rPr>
                <w:sz w:val="18"/>
                <w:szCs w:val="18"/>
              </w:rPr>
            </w:pPr>
            <w:r w:rsidRPr="00456EC2">
              <w:rPr>
                <w:sz w:val="18"/>
                <w:szCs w:val="18"/>
              </w:rPr>
              <w:t>Ref</w:t>
            </w:r>
          </w:p>
        </w:tc>
      </w:tr>
      <w:tr w:rsidR="00456EC2" w:rsidRPr="00456EC2" w14:paraId="383DE02F" w14:textId="77777777" w:rsidTr="00442B94">
        <w:tblPrEx>
          <w:tblCellMar>
            <w:top w:w="57" w:type="dxa"/>
            <w:left w:w="57" w:type="dxa"/>
            <w:bottom w:w="57" w:type="dxa"/>
            <w:right w:w="57" w:type="dxa"/>
          </w:tblCellMar>
        </w:tblPrEx>
        <w:tc>
          <w:tcPr>
            <w:tcW w:w="949" w:type="dxa"/>
            <w:tcBorders>
              <w:bottom w:val="single" w:sz="2" w:space="0" w:color="808080" w:themeColor="background1" w:themeShade="80"/>
            </w:tcBorders>
            <w:hideMark/>
          </w:tcPr>
          <w:p w14:paraId="346D7C61" w14:textId="77777777" w:rsidR="00456EC2" w:rsidRPr="00456EC2" w:rsidRDefault="00456EC2" w:rsidP="008603FB">
            <w:pPr>
              <w:pStyle w:val="NormalWeb"/>
              <w:rPr>
                <w:sz w:val="18"/>
                <w:szCs w:val="18"/>
              </w:rPr>
            </w:pPr>
            <w:r w:rsidRPr="00456EC2">
              <w:rPr>
                <w:sz w:val="18"/>
                <w:szCs w:val="18"/>
              </w:rPr>
              <w:t>7 months</w:t>
            </w:r>
          </w:p>
        </w:tc>
        <w:tc>
          <w:tcPr>
            <w:tcW w:w="949" w:type="dxa"/>
            <w:tcBorders>
              <w:bottom w:val="single" w:sz="2" w:space="0" w:color="808080" w:themeColor="background1" w:themeShade="80"/>
            </w:tcBorders>
            <w:hideMark/>
          </w:tcPr>
          <w:p w14:paraId="674960EA" w14:textId="77777777" w:rsidR="00456EC2" w:rsidRPr="00456EC2" w:rsidRDefault="00456EC2" w:rsidP="002D09F9">
            <w:pPr>
              <w:pStyle w:val="NormalWeb"/>
              <w:jc w:val="center"/>
              <w:rPr>
                <w:sz w:val="18"/>
                <w:szCs w:val="18"/>
              </w:rPr>
            </w:pPr>
            <w:r w:rsidRPr="00456EC2">
              <w:rPr>
                <w:sz w:val="18"/>
                <w:szCs w:val="18"/>
              </w:rPr>
              <w:t>45 (70.3)</w:t>
            </w:r>
          </w:p>
        </w:tc>
        <w:tc>
          <w:tcPr>
            <w:tcW w:w="949" w:type="dxa"/>
            <w:tcBorders>
              <w:bottom w:val="single" w:sz="2" w:space="0" w:color="808080" w:themeColor="background1" w:themeShade="80"/>
            </w:tcBorders>
            <w:hideMark/>
          </w:tcPr>
          <w:p w14:paraId="0517DC62" w14:textId="77777777" w:rsidR="00456EC2" w:rsidRPr="00456EC2" w:rsidRDefault="00456EC2" w:rsidP="002D09F9">
            <w:pPr>
              <w:pStyle w:val="NormalWeb"/>
              <w:jc w:val="center"/>
              <w:rPr>
                <w:sz w:val="18"/>
                <w:szCs w:val="18"/>
              </w:rPr>
            </w:pPr>
            <w:r w:rsidRPr="00456EC2">
              <w:rPr>
                <w:sz w:val="18"/>
                <w:szCs w:val="18"/>
              </w:rPr>
              <w:t>0.79</w:t>
            </w:r>
          </w:p>
        </w:tc>
        <w:tc>
          <w:tcPr>
            <w:tcW w:w="949" w:type="dxa"/>
            <w:tcBorders>
              <w:bottom w:val="single" w:sz="2" w:space="0" w:color="808080" w:themeColor="background1" w:themeShade="80"/>
            </w:tcBorders>
            <w:hideMark/>
          </w:tcPr>
          <w:p w14:paraId="7F6E5A3D" w14:textId="77777777" w:rsidR="00456EC2" w:rsidRPr="00456EC2" w:rsidRDefault="00456EC2" w:rsidP="002D09F9">
            <w:pPr>
              <w:pStyle w:val="NormalWeb"/>
              <w:jc w:val="center"/>
              <w:rPr>
                <w:sz w:val="18"/>
                <w:szCs w:val="18"/>
              </w:rPr>
            </w:pPr>
            <w:r w:rsidRPr="00456EC2">
              <w:rPr>
                <w:sz w:val="18"/>
                <w:szCs w:val="18"/>
              </w:rPr>
              <w:t>0.39, 1.58</w:t>
            </w:r>
          </w:p>
        </w:tc>
        <w:tc>
          <w:tcPr>
            <w:tcW w:w="1024" w:type="dxa"/>
            <w:tcBorders>
              <w:bottom w:val="single" w:sz="2" w:space="0" w:color="808080" w:themeColor="background1" w:themeShade="80"/>
            </w:tcBorders>
            <w:hideMark/>
          </w:tcPr>
          <w:p w14:paraId="4788D0AB" w14:textId="77777777" w:rsidR="00456EC2" w:rsidRPr="00456EC2" w:rsidRDefault="00456EC2" w:rsidP="002D09F9">
            <w:pPr>
              <w:pStyle w:val="NormalWeb"/>
              <w:jc w:val="center"/>
              <w:rPr>
                <w:sz w:val="18"/>
                <w:szCs w:val="18"/>
              </w:rPr>
            </w:pPr>
            <w:r w:rsidRPr="00456EC2">
              <w:rPr>
                <w:sz w:val="18"/>
                <w:szCs w:val="18"/>
              </w:rPr>
              <w:t>0.500</w:t>
            </w:r>
          </w:p>
        </w:tc>
        <w:tc>
          <w:tcPr>
            <w:tcW w:w="874" w:type="dxa"/>
            <w:tcBorders>
              <w:bottom w:val="single" w:sz="2" w:space="0" w:color="808080" w:themeColor="background1" w:themeShade="80"/>
            </w:tcBorders>
            <w:hideMark/>
          </w:tcPr>
          <w:p w14:paraId="66BA095C" w14:textId="77777777" w:rsidR="00456EC2" w:rsidRPr="00456EC2" w:rsidRDefault="00456EC2" w:rsidP="002D09F9">
            <w:pPr>
              <w:pStyle w:val="NormalWeb"/>
              <w:jc w:val="center"/>
              <w:rPr>
                <w:sz w:val="18"/>
                <w:szCs w:val="18"/>
              </w:rPr>
            </w:pPr>
            <w:r w:rsidRPr="00456EC2">
              <w:rPr>
                <w:sz w:val="18"/>
                <w:szCs w:val="18"/>
              </w:rPr>
              <w:t>54 (83.1)</w:t>
            </w:r>
          </w:p>
        </w:tc>
        <w:tc>
          <w:tcPr>
            <w:tcW w:w="949" w:type="dxa"/>
            <w:tcBorders>
              <w:bottom w:val="single" w:sz="2" w:space="0" w:color="808080" w:themeColor="background1" w:themeShade="80"/>
            </w:tcBorders>
            <w:hideMark/>
          </w:tcPr>
          <w:p w14:paraId="0A05F514" w14:textId="77777777" w:rsidR="00456EC2" w:rsidRPr="00456EC2" w:rsidRDefault="00456EC2" w:rsidP="002D09F9">
            <w:pPr>
              <w:pStyle w:val="NormalWeb"/>
              <w:jc w:val="center"/>
              <w:rPr>
                <w:sz w:val="18"/>
                <w:szCs w:val="18"/>
              </w:rPr>
            </w:pPr>
            <w:r w:rsidRPr="00456EC2">
              <w:rPr>
                <w:sz w:val="18"/>
                <w:szCs w:val="18"/>
              </w:rPr>
              <w:t>2.28</w:t>
            </w:r>
          </w:p>
        </w:tc>
        <w:tc>
          <w:tcPr>
            <w:tcW w:w="949" w:type="dxa"/>
            <w:tcBorders>
              <w:bottom w:val="single" w:sz="2" w:space="0" w:color="808080" w:themeColor="background1" w:themeShade="80"/>
            </w:tcBorders>
            <w:hideMark/>
          </w:tcPr>
          <w:p w14:paraId="2197ADE6" w14:textId="77777777" w:rsidR="00456EC2" w:rsidRPr="00456EC2" w:rsidRDefault="00456EC2" w:rsidP="002D09F9">
            <w:pPr>
              <w:pStyle w:val="NormalWeb"/>
              <w:jc w:val="center"/>
              <w:rPr>
                <w:sz w:val="18"/>
                <w:szCs w:val="18"/>
              </w:rPr>
            </w:pPr>
            <w:r w:rsidRPr="00456EC2">
              <w:rPr>
                <w:sz w:val="18"/>
                <w:szCs w:val="18"/>
              </w:rPr>
              <w:t>1.05, 4.94</w:t>
            </w:r>
          </w:p>
        </w:tc>
        <w:tc>
          <w:tcPr>
            <w:tcW w:w="949" w:type="dxa"/>
            <w:tcBorders>
              <w:bottom w:val="single" w:sz="2" w:space="0" w:color="808080" w:themeColor="background1" w:themeShade="80"/>
            </w:tcBorders>
            <w:hideMark/>
          </w:tcPr>
          <w:p w14:paraId="52F71BC8" w14:textId="77777777" w:rsidR="00456EC2" w:rsidRPr="00456EC2" w:rsidRDefault="00456EC2" w:rsidP="002D09F9">
            <w:pPr>
              <w:pStyle w:val="NormalWeb"/>
              <w:jc w:val="center"/>
              <w:rPr>
                <w:sz w:val="18"/>
                <w:szCs w:val="18"/>
              </w:rPr>
            </w:pPr>
            <w:r w:rsidRPr="00456EC2">
              <w:rPr>
                <w:sz w:val="18"/>
                <w:szCs w:val="18"/>
              </w:rPr>
              <w:t>0.037</w:t>
            </w:r>
          </w:p>
        </w:tc>
        <w:tc>
          <w:tcPr>
            <w:tcW w:w="949" w:type="dxa"/>
            <w:tcBorders>
              <w:bottom w:val="single" w:sz="2" w:space="0" w:color="808080" w:themeColor="background1" w:themeShade="80"/>
            </w:tcBorders>
            <w:hideMark/>
          </w:tcPr>
          <w:p w14:paraId="6CF1AF94" w14:textId="77777777" w:rsidR="00456EC2" w:rsidRPr="00456EC2" w:rsidRDefault="00456EC2" w:rsidP="002D09F9">
            <w:pPr>
              <w:pStyle w:val="NormalWeb"/>
              <w:jc w:val="center"/>
              <w:rPr>
                <w:sz w:val="18"/>
                <w:szCs w:val="18"/>
              </w:rPr>
            </w:pPr>
            <w:r w:rsidRPr="00456EC2">
              <w:rPr>
                <w:sz w:val="18"/>
                <w:szCs w:val="18"/>
              </w:rPr>
              <w:t>45(67.2)</w:t>
            </w:r>
          </w:p>
        </w:tc>
        <w:tc>
          <w:tcPr>
            <w:tcW w:w="950" w:type="dxa"/>
            <w:tcBorders>
              <w:bottom w:val="single" w:sz="2" w:space="0" w:color="808080" w:themeColor="background1" w:themeShade="80"/>
            </w:tcBorders>
            <w:hideMark/>
          </w:tcPr>
          <w:p w14:paraId="0EE9BE80" w14:textId="77777777" w:rsidR="00456EC2" w:rsidRPr="00456EC2" w:rsidRDefault="00456EC2" w:rsidP="002D09F9">
            <w:pPr>
              <w:pStyle w:val="NormalWeb"/>
              <w:jc w:val="center"/>
              <w:rPr>
                <w:sz w:val="18"/>
                <w:szCs w:val="18"/>
              </w:rPr>
            </w:pPr>
            <w:r w:rsidRPr="00456EC2">
              <w:rPr>
                <w:sz w:val="18"/>
                <w:szCs w:val="18"/>
              </w:rPr>
              <w:t>Ref</w:t>
            </w:r>
          </w:p>
        </w:tc>
      </w:tr>
    </w:tbl>
    <w:p w14:paraId="38CE40F1" w14:textId="77777777" w:rsidR="00456EC2" w:rsidRDefault="00456EC2" w:rsidP="00456EC2">
      <w:pPr>
        <w:pStyle w:val="CDIfootnotes"/>
        <w:rPr>
          <w:lang w:val="en-GB"/>
        </w:rPr>
      </w:pPr>
      <w:proofErr w:type="gramStart"/>
      <w:r>
        <w:rPr>
          <w:lang w:val="en-GB"/>
        </w:rPr>
        <w:t>a</w:t>
      </w:r>
      <w:proofErr w:type="gramEnd"/>
      <w:r>
        <w:rPr>
          <w:lang w:val="en-GB"/>
        </w:rPr>
        <w:tab/>
      </w:r>
      <w:proofErr w:type="spellStart"/>
      <w:r>
        <w:rPr>
          <w:lang w:val="en-GB"/>
        </w:rPr>
        <w:t>aRR</w:t>
      </w:r>
      <w:proofErr w:type="spellEnd"/>
      <w:r>
        <w:rPr>
          <w:lang w:val="en-GB"/>
        </w:rPr>
        <w:t xml:space="preserve">: adjusted relative risk (adjusted for variables with </w:t>
      </w:r>
      <w:r w:rsidRPr="00D82D7B">
        <w:rPr>
          <w:i/>
          <w:iCs/>
          <w:lang w:val="en-GB"/>
        </w:rPr>
        <w:t>p</w:t>
      </w:r>
      <w:r>
        <w:rPr>
          <w:lang w:val="en-GB"/>
        </w:rPr>
        <w:t xml:space="preserve"> &lt; 0.01 in univariate analyses; site and First Nations status were retained in all models irrespective of statistical significance.</w:t>
      </w:r>
    </w:p>
    <w:p w14:paraId="1A154AE5" w14:textId="5A5D5915" w:rsidR="00D92B14" w:rsidRDefault="00D92B14" w:rsidP="001042D7">
      <w:r>
        <w:t xml:space="preserve">Sixteen mothers in the ESMS±S group met the criteria for additional support on 25 occasions. Offers for support were refused on 12 occasions and the mother could not be contacted on one occasion; the primary reason for refusal was help was not considered necessary. Two home visits for vaccination took place and, at their request, the remaining ten were provided support with accessing their local clinic and/or arranging appointments. One event occurred at the two-month timepoint and one at the four-month timepoint; the remainder were provided at the six-month timepoint. One mother required support at all three milestones. If this support had not been provided to any person in the ESMS±S group at any timepoint and it was assumed the infant was not vaccinated on time, the proportion of infants in the ESMS±S group who were vaccinated on time was 92.3% at three months, 89.2% at five months and 70.1% at seven months. The differences between groups at seven months were no longer statistically different. </w:t>
      </w:r>
    </w:p>
    <w:p w14:paraId="3DE6FBA6" w14:textId="77777777" w:rsidR="00D92B14" w:rsidRDefault="00D92B14" w:rsidP="001042D7">
      <w:r>
        <w:t>Lack of response to an SMS was highest at the two weeks prior to each age milestone timepoint and progressively declined by the time of the third SMS (Table 4). The proportion of mothers responding that the infant had been vaccinated at the two-week-prior timepoint was highest at the two-month milestone and likely reflects the immunisation schedule recommending vaccines can be given at six weeks of age. Lack of response to the third SMS was lowest for those in the ESMS±S group; however, they also received a phone call from staff if records indicated the baby had not been vaccinated.</w:t>
      </w:r>
    </w:p>
    <w:p w14:paraId="7347EBEF" w14:textId="77777777" w:rsidR="003B5DE1" w:rsidRPr="003B5DE1" w:rsidRDefault="003B5DE1" w:rsidP="003B5DE1">
      <w:pPr>
        <w:pStyle w:val="CDIFigures"/>
      </w:pPr>
      <w:r w:rsidRPr="003B5DE1">
        <w:rPr>
          <w:rStyle w:val="Strong"/>
          <w:b/>
          <w:bCs w:val="0"/>
        </w:rPr>
        <w:t>Table 4: Responses to SMS messaging at each age milestone for the two intervention groups</w:t>
      </w:r>
      <w:r w:rsidRPr="003B5DE1">
        <w:t xml:space="preserve"> </w:t>
      </w:r>
    </w:p>
    <w:tbl>
      <w:tblPr>
        <w:tblStyle w:val="CDI-StandardTable"/>
        <w:tblW w:w="0" w:type="auto"/>
        <w:tblLook w:val="04A0" w:firstRow="1" w:lastRow="0" w:firstColumn="1" w:lastColumn="0" w:noHBand="0" w:noVBand="1"/>
        <w:tblDescription w:val="Table 4 summarises the SMS messaging responses received (Yes/No/No response) at each age milestone for the two intervening groups"/>
      </w:tblPr>
      <w:tblGrid>
        <w:gridCol w:w="1491"/>
        <w:gridCol w:w="297"/>
        <w:gridCol w:w="562"/>
        <w:gridCol w:w="297"/>
        <w:gridCol w:w="562"/>
        <w:gridCol w:w="395"/>
        <w:gridCol w:w="746"/>
        <w:gridCol w:w="419"/>
        <w:gridCol w:w="792"/>
        <w:gridCol w:w="613"/>
        <w:gridCol w:w="613"/>
        <w:gridCol w:w="613"/>
        <w:gridCol w:w="613"/>
        <w:gridCol w:w="613"/>
        <w:gridCol w:w="613"/>
        <w:gridCol w:w="613"/>
        <w:gridCol w:w="614"/>
      </w:tblGrid>
      <w:tr w:rsidR="003B5DE1" w:rsidRPr="003B5DE1" w14:paraId="1D60DD3B" w14:textId="77777777" w:rsidTr="003F3890">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vAlign w:val="center"/>
            <w:hideMark/>
          </w:tcPr>
          <w:p w14:paraId="293327B6" w14:textId="77777777" w:rsidR="003B5DE1" w:rsidRPr="003B5DE1" w:rsidRDefault="003B5DE1" w:rsidP="008C132E">
            <w:pPr>
              <w:pStyle w:val="NormalWeb"/>
              <w:rPr>
                <w:color w:val="FFFFFF" w:themeColor="background1"/>
                <w:sz w:val="18"/>
                <w:szCs w:val="18"/>
              </w:rPr>
            </w:pPr>
            <w:r w:rsidRPr="003B5DE1">
              <w:rPr>
                <w:color w:val="FFFFFF" w:themeColor="background1"/>
                <w:sz w:val="18"/>
                <w:szCs w:val="18"/>
              </w:rPr>
              <w:t>Age milestone</w:t>
            </w:r>
          </w:p>
        </w:tc>
        <w:tc>
          <w:tcPr>
            <w:tcW w:w="0" w:type="auto"/>
            <w:gridSpan w:val="8"/>
            <w:tcBorders>
              <w:left w:val="single" w:sz="2" w:space="0" w:color="FFFFFF" w:themeColor="background1"/>
              <w:bottom w:val="single" w:sz="2" w:space="0" w:color="FFFFFF" w:themeColor="background1"/>
              <w:right w:val="single" w:sz="2" w:space="0" w:color="FFFFFF" w:themeColor="background1"/>
            </w:tcBorders>
            <w:hideMark/>
          </w:tcPr>
          <w:p w14:paraId="2A873C92" w14:textId="77777777" w:rsidR="003B5DE1" w:rsidRPr="003B5DE1" w:rsidRDefault="003B5DE1" w:rsidP="003B5DE1">
            <w:pPr>
              <w:pStyle w:val="NormalWeb"/>
              <w:jc w:val="center"/>
              <w:rPr>
                <w:color w:val="FFFFFF" w:themeColor="background1"/>
                <w:sz w:val="18"/>
                <w:szCs w:val="18"/>
              </w:rPr>
            </w:pPr>
            <w:r w:rsidRPr="003B5DE1">
              <w:rPr>
                <w:color w:val="FFFFFF" w:themeColor="background1"/>
                <w:sz w:val="18"/>
                <w:szCs w:val="18"/>
              </w:rPr>
              <w:t>Simple SMS (N = 64)</w:t>
            </w:r>
          </w:p>
        </w:tc>
        <w:tc>
          <w:tcPr>
            <w:tcW w:w="4905" w:type="dxa"/>
            <w:gridSpan w:val="8"/>
            <w:tcBorders>
              <w:left w:val="single" w:sz="2" w:space="0" w:color="FFFFFF" w:themeColor="background1"/>
              <w:bottom w:val="single" w:sz="2" w:space="0" w:color="FFFFFF" w:themeColor="background1"/>
            </w:tcBorders>
            <w:hideMark/>
          </w:tcPr>
          <w:p w14:paraId="212B8382" w14:textId="77777777" w:rsidR="003B5DE1" w:rsidRPr="003B5DE1" w:rsidRDefault="003B5DE1" w:rsidP="003B5DE1">
            <w:pPr>
              <w:pStyle w:val="NormalWeb"/>
              <w:jc w:val="center"/>
              <w:rPr>
                <w:color w:val="FFFFFF" w:themeColor="background1"/>
                <w:sz w:val="18"/>
                <w:szCs w:val="18"/>
              </w:rPr>
            </w:pPr>
            <w:r w:rsidRPr="003B5DE1">
              <w:rPr>
                <w:color w:val="FFFFFF" w:themeColor="background1"/>
                <w:sz w:val="18"/>
                <w:szCs w:val="18"/>
              </w:rPr>
              <w:t>ESMS±S (N = 65)</w:t>
            </w:r>
          </w:p>
        </w:tc>
      </w:tr>
      <w:tr w:rsidR="003B5DE1" w:rsidRPr="003B5DE1" w14:paraId="6FB0A8EE" w14:textId="77777777" w:rsidTr="003F3890">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808080" w:themeColor="background1" w:themeShade="80"/>
              <w:right w:val="single" w:sz="2" w:space="0" w:color="FFFFFF" w:themeColor="background1"/>
            </w:tcBorders>
            <w:hideMark/>
          </w:tcPr>
          <w:p w14:paraId="2813F375" w14:textId="77777777" w:rsidR="003B5DE1" w:rsidRPr="003B5DE1" w:rsidRDefault="003B5DE1" w:rsidP="008603FB">
            <w:pPr>
              <w:rPr>
                <w:color w:val="FFFFFF" w:themeColor="background1"/>
                <w:sz w:val="18"/>
                <w:szCs w:val="18"/>
              </w:rPr>
            </w:pPr>
          </w:p>
        </w:tc>
        <w:tc>
          <w:tcPr>
            <w:tcW w:w="0" w:type="auto"/>
            <w:gridSpan w:val="2"/>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206F8CDF" w14:textId="77777777" w:rsidR="003B5DE1" w:rsidRPr="003B5DE1" w:rsidRDefault="003B5DE1" w:rsidP="003B5DE1">
            <w:pPr>
              <w:pStyle w:val="NormalWeb"/>
              <w:jc w:val="center"/>
              <w:rPr>
                <w:color w:val="FFFFFF" w:themeColor="background1"/>
                <w:sz w:val="18"/>
                <w:szCs w:val="18"/>
              </w:rPr>
            </w:pPr>
            <w:proofErr w:type="spellStart"/>
            <w:r w:rsidRPr="003B5DE1">
              <w:rPr>
                <w:color w:val="FFFFFF" w:themeColor="background1"/>
                <w:sz w:val="18"/>
                <w:szCs w:val="18"/>
              </w:rPr>
              <w:t>Yes</w:t>
            </w:r>
            <w:r w:rsidRPr="003B5DE1">
              <w:rPr>
                <w:color w:val="FFFFFF" w:themeColor="background1"/>
                <w:sz w:val="18"/>
                <w:szCs w:val="18"/>
                <w:vertAlign w:val="superscript"/>
              </w:rPr>
              <w:t>a</w:t>
            </w:r>
            <w:proofErr w:type="spellEnd"/>
          </w:p>
        </w:tc>
        <w:tc>
          <w:tcPr>
            <w:tcW w:w="0" w:type="auto"/>
            <w:gridSpan w:val="2"/>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727C17C8" w14:textId="77777777" w:rsidR="003B5DE1" w:rsidRPr="003B5DE1" w:rsidRDefault="003B5DE1" w:rsidP="003B5DE1">
            <w:pPr>
              <w:pStyle w:val="NormalWeb"/>
              <w:jc w:val="center"/>
              <w:rPr>
                <w:color w:val="FFFFFF" w:themeColor="background1"/>
                <w:sz w:val="18"/>
                <w:szCs w:val="18"/>
              </w:rPr>
            </w:pPr>
            <w:r w:rsidRPr="003B5DE1">
              <w:rPr>
                <w:color w:val="FFFFFF" w:themeColor="background1"/>
                <w:sz w:val="18"/>
                <w:szCs w:val="18"/>
              </w:rPr>
              <w:t>No</w:t>
            </w:r>
            <w:r w:rsidRPr="003B5DE1">
              <w:rPr>
                <w:color w:val="FFFFFF" w:themeColor="background1"/>
                <w:sz w:val="18"/>
                <w:szCs w:val="18"/>
                <w:vertAlign w:val="superscript"/>
              </w:rPr>
              <w:t>b</w:t>
            </w:r>
          </w:p>
        </w:tc>
        <w:tc>
          <w:tcPr>
            <w:tcW w:w="0" w:type="auto"/>
            <w:gridSpan w:val="2"/>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1DA94C85" w14:textId="77777777" w:rsidR="003B5DE1" w:rsidRPr="003B5DE1" w:rsidRDefault="003B5DE1" w:rsidP="003B5DE1">
            <w:pPr>
              <w:pStyle w:val="NormalWeb"/>
              <w:jc w:val="center"/>
              <w:rPr>
                <w:color w:val="FFFFFF" w:themeColor="background1"/>
                <w:sz w:val="18"/>
                <w:szCs w:val="18"/>
              </w:rPr>
            </w:pPr>
            <w:r w:rsidRPr="003B5DE1">
              <w:rPr>
                <w:color w:val="FFFFFF" w:themeColor="background1"/>
                <w:sz w:val="18"/>
                <w:szCs w:val="18"/>
              </w:rPr>
              <w:t>No response</w:t>
            </w:r>
          </w:p>
        </w:tc>
        <w:tc>
          <w:tcPr>
            <w:tcW w:w="0" w:type="auto"/>
            <w:gridSpan w:val="2"/>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02E93D59" w14:textId="77777777" w:rsidR="003B5DE1" w:rsidRPr="003B5DE1" w:rsidRDefault="003B5DE1" w:rsidP="003B5DE1">
            <w:pPr>
              <w:pStyle w:val="NormalWeb"/>
              <w:jc w:val="center"/>
              <w:rPr>
                <w:color w:val="FFFFFF" w:themeColor="background1"/>
                <w:sz w:val="18"/>
                <w:szCs w:val="18"/>
              </w:rPr>
            </w:pPr>
            <w:r w:rsidRPr="003B5DE1">
              <w:rPr>
                <w:color w:val="FFFFFF" w:themeColor="background1"/>
                <w:sz w:val="18"/>
                <w:szCs w:val="18"/>
              </w:rPr>
              <w:t xml:space="preserve">Not </w:t>
            </w:r>
            <w:proofErr w:type="spellStart"/>
            <w:r w:rsidRPr="003B5DE1">
              <w:rPr>
                <w:color w:val="FFFFFF" w:themeColor="background1"/>
                <w:sz w:val="18"/>
                <w:szCs w:val="18"/>
              </w:rPr>
              <w:t>required</w:t>
            </w:r>
            <w:r w:rsidRPr="003B5DE1">
              <w:rPr>
                <w:color w:val="FFFFFF" w:themeColor="background1"/>
                <w:sz w:val="18"/>
                <w:szCs w:val="18"/>
                <w:vertAlign w:val="superscript"/>
              </w:rPr>
              <w:t>c</w:t>
            </w:r>
            <w:proofErr w:type="spellEnd"/>
          </w:p>
        </w:tc>
        <w:tc>
          <w:tcPr>
            <w:tcW w:w="1226" w:type="dxa"/>
            <w:gridSpan w:val="2"/>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48E32732" w14:textId="77777777" w:rsidR="003B5DE1" w:rsidRPr="003B5DE1" w:rsidRDefault="003B5DE1" w:rsidP="003B5DE1">
            <w:pPr>
              <w:pStyle w:val="NormalWeb"/>
              <w:jc w:val="center"/>
              <w:rPr>
                <w:color w:val="FFFFFF" w:themeColor="background1"/>
                <w:sz w:val="18"/>
                <w:szCs w:val="18"/>
              </w:rPr>
            </w:pPr>
            <w:proofErr w:type="spellStart"/>
            <w:r w:rsidRPr="003B5DE1">
              <w:rPr>
                <w:color w:val="FFFFFF" w:themeColor="background1"/>
                <w:sz w:val="18"/>
                <w:szCs w:val="18"/>
              </w:rPr>
              <w:t>Yes</w:t>
            </w:r>
            <w:r w:rsidRPr="003B5DE1">
              <w:rPr>
                <w:color w:val="FFFFFF" w:themeColor="background1"/>
                <w:sz w:val="18"/>
                <w:szCs w:val="18"/>
                <w:vertAlign w:val="superscript"/>
              </w:rPr>
              <w:t>a</w:t>
            </w:r>
            <w:proofErr w:type="spellEnd"/>
          </w:p>
        </w:tc>
        <w:tc>
          <w:tcPr>
            <w:tcW w:w="1226" w:type="dxa"/>
            <w:gridSpan w:val="2"/>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4D6374EB" w14:textId="77777777" w:rsidR="003B5DE1" w:rsidRPr="003B5DE1" w:rsidRDefault="003B5DE1" w:rsidP="003B5DE1">
            <w:pPr>
              <w:pStyle w:val="NormalWeb"/>
              <w:jc w:val="center"/>
              <w:rPr>
                <w:color w:val="FFFFFF" w:themeColor="background1"/>
                <w:sz w:val="18"/>
                <w:szCs w:val="18"/>
              </w:rPr>
            </w:pPr>
            <w:r w:rsidRPr="003B5DE1">
              <w:rPr>
                <w:color w:val="FFFFFF" w:themeColor="background1"/>
                <w:sz w:val="18"/>
                <w:szCs w:val="18"/>
              </w:rPr>
              <w:t>No</w:t>
            </w:r>
            <w:r w:rsidRPr="003B5DE1">
              <w:rPr>
                <w:color w:val="FFFFFF" w:themeColor="background1"/>
                <w:sz w:val="18"/>
                <w:szCs w:val="18"/>
                <w:vertAlign w:val="superscript"/>
              </w:rPr>
              <w:t>b</w:t>
            </w:r>
          </w:p>
        </w:tc>
        <w:tc>
          <w:tcPr>
            <w:tcW w:w="1226" w:type="dxa"/>
            <w:gridSpan w:val="2"/>
            <w:tcBorders>
              <w:top w:val="single" w:sz="2" w:space="0" w:color="FFFFFF" w:themeColor="background1"/>
              <w:left w:val="single" w:sz="2" w:space="0" w:color="FFFFFF" w:themeColor="background1"/>
              <w:bottom w:val="single" w:sz="2" w:space="0" w:color="808080" w:themeColor="background1" w:themeShade="80"/>
              <w:right w:val="single" w:sz="2" w:space="0" w:color="FFFFFF" w:themeColor="background1"/>
            </w:tcBorders>
            <w:hideMark/>
          </w:tcPr>
          <w:p w14:paraId="7B893E59" w14:textId="77777777" w:rsidR="003B5DE1" w:rsidRPr="003B5DE1" w:rsidRDefault="003B5DE1" w:rsidP="003B5DE1">
            <w:pPr>
              <w:pStyle w:val="NormalWeb"/>
              <w:jc w:val="center"/>
              <w:rPr>
                <w:color w:val="FFFFFF" w:themeColor="background1"/>
                <w:sz w:val="18"/>
                <w:szCs w:val="18"/>
              </w:rPr>
            </w:pPr>
            <w:r w:rsidRPr="003B5DE1">
              <w:rPr>
                <w:color w:val="FFFFFF" w:themeColor="background1"/>
                <w:sz w:val="18"/>
                <w:szCs w:val="18"/>
              </w:rPr>
              <w:t>No response</w:t>
            </w:r>
          </w:p>
        </w:tc>
        <w:tc>
          <w:tcPr>
            <w:tcW w:w="1227" w:type="dxa"/>
            <w:gridSpan w:val="2"/>
            <w:tcBorders>
              <w:top w:val="single" w:sz="2" w:space="0" w:color="FFFFFF" w:themeColor="background1"/>
              <w:left w:val="single" w:sz="2" w:space="0" w:color="FFFFFF" w:themeColor="background1"/>
              <w:bottom w:val="single" w:sz="2" w:space="0" w:color="808080" w:themeColor="background1" w:themeShade="80"/>
            </w:tcBorders>
            <w:hideMark/>
          </w:tcPr>
          <w:p w14:paraId="5B29DA83" w14:textId="77777777" w:rsidR="003B5DE1" w:rsidRPr="003B5DE1" w:rsidRDefault="003B5DE1" w:rsidP="003B5DE1">
            <w:pPr>
              <w:pStyle w:val="NormalWeb"/>
              <w:jc w:val="center"/>
              <w:rPr>
                <w:color w:val="FFFFFF" w:themeColor="background1"/>
                <w:sz w:val="18"/>
                <w:szCs w:val="18"/>
              </w:rPr>
            </w:pPr>
            <w:r w:rsidRPr="003B5DE1">
              <w:rPr>
                <w:color w:val="FFFFFF" w:themeColor="background1"/>
                <w:sz w:val="18"/>
                <w:szCs w:val="18"/>
              </w:rPr>
              <w:t xml:space="preserve">Not </w:t>
            </w:r>
            <w:proofErr w:type="spellStart"/>
            <w:r w:rsidRPr="003B5DE1">
              <w:rPr>
                <w:color w:val="FFFFFF" w:themeColor="background1"/>
                <w:sz w:val="18"/>
                <w:szCs w:val="18"/>
              </w:rPr>
              <w:t>required</w:t>
            </w:r>
            <w:r w:rsidRPr="003B5DE1">
              <w:rPr>
                <w:color w:val="FFFFFF" w:themeColor="background1"/>
                <w:sz w:val="18"/>
                <w:szCs w:val="18"/>
                <w:vertAlign w:val="superscript"/>
              </w:rPr>
              <w:t>c</w:t>
            </w:r>
            <w:proofErr w:type="spellEnd"/>
          </w:p>
        </w:tc>
      </w:tr>
      <w:tr w:rsidR="003B5DE1" w:rsidRPr="003B5DE1" w14:paraId="5A4BBA19" w14:textId="77777777" w:rsidTr="003F3890">
        <w:tblPrEx>
          <w:tblCellMar>
            <w:top w:w="57" w:type="dxa"/>
            <w:left w:w="57" w:type="dxa"/>
            <w:bottom w:w="57" w:type="dxa"/>
            <w:right w:w="57" w:type="dxa"/>
          </w:tblCellMar>
        </w:tblPrEx>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74DAE64" w14:textId="77777777" w:rsidR="003B5DE1" w:rsidRPr="003B5DE1" w:rsidRDefault="003B5DE1" w:rsidP="003B5DE1">
            <w:pPr>
              <w:pStyle w:val="NormalWeb"/>
              <w:rPr>
                <w:sz w:val="18"/>
                <w:szCs w:val="18"/>
              </w:rPr>
            </w:pPr>
            <w:r w:rsidRPr="003B5DE1">
              <w:rPr>
                <w:sz w:val="18"/>
                <w:szCs w:val="18"/>
              </w:rPr>
              <w:t>2 months – 2 weeks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A281CF4" w14:textId="77777777" w:rsidR="003B5DE1" w:rsidRPr="003B5DE1" w:rsidRDefault="003B5DE1" w:rsidP="003B5DE1">
            <w:pPr>
              <w:pStyle w:val="NormalWeb"/>
              <w:jc w:val="center"/>
              <w:rPr>
                <w:sz w:val="18"/>
                <w:szCs w:val="18"/>
              </w:rPr>
            </w:pPr>
            <w:r w:rsidRPr="003B5DE1">
              <w:rPr>
                <w:sz w:val="18"/>
                <w:szCs w:val="18"/>
              </w:rPr>
              <w:t>23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FEB8253" w14:textId="77777777" w:rsidR="003B5DE1" w:rsidRPr="003B5DE1" w:rsidRDefault="003B5DE1" w:rsidP="003B5DE1">
            <w:pPr>
              <w:pStyle w:val="NormalWeb"/>
              <w:jc w:val="center"/>
              <w:rPr>
                <w:sz w:val="18"/>
                <w:szCs w:val="18"/>
              </w:rPr>
            </w:pPr>
            <w:r w:rsidRPr="003B5DE1">
              <w:rPr>
                <w:sz w:val="18"/>
                <w:szCs w:val="18"/>
              </w:rPr>
              <w:t>35.9%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8F38124" w14:textId="77777777" w:rsidR="003B5DE1" w:rsidRPr="003B5DE1" w:rsidRDefault="003B5DE1" w:rsidP="003B5DE1">
            <w:pPr>
              <w:pStyle w:val="NormalWeb"/>
              <w:jc w:val="center"/>
              <w:rPr>
                <w:sz w:val="18"/>
                <w:szCs w:val="18"/>
              </w:rPr>
            </w:pPr>
            <w:r w:rsidRPr="003B5DE1">
              <w:rPr>
                <w:sz w:val="18"/>
                <w:szCs w:val="18"/>
              </w:rPr>
              <w:t>10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0AE3DDC" w14:textId="77777777" w:rsidR="003B5DE1" w:rsidRPr="003B5DE1" w:rsidRDefault="003B5DE1" w:rsidP="003B5DE1">
            <w:pPr>
              <w:pStyle w:val="NormalWeb"/>
              <w:jc w:val="center"/>
              <w:rPr>
                <w:sz w:val="18"/>
                <w:szCs w:val="18"/>
              </w:rPr>
            </w:pPr>
            <w:r w:rsidRPr="003B5DE1">
              <w:rPr>
                <w:sz w:val="18"/>
                <w:szCs w:val="18"/>
              </w:rPr>
              <w:t>15.6%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787FD76" w14:textId="77777777" w:rsidR="003B5DE1" w:rsidRPr="003B5DE1" w:rsidRDefault="003B5DE1" w:rsidP="003B5DE1">
            <w:pPr>
              <w:pStyle w:val="NormalWeb"/>
              <w:jc w:val="center"/>
              <w:rPr>
                <w:sz w:val="18"/>
                <w:szCs w:val="18"/>
              </w:rPr>
            </w:pPr>
            <w:r w:rsidRPr="003B5DE1">
              <w:rPr>
                <w:sz w:val="18"/>
                <w:szCs w:val="18"/>
              </w:rPr>
              <w:t>31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71357DB" w14:textId="77777777" w:rsidR="003B5DE1" w:rsidRPr="003B5DE1" w:rsidRDefault="003B5DE1" w:rsidP="003B5DE1">
            <w:pPr>
              <w:pStyle w:val="NormalWeb"/>
              <w:jc w:val="center"/>
              <w:rPr>
                <w:sz w:val="18"/>
                <w:szCs w:val="18"/>
              </w:rPr>
            </w:pPr>
            <w:r w:rsidRPr="003B5DE1">
              <w:rPr>
                <w:sz w:val="18"/>
                <w:szCs w:val="18"/>
              </w:rPr>
              <w:t>48.4%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C1E4B0C" w14:textId="77777777" w:rsidR="003B5DE1" w:rsidRPr="003B5DE1" w:rsidRDefault="003B5DE1" w:rsidP="003B5DE1">
            <w:pPr>
              <w:pStyle w:val="NormalWeb"/>
              <w:jc w:val="center"/>
              <w:rPr>
                <w:sz w:val="18"/>
                <w:szCs w:val="18"/>
              </w:rPr>
            </w:pPr>
            <w:r w:rsidRPr="003B5DE1">
              <w:rPr>
                <w:sz w:val="18"/>
                <w:szCs w:val="18"/>
              </w:rPr>
              <w:t>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131C0B5" w14:textId="77777777" w:rsidR="003B5DE1" w:rsidRPr="003B5DE1" w:rsidRDefault="003B5DE1" w:rsidP="003B5DE1">
            <w:pPr>
              <w:pStyle w:val="NormalWeb"/>
              <w:jc w:val="center"/>
              <w:rPr>
                <w:sz w:val="18"/>
                <w:szCs w:val="18"/>
              </w:rPr>
            </w:pPr>
            <w:r w:rsidRPr="003B5DE1">
              <w:rPr>
                <w:sz w:val="18"/>
                <w:szCs w:val="18"/>
              </w:rPr>
              <w:t>0.0%</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CBAC62D" w14:textId="77777777" w:rsidR="003B5DE1" w:rsidRPr="003B5DE1" w:rsidRDefault="003B5DE1" w:rsidP="003B5DE1">
            <w:pPr>
              <w:pStyle w:val="NormalWeb"/>
              <w:jc w:val="center"/>
              <w:rPr>
                <w:sz w:val="18"/>
                <w:szCs w:val="18"/>
              </w:rPr>
            </w:pPr>
            <w:r w:rsidRPr="003B5DE1">
              <w:rPr>
                <w:sz w:val="18"/>
                <w:szCs w:val="18"/>
              </w:rPr>
              <w:t>31</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451B82A" w14:textId="77777777" w:rsidR="003B5DE1" w:rsidRPr="003B5DE1" w:rsidRDefault="003B5DE1" w:rsidP="003B5DE1">
            <w:pPr>
              <w:pStyle w:val="NormalWeb"/>
              <w:jc w:val="center"/>
              <w:rPr>
                <w:sz w:val="18"/>
                <w:szCs w:val="18"/>
              </w:rPr>
            </w:pPr>
            <w:r w:rsidRPr="003B5DE1">
              <w:rPr>
                <w:sz w:val="18"/>
                <w:szCs w:val="18"/>
              </w:rPr>
              <w:t>47.7%</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E12FAFF" w14:textId="77777777" w:rsidR="003B5DE1" w:rsidRPr="003B5DE1" w:rsidRDefault="003B5DE1" w:rsidP="003B5DE1">
            <w:pPr>
              <w:pStyle w:val="NormalWeb"/>
              <w:jc w:val="center"/>
              <w:rPr>
                <w:sz w:val="18"/>
                <w:szCs w:val="18"/>
              </w:rPr>
            </w:pPr>
            <w:r w:rsidRPr="003B5DE1">
              <w:rPr>
                <w:sz w:val="18"/>
                <w:szCs w:val="18"/>
              </w:rPr>
              <w:t>6</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933FD5F" w14:textId="77777777" w:rsidR="003B5DE1" w:rsidRPr="003B5DE1" w:rsidRDefault="003B5DE1" w:rsidP="003B5DE1">
            <w:pPr>
              <w:pStyle w:val="NormalWeb"/>
              <w:jc w:val="center"/>
              <w:rPr>
                <w:sz w:val="18"/>
                <w:szCs w:val="18"/>
              </w:rPr>
            </w:pPr>
            <w:r w:rsidRPr="003B5DE1">
              <w:rPr>
                <w:sz w:val="18"/>
                <w:szCs w:val="18"/>
              </w:rPr>
              <w:t>9.2%</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A8C25B8" w14:textId="77777777" w:rsidR="003B5DE1" w:rsidRPr="003B5DE1" w:rsidRDefault="003B5DE1" w:rsidP="003B5DE1">
            <w:pPr>
              <w:pStyle w:val="NormalWeb"/>
              <w:jc w:val="center"/>
              <w:rPr>
                <w:sz w:val="18"/>
                <w:szCs w:val="18"/>
              </w:rPr>
            </w:pPr>
            <w:r w:rsidRPr="003B5DE1">
              <w:rPr>
                <w:sz w:val="18"/>
                <w:szCs w:val="18"/>
              </w:rPr>
              <w:t>28</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D8FAF27" w14:textId="77777777" w:rsidR="003B5DE1" w:rsidRPr="003B5DE1" w:rsidRDefault="003B5DE1" w:rsidP="003B5DE1">
            <w:pPr>
              <w:pStyle w:val="NormalWeb"/>
              <w:jc w:val="center"/>
              <w:rPr>
                <w:sz w:val="18"/>
                <w:szCs w:val="18"/>
              </w:rPr>
            </w:pPr>
            <w:r w:rsidRPr="003B5DE1">
              <w:rPr>
                <w:sz w:val="18"/>
                <w:szCs w:val="18"/>
              </w:rPr>
              <w:t>43.1%</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C3F448F" w14:textId="77777777" w:rsidR="003B5DE1" w:rsidRPr="003B5DE1" w:rsidRDefault="003B5DE1" w:rsidP="003B5DE1">
            <w:pPr>
              <w:pStyle w:val="NormalWeb"/>
              <w:jc w:val="center"/>
              <w:rPr>
                <w:sz w:val="18"/>
                <w:szCs w:val="18"/>
              </w:rPr>
            </w:pPr>
            <w:r w:rsidRPr="003B5DE1">
              <w:rPr>
                <w:sz w:val="18"/>
                <w:szCs w:val="18"/>
              </w:rPr>
              <w:t>0</w:t>
            </w:r>
          </w:p>
        </w:tc>
        <w:tc>
          <w:tcPr>
            <w:tcW w:w="6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35F02D" w14:textId="77777777" w:rsidR="003B5DE1" w:rsidRPr="003B5DE1" w:rsidRDefault="003B5DE1" w:rsidP="003B5DE1">
            <w:pPr>
              <w:pStyle w:val="NormalWeb"/>
              <w:jc w:val="center"/>
              <w:rPr>
                <w:sz w:val="18"/>
                <w:szCs w:val="18"/>
              </w:rPr>
            </w:pPr>
            <w:r w:rsidRPr="003B5DE1">
              <w:rPr>
                <w:sz w:val="18"/>
                <w:szCs w:val="18"/>
              </w:rPr>
              <w:t>0.0%</w:t>
            </w:r>
          </w:p>
        </w:tc>
      </w:tr>
      <w:tr w:rsidR="003B5DE1" w:rsidRPr="003B5DE1" w14:paraId="02676B68" w14:textId="77777777" w:rsidTr="003F3890">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62F436D" w14:textId="77777777" w:rsidR="003B5DE1" w:rsidRPr="003B5DE1" w:rsidRDefault="003B5DE1" w:rsidP="003B5DE1">
            <w:pPr>
              <w:pStyle w:val="NormalWeb"/>
              <w:rPr>
                <w:sz w:val="18"/>
                <w:szCs w:val="18"/>
              </w:rPr>
            </w:pPr>
            <w:r w:rsidRPr="003B5DE1">
              <w:rPr>
                <w:sz w:val="18"/>
                <w:szCs w:val="18"/>
              </w:rPr>
              <w:t>2 months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E3A671D" w14:textId="77777777" w:rsidR="003B5DE1" w:rsidRPr="003B5DE1" w:rsidRDefault="003B5DE1" w:rsidP="003B5DE1">
            <w:pPr>
              <w:pStyle w:val="NormalWeb"/>
              <w:jc w:val="center"/>
              <w:rPr>
                <w:sz w:val="18"/>
                <w:szCs w:val="18"/>
              </w:rPr>
            </w:pPr>
            <w:r w:rsidRPr="003B5DE1">
              <w:rPr>
                <w:sz w:val="18"/>
                <w:szCs w:val="18"/>
              </w:rPr>
              <w:t>20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192BE6B" w14:textId="77777777" w:rsidR="003B5DE1" w:rsidRPr="003B5DE1" w:rsidRDefault="003B5DE1" w:rsidP="003B5DE1">
            <w:pPr>
              <w:pStyle w:val="NormalWeb"/>
              <w:jc w:val="center"/>
              <w:rPr>
                <w:sz w:val="18"/>
                <w:szCs w:val="18"/>
              </w:rPr>
            </w:pPr>
            <w:r w:rsidRPr="003B5DE1">
              <w:rPr>
                <w:sz w:val="18"/>
                <w:szCs w:val="18"/>
              </w:rPr>
              <w:t>31.3%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59FE484" w14:textId="77777777" w:rsidR="003B5DE1" w:rsidRPr="003B5DE1" w:rsidRDefault="003B5DE1" w:rsidP="003B5DE1">
            <w:pPr>
              <w:pStyle w:val="NormalWeb"/>
              <w:jc w:val="center"/>
              <w:rPr>
                <w:sz w:val="18"/>
                <w:szCs w:val="18"/>
              </w:rPr>
            </w:pPr>
            <w:r w:rsidRPr="003B5DE1">
              <w:rPr>
                <w:sz w:val="18"/>
                <w:szCs w:val="18"/>
              </w:rPr>
              <w:t>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0E6708" w14:textId="77777777" w:rsidR="003B5DE1" w:rsidRPr="003B5DE1" w:rsidRDefault="003B5DE1" w:rsidP="003B5DE1">
            <w:pPr>
              <w:pStyle w:val="NormalWeb"/>
              <w:jc w:val="center"/>
              <w:rPr>
                <w:sz w:val="18"/>
                <w:szCs w:val="18"/>
              </w:rPr>
            </w:pPr>
            <w:r w:rsidRPr="003B5DE1">
              <w:rPr>
                <w:sz w:val="18"/>
                <w:szCs w:val="18"/>
              </w:rPr>
              <w:t>4.7%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D9377E5" w14:textId="77777777" w:rsidR="003B5DE1" w:rsidRPr="003B5DE1" w:rsidRDefault="003B5DE1" w:rsidP="003B5DE1">
            <w:pPr>
              <w:pStyle w:val="NormalWeb"/>
              <w:jc w:val="center"/>
              <w:rPr>
                <w:sz w:val="18"/>
                <w:szCs w:val="18"/>
              </w:rPr>
            </w:pPr>
            <w:r w:rsidRPr="003B5DE1">
              <w:rPr>
                <w:sz w:val="18"/>
                <w:szCs w:val="18"/>
              </w:rPr>
              <w:t>18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6B6BCD" w14:textId="77777777" w:rsidR="003B5DE1" w:rsidRPr="003B5DE1" w:rsidRDefault="003B5DE1" w:rsidP="003B5DE1">
            <w:pPr>
              <w:pStyle w:val="NormalWeb"/>
              <w:jc w:val="center"/>
              <w:rPr>
                <w:sz w:val="18"/>
                <w:szCs w:val="18"/>
              </w:rPr>
            </w:pPr>
            <w:r w:rsidRPr="003B5DE1">
              <w:rPr>
                <w:sz w:val="18"/>
                <w:szCs w:val="18"/>
              </w:rPr>
              <w:t>28.1%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D13689F" w14:textId="77777777" w:rsidR="003B5DE1" w:rsidRPr="003B5DE1" w:rsidRDefault="003B5DE1" w:rsidP="003B5DE1">
            <w:pPr>
              <w:pStyle w:val="NormalWeb"/>
              <w:jc w:val="center"/>
              <w:rPr>
                <w:sz w:val="18"/>
                <w:szCs w:val="18"/>
              </w:rPr>
            </w:pPr>
            <w:r w:rsidRPr="003B5DE1">
              <w:rPr>
                <w:sz w:val="18"/>
                <w:szCs w:val="18"/>
              </w:rPr>
              <w:t>23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CA16ABC" w14:textId="77777777" w:rsidR="003B5DE1" w:rsidRPr="003B5DE1" w:rsidRDefault="003B5DE1" w:rsidP="003B5DE1">
            <w:pPr>
              <w:pStyle w:val="NormalWeb"/>
              <w:jc w:val="center"/>
              <w:rPr>
                <w:sz w:val="18"/>
                <w:szCs w:val="18"/>
              </w:rPr>
            </w:pPr>
            <w:r w:rsidRPr="003B5DE1">
              <w:rPr>
                <w:sz w:val="18"/>
                <w:szCs w:val="18"/>
              </w:rPr>
              <w:t>35.9%</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788995F" w14:textId="77777777" w:rsidR="003B5DE1" w:rsidRPr="003B5DE1" w:rsidRDefault="003B5DE1" w:rsidP="003B5DE1">
            <w:pPr>
              <w:pStyle w:val="NormalWeb"/>
              <w:jc w:val="center"/>
              <w:rPr>
                <w:sz w:val="18"/>
                <w:szCs w:val="18"/>
              </w:rPr>
            </w:pPr>
            <w:r w:rsidRPr="003B5DE1">
              <w:rPr>
                <w:sz w:val="18"/>
                <w:szCs w:val="18"/>
              </w:rPr>
              <w:t>16</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E709AA5" w14:textId="77777777" w:rsidR="003B5DE1" w:rsidRPr="003B5DE1" w:rsidRDefault="003B5DE1" w:rsidP="003B5DE1">
            <w:pPr>
              <w:pStyle w:val="NormalWeb"/>
              <w:jc w:val="center"/>
              <w:rPr>
                <w:sz w:val="18"/>
                <w:szCs w:val="18"/>
              </w:rPr>
            </w:pPr>
            <w:r w:rsidRPr="003B5DE1">
              <w:rPr>
                <w:sz w:val="18"/>
                <w:szCs w:val="18"/>
              </w:rPr>
              <w:t>24.6%</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E96A36" w14:textId="77777777" w:rsidR="003B5DE1" w:rsidRPr="003B5DE1" w:rsidRDefault="003B5DE1" w:rsidP="003B5DE1">
            <w:pPr>
              <w:pStyle w:val="NormalWeb"/>
              <w:jc w:val="center"/>
              <w:rPr>
                <w:sz w:val="18"/>
                <w:szCs w:val="18"/>
              </w:rPr>
            </w:pPr>
            <w:r w:rsidRPr="003B5DE1">
              <w:rPr>
                <w:sz w:val="18"/>
                <w:szCs w:val="18"/>
              </w:rPr>
              <w:t>0</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59C4AEB" w14:textId="77777777" w:rsidR="003B5DE1" w:rsidRPr="003B5DE1" w:rsidRDefault="003B5DE1" w:rsidP="003B5DE1">
            <w:pPr>
              <w:pStyle w:val="NormalWeb"/>
              <w:jc w:val="center"/>
              <w:rPr>
                <w:sz w:val="18"/>
                <w:szCs w:val="18"/>
              </w:rPr>
            </w:pPr>
            <w:r w:rsidRPr="003B5DE1">
              <w:rPr>
                <w:sz w:val="18"/>
                <w:szCs w:val="18"/>
              </w:rPr>
              <w:t>0.0%</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7F30724" w14:textId="77777777" w:rsidR="003B5DE1" w:rsidRPr="003B5DE1" w:rsidRDefault="003B5DE1" w:rsidP="003B5DE1">
            <w:pPr>
              <w:pStyle w:val="NormalWeb"/>
              <w:jc w:val="center"/>
              <w:rPr>
                <w:sz w:val="18"/>
                <w:szCs w:val="18"/>
              </w:rPr>
            </w:pPr>
            <w:r w:rsidRPr="003B5DE1">
              <w:rPr>
                <w:sz w:val="18"/>
                <w:szCs w:val="18"/>
              </w:rPr>
              <w:t>18</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165CDE4" w14:textId="77777777" w:rsidR="003B5DE1" w:rsidRPr="003B5DE1" w:rsidRDefault="003B5DE1" w:rsidP="003B5DE1">
            <w:pPr>
              <w:pStyle w:val="NormalWeb"/>
              <w:jc w:val="center"/>
              <w:rPr>
                <w:sz w:val="18"/>
                <w:szCs w:val="18"/>
              </w:rPr>
            </w:pPr>
            <w:r w:rsidRPr="003B5DE1">
              <w:rPr>
                <w:sz w:val="18"/>
                <w:szCs w:val="18"/>
              </w:rPr>
              <w:t>27.7%</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9986730" w14:textId="77777777" w:rsidR="003B5DE1" w:rsidRPr="003B5DE1" w:rsidRDefault="003B5DE1" w:rsidP="003B5DE1">
            <w:pPr>
              <w:pStyle w:val="NormalWeb"/>
              <w:jc w:val="center"/>
              <w:rPr>
                <w:sz w:val="18"/>
                <w:szCs w:val="18"/>
              </w:rPr>
            </w:pPr>
            <w:r w:rsidRPr="003B5DE1">
              <w:rPr>
                <w:sz w:val="18"/>
                <w:szCs w:val="18"/>
              </w:rPr>
              <w:t>31</w:t>
            </w:r>
          </w:p>
        </w:tc>
        <w:tc>
          <w:tcPr>
            <w:tcW w:w="6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6BB8198" w14:textId="77777777" w:rsidR="003B5DE1" w:rsidRPr="003B5DE1" w:rsidRDefault="003B5DE1" w:rsidP="003B5DE1">
            <w:pPr>
              <w:pStyle w:val="NormalWeb"/>
              <w:jc w:val="center"/>
              <w:rPr>
                <w:sz w:val="18"/>
                <w:szCs w:val="18"/>
              </w:rPr>
            </w:pPr>
            <w:r w:rsidRPr="003B5DE1">
              <w:rPr>
                <w:sz w:val="18"/>
                <w:szCs w:val="18"/>
              </w:rPr>
              <w:t>47.7%</w:t>
            </w:r>
          </w:p>
        </w:tc>
      </w:tr>
      <w:tr w:rsidR="003B5DE1" w:rsidRPr="003B5DE1" w14:paraId="627C15BB" w14:textId="77777777" w:rsidTr="003F3890">
        <w:tblPrEx>
          <w:tblCellMar>
            <w:top w:w="57" w:type="dxa"/>
            <w:left w:w="57" w:type="dxa"/>
            <w:bottom w:w="57" w:type="dxa"/>
            <w:right w:w="57" w:type="dxa"/>
          </w:tblCellMar>
        </w:tblPrEx>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4901753" w14:textId="77777777" w:rsidR="003B5DE1" w:rsidRPr="003B5DE1" w:rsidRDefault="003B5DE1" w:rsidP="003B5DE1">
            <w:pPr>
              <w:pStyle w:val="NormalWeb"/>
              <w:rPr>
                <w:sz w:val="18"/>
                <w:szCs w:val="18"/>
              </w:rPr>
            </w:pPr>
            <w:r w:rsidRPr="003B5DE1">
              <w:rPr>
                <w:sz w:val="18"/>
                <w:szCs w:val="18"/>
              </w:rPr>
              <w:t>2 months + 2 weeks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6DB9AE1" w14:textId="77777777" w:rsidR="003B5DE1" w:rsidRPr="003B5DE1" w:rsidRDefault="003B5DE1" w:rsidP="003B5DE1">
            <w:pPr>
              <w:pStyle w:val="NormalWeb"/>
              <w:jc w:val="center"/>
              <w:rPr>
                <w:sz w:val="18"/>
                <w:szCs w:val="18"/>
              </w:rPr>
            </w:pPr>
            <w:r w:rsidRPr="003B5DE1">
              <w:rPr>
                <w:sz w:val="18"/>
                <w:szCs w:val="18"/>
              </w:rPr>
              <w:t>9</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1D17E69" w14:textId="77777777" w:rsidR="003B5DE1" w:rsidRPr="003B5DE1" w:rsidRDefault="003B5DE1" w:rsidP="003B5DE1">
            <w:pPr>
              <w:pStyle w:val="NormalWeb"/>
              <w:jc w:val="center"/>
              <w:rPr>
                <w:sz w:val="18"/>
                <w:szCs w:val="18"/>
              </w:rPr>
            </w:pPr>
            <w:r w:rsidRPr="003B5DE1">
              <w:rPr>
                <w:sz w:val="18"/>
                <w:szCs w:val="18"/>
              </w:rPr>
              <w:t>14.1%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CEB3F5C" w14:textId="77777777" w:rsidR="003B5DE1" w:rsidRPr="003B5DE1" w:rsidRDefault="003B5DE1" w:rsidP="003B5DE1">
            <w:pPr>
              <w:pStyle w:val="NormalWeb"/>
              <w:jc w:val="center"/>
              <w:rPr>
                <w:sz w:val="18"/>
                <w:szCs w:val="18"/>
              </w:rPr>
            </w:pPr>
            <w:r w:rsidRPr="003B5DE1">
              <w:rPr>
                <w:sz w:val="18"/>
                <w:szCs w:val="18"/>
              </w:rPr>
              <w:t>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7EA959E" w14:textId="77777777" w:rsidR="003B5DE1" w:rsidRPr="003B5DE1" w:rsidRDefault="003B5DE1" w:rsidP="003B5DE1">
            <w:pPr>
              <w:pStyle w:val="NormalWeb"/>
              <w:jc w:val="center"/>
              <w:rPr>
                <w:sz w:val="18"/>
                <w:szCs w:val="18"/>
              </w:rPr>
            </w:pPr>
            <w:r w:rsidRPr="003B5DE1">
              <w:rPr>
                <w:sz w:val="18"/>
                <w:szCs w:val="18"/>
              </w:rPr>
              <w:t>0.0%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D7ACF80" w14:textId="77777777" w:rsidR="003B5DE1" w:rsidRPr="003B5DE1" w:rsidRDefault="003B5DE1" w:rsidP="003B5DE1">
            <w:pPr>
              <w:pStyle w:val="NormalWeb"/>
              <w:jc w:val="center"/>
              <w:rPr>
                <w:sz w:val="18"/>
                <w:szCs w:val="18"/>
              </w:rPr>
            </w:pPr>
            <w:r w:rsidRPr="003B5DE1">
              <w:rPr>
                <w:sz w:val="18"/>
                <w:szCs w:val="18"/>
              </w:rPr>
              <w:t>12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B773A10" w14:textId="77777777" w:rsidR="003B5DE1" w:rsidRPr="003B5DE1" w:rsidRDefault="003B5DE1" w:rsidP="003B5DE1">
            <w:pPr>
              <w:pStyle w:val="NormalWeb"/>
              <w:jc w:val="center"/>
              <w:rPr>
                <w:sz w:val="18"/>
                <w:szCs w:val="18"/>
              </w:rPr>
            </w:pPr>
            <w:r w:rsidRPr="003B5DE1">
              <w:rPr>
                <w:sz w:val="18"/>
                <w:szCs w:val="18"/>
              </w:rPr>
              <w:t>18.8%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7FB6C7B" w14:textId="77777777" w:rsidR="003B5DE1" w:rsidRPr="003B5DE1" w:rsidRDefault="003B5DE1" w:rsidP="003B5DE1">
            <w:pPr>
              <w:pStyle w:val="NormalWeb"/>
              <w:jc w:val="center"/>
              <w:rPr>
                <w:sz w:val="18"/>
                <w:szCs w:val="18"/>
              </w:rPr>
            </w:pPr>
            <w:r w:rsidRPr="003B5DE1">
              <w:rPr>
                <w:sz w:val="18"/>
                <w:szCs w:val="18"/>
              </w:rPr>
              <w:t>43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7D570A" w14:textId="77777777" w:rsidR="003B5DE1" w:rsidRPr="003B5DE1" w:rsidRDefault="003B5DE1" w:rsidP="003B5DE1">
            <w:pPr>
              <w:pStyle w:val="NormalWeb"/>
              <w:jc w:val="center"/>
              <w:rPr>
                <w:sz w:val="18"/>
                <w:szCs w:val="18"/>
              </w:rPr>
            </w:pPr>
            <w:r w:rsidRPr="003B5DE1">
              <w:rPr>
                <w:sz w:val="18"/>
                <w:szCs w:val="18"/>
              </w:rPr>
              <w:t>67.2%</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A8108DB" w14:textId="77777777" w:rsidR="003B5DE1" w:rsidRPr="003B5DE1" w:rsidRDefault="003B5DE1" w:rsidP="003B5DE1">
            <w:pPr>
              <w:pStyle w:val="NormalWeb"/>
              <w:jc w:val="center"/>
              <w:rPr>
                <w:sz w:val="18"/>
                <w:szCs w:val="18"/>
              </w:rPr>
            </w:pPr>
            <w:r w:rsidRPr="003B5DE1">
              <w:rPr>
                <w:sz w:val="18"/>
                <w:szCs w:val="18"/>
              </w:rPr>
              <w:t>7</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33D7475" w14:textId="77777777" w:rsidR="003B5DE1" w:rsidRPr="003B5DE1" w:rsidRDefault="003B5DE1" w:rsidP="003B5DE1">
            <w:pPr>
              <w:pStyle w:val="NormalWeb"/>
              <w:jc w:val="center"/>
              <w:rPr>
                <w:sz w:val="18"/>
                <w:szCs w:val="18"/>
              </w:rPr>
            </w:pPr>
            <w:r w:rsidRPr="003B5DE1">
              <w:rPr>
                <w:sz w:val="18"/>
                <w:szCs w:val="18"/>
              </w:rPr>
              <w:t>10.8%</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7A95724" w14:textId="77777777" w:rsidR="003B5DE1" w:rsidRPr="003B5DE1" w:rsidRDefault="003B5DE1" w:rsidP="003B5DE1">
            <w:pPr>
              <w:pStyle w:val="NormalWeb"/>
              <w:jc w:val="center"/>
              <w:rPr>
                <w:sz w:val="18"/>
                <w:szCs w:val="18"/>
              </w:rPr>
            </w:pPr>
            <w:r w:rsidRPr="003B5DE1">
              <w:rPr>
                <w:sz w:val="18"/>
                <w:szCs w:val="18"/>
              </w:rPr>
              <w:t>2</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680C11D" w14:textId="77777777" w:rsidR="003B5DE1" w:rsidRPr="003B5DE1" w:rsidRDefault="003B5DE1" w:rsidP="003B5DE1">
            <w:pPr>
              <w:pStyle w:val="NormalWeb"/>
              <w:jc w:val="center"/>
              <w:rPr>
                <w:sz w:val="18"/>
                <w:szCs w:val="18"/>
              </w:rPr>
            </w:pPr>
            <w:r w:rsidRPr="003B5DE1">
              <w:rPr>
                <w:sz w:val="18"/>
                <w:szCs w:val="18"/>
              </w:rPr>
              <w:t>3.1%</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7D68DA" w14:textId="77777777" w:rsidR="003B5DE1" w:rsidRPr="003B5DE1" w:rsidRDefault="003B5DE1" w:rsidP="003B5DE1">
            <w:pPr>
              <w:pStyle w:val="NormalWeb"/>
              <w:jc w:val="center"/>
              <w:rPr>
                <w:sz w:val="18"/>
                <w:szCs w:val="18"/>
              </w:rPr>
            </w:pPr>
            <w:r w:rsidRPr="003B5DE1">
              <w:rPr>
                <w:sz w:val="18"/>
                <w:szCs w:val="18"/>
              </w:rPr>
              <w:t>9</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A2C3BA7" w14:textId="77777777" w:rsidR="003B5DE1" w:rsidRPr="003B5DE1" w:rsidRDefault="003B5DE1" w:rsidP="003B5DE1">
            <w:pPr>
              <w:pStyle w:val="NormalWeb"/>
              <w:jc w:val="center"/>
              <w:rPr>
                <w:sz w:val="18"/>
                <w:szCs w:val="18"/>
              </w:rPr>
            </w:pPr>
            <w:r w:rsidRPr="003B5DE1">
              <w:rPr>
                <w:sz w:val="18"/>
                <w:szCs w:val="18"/>
              </w:rPr>
              <w:t>13.8%</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DF941F2" w14:textId="77777777" w:rsidR="003B5DE1" w:rsidRPr="003B5DE1" w:rsidRDefault="003B5DE1" w:rsidP="003B5DE1">
            <w:pPr>
              <w:pStyle w:val="NormalWeb"/>
              <w:jc w:val="center"/>
              <w:rPr>
                <w:sz w:val="18"/>
                <w:szCs w:val="18"/>
              </w:rPr>
            </w:pPr>
            <w:r w:rsidRPr="003B5DE1">
              <w:rPr>
                <w:sz w:val="18"/>
                <w:szCs w:val="18"/>
              </w:rPr>
              <w:t>47</w:t>
            </w:r>
          </w:p>
        </w:tc>
        <w:tc>
          <w:tcPr>
            <w:tcW w:w="6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E63B74E" w14:textId="77777777" w:rsidR="003B5DE1" w:rsidRPr="003B5DE1" w:rsidRDefault="003B5DE1" w:rsidP="003B5DE1">
            <w:pPr>
              <w:pStyle w:val="NormalWeb"/>
              <w:jc w:val="center"/>
              <w:rPr>
                <w:sz w:val="18"/>
                <w:szCs w:val="18"/>
              </w:rPr>
            </w:pPr>
            <w:r w:rsidRPr="003B5DE1">
              <w:rPr>
                <w:sz w:val="18"/>
                <w:szCs w:val="18"/>
              </w:rPr>
              <w:t>72.3%</w:t>
            </w:r>
          </w:p>
        </w:tc>
      </w:tr>
      <w:tr w:rsidR="003B5DE1" w:rsidRPr="003B5DE1" w14:paraId="7311C5B9" w14:textId="77777777" w:rsidTr="003F3890">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5AA470" w14:textId="77777777" w:rsidR="003B5DE1" w:rsidRPr="003B5DE1" w:rsidRDefault="003B5DE1" w:rsidP="003B5DE1">
            <w:pPr>
              <w:pStyle w:val="NormalWeb"/>
              <w:rPr>
                <w:sz w:val="18"/>
                <w:szCs w:val="18"/>
              </w:rPr>
            </w:pPr>
            <w:r w:rsidRPr="003B5DE1">
              <w:rPr>
                <w:sz w:val="18"/>
                <w:szCs w:val="18"/>
              </w:rPr>
              <w:t>4 months - 2 weeks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963400B" w14:textId="77777777" w:rsidR="003B5DE1" w:rsidRPr="003B5DE1" w:rsidRDefault="003B5DE1" w:rsidP="003B5DE1">
            <w:pPr>
              <w:pStyle w:val="NormalWeb"/>
              <w:jc w:val="center"/>
              <w:rPr>
                <w:sz w:val="18"/>
                <w:szCs w:val="18"/>
              </w:rPr>
            </w:pPr>
            <w:r w:rsidRPr="003B5DE1">
              <w:rPr>
                <w:sz w:val="18"/>
                <w:szCs w:val="18"/>
              </w:rPr>
              <w:t>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F9CBA4A" w14:textId="77777777" w:rsidR="003B5DE1" w:rsidRPr="003B5DE1" w:rsidRDefault="003B5DE1" w:rsidP="003B5DE1">
            <w:pPr>
              <w:pStyle w:val="NormalWeb"/>
              <w:jc w:val="center"/>
              <w:rPr>
                <w:sz w:val="18"/>
                <w:szCs w:val="18"/>
              </w:rPr>
            </w:pPr>
            <w:r w:rsidRPr="003B5DE1">
              <w:rPr>
                <w:sz w:val="18"/>
                <w:szCs w:val="18"/>
              </w:rPr>
              <w:t>0.0%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AA38FFD" w14:textId="77777777" w:rsidR="003B5DE1" w:rsidRPr="003B5DE1" w:rsidRDefault="003B5DE1" w:rsidP="003B5DE1">
            <w:pPr>
              <w:pStyle w:val="NormalWeb"/>
              <w:jc w:val="center"/>
              <w:rPr>
                <w:sz w:val="18"/>
                <w:szCs w:val="18"/>
              </w:rPr>
            </w:pPr>
            <w:r w:rsidRPr="003B5DE1">
              <w:rPr>
                <w:sz w:val="18"/>
                <w:szCs w:val="18"/>
              </w:rPr>
              <w:t>11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FD78DFE" w14:textId="77777777" w:rsidR="003B5DE1" w:rsidRPr="003B5DE1" w:rsidRDefault="003B5DE1" w:rsidP="003B5DE1">
            <w:pPr>
              <w:pStyle w:val="NormalWeb"/>
              <w:jc w:val="center"/>
              <w:rPr>
                <w:sz w:val="18"/>
                <w:szCs w:val="18"/>
              </w:rPr>
            </w:pPr>
            <w:r w:rsidRPr="003B5DE1">
              <w:rPr>
                <w:sz w:val="18"/>
                <w:szCs w:val="18"/>
              </w:rPr>
              <w:t>17.2%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B6EFBC6" w14:textId="77777777" w:rsidR="003B5DE1" w:rsidRPr="003B5DE1" w:rsidRDefault="003B5DE1" w:rsidP="003B5DE1">
            <w:pPr>
              <w:pStyle w:val="NormalWeb"/>
              <w:jc w:val="center"/>
              <w:rPr>
                <w:sz w:val="18"/>
                <w:szCs w:val="18"/>
              </w:rPr>
            </w:pPr>
            <w:r w:rsidRPr="003B5DE1">
              <w:rPr>
                <w:sz w:val="18"/>
                <w:szCs w:val="18"/>
              </w:rPr>
              <w:t>53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BBDC51A" w14:textId="77777777" w:rsidR="003B5DE1" w:rsidRPr="003B5DE1" w:rsidRDefault="003B5DE1" w:rsidP="003B5DE1">
            <w:pPr>
              <w:pStyle w:val="NormalWeb"/>
              <w:jc w:val="center"/>
              <w:rPr>
                <w:sz w:val="18"/>
                <w:szCs w:val="18"/>
              </w:rPr>
            </w:pPr>
            <w:r w:rsidRPr="003B5DE1">
              <w:rPr>
                <w:sz w:val="18"/>
                <w:szCs w:val="18"/>
              </w:rPr>
              <w:t>82.8%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A3F5F0B" w14:textId="77777777" w:rsidR="003B5DE1" w:rsidRPr="003B5DE1" w:rsidRDefault="003B5DE1" w:rsidP="003B5DE1">
            <w:pPr>
              <w:pStyle w:val="NormalWeb"/>
              <w:jc w:val="center"/>
              <w:rPr>
                <w:sz w:val="18"/>
                <w:szCs w:val="18"/>
              </w:rPr>
            </w:pPr>
            <w:r w:rsidRPr="003B5DE1">
              <w:rPr>
                <w:sz w:val="18"/>
                <w:szCs w:val="18"/>
              </w:rPr>
              <w:t>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C2E18B6" w14:textId="77777777" w:rsidR="003B5DE1" w:rsidRPr="003B5DE1" w:rsidRDefault="003B5DE1" w:rsidP="003B5DE1">
            <w:pPr>
              <w:pStyle w:val="NormalWeb"/>
              <w:jc w:val="center"/>
              <w:rPr>
                <w:sz w:val="18"/>
                <w:szCs w:val="18"/>
              </w:rPr>
            </w:pPr>
            <w:r w:rsidRPr="003B5DE1">
              <w:rPr>
                <w:sz w:val="18"/>
                <w:szCs w:val="18"/>
              </w:rPr>
              <w:t>0.0%</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F76F7A7" w14:textId="77777777" w:rsidR="003B5DE1" w:rsidRPr="003B5DE1" w:rsidRDefault="003B5DE1" w:rsidP="003B5DE1">
            <w:pPr>
              <w:pStyle w:val="NormalWeb"/>
              <w:jc w:val="center"/>
              <w:rPr>
                <w:sz w:val="18"/>
                <w:szCs w:val="18"/>
              </w:rPr>
            </w:pPr>
            <w:r w:rsidRPr="003B5DE1">
              <w:rPr>
                <w:sz w:val="18"/>
                <w:szCs w:val="18"/>
              </w:rPr>
              <w:t>2</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2078D1E" w14:textId="77777777" w:rsidR="003B5DE1" w:rsidRPr="003B5DE1" w:rsidRDefault="003B5DE1" w:rsidP="003B5DE1">
            <w:pPr>
              <w:pStyle w:val="NormalWeb"/>
              <w:jc w:val="center"/>
              <w:rPr>
                <w:sz w:val="18"/>
                <w:szCs w:val="18"/>
              </w:rPr>
            </w:pPr>
            <w:r w:rsidRPr="003B5DE1">
              <w:rPr>
                <w:sz w:val="18"/>
                <w:szCs w:val="18"/>
              </w:rPr>
              <w:t>3.1%</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6BDB4BA" w14:textId="77777777" w:rsidR="003B5DE1" w:rsidRPr="003B5DE1" w:rsidRDefault="003B5DE1" w:rsidP="003B5DE1">
            <w:pPr>
              <w:pStyle w:val="NormalWeb"/>
              <w:jc w:val="center"/>
              <w:rPr>
                <w:sz w:val="18"/>
                <w:szCs w:val="18"/>
              </w:rPr>
            </w:pPr>
            <w:r w:rsidRPr="003B5DE1">
              <w:rPr>
                <w:sz w:val="18"/>
                <w:szCs w:val="18"/>
              </w:rPr>
              <w:t>17</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6CB34F0" w14:textId="77777777" w:rsidR="003B5DE1" w:rsidRPr="003B5DE1" w:rsidRDefault="003B5DE1" w:rsidP="003B5DE1">
            <w:pPr>
              <w:pStyle w:val="NormalWeb"/>
              <w:jc w:val="center"/>
              <w:rPr>
                <w:sz w:val="18"/>
                <w:szCs w:val="18"/>
              </w:rPr>
            </w:pPr>
            <w:r w:rsidRPr="003B5DE1">
              <w:rPr>
                <w:sz w:val="18"/>
                <w:szCs w:val="18"/>
              </w:rPr>
              <w:t>26.2%</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CBAAE34" w14:textId="77777777" w:rsidR="003B5DE1" w:rsidRPr="003B5DE1" w:rsidRDefault="003B5DE1" w:rsidP="003B5DE1">
            <w:pPr>
              <w:pStyle w:val="NormalWeb"/>
              <w:jc w:val="center"/>
              <w:rPr>
                <w:sz w:val="18"/>
                <w:szCs w:val="18"/>
              </w:rPr>
            </w:pPr>
            <w:r w:rsidRPr="003B5DE1">
              <w:rPr>
                <w:sz w:val="18"/>
                <w:szCs w:val="18"/>
              </w:rPr>
              <w:t>46</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0BA0AFC" w14:textId="77777777" w:rsidR="003B5DE1" w:rsidRPr="003B5DE1" w:rsidRDefault="003B5DE1" w:rsidP="003B5DE1">
            <w:pPr>
              <w:pStyle w:val="NormalWeb"/>
              <w:jc w:val="center"/>
              <w:rPr>
                <w:sz w:val="18"/>
                <w:szCs w:val="18"/>
              </w:rPr>
            </w:pPr>
            <w:r w:rsidRPr="003B5DE1">
              <w:rPr>
                <w:sz w:val="18"/>
                <w:szCs w:val="18"/>
              </w:rPr>
              <w:t>70.8%</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C443666" w14:textId="77777777" w:rsidR="003B5DE1" w:rsidRPr="003B5DE1" w:rsidRDefault="003B5DE1" w:rsidP="003B5DE1">
            <w:pPr>
              <w:pStyle w:val="NormalWeb"/>
              <w:jc w:val="center"/>
              <w:rPr>
                <w:sz w:val="18"/>
                <w:szCs w:val="18"/>
              </w:rPr>
            </w:pPr>
            <w:r w:rsidRPr="003B5DE1">
              <w:rPr>
                <w:sz w:val="18"/>
                <w:szCs w:val="18"/>
              </w:rPr>
              <w:t>0</w:t>
            </w:r>
          </w:p>
        </w:tc>
        <w:tc>
          <w:tcPr>
            <w:tcW w:w="6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FE79A27" w14:textId="77777777" w:rsidR="003B5DE1" w:rsidRPr="003B5DE1" w:rsidRDefault="003B5DE1" w:rsidP="003B5DE1">
            <w:pPr>
              <w:pStyle w:val="NormalWeb"/>
              <w:jc w:val="center"/>
              <w:rPr>
                <w:sz w:val="18"/>
                <w:szCs w:val="18"/>
              </w:rPr>
            </w:pPr>
            <w:r w:rsidRPr="003B5DE1">
              <w:rPr>
                <w:sz w:val="18"/>
                <w:szCs w:val="18"/>
              </w:rPr>
              <w:t>0.0%</w:t>
            </w:r>
          </w:p>
        </w:tc>
      </w:tr>
      <w:tr w:rsidR="003B5DE1" w:rsidRPr="003B5DE1" w14:paraId="47991AC5" w14:textId="77777777" w:rsidTr="003F3890">
        <w:tblPrEx>
          <w:tblCellMar>
            <w:top w:w="57" w:type="dxa"/>
            <w:left w:w="57" w:type="dxa"/>
            <w:bottom w:w="57" w:type="dxa"/>
            <w:right w:w="57" w:type="dxa"/>
          </w:tblCellMar>
        </w:tblPrEx>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BDB3848" w14:textId="77777777" w:rsidR="003B5DE1" w:rsidRPr="003B5DE1" w:rsidRDefault="003B5DE1" w:rsidP="003B5DE1">
            <w:pPr>
              <w:pStyle w:val="NormalWeb"/>
              <w:rPr>
                <w:sz w:val="18"/>
                <w:szCs w:val="18"/>
              </w:rPr>
            </w:pPr>
            <w:r w:rsidRPr="003B5DE1">
              <w:rPr>
                <w:sz w:val="18"/>
                <w:szCs w:val="18"/>
              </w:rPr>
              <w:t>4 months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0ACF2F" w14:textId="77777777" w:rsidR="003B5DE1" w:rsidRPr="003B5DE1" w:rsidRDefault="003B5DE1" w:rsidP="003B5DE1">
            <w:pPr>
              <w:pStyle w:val="NormalWeb"/>
              <w:jc w:val="center"/>
              <w:rPr>
                <w:sz w:val="18"/>
                <w:szCs w:val="18"/>
              </w:rPr>
            </w:pPr>
            <w:r w:rsidRPr="003B5DE1">
              <w:rPr>
                <w:sz w:val="18"/>
                <w:szCs w:val="18"/>
              </w:rPr>
              <w:t>17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BB44A5" w14:textId="77777777" w:rsidR="003B5DE1" w:rsidRPr="003B5DE1" w:rsidRDefault="003B5DE1" w:rsidP="003B5DE1">
            <w:pPr>
              <w:pStyle w:val="NormalWeb"/>
              <w:jc w:val="center"/>
              <w:rPr>
                <w:sz w:val="18"/>
                <w:szCs w:val="18"/>
              </w:rPr>
            </w:pPr>
            <w:r w:rsidRPr="003B5DE1">
              <w:rPr>
                <w:sz w:val="18"/>
                <w:szCs w:val="18"/>
              </w:rPr>
              <w:t>26.6%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455078" w14:textId="77777777" w:rsidR="003B5DE1" w:rsidRPr="003B5DE1" w:rsidRDefault="003B5DE1" w:rsidP="003B5DE1">
            <w:pPr>
              <w:pStyle w:val="NormalWeb"/>
              <w:jc w:val="center"/>
              <w:rPr>
                <w:sz w:val="18"/>
                <w:szCs w:val="18"/>
              </w:rPr>
            </w:pPr>
            <w:r w:rsidRPr="003B5DE1">
              <w:rPr>
                <w:sz w:val="18"/>
                <w:szCs w:val="18"/>
              </w:rPr>
              <w:t>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22D0654" w14:textId="77777777" w:rsidR="003B5DE1" w:rsidRPr="003B5DE1" w:rsidRDefault="003B5DE1" w:rsidP="003B5DE1">
            <w:pPr>
              <w:pStyle w:val="NormalWeb"/>
              <w:jc w:val="center"/>
              <w:rPr>
                <w:sz w:val="18"/>
                <w:szCs w:val="18"/>
              </w:rPr>
            </w:pPr>
            <w:r w:rsidRPr="003B5DE1">
              <w:rPr>
                <w:sz w:val="18"/>
                <w:szCs w:val="18"/>
              </w:rPr>
              <w:t>4.7%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4588C5F" w14:textId="77777777" w:rsidR="003B5DE1" w:rsidRPr="003B5DE1" w:rsidRDefault="003B5DE1" w:rsidP="003B5DE1">
            <w:pPr>
              <w:pStyle w:val="NormalWeb"/>
              <w:jc w:val="center"/>
              <w:rPr>
                <w:sz w:val="18"/>
                <w:szCs w:val="18"/>
              </w:rPr>
            </w:pPr>
            <w:r w:rsidRPr="003B5DE1">
              <w:rPr>
                <w:sz w:val="18"/>
                <w:szCs w:val="18"/>
              </w:rPr>
              <w:t>44</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0DF9C5" w14:textId="77777777" w:rsidR="003B5DE1" w:rsidRPr="003B5DE1" w:rsidRDefault="003B5DE1" w:rsidP="003B5DE1">
            <w:pPr>
              <w:pStyle w:val="NormalWeb"/>
              <w:jc w:val="center"/>
              <w:rPr>
                <w:sz w:val="18"/>
                <w:szCs w:val="18"/>
              </w:rPr>
            </w:pPr>
            <w:r w:rsidRPr="003B5DE1">
              <w:rPr>
                <w:sz w:val="18"/>
                <w:szCs w:val="18"/>
              </w:rPr>
              <w:t>68.8%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733CB90" w14:textId="77777777" w:rsidR="003B5DE1" w:rsidRPr="003B5DE1" w:rsidRDefault="003B5DE1" w:rsidP="003B5DE1">
            <w:pPr>
              <w:pStyle w:val="NormalWeb"/>
              <w:jc w:val="center"/>
              <w:rPr>
                <w:sz w:val="18"/>
                <w:szCs w:val="18"/>
              </w:rPr>
            </w:pPr>
            <w:r w:rsidRPr="003B5DE1">
              <w:rPr>
                <w:sz w:val="18"/>
                <w:szCs w:val="18"/>
              </w:rPr>
              <w:t>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9153AB7" w14:textId="77777777" w:rsidR="003B5DE1" w:rsidRPr="003B5DE1" w:rsidRDefault="003B5DE1" w:rsidP="003B5DE1">
            <w:pPr>
              <w:pStyle w:val="NormalWeb"/>
              <w:jc w:val="center"/>
              <w:rPr>
                <w:sz w:val="18"/>
                <w:szCs w:val="18"/>
              </w:rPr>
            </w:pPr>
            <w:r w:rsidRPr="003B5DE1">
              <w:rPr>
                <w:sz w:val="18"/>
                <w:szCs w:val="18"/>
              </w:rPr>
              <w:t>0.0%</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E7A4B6E" w14:textId="77777777" w:rsidR="003B5DE1" w:rsidRPr="003B5DE1" w:rsidRDefault="003B5DE1" w:rsidP="003B5DE1">
            <w:pPr>
              <w:pStyle w:val="NormalWeb"/>
              <w:jc w:val="center"/>
              <w:rPr>
                <w:sz w:val="18"/>
                <w:szCs w:val="18"/>
              </w:rPr>
            </w:pPr>
            <w:r w:rsidRPr="003B5DE1">
              <w:rPr>
                <w:sz w:val="18"/>
                <w:szCs w:val="18"/>
              </w:rPr>
              <w:t>20</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ACA9B4" w14:textId="77777777" w:rsidR="003B5DE1" w:rsidRPr="003B5DE1" w:rsidRDefault="003B5DE1" w:rsidP="003B5DE1">
            <w:pPr>
              <w:pStyle w:val="NormalWeb"/>
              <w:jc w:val="center"/>
              <w:rPr>
                <w:sz w:val="18"/>
                <w:szCs w:val="18"/>
              </w:rPr>
            </w:pPr>
            <w:r w:rsidRPr="003B5DE1">
              <w:rPr>
                <w:sz w:val="18"/>
                <w:szCs w:val="18"/>
              </w:rPr>
              <w:t>30.8%</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EF74A10" w14:textId="77777777" w:rsidR="003B5DE1" w:rsidRPr="003B5DE1" w:rsidRDefault="003B5DE1" w:rsidP="003B5DE1">
            <w:pPr>
              <w:pStyle w:val="NormalWeb"/>
              <w:jc w:val="center"/>
              <w:rPr>
                <w:sz w:val="18"/>
                <w:szCs w:val="18"/>
              </w:rPr>
            </w:pPr>
            <w:r w:rsidRPr="003B5DE1">
              <w:rPr>
                <w:sz w:val="18"/>
                <w:szCs w:val="18"/>
              </w:rPr>
              <w:t>9</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FE12253" w14:textId="77777777" w:rsidR="003B5DE1" w:rsidRPr="003B5DE1" w:rsidRDefault="003B5DE1" w:rsidP="003B5DE1">
            <w:pPr>
              <w:pStyle w:val="NormalWeb"/>
              <w:jc w:val="center"/>
              <w:rPr>
                <w:sz w:val="18"/>
                <w:szCs w:val="18"/>
              </w:rPr>
            </w:pPr>
            <w:r w:rsidRPr="003B5DE1">
              <w:rPr>
                <w:sz w:val="18"/>
                <w:szCs w:val="18"/>
              </w:rPr>
              <w:t>13.8%</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AEEB42D" w14:textId="77777777" w:rsidR="003B5DE1" w:rsidRPr="003B5DE1" w:rsidRDefault="003B5DE1" w:rsidP="003B5DE1">
            <w:pPr>
              <w:pStyle w:val="NormalWeb"/>
              <w:jc w:val="center"/>
              <w:rPr>
                <w:sz w:val="18"/>
                <w:szCs w:val="18"/>
              </w:rPr>
            </w:pPr>
            <w:r w:rsidRPr="003B5DE1">
              <w:rPr>
                <w:sz w:val="18"/>
                <w:szCs w:val="18"/>
              </w:rPr>
              <w:t>34</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282FD04" w14:textId="77777777" w:rsidR="003B5DE1" w:rsidRPr="003B5DE1" w:rsidRDefault="003B5DE1" w:rsidP="003B5DE1">
            <w:pPr>
              <w:pStyle w:val="NormalWeb"/>
              <w:jc w:val="center"/>
              <w:rPr>
                <w:sz w:val="18"/>
                <w:szCs w:val="18"/>
              </w:rPr>
            </w:pPr>
            <w:r w:rsidRPr="003B5DE1">
              <w:rPr>
                <w:sz w:val="18"/>
                <w:szCs w:val="18"/>
              </w:rPr>
              <w:t>52.3%</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6312DB0" w14:textId="77777777" w:rsidR="003B5DE1" w:rsidRPr="003B5DE1" w:rsidRDefault="003B5DE1" w:rsidP="003B5DE1">
            <w:pPr>
              <w:pStyle w:val="NormalWeb"/>
              <w:jc w:val="center"/>
              <w:rPr>
                <w:sz w:val="18"/>
                <w:szCs w:val="18"/>
              </w:rPr>
            </w:pPr>
            <w:r w:rsidRPr="003B5DE1">
              <w:rPr>
                <w:sz w:val="18"/>
                <w:szCs w:val="18"/>
              </w:rPr>
              <w:t>2</w:t>
            </w:r>
          </w:p>
        </w:tc>
        <w:tc>
          <w:tcPr>
            <w:tcW w:w="6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7B28B5B" w14:textId="77777777" w:rsidR="003B5DE1" w:rsidRPr="003B5DE1" w:rsidRDefault="003B5DE1" w:rsidP="003B5DE1">
            <w:pPr>
              <w:pStyle w:val="NormalWeb"/>
              <w:jc w:val="center"/>
              <w:rPr>
                <w:sz w:val="18"/>
                <w:szCs w:val="18"/>
              </w:rPr>
            </w:pPr>
            <w:r w:rsidRPr="003B5DE1">
              <w:rPr>
                <w:sz w:val="18"/>
                <w:szCs w:val="18"/>
              </w:rPr>
              <w:t>3.1%</w:t>
            </w:r>
          </w:p>
        </w:tc>
      </w:tr>
      <w:tr w:rsidR="003B5DE1" w:rsidRPr="003B5DE1" w14:paraId="5D2E6C61" w14:textId="77777777" w:rsidTr="003F3890">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7A4C2F1" w14:textId="77777777" w:rsidR="003B5DE1" w:rsidRPr="003B5DE1" w:rsidRDefault="003B5DE1" w:rsidP="003B5DE1">
            <w:pPr>
              <w:pStyle w:val="NormalWeb"/>
              <w:rPr>
                <w:sz w:val="18"/>
                <w:szCs w:val="18"/>
              </w:rPr>
            </w:pPr>
            <w:r w:rsidRPr="003B5DE1">
              <w:rPr>
                <w:sz w:val="18"/>
                <w:szCs w:val="18"/>
              </w:rPr>
              <w:t>4 months + 2 weeks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6D78D69" w14:textId="77777777" w:rsidR="003B5DE1" w:rsidRPr="003B5DE1" w:rsidRDefault="003B5DE1" w:rsidP="003B5DE1">
            <w:pPr>
              <w:pStyle w:val="NormalWeb"/>
              <w:jc w:val="center"/>
              <w:rPr>
                <w:sz w:val="18"/>
                <w:szCs w:val="18"/>
              </w:rPr>
            </w:pPr>
            <w:r w:rsidRPr="003B5DE1">
              <w:rPr>
                <w:sz w:val="18"/>
                <w:szCs w:val="18"/>
              </w:rPr>
              <w:t>20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658EAA1" w14:textId="77777777" w:rsidR="003B5DE1" w:rsidRPr="003B5DE1" w:rsidRDefault="003B5DE1" w:rsidP="003B5DE1">
            <w:pPr>
              <w:pStyle w:val="NormalWeb"/>
              <w:jc w:val="center"/>
              <w:rPr>
                <w:sz w:val="18"/>
                <w:szCs w:val="18"/>
              </w:rPr>
            </w:pPr>
            <w:r w:rsidRPr="003B5DE1">
              <w:rPr>
                <w:sz w:val="18"/>
                <w:szCs w:val="18"/>
              </w:rPr>
              <w:t>31.3%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C2E1B7F" w14:textId="77777777" w:rsidR="003B5DE1" w:rsidRPr="003B5DE1" w:rsidRDefault="003B5DE1" w:rsidP="003B5DE1">
            <w:pPr>
              <w:pStyle w:val="NormalWeb"/>
              <w:jc w:val="center"/>
              <w:rPr>
                <w:sz w:val="18"/>
                <w:szCs w:val="18"/>
              </w:rPr>
            </w:pPr>
            <w:r w:rsidRPr="003B5DE1">
              <w:rPr>
                <w:sz w:val="18"/>
                <w:szCs w:val="18"/>
              </w:rPr>
              <w:t>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FE1BE77" w14:textId="77777777" w:rsidR="003B5DE1" w:rsidRPr="003B5DE1" w:rsidRDefault="003B5DE1" w:rsidP="003B5DE1">
            <w:pPr>
              <w:pStyle w:val="NormalWeb"/>
              <w:jc w:val="center"/>
              <w:rPr>
                <w:sz w:val="18"/>
                <w:szCs w:val="18"/>
              </w:rPr>
            </w:pPr>
            <w:r w:rsidRPr="003B5DE1">
              <w:rPr>
                <w:sz w:val="18"/>
                <w:szCs w:val="18"/>
              </w:rPr>
              <w:t>1.6%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54A137" w14:textId="77777777" w:rsidR="003B5DE1" w:rsidRPr="003B5DE1" w:rsidRDefault="003B5DE1" w:rsidP="003B5DE1">
            <w:pPr>
              <w:pStyle w:val="NormalWeb"/>
              <w:jc w:val="center"/>
              <w:rPr>
                <w:sz w:val="18"/>
                <w:szCs w:val="18"/>
              </w:rPr>
            </w:pPr>
            <w:r w:rsidRPr="003B5DE1">
              <w:rPr>
                <w:sz w:val="18"/>
                <w:szCs w:val="18"/>
              </w:rPr>
              <w:t>26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B9877B" w14:textId="77777777" w:rsidR="003B5DE1" w:rsidRPr="003B5DE1" w:rsidRDefault="003B5DE1" w:rsidP="003B5DE1">
            <w:pPr>
              <w:pStyle w:val="NormalWeb"/>
              <w:jc w:val="center"/>
              <w:rPr>
                <w:sz w:val="18"/>
                <w:szCs w:val="18"/>
              </w:rPr>
            </w:pPr>
            <w:r w:rsidRPr="003B5DE1">
              <w:rPr>
                <w:sz w:val="18"/>
                <w:szCs w:val="18"/>
              </w:rPr>
              <w:t>40.6%</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F8F64FB" w14:textId="77777777" w:rsidR="003B5DE1" w:rsidRPr="003B5DE1" w:rsidRDefault="003B5DE1" w:rsidP="003B5DE1">
            <w:pPr>
              <w:pStyle w:val="NormalWeb"/>
              <w:jc w:val="center"/>
              <w:rPr>
                <w:sz w:val="18"/>
                <w:szCs w:val="18"/>
              </w:rPr>
            </w:pPr>
            <w:r w:rsidRPr="003B5DE1">
              <w:rPr>
                <w:sz w:val="18"/>
                <w:szCs w:val="18"/>
              </w:rPr>
              <w:t>17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B21CF38" w14:textId="77777777" w:rsidR="003B5DE1" w:rsidRPr="003B5DE1" w:rsidRDefault="003B5DE1" w:rsidP="003B5DE1">
            <w:pPr>
              <w:pStyle w:val="NormalWeb"/>
              <w:jc w:val="center"/>
              <w:rPr>
                <w:sz w:val="18"/>
                <w:szCs w:val="18"/>
              </w:rPr>
            </w:pPr>
            <w:r w:rsidRPr="003B5DE1">
              <w:rPr>
                <w:sz w:val="18"/>
                <w:szCs w:val="18"/>
              </w:rPr>
              <w:t>26.6%</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B176F9C" w14:textId="77777777" w:rsidR="003B5DE1" w:rsidRPr="003B5DE1" w:rsidRDefault="003B5DE1" w:rsidP="003B5DE1">
            <w:pPr>
              <w:pStyle w:val="NormalWeb"/>
              <w:jc w:val="center"/>
              <w:rPr>
                <w:sz w:val="18"/>
                <w:szCs w:val="18"/>
              </w:rPr>
            </w:pPr>
            <w:r w:rsidRPr="003B5DE1">
              <w:rPr>
                <w:sz w:val="18"/>
                <w:szCs w:val="18"/>
              </w:rPr>
              <w:t>28</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218C76" w14:textId="77777777" w:rsidR="003B5DE1" w:rsidRPr="003B5DE1" w:rsidRDefault="003B5DE1" w:rsidP="003B5DE1">
            <w:pPr>
              <w:pStyle w:val="NormalWeb"/>
              <w:jc w:val="center"/>
              <w:rPr>
                <w:sz w:val="18"/>
                <w:szCs w:val="18"/>
              </w:rPr>
            </w:pPr>
            <w:r w:rsidRPr="003B5DE1">
              <w:rPr>
                <w:sz w:val="18"/>
                <w:szCs w:val="18"/>
              </w:rPr>
              <w:t>43.1%</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B166E12" w14:textId="77777777" w:rsidR="003B5DE1" w:rsidRPr="003B5DE1" w:rsidRDefault="003B5DE1" w:rsidP="003B5DE1">
            <w:pPr>
              <w:pStyle w:val="NormalWeb"/>
              <w:jc w:val="center"/>
              <w:rPr>
                <w:sz w:val="18"/>
                <w:szCs w:val="18"/>
              </w:rPr>
            </w:pPr>
            <w:r w:rsidRPr="003B5DE1">
              <w:rPr>
                <w:sz w:val="18"/>
                <w:szCs w:val="18"/>
              </w:rPr>
              <w:t>9</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6899542" w14:textId="77777777" w:rsidR="003B5DE1" w:rsidRPr="003B5DE1" w:rsidRDefault="003B5DE1" w:rsidP="003B5DE1">
            <w:pPr>
              <w:pStyle w:val="NormalWeb"/>
              <w:jc w:val="center"/>
              <w:rPr>
                <w:sz w:val="18"/>
                <w:szCs w:val="18"/>
              </w:rPr>
            </w:pPr>
            <w:r w:rsidRPr="003B5DE1">
              <w:rPr>
                <w:sz w:val="18"/>
                <w:szCs w:val="18"/>
              </w:rPr>
              <w:t>13.8%</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72FF464" w14:textId="77777777" w:rsidR="003B5DE1" w:rsidRPr="003B5DE1" w:rsidRDefault="003B5DE1" w:rsidP="003B5DE1">
            <w:pPr>
              <w:pStyle w:val="NormalWeb"/>
              <w:jc w:val="center"/>
              <w:rPr>
                <w:sz w:val="18"/>
                <w:szCs w:val="18"/>
              </w:rPr>
            </w:pPr>
            <w:r w:rsidRPr="003B5DE1">
              <w:rPr>
                <w:sz w:val="18"/>
                <w:szCs w:val="18"/>
              </w:rPr>
              <w:t>6</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5BFA45B" w14:textId="77777777" w:rsidR="003B5DE1" w:rsidRPr="003B5DE1" w:rsidRDefault="003B5DE1" w:rsidP="003B5DE1">
            <w:pPr>
              <w:pStyle w:val="NormalWeb"/>
              <w:jc w:val="center"/>
              <w:rPr>
                <w:sz w:val="18"/>
                <w:szCs w:val="18"/>
              </w:rPr>
            </w:pPr>
            <w:r w:rsidRPr="003B5DE1">
              <w:rPr>
                <w:sz w:val="18"/>
                <w:szCs w:val="18"/>
              </w:rPr>
              <w:t>9.2%</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410ECA2" w14:textId="77777777" w:rsidR="003B5DE1" w:rsidRPr="003B5DE1" w:rsidRDefault="003B5DE1" w:rsidP="003B5DE1">
            <w:pPr>
              <w:pStyle w:val="NormalWeb"/>
              <w:jc w:val="center"/>
              <w:rPr>
                <w:sz w:val="18"/>
                <w:szCs w:val="18"/>
              </w:rPr>
            </w:pPr>
            <w:r w:rsidRPr="003B5DE1">
              <w:rPr>
                <w:sz w:val="18"/>
                <w:szCs w:val="18"/>
              </w:rPr>
              <w:t>22</w:t>
            </w:r>
          </w:p>
        </w:tc>
        <w:tc>
          <w:tcPr>
            <w:tcW w:w="6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852D7D2" w14:textId="77777777" w:rsidR="003B5DE1" w:rsidRPr="003B5DE1" w:rsidRDefault="003B5DE1" w:rsidP="003B5DE1">
            <w:pPr>
              <w:pStyle w:val="NormalWeb"/>
              <w:jc w:val="center"/>
              <w:rPr>
                <w:sz w:val="18"/>
                <w:szCs w:val="18"/>
              </w:rPr>
            </w:pPr>
            <w:r w:rsidRPr="003B5DE1">
              <w:rPr>
                <w:sz w:val="18"/>
                <w:szCs w:val="18"/>
              </w:rPr>
              <w:t>33.8%</w:t>
            </w:r>
          </w:p>
        </w:tc>
      </w:tr>
      <w:tr w:rsidR="003B5DE1" w:rsidRPr="003B5DE1" w14:paraId="663EEA04" w14:textId="77777777" w:rsidTr="003F3890">
        <w:tblPrEx>
          <w:tblCellMar>
            <w:top w:w="57" w:type="dxa"/>
            <w:left w:w="57" w:type="dxa"/>
            <w:bottom w:w="57" w:type="dxa"/>
            <w:right w:w="57" w:type="dxa"/>
          </w:tblCellMar>
        </w:tblPrEx>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9009DF4" w14:textId="77777777" w:rsidR="003B5DE1" w:rsidRPr="003B5DE1" w:rsidRDefault="003B5DE1" w:rsidP="003B5DE1">
            <w:pPr>
              <w:pStyle w:val="NormalWeb"/>
              <w:rPr>
                <w:sz w:val="18"/>
                <w:szCs w:val="18"/>
              </w:rPr>
            </w:pPr>
            <w:r w:rsidRPr="003B5DE1">
              <w:rPr>
                <w:sz w:val="18"/>
                <w:szCs w:val="18"/>
              </w:rPr>
              <w:t>6 months – 2 weeks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7B875E2" w14:textId="77777777" w:rsidR="003B5DE1" w:rsidRPr="003B5DE1" w:rsidRDefault="003B5DE1" w:rsidP="003B5DE1">
            <w:pPr>
              <w:pStyle w:val="NormalWeb"/>
              <w:jc w:val="center"/>
              <w:rPr>
                <w:sz w:val="18"/>
                <w:szCs w:val="18"/>
              </w:rPr>
            </w:pPr>
            <w:r w:rsidRPr="003B5DE1">
              <w:rPr>
                <w:sz w:val="18"/>
                <w:szCs w:val="18"/>
              </w:rPr>
              <w:t>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A8F0337" w14:textId="77777777" w:rsidR="003B5DE1" w:rsidRPr="003B5DE1" w:rsidRDefault="003B5DE1" w:rsidP="003B5DE1">
            <w:pPr>
              <w:pStyle w:val="NormalWeb"/>
              <w:jc w:val="center"/>
              <w:rPr>
                <w:sz w:val="18"/>
                <w:szCs w:val="18"/>
              </w:rPr>
            </w:pPr>
            <w:r w:rsidRPr="003B5DE1">
              <w:rPr>
                <w:sz w:val="18"/>
                <w:szCs w:val="18"/>
              </w:rPr>
              <w:t>0.0%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B7B43F2" w14:textId="77777777" w:rsidR="003B5DE1" w:rsidRPr="003B5DE1" w:rsidRDefault="003B5DE1" w:rsidP="003B5DE1">
            <w:pPr>
              <w:pStyle w:val="NormalWeb"/>
              <w:jc w:val="center"/>
              <w:rPr>
                <w:sz w:val="18"/>
                <w:szCs w:val="18"/>
              </w:rPr>
            </w:pPr>
            <w:r w:rsidRPr="003B5DE1">
              <w:rPr>
                <w:sz w:val="18"/>
                <w:szCs w:val="18"/>
              </w:rPr>
              <w:t>11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2EA9B7D" w14:textId="77777777" w:rsidR="003B5DE1" w:rsidRPr="003B5DE1" w:rsidRDefault="003B5DE1" w:rsidP="003B5DE1">
            <w:pPr>
              <w:pStyle w:val="NormalWeb"/>
              <w:jc w:val="center"/>
              <w:rPr>
                <w:sz w:val="18"/>
                <w:szCs w:val="18"/>
              </w:rPr>
            </w:pPr>
            <w:r w:rsidRPr="003B5DE1">
              <w:rPr>
                <w:sz w:val="18"/>
                <w:szCs w:val="18"/>
              </w:rPr>
              <w:t>17.2%</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D5BFEED" w14:textId="77777777" w:rsidR="003B5DE1" w:rsidRPr="003B5DE1" w:rsidRDefault="003B5DE1" w:rsidP="003B5DE1">
            <w:pPr>
              <w:pStyle w:val="NormalWeb"/>
              <w:jc w:val="center"/>
              <w:rPr>
                <w:sz w:val="18"/>
                <w:szCs w:val="18"/>
              </w:rPr>
            </w:pPr>
            <w:r w:rsidRPr="003B5DE1">
              <w:rPr>
                <w:sz w:val="18"/>
                <w:szCs w:val="18"/>
              </w:rPr>
              <w:t>53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D4F8EF5" w14:textId="77777777" w:rsidR="003B5DE1" w:rsidRPr="003B5DE1" w:rsidRDefault="003B5DE1" w:rsidP="003B5DE1">
            <w:pPr>
              <w:pStyle w:val="NormalWeb"/>
              <w:jc w:val="center"/>
              <w:rPr>
                <w:sz w:val="18"/>
                <w:szCs w:val="18"/>
              </w:rPr>
            </w:pPr>
            <w:r w:rsidRPr="003B5DE1">
              <w:rPr>
                <w:sz w:val="18"/>
                <w:szCs w:val="18"/>
              </w:rPr>
              <w:t>82.8%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02C2412" w14:textId="77777777" w:rsidR="003B5DE1" w:rsidRPr="003B5DE1" w:rsidRDefault="003B5DE1" w:rsidP="003B5DE1">
            <w:pPr>
              <w:pStyle w:val="NormalWeb"/>
              <w:jc w:val="center"/>
              <w:rPr>
                <w:sz w:val="18"/>
                <w:szCs w:val="18"/>
              </w:rPr>
            </w:pPr>
            <w:r w:rsidRPr="003B5DE1">
              <w:rPr>
                <w:sz w:val="18"/>
                <w:szCs w:val="18"/>
              </w:rPr>
              <w:t>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870A2ED" w14:textId="77777777" w:rsidR="003B5DE1" w:rsidRPr="003B5DE1" w:rsidRDefault="003B5DE1" w:rsidP="003B5DE1">
            <w:pPr>
              <w:pStyle w:val="NormalWeb"/>
              <w:jc w:val="center"/>
              <w:rPr>
                <w:sz w:val="18"/>
                <w:szCs w:val="18"/>
              </w:rPr>
            </w:pPr>
            <w:r w:rsidRPr="003B5DE1">
              <w:rPr>
                <w:sz w:val="18"/>
                <w:szCs w:val="18"/>
              </w:rPr>
              <w:t>0.0%</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4273684" w14:textId="77777777" w:rsidR="003B5DE1" w:rsidRPr="003B5DE1" w:rsidRDefault="003B5DE1" w:rsidP="003B5DE1">
            <w:pPr>
              <w:pStyle w:val="NormalWeb"/>
              <w:jc w:val="center"/>
              <w:rPr>
                <w:sz w:val="18"/>
                <w:szCs w:val="18"/>
              </w:rPr>
            </w:pPr>
            <w:r w:rsidRPr="003B5DE1">
              <w:rPr>
                <w:sz w:val="18"/>
                <w:szCs w:val="18"/>
              </w:rPr>
              <w:t>2</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F632650" w14:textId="77777777" w:rsidR="003B5DE1" w:rsidRPr="003B5DE1" w:rsidRDefault="003B5DE1" w:rsidP="003B5DE1">
            <w:pPr>
              <w:pStyle w:val="NormalWeb"/>
              <w:jc w:val="center"/>
              <w:rPr>
                <w:sz w:val="18"/>
                <w:szCs w:val="18"/>
              </w:rPr>
            </w:pPr>
            <w:r w:rsidRPr="003B5DE1">
              <w:rPr>
                <w:sz w:val="18"/>
                <w:szCs w:val="18"/>
              </w:rPr>
              <w:t>3.1%</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9C1CC63" w14:textId="77777777" w:rsidR="003B5DE1" w:rsidRPr="003B5DE1" w:rsidRDefault="003B5DE1" w:rsidP="003B5DE1">
            <w:pPr>
              <w:pStyle w:val="NormalWeb"/>
              <w:jc w:val="center"/>
              <w:rPr>
                <w:sz w:val="18"/>
                <w:szCs w:val="18"/>
              </w:rPr>
            </w:pPr>
            <w:r w:rsidRPr="003B5DE1">
              <w:rPr>
                <w:sz w:val="18"/>
                <w:szCs w:val="18"/>
              </w:rPr>
              <w:t>11</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ACADF96" w14:textId="77777777" w:rsidR="003B5DE1" w:rsidRPr="003B5DE1" w:rsidRDefault="003B5DE1" w:rsidP="003B5DE1">
            <w:pPr>
              <w:pStyle w:val="NormalWeb"/>
              <w:jc w:val="center"/>
              <w:rPr>
                <w:sz w:val="18"/>
                <w:szCs w:val="18"/>
              </w:rPr>
            </w:pPr>
            <w:r w:rsidRPr="003B5DE1">
              <w:rPr>
                <w:sz w:val="18"/>
                <w:szCs w:val="18"/>
              </w:rPr>
              <w:t>16.9%</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3F04D5E" w14:textId="77777777" w:rsidR="003B5DE1" w:rsidRPr="003B5DE1" w:rsidRDefault="003B5DE1" w:rsidP="003B5DE1">
            <w:pPr>
              <w:pStyle w:val="NormalWeb"/>
              <w:jc w:val="center"/>
              <w:rPr>
                <w:sz w:val="18"/>
                <w:szCs w:val="18"/>
              </w:rPr>
            </w:pPr>
            <w:r w:rsidRPr="003B5DE1">
              <w:rPr>
                <w:sz w:val="18"/>
                <w:szCs w:val="18"/>
              </w:rPr>
              <w:t>52</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D4DAC0" w14:textId="77777777" w:rsidR="003B5DE1" w:rsidRPr="003B5DE1" w:rsidRDefault="003B5DE1" w:rsidP="003B5DE1">
            <w:pPr>
              <w:pStyle w:val="NormalWeb"/>
              <w:jc w:val="center"/>
              <w:rPr>
                <w:sz w:val="18"/>
                <w:szCs w:val="18"/>
              </w:rPr>
            </w:pPr>
            <w:r w:rsidRPr="003B5DE1">
              <w:rPr>
                <w:sz w:val="18"/>
                <w:szCs w:val="18"/>
              </w:rPr>
              <w:t>80.0%</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4D8DC28" w14:textId="77777777" w:rsidR="003B5DE1" w:rsidRPr="003B5DE1" w:rsidRDefault="003B5DE1" w:rsidP="003B5DE1">
            <w:pPr>
              <w:pStyle w:val="NormalWeb"/>
              <w:jc w:val="center"/>
              <w:rPr>
                <w:sz w:val="18"/>
                <w:szCs w:val="18"/>
              </w:rPr>
            </w:pPr>
            <w:r w:rsidRPr="003B5DE1">
              <w:rPr>
                <w:sz w:val="18"/>
                <w:szCs w:val="18"/>
              </w:rPr>
              <w:t>0</w:t>
            </w:r>
          </w:p>
        </w:tc>
        <w:tc>
          <w:tcPr>
            <w:tcW w:w="6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E82AD4B" w14:textId="77777777" w:rsidR="003B5DE1" w:rsidRPr="003B5DE1" w:rsidRDefault="003B5DE1" w:rsidP="003B5DE1">
            <w:pPr>
              <w:pStyle w:val="NormalWeb"/>
              <w:jc w:val="center"/>
              <w:rPr>
                <w:sz w:val="18"/>
                <w:szCs w:val="18"/>
              </w:rPr>
            </w:pPr>
            <w:r w:rsidRPr="003B5DE1">
              <w:rPr>
                <w:sz w:val="18"/>
                <w:szCs w:val="18"/>
              </w:rPr>
              <w:t>0.0%</w:t>
            </w:r>
          </w:p>
        </w:tc>
      </w:tr>
      <w:tr w:rsidR="003B5DE1" w:rsidRPr="003B5DE1" w14:paraId="7ED3930B" w14:textId="77777777" w:rsidTr="003F3890">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6A47824" w14:textId="77777777" w:rsidR="003B5DE1" w:rsidRPr="003B5DE1" w:rsidRDefault="003B5DE1" w:rsidP="003B5DE1">
            <w:pPr>
              <w:pStyle w:val="NormalWeb"/>
              <w:rPr>
                <w:sz w:val="18"/>
                <w:szCs w:val="18"/>
              </w:rPr>
            </w:pPr>
            <w:r w:rsidRPr="003B5DE1">
              <w:rPr>
                <w:sz w:val="18"/>
                <w:szCs w:val="18"/>
              </w:rPr>
              <w:lastRenderedPageBreak/>
              <w:t>6 months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EA1CB01" w14:textId="77777777" w:rsidR="003B5DE1" w:rsidRPr="003B5DE1" w:rsidRDefault="003B5DE1" w:rsidP="003B5DE1">
            <w:pPr>
              <w:pStyle w:val="NormalWeb"/>
              <w:jc w:val="center"/>
              <w:rPr>
                <w:sz w:val="18"/>
                <w:szCs w:val="18"/>
              </w:rPr>
            </w:pPr>
            <w:r w:rsidRPr="003B5DE1">
              <w:rPr>
                <w:sz w:val="18"/>
                <w:szCs w:val="18"/>
              </w:rPr>
              <w:t>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FF5BB9B" w14:textId="77777777" w:rsidR="003B5DE1" w:rsidRPr="003B5DE1" w:rsidRDefault="003B5DE1" w:rsidP="003B5DE1">
            <w:pPr>
              <w:pStyle w:val="NormalWeb"/>
              <w:jc w:val="center"/>
              <w:rPr>
                <w:sz w:val="18"/>
                <w:szCs w:val="18"/>
              </w:rPr>
            </w:pPr>
            <w:r w:rsidRPr="003B5DE1">
              <w:rPr>
                <w:sz w:val="18"/>
                <w:szCs w:val="18"/>
              </w:rPr>
              <w:t>7.8%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2B05C4" w14:textId="77777777" w:rsidR="003B5DE1" w:rsidRPr="003B5DE1" w:rsidRDefault="003B5DE1" w:rsidP="003B5DE1">
            <w:pPr>
              <w:pStyle w:val="NormalWeb"/>
              <w:jc w:val="center"/>
              <w:rPr>
                <w:sz w:val="18"/>
                <w:szCs w:val="18"/>
              </w:rPr>
            </w:pPr>
            <w:r w:rsidRPr="003B5DE1">
              <w:rPr>
                <w:sz w:val="18"/>
                <w:szCs w:val="18"/>
              </w:rPr>
              <w:t>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A8935F4" w14:textId="77777777" w:rsidR="003B5DE1" w:rsidRPr="003B5DE1" w:rsidRDefault="003B5DE1" w:rsidP="003B5DE1">
            <w:pPr>
              <w:pStyle w:val="NormalWeb"/>
              <w:jc w:val="center"/>
              <w:rPr>
                <w:sz w:val="18"/>
                <w:szCs w:val="18"/>
              </w:rPr>
            </w:pPr>
            <w:r w:rsidRPr="003B5DE1">
              <w:rPr>
                <w:sz w:val="18"/>
                <w:szCs w:val="18"/>
              </w:rPr>
              <w:t>12.5%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CE78DF6" w14:textId="77777777" w:rsidR="003B5DE1" w:rsidRPr="003B5DE1" w:rsidRDefault="003B5DE1" w:rsidP="003B5DE1">
            <w:pPr>
              <w:pStyle w:val="NormalWeb"/>
              <w:jc w:val="center"/>
              <w:rPr>
                <w:sz w:val="18"/>
                <w:szCs w:val="18"/>
              </w:rPr>
            </w:pPr>
            <w:r w:rsidRPr="003B5DE1">
              <w:rPr>
                <w:sz w:val="18"/>
                <w:szCs w:val="18"/>
              </w:rPr>
              <w:t>51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A3DD24E" w14:textId="77777777" w:rsidR="003B5DE1" w:rsidRPr="003B5DE1" w:rsidRDefault="003B5DE1" w:rsidP="003B5DE1">
            <w:pPr>
              <w:pStyle w:val="NormalWeb"/>
              <w:jc w:val="center"/>
              <w:rPr>
                <w:sz w:val="18"/>
                <w:szCs w:val="18"/>
              </w:rPr>
            </w:pPr>
            <w:r w:rsidRPr="003B5DE1">
              <w:rPr>
                <w:sz w:val="18"/>
                <w:szCs w:val="18"/>
              </w:rPr>
              <w:t>79.7%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0BA0687" w14:textId="77777777" w:rsidR="003B5DE1" w:rsidRPr="003B5DE1" w:rsidRDefault="003B5DE1" w:rsidP="003B5DE1">
            <w:pPr>
              <w:pStyle w:val="NormalWeb"/>
              <w:jc w:val="center"/>
              <w:rPr>
                <w:sz w:val="18"/>
                <w:szCs w:val="18"/>
              </w:rPr>
            </w:pPr>
            <w:r w:rsidRPr="003B5DE1">
              <w:rPr>
                <w:sz w:val="18"/>
                <w:szCs w:val="18"/>
              </w:rPr>
              <w:t>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B993D2F" w14:textId="77777777" w:rsidR="003B5DE1" w:rsidRPr="003B5DE1" w:rsidRDefault="003B5DE1" w:rsidP="003B5DE1">
            <w:pPr>
              <w:pStyle w:val="NormalWeb"/>
              <w:jc w:val="center"/>
              <w:rPr>
                <w:sz w:val="18"/>
                <w:szCs w:val="18"/>
              </w:rPr>
            </w:pPr>
            <w:r w:rsidRPr="003B5DE1">
              <w:rPr>
                <w:sz w:val="18"/>
                <w:szCs w:val="18"/>
              </w:rPr>
              <w:t>0.0%</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0CD3399" w14:textId="77777777" w:rsidR="003B5DE1" w:rsidRPr="003B5DE1" w:rsidRDefault="003B5DE1" w:rsidP="003B5DE1">
            <w:pPr>
              <w:pStyle w:val="NormalWeb"/>
              <w:jc w:val="center"/>
              <w:rPr>
                <w:sz w:val="18"/>
                <w:szCs w:val="18"/>
              </w:rPr>
            </w:pPr>
            <w:r w:rsidRPr="003B5DE1">
              <w:rPr>
                <w:sz w:val="18"/>
                <w:szCs w:val="18"/>
              </w:rPr>
              <w:t>9</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B417AC8" w14:textId="77777777" w:rsidR="003B5DE1" w:rsidRPr="003B5DE1" w:rsidRDefault="003B5DE1" w:rsidP="003B5DE1">
            <w:pPr>
              <w:pStyle w:val="NormalWeb"/>
              <w:jc w:val="center"/>
              <w:rPr>
                <w:sz w:val="18"/>
                <w:szCs w:val="18"/>
              </w:rPr>
            </w:pPr>
            <w:r w:rsidRPr="003B5DE1">
              <w:rPr>
                <w:sz w:val="18"/>
                <w:szCs w:val="18"/>
              </w:rPr>
              <w:t>13.8%</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A100A6B" w14:textId="77777777" w:rsidR="003B5DE1" w:rsidRPr="003B5DE1" w:rsidRDefault="003B5DE1" w:rsidP="003B5DE1">
            <w:pPr>
              <w:pStyle w:val="NormalWeb"/>
              <w:jc w:val="center"/>
              <w:rPr>
                <w:sz w:val="18"/>
                <w:szCs w:val="18"/>
              </w:rPr>
            </w:pPr>
            <w:r w:rsidRPr="003B5DE1">
              <w:rPr>
                <w:sz w:val="18"/>
                <w:szCs w:val="18"/>
              </w:rPr>
              <w:t>15</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46C9AD1" w14:textId="77777777" w:rsidR="003B5DE1" w:rsidRPr="003B5DE1" w:rsidRDefault="003B5DE1" w:rsidP="003B5DE1">
            <w:pPr>
              <w:pStyle w:val="NormalWeb"/>
              <w:jc w:val="center"/>
              <w:rPr>
                <w:sz w:val="18"/>
                <w:szCs w:val="18"/>
              </w:rPr>
            </w:pPr>
            <w:r w:rsidRPr="003B5DE1">
              <w:rPr>
                <w:sz w:val="18"/>
                <w:szCs w:val="18"/>
              </w:rPr>
              <w:t>23.1%</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57C05A3" w14:textId="77777777" w:rsidR="003B5DE1" w:rsidRPr="003B5DE1" w:rsidRDefault="003B5DE1" w:rsidP="003B5DE1">
            <w:pPr>
              <w:pStyle w:val="NormalWeb"/>
              <w:jc w:val="center"/>
              <w:rPr>
                <w:sz w:val="18"/>
                <w:szCs w:val="18"/>
              </w:rPr>
            </w:pPr>
            <w:r w:rsidRPr="003B5DE1">
              <w:rPr>
                <w:sz w:val="18"/>
                <w:szCs w:val="18"/>
              </w:rPr>
              <w:t>39</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1F12385" w14:textId="77777777" w:rsidR="003B5DE1" w:rsidRPr="003B5DE1" w:rsidRDefault="003B5DE1" w:rsidP="003B5DE1">
            <w:pPr>
              <w:pStyle w:val="NormalWeb"/>
              <w:jc w:val="center"/>
              <w:rPr>
                <w:sz w:val="18"/>
                <w:szCs w:val="18"/>
              </w:rPr>
            </w:pPr>
            <w:r w:rsidRPr="003B5DE1">
              <w:rPr>
                <w:sz w:val="18"/>
                <w:szCs w:val="18"/>
              </w:rPr>
              <w:t>60.0%</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AEC6EF8" w14:textId="77777777" w:rsidR="003B5DE1" w:rsidRPr="003B5DE1" w:rsidRDefault="003B5DE1" w:rsidP="003B5DE1">
            <w:pPr>
              <w:pStyle w:val="NormalWeb"/>
              <w:jc w:val="center"/>
              <w:rPr>
                <w:sz w:val="18"/>
                <w:szCs w:val="18"/>
              </w:rPr>
            </w:pPr>
            <w:r w:rsidRPr="003B5DE1">
              <w:rPr>
                <w:sz w:val="18"/>
                <w:szCs w:val="18"/>
              </w:rPr>
              <w:t>2</w:t>
            </w:r>
          </w:p>
        </w:tc>
        <w:tc>
          <w:tcPr>
            <w:tcW w:w="6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B6A0F24" w14:textId="77777777" w:rsidR="003B5DE1" w:rsidRPr="003B5DE1" w:rsidRDefault="003B5DE1" w:rsidP="003B5DE1">
            <w:pPr>
              <w:pStyle w:val="NormalWeb"/>
              <w:jc w:val="center"/>
              <w:rPr>
                <w:sz w:val="18"/>
                <w:szCs w:val="18"/>
              </w:rPr>
            </w:pPr>
            <w:r w:rsidRPr="003B5DE1">
              <w:rPr>
                <w:sz w:val="18"/>
                <w:szCs w:val="18"/>
              </w:rPr>
              <w:t>3.1%</w:t>
            </w:r>
          </w:p>
        </w:tc>
      </w:tr>
      <w:tr w:rsidR="003B5DE1" w:rsidRPr="003B5DE1" w14:paraId="228C534A" w14:textId="77777777" w:rsidTr="003F3890">
        <w:tblPrEx>
          <w:tblCellMar>
            <w:top w:w="57" w:type="dxa"/>
            <w:left w:w="57" w:type="dxa"/>
            <w:bottom w:w="57" w:type="dxa"/>
            <w:right w:w="57" w:type="dxa"/>
          </w:tblCellMar>
        </w:tblPrEx>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5BD0B54" w14:textId="77777777" w:rsidR="003B5DE1" w:rsidRPr="003B5DE1" w:rsidRDefault="003B5DE1" w:rsidP="003B5DE1">
            <w:pPr>
              <w:pStyle w:val="NormalWeb"/>
              <w:rPr>
                <w:sz w:val="18"/>
                <w:szCs w:val="18"/>
              </w:rPr>
            </w:pPr>
            <w:r w:rsidRPr="003B5DE1">
              <w:rPr>
                <w:sz w:val="18"/>
                <w:szCs w:val="18"/>
              </w:rPr>
              <w:t>6 months + 2 weeks</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685296" w14:textId="77777777" w:rsidR="003B5DE1" w:rsidRPr="003B5DE1" w:rsidRDefault="003B5DE1" w:rsidP="003B5DE1">
            <w:pPr>
              <w:pStyle w:val="NormalWeb"/>
              <w:jc w:val="center"/>
              <w:rPr>
                <w:sz w:val="18"/>
                <w:szCs w:val="18"/>
              </w:rPr>
            </w:pPr>
            <w:r w:rsidRPr="003B5DE1">
              <w:rPr>
                <w:sz w:val="18"/>
                <w:szCs w:val="18"/>
              </w:rPr>
              <w:t>21</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D34F965" w14:textId="77777777" w:rsidR="003B5DE1" w:rsidRPr="003B5DE1" w:rsidRDefault="003B5DE1" w:rsidP="003B5DE1">
            <w:pPr>
              <w:pStyle w:val="NormalWeb"/>
              <w:jc w:val="center"/>
              <w:rPr>
                <w:sz w:val="18"/>
                <w:szCs w:val="18"/>
              </w:rPr>
            </w:pPr>
            <w:r w:rsidRPr="003B5DE1">
              <w:rPr>
                <w:sz w:val="18"/>
                <w:szCs w:val="18"/>
              </w:rPr>
              <w:t>32.8%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50544F" w14:textId="77777777" w:rsidR="003B5DE1" w:rsidRPr="003B5DE1" w:rsidRDefault="003B5DE1" w:rsidP="003B5DE1">
            <w:pPr>
              <w:pStyle w:val="NormalWeb"/>
              <w:jc w:val="center"/>
              <w:rPr>
                <w:sz w:val="18"/>
                <w:szCs w:val="18"/>
              </w:rPr>
            </w:pPr>
            <w:r w:rsidRPr="003B5DE1">
              <w:rPr>
                <w:sz w:val="18"/>
                <w:szCs w:val="18"/>
              </w:rPr>
              <w:t>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8BF3284" w14:textId="77777777" w:rsidR="003B5DE1" w:rsidRPr="003B5DE1" w:rsidRDefault="003B5DE1" w:rsidP="003B5DE1">
            <w:pPr>
              <w:pStyle w:val="NormalWeb"/>
              <w:jc w:val="center"/>
              <w:rPr>
                <w:sz w:val="18"/>
                <w:szCs w:val="18"/>
              </w:rPr>
            </w:pPr>
            <w:r w:rsidRPr="003B5DE1">
              <w:rPr>
                <w:sz w:val="18"/>
                <w:szCs w:val="18"/>
              </w:rPr>
              <w:t>4.7%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A01C74C" w14:textId="77777777" w:rsidR="003B5DE1" w:rsidRPr="003B5DE1" w:rsidRDefault="003B5DE1" w:rsidP="003B5DE1">
            <w:pPr>
              <w:pStyle w:val="NormalWeb"/>
              <w:jc w:val="center"/>
              <w:rPr>
                <w:sz w:val="18"/>
                <w:szCs w:val="18"/>
              </w:rPr>
            </w:pPr>
            <w:r w:rsidRPr="003B5DE1">
              <w:rPr>
                <w:sz w:val="18"/>
                <w:szCs w:val="18"/>
              </w:rPr>
              <w:t>35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47842D" w14:textId="77777777" w:rsidR="003B5DE1" w:rsidRPr="003B5DE1" w:rsidRDefault="003B5DE1" w:rsidP="003B5DE1">
            <w:pPr>
              <w:pStyle w:val="NormalWeb"/>
              <w:jc w:val="center"/>
              <w:rPr>
                <w:sz w:val="18"/>
                <w:szCs w:val="18"/>
              </w:rPr>
            </w:pPr>
            <w:r w:rsidRPr="003B5DE1">
              <w:rPr>
                <w:sz w:val="18"/>
                <w:szCs w:val="18"/>
              </w:rPr>
              <w:t>54.7%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FA69CD2" w14:textId="77777777" w:rsidR="003B5DE1" w:rsidRPr="003B5DE1" w:rsidRDefault="003B5DE1" w:rsidP="003B5DE1">
            <w:pPr>
              <w:pStyle w:val="NormalWeb"/>
              <w:jc w:val="center"/>
              <w:rPr>
                <w:sz w:val="18"/>
                <w:szCs w:val="18"/>
              </w:rPr>
            </w:pPr>
            <w:r w:rsidRPr="003B5DE1">
              <w:rPr>
                <w:sz w:val="18"/>
                <w:szCs w:val="18"/>
              </w:rPr>
              <w:t>5</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5DB027A" w14:textId="77777777" w:rsidR="003B5DE1" w:rsidRPr="003B5DE1" w:rsidRDefault="003B5DE1" w:rsidP="003B5DE1">
            <w:pPr>
              <w:pStyle w:val="NormalWeb"/>
              <w:jc w:val="center"/>
              <w:rPr>
                <w:sz w:val="18"/>
                <w:szCs w:val="18"/>
              </w:rPr>
            </w:pPr>
            <w:r w:rsidRPr="003B5DE1">
              <w:rPr>
                <w:sz w:val="18"/>
                <w:szCs w:val="18"/>
              </w:rPr>
              <w:t>7.8%</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DFAC22A" w14:textId="77777777" w:rsidR="003B5DE1" w:rsidRPr="003B5DE1" w:rsidRDefault="003B5DE1" w:rsidP="003B5DE1">
            <w:pPr>
              <w:pStyle w:val="NormalWeb"/>
              <w:jc w:val="center"/>
              <w:rPr>
                <w:sz w:val="18"/>
                <w:szCs w:val="18"/>
              </w:rPr>
            </w:pPr>
            <w:r w:rsidRPr="003B5DE1">
              <w:rPr>
                <w:sz w:val="18"/>
                <w:szCs w:val="18"/>
              </w:rPr>
              <w:t>34</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7F76F71" w14:textId="77777777" w:rsidR="003B5DE1" w:rsidRPr="003B5DE1" w:rsidRDefault="003B5DE1" w:rsidP="003B5DE1">
            <w:pPr>
              <w:pStyle w:val="NormalWeb"/>
              <w:jc w:val="center"/>
              <w:rPr>
                <w:sz w:val="18"/>
                <w:szCs w:val="18"/>
              </w:rPr>
            </w:pPr>
            <w:r w:rsidRPr="003B5DE1">
              <w:rPr>
                <w:sz w:val="18"/>
                <w:szCs w:val="18"/>
              </w:rPr>
              <w:t>52.3%</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A7B2602" w14:textId="77777777" w:rsidR="003B5DE1" w:rsidRPr="003B5DE1" w:rsidRDefault="003B5DE1" w:rsidP="003B5DE1">
            <w:pPr>
              <w:pStyle w:val="NormalWeb"/>
              <w:jc w:val="center"/>
              <w:rPr>
                <w:sz w:val="18"/>
                <w:szCs w:val="18"/>
              </w:rPr>
            </w:pPr>
            <w:r w:rsidRPr="003B5DE1">
              <w:rPr>
                <w:sz w:val="18"/>
                <w:szCs w:val="18"/>
              </w:rPr>
              <w:t>14</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16DDA0C" w14:textId="77777777" w:rsidR="003B5DE1" w:rsidRPr="003B5DE1" w:rsidRDefault="003B5DE1" w:rsidP="003B5DE1">
            <w:pPr>
              <w:pStyle w:val="NormalWeb"/>
              <w:jc w:val="center"/>
              <w:rPr>
                <w:sz w:val="18"/>
                <w:szCs w:val="18"/>
              </w:rPr>
            </w:pPr>
            <w:r w:rsidRPr="003B5DE1">
              <w:rPr>
                <w:sz w:val="18"/>
                <w:szCs w:val="18"/>
              </w:rPr>
              <w:t>21.5%</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E529E20" w14:textId="77777777" w:rsidR="003B5DE1" w:rsidRPr="003B5DE1" w:rsidRDefault="003B5DE1" w:rsidP="003B5DE1">
            <w:pPr>
              <w:pStyle w:val="NormalWeb"/>
              <w:jc w:val="center"/>
              <w:rPr>
                <w:sz w:val="18"/>
                <w:szCs w:val="18"/>
              </w:rPr>
            </w:pPr>
            <w:r w:rsidRPr="003B5DE1">
              <w:rPr>
                <w:sz w:val="18"/>
                <w:szCs w:val="18"/>
              </w:rPr>
              <w:t>6</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289326D" w14:textId="77777777" w:rsidR="003B5DE1" w:rsidRPr="003B5DE1" w:rsidRDefault="003B5DE1" w:rsidP="003B5DE1">
            <w:pPr>
              <w:pStyle w:val="NormalWeb"/>
              <w:jc w:val="center"/>
              <w:rPr>
                <w:sz w:val="18"/>
                <w:szCs w:val="18"/>
              </w:rPr>
            </w:pPr>
            <w:r w:rsidRPr="003B5DE1">
              <w:rPr>
                <w:sz w:val="18"/>
                <w:szCs w:val="18"/>
              </w:rPr>
              <w:t>9.2%</w:t>
            </w:r>
          </w:p>
        </w:tc>
        <w:tc>
          <w:tcPr>
            <w:tcW w:w="6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4606E45" w14:textId="77777777" w:rsidR="003B5DE1" w:rsidRPr="003B5DE1" w:rsidRDefault="003B5DE1" w:rsidP="003B5DE1">
            <w:pPr>
              <w:pStyle w:val="NormalWeb"/>
              <w:jc w:val="center"/>
              <w:rPr>
                <w:sz w:val="18"/>
                <w:szCs w:val="18"/>
              </w:rPr>
            </w:pPr>
            <w:r w:rsidRPr="003B5DE1">
              <w:rPr>
                <w:sz w:val="18"/>
                <w:szCs w:val="18"/>
              </w:rPr>
              <w:t>11</w:t>
            </w:r>
          </w:p>
        </w:tc>
        <w:tc>
          <w:tcPr>
            <w:tcW w:w="6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2730B7B" w14:textId="77777777" w:rsidR="003B5DE1" w:rsidRPr="003B5DE1" w:rsidRDefault="003B5DE1" w:rsidP="003B5DE1">
            <w:pPr>
              <w:pStyle w:val="NormalWeb"/>
              <w:jc w:val="center"/>
              <w:rPr>
                <w:sz w:val="18"/>
                <w:szCs w:val="18"/>
              </w:rPr>
            </w:pPr>
            <w:r w:rsidRPr="003B5DE1">
              <w:rPr>
                <w:sz w:val="18"/>
                <w:szCs w:val="18"/>
              </w:rPr>
              <w:t>16.9%</w:t>
            </w:r>
          </w:p>
        </w:tc>
      </w:tr>
    </w:tbl>
    <w:p w14:paraId="7C63FD0B" w14:textId="77777777" w:rsidR="003B5DE1" w:rsidRPr="008C59A4" w:rsidRDefault="003B5DE1" w:rsidP="008C59A4">
      <w:pPr>
        <w:pStyle w:val="CDIfootnotes"/>
      </w:pPr>
      <w:r w:rsidRPr="008C59A4">
        <w:t>a</w:t>
      </w:r>
      <w:r w:rsidRPr="008C59A4">
        <w:tab/>
        <w:t>Yes: infant has been vaccinated.</w:t>
      </w:r>
    </w:p>
    <w:p w14:paraId="22EF93EC" w14:textId="77777777" w:rsidR="003B5DE1" w:rsidRPr="008C59A4" w:rsidRDefault="003B5DE1" w:rsidP="008C59A4">
      <w:pPr>
        <w:pStyle w:val="CDIfootnotes"/>
      </w:pPr>
      <w:r w:rsidRPr="008C59A4">
        <w:t>b</w:t>
      </w:r>
      <w:r w:rsidRPr="008C59A4">
        <w:tab/>
        <w:t>No: infant has not been vaccinated.</w:t>
      </w:r>
    </w:p>
    <w:p w14:paraId="5C0A8133" w14:textId="77777777" w:rsidR="003B5DE1" w:rsidRPr="008C59A4" w:rsidRDefault="003B5DE1" w:rsidP="008C59A4">
      <w:pPr>
        <w:pStyle w:val="CDIfootnotes"/>
      </w:pPr>
      <w:r w:rsidRPr="008C59A4">
        <w:t>c</w:t>
      </w:r>
      <w:r w:rsidRPr="008C59A4">
        <w:tab/>
        <w:t>Not required: SMS not required as it was known the infant had been vaccinated.</w:t>
      </w:r>
    </w:p>
    <w:p w14:paraId="6150DB94" w14:textId="6CBD0DF3" w:rsidR="00D92B14" w:rsidRPr="008C59A4" w:rsidRDefault="00D92B14" w:rsidP="008C59A4">
      <w:pPr>
        <w:pStyle w:val="Heading1"/>
      </w:pPr>
      <w:r w:rsidRPr="008C59A4">
        <w:t xml:space="preserve">Discussion and conclusions </w:t>
      </w:r>
    </w:p>
    <w:p w14:paraId="7604B985" w14:textId="77777777" w:rsidR="00D92B14" w:rsidRDefault="00D92B14" w:rsidP="001042D7">
      <w:r>
        <w:t xml:space="preserve">We examined the effectiveness of two forms of SMS reminders in improving the uptake and timeliness of immunisation in infants up to seven months of age in South East Queensland. At each milestone, infants in the ESMS±S group had higher coverage than infants in the simple SMS and control groups, with coverage of 92.4%, 95.5% and 83.1% at three, five and seven months of age. There were no significant differences between the simple SMS and controls at any timepoint. The need for additional support was most common, and accounted for the greatest differences in groups, at the seven-month timepoint. </w:t>
      </w:r>
    </w:p>
    <w:p w14:paraId="2E4E0DB7" w14:textId="77777777" w:rsidR="00D92B14" w:rsidRDefault="00D92B14" w:rsidP="001042D7">
      <w:r>
        <w:t>Our findings are consistent with systematic reviews indicating SMS reminder systems can improve vaccine coverage and timeliness; however, effectiveness varies.</w:t>
      </w:r>
      <w:r>
        <w:rPr>
          <w:vertAlign w:val="superscript"/>
        </w:rPr>
        <w:t>11–13</w:t>
      </w:r>
      <w:r>
        <w:t xml:space="preserve"> These reviews also demonstrate that discrepancies persist, including when financial incentives are used. An Australian study of 1,594 infants and children (3.4% First Nations) born between November 2013 and November 2015 in New South Wales and South Australia</w:t>
      </w:r>
      <w:r>
        <w:rPr>
          <w:vertAlign w:val="superscript"/>
        </w:rPr>
        <w:t>14</w:t>
      </w:r>
      <w:r>
        <w:t xml:space="preserve"> found small improvements in timeliness only at the 12-month timepoint in children who received an SMS reminder alone (RR: 1.09; 95% CI: 1.01–1.18) or in combination with a personalised calendar (RR: 1.11; 95% CI: 1.03–1.20), and only in children who had a history of previous late doses. A high rate of on-time vaccination was observed amongst control participants in the New South Wales / South Australia study, thought to be related to the introduction of the Australian “No Jab No Pay” policy.</w:t>
      </w:r>
      <w:r>
        <w:rPr>
          <w:vertAlign w:val="superscript"/>
        </w:rPr>
        <w:t>14</w:t>
      </w:r>
      <w:r>
        <w:t xml:space="preserve"> </w:t>
      </w:r>
    </w:p>
    <w:p w14:paraId="0370FCA0" w14:textId="77777777" w:rsidR="00D92B14" w:rsidRDefault="00D92B14" w:rsidP="001042D7">
      <w:r>
        <w:t>There were no significant differences in our study between the control and simple SMS groups, suggesting additional measures are needed beyond basic SMS reminders to reach desired immunisation timeliness targets. Financial incentives have been effective,</w:t>
      </w:r>
      <w:r>
        <w:rPr>
          <w:vertAlign w:val="superscript"/>
        </w:rPr>
        <w:t>15</w:t>
      </w:r>
      <w:r>
        <w:t xml:space="preserve"> but the incremental gains above SMS only are modest. A recent commentary suggested the impact of educational or provoking measures should be further explored,</w:t>
      </w:r>
      <w:r>
        <w:rPr>
          <w:vertAlign w:val="superscript"/>
        </w:rPr>
        <w:t>16</w:t>
      </w:r>
      <w:r>
        <w:t xml:space="preserve"> and our findings support that call. We opted for an educational message based on a health belief model,</w:t>
      </w:r>
      <w:r>
        <w:rPr>
          <w:vertAlign w:val="superscript"/>
        </w:rPr>
        <w:t>17</w:t>
      </w:r>
      <w:r>
        <w:t xml:space="preserve"> which uses concepts of risk to influence behaviour. Additionally, in the ESMS±S group,</w:t>
      </w:r>
      <w:r>
        <w:rPr>
          <w:rStyle w:val="Strong"/>
        </w:rPr>
        <w:t xml:space="preserve"> </w:t>
      </w:r>
      <w:r>
        <w:t xml:space="preserve">those not vaccinated within two weeks of the due date were </w:t>
      </w:r>
      <w:proofErr w:type="gramStart"/>
      <w:r>
        <w:t>offered assistance</w:t>
      </w:r>
      <w:proofErr w:type="gramEnd"/>
      <w:r>
        <w:t xml:space="preserve">. </w:t>
      </w:r>
    </w:p>
    <w:p w14:paraId="2098431E" w14:textId="77777777" w:rsidR="00D92B14" w:rsidRDefault="00D92B14" w:rsidP="001042D7">
      <w:r>
        <w:t>Immunisation delay is most marked at the six-month milestone in this and other studies,</w:t>
      </w:r>
      <w:r>
        <w:rPr>
          <w:vertAlign w:val="superscript"/>
        </w:rPr>
        <w:t>2,</w:t>
      </w:r>
      <w:proofErr w:type="gramStart"/>
      <w:r>
        <w:rPr>
          <w:vertAlign w:val="superscript"/>
        </w:rPr>
        <w:t>6</w:t>
      </w:r>
      <w:proofErr w:type="gramEnd"/>
      <w:r>
        <w:t xml:space="preserve"> and the educational SMS had no additional effect over a simple SMS or no intervention at that timepoint in our study. The difference was due to the additional assistance. Delays at this timepoint potentially reflect additional barriers to timely vaccination, such as mothers returning to work; </w:t>
      </w:r>
      <w:proofErr w:type="gramStart"/>
      <w:r>
        <w:t>however</w:t>
      </w:r>
      <w:proofErr w:type="gramEnd"/>
      <w:r>
        <w:t xml:space="preserve"> there are a lack of studies that address this in detail. Studies in New South Wales and Western Australia</w:t>
      </w:r>
      <w:r>
        <w:rPr>
          <w:vertAlign w:val="superscript"/>
        </w:rPr>
        <w:t>2,18</w:t>
      </w:r>
      <w:r>
        <w:t xml:space="preserve"> found predictors of delayed vaccination included: three or more previous pregnancies; young maternal age; prematurity; maternal smoking during pregnancy; and being an Aboriginal infant born in Western Australia. This was </w:t>
      </w:r>
      <w:proofErr w:type="gramStart"/>
      <w:r>
        <w:t>similar to</w:t>
      </w:r>
      <w:proofErr w:type="gramEnd"/>
      <w:r>
        <w:t xml:space="preserve"> our previous study of infants in Caboolture,</w:t>
      </w:r>
      <w:r>
        <w:rPr>
          <w:vertAlign w:val="superscript"/>
        </w:rPr>
        <w:t>6</w:t>
      </w:r>
      <w:r>
        <w:t xml:space="preserve"> in which unemployed mothers, families with three or more previous children and premature birth were associated with delayed vaccination. </w:t>
      </w:r>
    </w:p>
    <w:p w14:paraId="0C53AA32" w14:textId="77777777" w:rsidR="00D92B14" w:rsidRDefault="00D92B14" w:rsidP="001042D7">
      <w:r>
        <w:lastRenderedPageBreak/>
        <w:t>Coverage in the control group was higher than in our previous study conducted during 2013–2015, which found 48% of infants with were age-appropriately immunised at seven months of age.</w:t>
      </w:r>
      <w:r>
        <w:rPr>
          <w:vertAlign w:val="superscript"/>
        </w:rPr>
        <w:t>6</w:t>
      </w:r>
      <w:r>
        <w:t xml:space="preserve"> This suggests other measures have improved timeliness since then. The most obvious would be the introduction of the federal government’s “No Jab No Pay” policy in 2016. However, coverage was still suboptimal at the seven-month timepoint in our study, the time at which many infants will enter childcare, and 48.7% of families (76/156) for whom the information was known at the seven-month timepoint did not have government benefits linked to their baby’s immunisation status. </w:t>
      </w:r>
    </w:p>
    <w:p w14:paraId="00B500E8" w14:textId="77777777" w:rsidR="00D92B14" w:rsidRDefault="00D92B14" w:rsidP="001042D7">
      <w:r>
        <w:t>As multiple messaging has implications for service providers and potentially risks alienating recipients, we collected data on SMS responses. Non-response was higher at the two-week prior and at the due date of vaccination timepoints than at two weeks post due date. The reasons for this are not immediately apparent, other than possibly more incentive to respond once the infant had been immunised. Our data suggest that more than one message is required in this cohort to facilitate timeliness, consistent with a systematic review which suggested that more than one message was more effective.</w:t>
      </w:r>
      <w:r>
        <w:rPr>
          <w:vertAlign w:val="superscript"/>
        </w:rPr>
        <w:t>13</w:t>
      </w:r>
      <w:r>
        <w:t xml:space="preserve"> Of relevance to service providers is that offers for assistance to immunise the baby, including home visits, were declined in 50% of eligible episodes, primarily because the parent/carer did not consider it necessary. We did not delve into this with participants and future studies could explore this further. Studies of home visiting for at-risk and/or disadvantaged mothers suggest multiple factors influence the decision to engage including trust; functional status; and parenting confidence.</w:t>
      </w:r>
      <w:r>
        <w:rPr>
          <w:vertAlign w:val="superscript"/>
        </w:rPr>
        <w:t>19,20</w:t>
      </w:r>
      <w:r>
        <w:t xml:space="preserve"> The quality of the relationship between the service provider and the family are important to the success of home-visiting programs.</w:t>
      </w:r>
      <w:r>
        <w:rPr>
          <w:vertAlign w:val="superscript"/>
        </w:rPr>
        <w:t>21</w:t>
      </w:r>
      <w:r>
        <w:t xml:space="preserve"> This may have been a factor in our study, in which the relationship between study staff and participants was not comparable to that with a trusted service provider. </w:t>
      </w:r>
    </w:p>
    <w:p w14:paraId="3AF0755C" w14:textId="77777777" w:rsidR="00D92B14" w:rsidRDefault="00D92B14" w:rsidP="001042D7">
      <w:r>
        <w:t xml:space="preserve">The study’s strengths are the high proportion of First Nations participants, inclusion of regional communities and assessment of an alternative message to a simple reminder SMS which is commonly used in recall systems. Messages and information addressing vaccine effectiveness, vaccine safety and disease severity that drew on key theoretical frameworks were acceptable in a small study of Australian pregnant women.22 However they were one part of a broader package of support with participants indicating more information from their midwife was wanted.23 In our study, less than half of the participants at baseline had received or sought information about infant immunisation during their pregnancy (Appendix A, Table A.1). </w:t>
      </w:r>
    </w:p>
    <w:p w14:paraId="35D3234A" w14:textId="77777777" w:rsidR="00D92B14" w:rsidRDefault="00D92B14" w:rsidP="001042D7">
      <w:r>
        <w:t xml:space="preserve">The main limitation of the study was that the target sample size was not reached, preventing detailed modelling of time to vaccination and predictive factors. The high loss to follow-up of mothers between enrolment and birth may have introduced a selection bias in that those who agreed to continue in the study may have </w:t>
      </w:r>
      <w:proofErr w:type="gramStart"/>
      <w:r>
        <w:t>been more or less</w:t>
      </w:r>
      <w:proofErr w:type="gramEnd"/>
      <w:r>
        <w:t xml:space="preserve"> likely to immunise on time than did those who did not agree to continue, and this impacts on the generalisability of our study. Further, the characteristics of mothers of infants not randomised (Appendix A, Table A.1) suggested a higher proportion of these women may be experiencing disadvantage; were more often First Nations women; and more commonly reported having three or more other children at home. As those mothers did not reconsent to continue participation in the study at the infant’s birth, we were unable to confirm the infant’s immunisation status on the AIR; such confirmation would have provided some indication of whether selection bias was present. Finally, there were some baseline differences between study groups that are difficult to explain given the randomisation process; they are likely due to the small sample size in each group. We examined the effect of these differences in regression </w:t>
      </w:r>
      <w:proofErr w:type="gramStart"/>
      <w:r>
        <w:t>models</w:t>
      </w:r>
      <w:proofErr w:type="gramEnd"/>
      <w:r>
        <w:t xml:space="preserve"> and none were independently associated with study outcomes (data not shown). </w:t>
      </w:r>
    </w:p>
    <w:p w14:paraId="7FFD9D27" w14:textId="77777777" w:rsidR="00D92B14" w:rsidRDefault="00D92B14" w:rsidP="001042D7">
      <w:r>
        <w:t xml:space="preserve">Larger studies are needed to support our findings. The high loss to follow-up needs to be addressed. Enrolling women at earlier stages in their pregnancy may have been a factor. We maintained contact with participants regularly up to birth (via SMS and/or phone and/or speaking to them at later antenatal visits); congratulations cards were sent at birth; up to six weeks were allowed after birth for the interview to be done; and interviews were scheduled at days and times that suited the participants. Amongst those who withdrew consent, the primary reason was lack of time. This study was designed </w:t>
      </w:r>
      <w:proofErr w:type="gramStart"/>
      <w:r>
        <w:t>taking into account</w:t>
      </w:r>
      <w:proofErr w:type="gramEnd"/>
      <w:r>
        <w:t xml:space="preserve"> translation to primary care where interventions would </w:t>
      </w:r>
      <w:r>
        <w:lastRenderedPageBreak/>
        <w:t xml:space="preserve">need to be easily incorporated into existing systems and not require excessive resources. Further studies evaluating more intensive interventions would need to consider long-term feasibility. </w:t>
      </w:r>
    </w:p>
    <w:p w14:paraId="3F82E81D" w14:textId="77777777" w:rsidR="00D92B14" w:rsidRDefault="00D92B14" w:rsidP="001042D7">
      <w:r>
        <w:t>In our setting, simple SMS messaging alone is not effective in improving immunisation timeliness, even if delivered multiple times. Improving immunisation timeliness requires multi-faceted approaches, particularly amongst families most at risk of delay. Active support for parents/carers can play an important role; however, this is likely dependent on relationships with service providers.</w:t>
      </w:r>
    </w:p>
    <w:p w14:paraId="3CF6A3B7" w14:textId="77777777" w:rsidR="00BC2C53" w:rsidRDefault="00BC2C53">
      <w:pPr>
        <w:rPr>
          <w:rFonts w:asciiTheme="majorHAnsi" w:eastAsiaTheme="majorEastAsia" w:hAnsiTheme="majorHAnsi" w:cstheme="majorBidi"/>
          <w:b/>
          <w:bCs/>
          <w:sz w:val="32"/>
          <w:szCs w:val="28"/>
        </w:rPr>
      </w:pPr>
      <w:r>
        <w:br w:type="page"/>
      </w:r>
    </w:p>
    <w:p w14:paraId="1C0F7F9F" w14:textId="7D36DE2F" w:rsidR="00D92B14" w:rsidRPr="001042D7" w:rsidRDefault="00D92B14" w:rsidP="001042D7">
      <w:pPr>
        <w:pStyle w:val="Heading1"/>
      </w:pPr>
      <w:r w:rsidRPr="001042D7">
        <w:lastRenderedPageBreak/>
        <w:t xml:space="preserve">Acknowledgements </w:t>
      </w:r>
    </w:p>
    <w:p w14:paraId="199FBD7F" w14:textId="77777777" w:rsidR="00D92B14" w:rsidRDefault="00D92B14" w:rsidP="001042D7">
      <w:r>
        <w:t xml:space="preserve">We thank the staff of Caboolture Community Medical, </w:t>
      </w:r>
      <w:proofErr w:type="spellStart"/>
      <w:r>
        <w:t>Carbal</w:t>
      </w:r>
      <w:proofErr w:type="spellEnd"/>
      <w:r>
        <w:t xml:space="preserve"> Health Services, and the Caboolture and Toowoomba Hospital antenatal clinics for their support for this study. We also thank the staff of the Queensland Health Immunisation Program and Health Contact Centre for their input. This study was funded by a project grant from the Children’s Hospital Foundation Queensland.</w:t>
      </w:r>
    </w:p>
    <w:p w14:paraId="20357699" w14:textId="77777777" w:rsidR="00D92B14" w:rsidRPr="001042D7" w:rsidRDefault="00D92B14" w:rsidP="001042D7">
      <w:pPr>
        <w:pStyle w:val="Heading1"/>
      </w:pPr>
      <w:r w:rsidRPr="001042D7">
        <w:t xml:space="preserve">Author details </w:t>
      </w:r>
    </w:p>
    <w:p w14:paraId="3E138DAB" w14:textId="2A06E407" w:rsidR="00D92B14" w:rsidRDefault="00D92B14" w:rsidP="001042D7">
      <w:r>
        <w:t>A/Prof Kerry-Ann F O’Grady, Senior Research Fellow,</w:t>
      </w:r>
      <w:r>
        <w:rPr>
          <w:vertAlign w:val="superscript"/>
        </w:rPr>
        <w:t>1</w:t>
      </w:r>
      <w:r>
        <w:t xml:space="preserve"> </w:t>
      </w:r>
      <w:r w:rsidR="00D82D7B">
        <w:br/>
      </w:r>
      <w:r>
        <w:t xml:space="preserve">Ms Michelle </w:t>
      </w:r>
      <w:proofErr w:type="spellStart"/>
      <w:r>
        <w:t>Kaus</w:t>
      </w:r>
      <w:proofErr w:type="spellEnd"/>
      <w:r>
        <w:t>, Research Officer,</w:t>
      </w:r>
      <w:r>
        <w:rPr>
          <w:vertAlign w:val="superscript"/>
        </w:rPr>
        <w:t>1</w:t>
      </w:r>
      <w:r>
        <w:t xml:space="preserve"> </w:t>
      </w:r>
      <w:r w:rsidR="00D82D7B">
        <w:br/>
      </w:r>
      <w:r>
        <w:t>Ms Lee Jones, Biostatistician,</w:t>
      </w:r>
      <w:r>
        <w:rPr>
          <w:vertAlign w:val="superscript"/>
        </w:rPr>
        <w:t>1</w:t>
      </w:r>
      <w:r>
        <w:t xml:space="preserve"> </w:t>
      </w:r>
      <w:r w:rsidR="00D82D7B">
        <w:br/>
      </w:r>
      <w:r>
        <w:t>Mr Gary Boddy, Principal Program Officer,</w:t>
      </w:r>
      <w:r>
        <w:rPr>
          <w:vertAlign w:val="superscript"/>
        </w:rPr>
        <w:t>2</w:t>
      </w:r>
      <w:r>
        <w:t xml:space="preserve"> </w:t>
      </w:r>
      <w:r w:rsidR="00D82D7B">
        <w:br/>
      </w:r>
      <w:r>
        <w:t xml:space="preserve">Ms Sheree </w:t>
      </w:r>
      <w:proofErr w:type="spellStart"/>
      <w:r>
        <w:t>Rablin</w:t>
      </w:r>
      <w:proofErr w:type="spellEnd"/>
      <w:r>
        <w:t>, Research Manager,</w:t>
      </w:r>
      <w:r>
        <w:rPr>
          <w:vertAlign w:val="superscript"/>
        </w:rPr>
        <w:t>1</w:t>
      </w:r>
      <w:r>
        <w:t xml:space="preserve"> </w:t>
      </w:r>
      <w:r w:rsidR="00D82D7B">
        <w:br/>
      </w:r>
      <w:r>
        <w:t>Mr Jack Roberts, Research Officer,</w:t>
      </w:r>
      <w:r>
        <w:rPr>
          <w:vertAlign w:val="superscript"/>
        </w:rPr>
        <w:t>1</w:t>
      </w:r>
      <w:r>
        <w:t xml:space="preserve"> </w:t>
      </w:r>
      <w:r w:rsidR="00D82D7B">
        <w:br/>
      </w:r>
      <w:r>
        <w:t>Mr Daniel Arnold, Data Manager,</w:t>
      </w:r>
      <w:r>
        <w:rPr>
          <w:vertAlign w:val="superscript"/>
        </w:rPr>
        <w:t>1</w:t>
      </w:r>
      <w:r>
        <w:t xml:space="preserve"> </w:t>
      </w:r>
      <w:r w:rsidR="00D82D7B">
        <w:br/>
      </w:r>
      <w:r>
        <w:t>Ms Sarah Parfitt, Clinical Research Nurse,</w:t>
      </w:r>
      <w:r>
        <w:rPr>
          <w:vertAlign w:val="superscript"/>
        </w:rPr>
        <w:t>1</w:t>
      </w:r>
      <w:r>
        <w:t xml:space="preserve"> </w:t>
      </w:r>
      <w:r w:rsidR="00D82D7B">
        <w:br/>
      </w:r>
      <w:r>
        <w:t>Ms Renee Johnston, Research Officer,</w:t>
      </w:r>
      <w:r>
        <w:rPr>
          <w:vertAlign w:val="superscript"/>
        </w:rPr>
        <w:t>1</w:t>
      </w:r>
      <w:r>
        <w:t xml:space="preserve"> </w:t>
      </w:r>
      <w:r w:rsidR="00D82D7B">
        <w:br/>
      </w:r>
      <w:r>
        <w:t>Dr Kerry K Hall, Lecturer,</w:t>
      </w:r>
      <w:r>
        <w:rPr>
          <w:vertAlign w:val="superscript"/>
        </w:rPr>
        <w:t>3</w:t>
      </w:r>
      <w:r>
        <w:t xml:space="preserve"> </w:t>
      </w:r>
      <w:r w:rsidR="00D82D7B">
        <w:br/>
      </w:r>
      <w:r>
        <w:t>Mrs Sallyanne Le Gros-Wilson, Research Officer,</w:t>
      </w:r>
      <w:r>
        <w:rPr>
          <w:vertAlign w:val="superscript"/>
        </w:rPr>
        <w:t>1</w:t>
      </w:r>
      <w:r>
        <w:t xml:space="preserve"> </w:t>
      </w:r>
      <w:r w:rsidR="00D82D7B">
        <w:br/>
      </w:r>
      <w:r>
        <w:t>Dr Kaley Butten, Research Fellow,</w:t>
      </w:r>
      <w:r>
        <w:rPr>
          <w:vertAlign w:val="superscript"/>
        </w:rPr>
        <w:t>1,4</w:t>
      </w:r>
      <w:r>
        <w:t xml:space="preserve"> </w:t>
      </w:r>
      <w:r w:rsidR="00D82D7B">
        <w:br/>
      </w:r>
      <w:r>
        <w:t xml:space="preserve">Prof Maree </w:t>
      </w:r>
      <w:proofErr w:type="spellStart"/>
      <w:r>
        <w:t>Toombs</w:t>
      </w:r>
      <w:proofErr w:type="spellEnd"/>
      <w:r>
        <w:t>, Associate Dean Indigenous Engagement,</w:t>
      </w:r>
      <w:r>
        <w:rPr>
          <w:vertAlign w:val="superscript"/>
        </w:rPr>
        <w:t>5,6</w:t>
      </w:r>
      <w:r>
        <w:t xml:space="preserve"> </w:t>
      </w:r>
      <w:r w:rsidR="00D82D7B">
        <w:br/>
      </w:r>
      <w:r>
        <w:t>A/Prof Stephen B Lambert, Medical Epidemiologist.</w:t>
      </w:r>
      <w:r>
        <w:rPr>
          <w:vertAlign w:val="superscript"/>
        </w:rPr>
        <w:t>2,7</w:t>
      </w:r>
      <w:r>
        <w:t xml:space="preserve"> </w:t>
      </w:r>
    </w:p>
    <w:p w14:paraId="0F2EBAE8" w14:textId="77777777" w:rsidR="00D92B14" w:rsidRPr="009F74BB" w:rsidRDefault="00D92B14" w:rsidP="009F74BB">
      <w:pPr>
        <w:pStyle w:val="ListParagraph"/>
        <w:numPr>
          <w:ilvl w:val="0"/>
          <w:numId w:val="11"/>
        </w:numPr>
        <w:rPr>
          <w:rFonts w:eastAsia="Times New Roman"/>
        </w:rPr>
      </w:pPr>
      <w:r w:rsidRPr="009F74BB">
        <w:rPr>
          <w:rFonts w:eastAsia="Times New Roman"/>
        </w:rPr>
        <w:t xml:space="preserve">Australian Centre for Health Services </w:t>
      </w:r>
      <w:proofErr w:type="spellStart"/>
      <w:r w:rsidRPr="009F74BB">
        <w:rPr>
          <w:rFonts w:eastAsia="Times New Roman"/>
        </w:rPr>
        <w:t>Innovation@Centre</w:t>
      </w:r>
      <w:proofErr w:type="spellEnd"/>
      <w:r w:rsidRPr="009F74BB">
        <w:rPr>
          <w:rFonts w:eastAsia="Times New Roman"/>
        </w:rPr>
        <w:t xml:space="preserve"> for Healthcare Transformation, Queensland University of Technology, Kelvin Grove, Queensland, Australia </w:t>
      </w:r>
    </w:p>
    <w:p w14:paraId="0EC50B55" w14:textId="77777777" w:rsidR="00D92B14" w:rsidRPr="009F74BB" w:rsidRDefault="00D92B14" w:rsidP="009F74BB">
      <w:pPr>
        <w:pStyle w:val="ListParagraph"/>
        <w:numPr>
          <w:ilvl w:val="0"/>
          <w:numId w:val="11"/>
        </w:numPr>
        <w:rPr>
          <w:rFonts w:eastAsia="Times New Roman"/>
        </w:rPr>
      </w:pPr>
      <w:r w:rsidRPr="009F74BB">
        <w:rPr>
          <w:rFonts w:eastAsia="Times New Roman"/>
        </w:rPr>
        <w:t xml:space="preserve">Communicable Diseases Branch, Queensland Health, Herston, Queensland, Australia </w:t>
      </w:r>
    </w:p>
    <w:p w14:paraId="3850866F" w14:textId="77777777" w:rsidR="00D92B14" w:rsidRPr="009F74BB" w:rsidRDefault="00D92B14" w:rsidP="009F74BB">
      <w:pPr>
        <w:pStyle w:val="ListParagraph"/>
        <w:numPr>
          <w:ilvl w:val="0"/>
          <w:numId w:val="11"/>
        </w:numPr>
        <w:rPr>
          <w:rFonts w:eastAsia="Times New Roman"/>
        </w:rPr>
      </w:pPr>
      <w:r w:rsidRPr="009F74BB">
        <w:rPr>
          <w:rFonts w:eastAsia="Times New Roman"/>
        </w:rPr>
        <w:t xml:space="preserve">First Peoples Health Unit, Griffith University, Southport, Queensland, Australia </w:t>
      </w:r>
    </w:p>
    <w:p w14:paraId="04421FE7" w14:textId="77777777" w:rsidR="00D92B14" w:rsidRPr="009F74BB" w:rsidRDefault="00D92B14" w:rsidP="009F74BB">
      <w:pPr>
        <w:pStyle w:val="ListParagraph"/>
        <w:numPr>
          <w:ilvl w:val="0"/>
          <w:numId w:val="11"/>
        </w:numPr>
        <w:rPr>
          <w:rFonts w:eastAsia="Times New Roman"/>
        </w:rPr>
      </w:pPr>
      <w:r w:rsidRPr="009F74BB">
        <w:rPr>
          <w:rFonts w:eastAsia="Times New Roman"/>
        </w:rPr>
        <w:t xml:space="preserve">Australian eHealth Research Centre, CSIRO, Herston, Queensland, Australia </w:t>
      </w:r>
    </w:p>
    <w:p w14:paraId="77CE90A5" w14:textId="77777777" w:rsidR="00D92B14" w:rsidRPr="009F74BB" w:rsidRDefault="00D92B14" w:rsidP="009F74BB">
      <w:pPr>
        <w:pStyle w:val="ListParagraph"/>
        <w:numPr>
          <w:ilvl w:val="0"/>
          <w:numId w:val="11"/>
        </w:numPr>
        <w:rPr>
          <w:rFonts w:eastAsia="Times New Roman"/>
        </w:rPr>
      </w:pPr>
      <w:r w:rsidRPr="009F74BB">
        <w:rPr>
          <w:rFonts w:eastAsia="Times New Roman"/>
        </w:rPr>
        <w:t xml:space="preserve">Faculty of Medicine &amp; Biomedical Sciences, The University of Queensland, Herston, Queensland, Australia </w:t>
      </w:r>
    </w:p>
    <w:p w14:paraId="4A8FFED4" w14:textId="77777777" w:rsidR="00D92B14" w:rsidRPr="009F74BB" w:rsidRDefault="00D92B14" w:rsidP="009F74BB">
      <w:pPr>
        <w:pStyle w:val="ListParagraph"/>
        <w:numPr>
          <w:ilvl w:val="0"/>
          <w:numId w:val="11"/>
        </w:numPr>
        <w:rPr>
          <w:rFonts w:eastAsia="Times New Roman"/>
        </w:rPr>
      </w:pPr>
      <w:proofErr w:type="spellStart"/>
      <w:r w:rsidRPr="009F74BB">
        <w:rPr>
          <w:rFonts w:eastAsia="Times New Roman"/>
        </w:rPr>
        <w:t>Carbal</w:t>
      </w:r>
      <w:proofErr w:type="spellEnd"/>
      <w:r w:rsidRPr="009F74BB">
        <w:rPr>
          <w:rFonts w:eastAsia="Times New Roman"/>
        </w:rPr>
        <w:t xml:space="preserve"> Health Services, Toowoomba, Queensland Australia </w:t>
      </w:r>
    </w:p>
    <w:p w14:paraId="112FF2A5" w14:textId="77777777" w:rsidR="00D92B14" w:rsidRPr="009F74BB" w:rsidRDefault="00D92B14" w:rsidP="009F74BB">
      <w:pPr>
        <w:pStyle w:val="ListParagraph"/>
        <w:numPr>
          <w:ilvl w:val="0"/>
          <w:numId w:val="11"/>
        </w:numPr>
        <w:rPr>
          <w:rFonts w:eastAsia="Times New Roman"/>
        </w:rPr>
      </w:pPr>
      <w:r w:rsidRPr="009F74BB">
        <w:rPr>
          <w:rFonts w:eastAsia="Times New Roman"/>
        </w:rPr>
        <w:t xml:space="preserve">National Centre for Epidemiology and Population Health, Australian National University, Canberra, Australia </w:t>
      </w:r>
    </w:p>
    <w:p w14:paraId="777C5F6E" w14:textId="77777777" w:rsidR="00D92B14" w:rsidRPr="001042D7" w:rsidRDefault="00D92B14" w:rsidP="001042D7">
      <w:pPr>
        <w:pStyle w:val="Heading2"/>
      </w:pPr>
      <w:r w:rsidRPr="001042D7">
        <w:t xml:space="preserve">Corresponding Author </w:t>
      </w:r>
    </w:p>
    <w:p w14:paraId="796607B4" w14:textId="211F68EC" w:rsidR="00D92B14" w:rsidRDefault="00D92B14" w:rsidP="009F74BB">
      <w:r>
        <w:t xml:space="preserve">A/Prof Kerry-Ann O’Grady </w:t>
      </w:r>
      <w:r w:rsidR="00D82D7B">
        <w:br/>
      </w:r>
      <w:r>
        <w:t xml:space="preserve">L7, Centre for Children’s Health Research 62 Graham Street South Brisbane, Qld, 4101, Australia </w:t>
      </w:r>
      <w:r w:rsidR="00D82D7B">
        <w:br/>
      </w:r>
      <w:r>
        <w:t xml:space="preserve">P: +61 0439 933 777 </w:t>
      </w:r>
      <w:r w:rsidR="00D82D7B">
        <w:br/>
      </w:r>
      <w:r>
        <w:t>E: kerryann.ogrady@qut.edu.au</w:t>
      </w:r>
    </w:p>
    <w:p w14:paraId="0551F67F" w14:textId="77777777" w:rsidR="00BC2C53" w:rsidRDefault="00BC2C53">
      <w:pPr>
        <w:rPr>
          <w:rFonts w:asciiTheme="majorHAnsi" w:eastAsiaTheme="majorEastAsia" w:hAnsiTheme="majorHAnsi" w:cstheme="majorBidi"/>
          <w:b/>
          <w:bCs/>
          <w:sz w:val="32"/>
          <w:szCs w:val="28"/>
        </w:rPr>
      </w:pPr>
      <w:r>
        <w:br w:type="page"/>
      </w:r>
    </w:p>
    <w:p w14:paraId="5A427143" w14:textId="5CF38569" w:rsidR="00D92B14" w:rsidRPr="001042D7" w:rsidRDefault="00D92B14" w:rsidP="001042D7">
      <w:pPr>
        <w:pStyle w:val="Heading1"/>
      </w:pPr>
      <w:r w:rsidRPr="001042D7">
        <w:lastRenderedPageBreak/>
        <w:t xml:space="preserve">References </w:t>
      </w:r>
    </w:p>
    <w:p w14:paraId="41FFEE55" w14:textId="77777777" w:rsidR="00D92B14" w:rsidRPr="009F74BB" w:rsidRDefault="00D92B14" w:rsidP="009F74BB">
      <w:pPr>
        <w:pStyle w:val="ListParagraph"/>
        <w:numPr>
          <w:ilvl w:val="0"/>
          <w:numId w:val="12"/>
        </w:numPr>
        <w:rPr>
          <w:rFonts w:eastAsia="Times New Roman"/>
        </w:rPr>
      </w:pPr>
      <w:r w:rsidRPr="009F74BB">
        <w:rPr>
          <w:rFonts w:eastAsia="Times New Roman"/>
        </w:rPr>
        <w:t xml:space="preserve">Hull B, Hendry A, Dey A, Macartney K, Beard F. Immunisation Coverage Annual Report 2019. </w:t>
      </w:r>
      <w:proofErr w:type="spellStart"/>
      <w:r w:rsidRPr="009F74BB">
        <w:rPr>
          <w:rStyle w:val="Emphasis"/>
          <w:rFonts w:eastAsia="Times New Roman"/>
          <w:b w:val="0"/>
          <w:bCs w:val="0"/>
        </w:rPr>
        <w:t>Commun</w:t>
      </w:r>
      <w:proofErr w:type="spellEnd"/>
      <w:r w:rsidRPr="009F74BB">
        <w:rPr>
          <w:rStyle w:val="Emphasis"/>
          <w:rFonts w:eastAsia="Times New Roman"/>
          <w:b w:val="0"/>
          <w:bCs w:val="0"/>
        </w:rPr>
        <w:t xml:space="preserve"> Dis </w:t>
      </w:r>
      <w:proofErr w:type="spellStart"/>
      <w:r w:rsidRPr="009F74BB">
        <w:rPr>
          <w:rStyle w:val="Emphasis"/>
          <w:rFonts w:eastAsia="Times New Roman"/>
          <w:b w:val="0"/>
          <w:bCs w:val="0"/>
        </w:rPr>
        <w:t>Intell</w:t>
      </w:r>
      <w:proofErr w:type="spellEnd"/>
      <w:r w:rsidRPr="009F74BB">
        <w:rPr>
          <w:rStyle w:val="Emphasis"/>
          <w:rFonts w:eastAsia="Times New Roman"/>
          <w:b w:val="0"/>
          <w:bCs w:val="0"/>
        </w:rPr>
        <w:t xml:space="preserve"> (2018)</w:t>
      </w:r>
      <w:r w:rsidRPr="009F74BB">
        <w:rPr>
          <w:rFonts w:eastAsia="Times New Roman"/>
        </w:rPr>
        <w:t xml:space="preserve">. 2021;45. </w:t>
      </w:r>
      <w:proofErr w:type="spellStart"/>
      <w:r w:rsidRPr="009F74BB">
        <w:rPr>
          <w:rFonts w:eastAsia="Times New Roman"/>
        </w:rPr>
        <w:t>doi</w:t>
      </w:r>
      <w:proofErr w:type="spellEnd"/>
      <w:r w:rsidRPr="009F74BB">
        <w:rPr>
          <w:rFonts w:eastAsia="Times New Roman"/>
        </w:rPr>
        <w:t xml:space="preserve">: https://doi.org/10.33321/cdi.2021.45.18. </w:t>
      </w:r>
    </w:p>
    <w:p w14:paraId="1267084D" w14:textId="77777777" w:rsidR="00D92B14" w:rsidRPr="009F74BB" w:rsidRDefault="00D92B14" w:rsidP="009F74BB">
      <w:pPr>
        <w:pStyle w:val="ListParagraph"/>
        <w:numPr>
          <w:ilvl w:val="0"/>
          <w:numId w:val="12"/>
        </w:numPr>
        <w:rPr>
          <w:rFonts w:eastAsia="Times New Roman"/>
        </w:rPr>
      </w:pPr>
      <w:r w:rsidRPr="009F74BB">
        <w:rPr>
          <w:rFonts w:eastAsia="Times New Roman"/>
        </w:rPr>
        <w:t xml:space="preserve">Moore HC, Fathima P, </w:t>
      </w:r>
      <w:proofErr w:type="spellStart"/>
      <w:r w:rsidRPr="009F74BB">
        <w:rPr>
          <w:rFonts w:eastAsia="Times New Roman"/>
        </w:rPr>
        <w:t>Gidding</w:t>
      </w:r>
      <w:proofErr w:type="spellEnd"/>
      <w:r w:rsidRPr="009F74BB">
        <w:rPr>
          <w:rFonts w:eastAsia="Times New Roman"/>
        </w:rPr>
        <w:t xml:space="preserve"> HF, de Klerk N, Liu B, </w:t>
      </w:r>
      <w:proofErr w:type="spellStart"/>
      <w:r w:rsidRPr="009F74BB">
        <w:rPr>
          <w:rFonts w:eastAsia="Times New Roman"/>
        </w:rPr>
        <w:t>Sheppeard</w:t>
      </w:r>
      <w:proofErr w:type="spellEnd"/>
      <w:r w:rsidRPr="009F74BB">
        <w:rPr>
          <w:rFonts w:eastAsia="Times New Roman"/>
        </w:rPr>
        <w:t xml:space="preserve"> V et al. Assessment of on-time vaccination coverage in population subgroups: a record linkage cohort study. </w:t>
      </w:r>
      <w:r w:rsidRPr="009F74BB">
        <w:rPr>
          <w:rStyle w:val="Emphasis"/>
          <w:rFonts w:eastAsia="Times New Roman"/>
          <w:b w:val="0"/>
          <w:bCs w:val="0"/>
        </w:rPr>
        <w:t>Vaccine</w:t>
      </w:r>
      <w:r w:rsidRPr="009F74BB">
        <w:rPr>
          <w:rFonts w:eastAsia="Times New Roman"/>
        </w:rPr>
        <w:t xml:space="preserve">. 2018;36(28):4062–9. </w:t>
      </w:r>
      <w:proofErr w:type="spellStart"/>
      <w:r w:rsidRPr="009F74BB">
        <w:rPr>
          <w:rFonts w:eastAsia="Times New Roman"/>
        </w:rPr>
        <w:t>doi</w:t>
      </w:r>
      <w:proofErr w:type="spellEnd"/>
      <w:r w:rsidRPr="009F74BB">
        <w:rPr>
          <w:rFonts w:eastAsia="Times New Roman"/>
        </w:rPr>
        <w:t xml:space="preserve">: https://doi.org/10.1016/j.vaccine.2018.05.084. </w:t>
      </w:r>
    </w:p>
    <w:p w14:paraId="15B62826" w14:textId="77777777" w:rsidR="00D92B14" w:rsidRPr="009F74BB" w:rsidRDefault="00D92B14" w:rsidP="009F74BB">
      <w:pPr>
        <w:pStyle w:val="ListParagraph"/>
        <w:numPr>
          <w:ilvl w:val="0"/>
          <w:numId w:val="12"/>
        </w:numPr>
        <w:rPr>
          <w:rFonts w:eastAsia="Times New Roman"/>
        </w:rPr>
      </w:pPr>
      <w:r w:rsidRPr="009F74BB">
        <w:rPr>
          <w:rFonts w:eastAsia="Times New Roman"/>
        </w:rPr>
        <w:t xml:space="preserve">O’Grady KA, Krause V, Andrews R. Immunisation coverage in Australian Indigenous children: time to move the goal posts. </w:t>
      </w:r>
      <w:r w:rsidRPr="009F74BB">
        <w:rPr>
          <w:rStyle w:val="Emphasis"/>
          <w:rFonts w:eastAsia="Times New Roman"/>
          <w:b w:val="0"/>
          <w:bCs w:val="0"/>
        </w:rPr>
        <w:t>Vaccine</w:t>
      </w:r>
      <w:r w:rsidRPr="009F74BB">
        <w:rPr>
          <w:rFonts w:eastAsia="Times New Roman"/>
        </w:rPr>
        <w:t xml:space="preserve">. 2009;27(2):307–12. </w:t>
      </w:r>
      <w:proofErr w:type="spellStart"/>
      <w:r w:rsidRPr="009F74BB">
        <w:rPr>
          <w:rFonts w:eastAsia="Times New Roman"/>
        </w:rPr>
        <w:t>doi</w:t>
      </w:r>
      <w:proofErr w:type="spellEnd"/>
      <w:r w:rsidRPr="009F74BB">
        <w:rPr>
          <w:rFonts w:eastAsia="Times New Roman"/>
        </w:rPr>
        <w:t xml:space="preserve">: https://doi.org/10.1016/j.vaccine.2008.09.096. </w:t>
      </w:r>
    </w:p>
    <w:p w14:paraId="082EF9CC" w14:textId="77777777" w:rsidR="00D92B14" w:rsidRPr="009F74BB" w:rsidRDefault="00D92B14" w:rsidP="009F74BB">
      <w:pPr>
        <w:pStyle w:val="ListParagraph"/>
        <w:numPr>
          <w:ilvl w:val="0"/>
          <w:numId w:val="12"/>
        </w:numPr>
        <w:rPr>
          <w:rFonts w:eastAsia="Times New Roman"/>
        </w:rPr>
      </w:pPr>
      <w:r w:rsidRPr="009F74BB">
        <w:rPr>
          <w:rFonts w:eastAsia="Times New Roman"/>
        </w:rPr>
        <w:t xml:space="preserve">Naidu L, Chiu C, </w:t>
      </w:r>
      <w:proofErr w:type="spellStart"/>
      <w:r w:rsidRPr="009F74BB">
        <w:rPr>
          <w:rFonts w:eastAsia="Times New Roman"/>
        </w:rPr>
        <w:t>Habig</w:t>
      </w:r>
      <w:proofErr w:type="spellEnd"/>
      <w:r w:rsidRPr="009F74BB">
        <w:rPr>
          <w:rFonts w:eastAsia="Times New Roman"/>
        </w:rPr>
        <w:t xml:space="preserve"> A, </w:t>
      </w:r>
      <w:proofErr w:type="spellStart"/>
      <w:r w:rsidRPr="009F74BB">
        <w:rPr>
          <w:rFonts w:eastAsia="Times New Roman"/>
        </w:rPr>
        <w:t>Lowbridge</w:t>
      </w:r>
      <w:proofErr w:type="spellEnd"/>
      <w:r w:rsidRPr="009F74BB">
        <w:rPr>
          <w:rFonts w:eastAsia="Times New Roman"/>
        </w:rPr>
        <w:t xml:space="preserve"> C, Jayasinghe S, Wang H et al. Vaccine preventable diseases and vaccination coverage in Aboriginal and Torres Strait Islander people, Australia 2006–2010. </w:t>
      </w:r>
      <w:proofErr w:type="spellStart"/>
      <w:r w:rsidRPr="009F74BB">
        <w:rPr>
          <w:rStyle w:val="Emphasis"/>
          <w:rFonts w:eastAsia="Times New Roman"/>
          <w:b w:val="0"/>
          <w:bCs w:val="0"/>
        </w:rPr>
        <w:t>Commun</w:t>
      </w:r>
      <w:proofErr w:type="spellEnd"/>
      <w:r w:rsidRPr="009F74BB">
        <w:rPr>
          <w:rStyle w:val="Emphasis"/>
          <w:rFonts w:eastAsia="Times New Roman"/>
          <w:b w:val="0"/>
          <w:bCs w:val="0"/>
        </w:rPr>
        <w:t xml:space="preserve"> Dis </w:t>
      </w:r>
      <w:proofErr w:type="spellStart"/>
      <w:r w:rsidRPr="009F74BB">
        <w:rPr>
          <w:rStyle w:val="Emphasis"/>
          <w:rFonts w:eastAsia="Times New Roman"/>
          <w:b w:val="0"/>
          <w:bCs w:val="0"/>
        </w:rPr>
        <w:t>Intell</w:t>
      </w:r>
      <w:proofErr w:type="spellEnd"/>
      <w:r w:rsidRPr="009F74BB">
        <w:rPr>
          <w:rStyle w:val="Emphasis"/>
          <w:rFonts w:eastAsia="Times New Roman"/>
          <w:b w:val="0"/>
          <w:bCs w:val="0"/>
        </w:rPr>
        <w:t xml:space="preserve"> Q Rep</w:t>
      </w:r>
      <w:r w:rsidRPr="009F74BB">
        <w:rPr>
          <w:rFonts w:eastAsia="Times New Roman"/>
        </w:rPr>
        <w:t>. 2013;37(Suppl</w:t>
      </w:r>
      <w:proofErr w:type="gramStart"/>
      <w:r w:rsidRPr="009F74BB">
        <w:rPr>
          <w:rFonts w:eastAsia="Times New Roman"/>
        </w:rPr>
        <w:t>):S</w:t>
      </w:r>
      <w:proofErr w:type="gramEnd"/>
      <w:r w:rsidRPr="009F74BB">
        <w:rPr>
          <w:rFonts w:eastAsia="Times New Roman"/>
        </w:rPr>
        <w:t xml:space="preserve">1–95. </w:t>
      </w:r>
    </w:p>
    <w:p w14:paraId="0D31BF3C" w14:textId="77777777" w:rsidR="00D92B14" w:rsidRPr="009F74BB" w:rsidRDefault="00D92B14" w:rsidP="009F74BB">
      <w:pPr>
        <w:pStyle w:val="ListParagraph"/>
        <w:numPr>
          <w:ilvl w:val="0"/>
          <w:numId w:val="12"/>
        </w:numPr>
        <w:rPr>
          <w:rFonts w:eastAsia="Times New Roman"/>
        </w:rPr>
      </w:pPr>
      <w:proofErr w:type="spellStart"/>
      <w:r w:rsidRPr="009F74BB">
        <w:rPr>
          <w:rFonts w:eastAsia="Times New Roman"/>
        </w:rPr>
        <w:t>Royle</w:t>
      </w:r>
      <w:proofErr w:type="spellEnd"/>
      <w:r w:rsidRPr="009F74BB">
        <w:rPr>
          <w:rFonts w:eastAsia="Times New Roman"/>
        </w:rPr>
        <w:t xml:space="preserve"> J, Lambert SB. Fifty years of immunisation in Australia (1964-2014): the increasing opportunity to prevent diseases. </w:t>
      </w:r>
      <w:r w:rsidRPr="009F74BB">
        <w:rPr>
          <w:rStyle w:val="Emphasis"/>
          <w:rFonts w:eastAsia="Times New Roman"/>
          <w:b w:val="0"/>
          <w:bCs w:val="0"/>
        </w:rPr>
        <w:t xml:space="preserve">J </w:t>
      </w:r>
      <w:proofErr w:type="spellStart"/>
      <w:r w:rsidRPr="009F74BB">
        <w:rPr>
          <w:rStyle w:val="Emphasis"/>
          <w:rFonts w:eastAsia="Times New Roman"/>
          <w:b w:val="0"/>
          <w:bCs w:val="0"/>
        </w:rPr>
        <w:t>Paediatr</w:t>
      </w:r>
      <w:proofErr w:type="spellEnd"/>
      <w:r w:rsidRPr="009F74BB">
        <w:rPr>
          <w:rStyle w:val="Emphasis"/>
          <w:rFonts w:eastAsia="Times New Roman"/>
          <w:b w:val="0"/>
          <w:bCs w:val="0"/>
        </w:rPr>
        <w:t xml:space="preserve"> Child Health</w:t>
      </w:r>
      <w:r w:rsidRPr="009F74BB">
        <w:rPr>
          <w:rFonts w:eastAsia="Times New Roman"/>
        </w:rPr>
        <w:t xml:space="preserve">. 2015;51(1):16–20. </w:t>
      </w:r>
      <w:proofErr w:type="spellStart"/>
      <w:r w:rsidRPr="009F74BB">
        <w:rPr>
          <w:rFonts w:eastAsia="Times New Roman"/>
        </w:rPr>
        <w:t>doi</w:t>
      </w:r>
      <w:proofErr w:type="spellEnd"/>
      <w:r w:rsidRPr="009F74BB">
        <w:rPr>
          <w:rFonts w:eastAsia="Times New Roman"/>
        </w:rPr>
        <w:t xml:space="preserve">: https://doi.org/10.1111/jpc.12796. </w:t>
      </w:r>
    </w:p>
    <w:p w14:paraId="48821625" w14:textId="77777777" w:rsidR="00D92B14" w:rsidRPr="009F74BB" w:rsidRDefault="00D92B14" w:rsidP="009F74BB">
      <w:pPr>
        <w:pStyle w:val="ListParagraph"/>
        <w:numPr>
          <w:ilvl w:val="0"/>
          <w:numId w:val="12"/>
        </w:numPr>
        <w:rPr>
          <w:rFonts w:eastAsia="Times New Roman"/>
        </w:rPr>
      </w:pPr>
      <w:r w:rsidRPr="009F74BB">
        <w:rPr>
          <w:rFonts w:eastAsia="Times New Roman"/>
        </w:rPr>
        <w:t xml:space="preserve">Lovie-Toon YG, Hall KK, Chang AB, Anderson J, O’Grady KA. Immunisation timeliness in a cohort of urban Aboriginal and Torres Strait Islander children. </w:t>
      </w:r>
      <w:r w:rsidRPr="009F74BB">
        <w:rPr>
          <w:rStyle w:val="Emphasis"/>
          <w:rFonts w:eastAsia="Times New Roman"/>
          <w:b w:val="0"/>
          <w:bCs w:val="0"/>
        </w:rPr>
        <w:t>BMC Public Health</w:t>
      </w:r>
      <w:r w:rsidRPr="009F74BB">
        <w:rPr>
          <w:rFonts w:eastAsia="Times New Roman"/>
        </w:rPr>
        <w:t xml:space="preserve">. 2016;16(1):1159. </w:t>
      </w:r>
      <w:proofErr w:type="spellStart"/>
      <w:r w:rsidRPr="009F74BB">
        <w:rPr>
          <w:rFonts w:eastAsia="Times New Roman"/>
        </w:rPr>
        <w:t>doi</w:t>
      </w:r>
      <w:proofErr w:type="spellEnd"/>
      <w:r w:rsidRPr="009F74BB">
        <w:rPr>
          <w:rFonts w:eastAsia="Times New Roman"/>
        </w:rPr>
        <w:t xml:space="preserve">: https://doi.org/10.1186/s12889-016-3825-z. </w:t>
      </w:r>
    </w:p>
    <w:p w14:paraId="41986FDE" w14:textId="77777777" w:rsidR="00D92B14" w:rsidRPr="009F74BB" w:rsidRDefault="00D92B14" w:rsidP="009F74BB">
      <w:pPr>
        <w:pStyle w:val="ListParagraph"/>
        <w:numPr>
          <w:ilvl w:val="0"/>
          <w:numId w:val="12"/>
        </w:numPr>
        <w:rPr>
          <w:rFonts w:eastAsia="Times New Roman"/>
        </w:rPr>
      </w:pPr>
      <w:r w:rsidRPr="009F74BB">
        <w:rPr>
          <w:rFonts w:eastAsia="Times New Roman"/>
        </w:rPr>
        <w:t xml:space="preserve">Rodgers A, Corbett T, Bramley D, Riddell T, Wills M, Lin R-B et al. Do u smoke after txt? Results of a randomised trial of smoking cessation using mobile phone text messaging. </w:t>
      </w:r>
      <w:proofErr w:type="spellStart"/>
      <w:r w:rsidRPr="009F74BB">
        <w:rPr>
          <w:rStyle w:val="Emphasis"/>
          <w:rFonts w:eastAsia="Times New Roman"/>
          <w:b w:val="0"/>
          <w:bCs w:val="0"/>
        </w:rPr>
        <w:t>Tob</w:t>
      </w:r>
      <w:proofErr w:type="spellEnd"/>
      <w:r w:rsidRPr="009F74BB">
        <w:rPr>
          <w:rStyle w:val="Emphasis"/>
          <w:rFonts w:eastAsia="Times New Roman"/>
          <w:b w:val="0"/>
          <w:bCs w:val="0"/>
        </w:rPr>
        <w:t xml:space="preserve"> Control</w:t>
      </w:r>
      <w:r w:rsidRPr="009F74BB">
        <w:rPr>
          <w:rFonts w:eastAsia="Times New Roman"/>
        </w:rPr>
        <w:t xml:space="preserve">. 2005;14(4):255–61. </w:t>
      </w:r>
      <w:proofErr w:type="spellStart"/>
      <w:r w:rsidRPr="009F74BB">
        <w:rPr>
          <w:rFonts w:eastAsia="Times New Roman"/>
        </w:rPr>
        <w:t>doi</w:t>
      </w:r>
      <w:proofErr w:type="spellEnd"/>
      <w:r w:rsidRPr="009F74BB">
        <w:rPr>
          <w:rFonts w:eastAsia="Times New Roman"/>
        </w:rPr>
        <w:t xml:space="preserve">: https://doi.org/10.1136/tc.2005.011577. </w:t>
      </w:r>
    </w:p>
    <w:p w14:paraId="10087D1B" w14:textId="77777777" w:rsidR="00D92B14" w:rsidRPr="009F74BB" w:rsidRDefault="00D92B14" w:rsidP="009F74BB">
      <w:pPr>
        <w:pStyle w:val="ListParagraph"/>
        <w:numPr>
          <w:ilvl w:val="0"/>
          <w:numId w:val="12"/>
        </w:numPr>
        <w:rPr>
          <w:rFonts w:eastAsia="Times New Roman"/>
        </w:rPr>
      </w:pPr>
      <w:r w:rsidRPr="009F74BB">
        <w:rPr>
          <w:rFonts w:eastAsia="Times New Roman"/>
        </w:rPr>
        <w:t xml:space="preserve">Bramley D, Riddell T, Whittaker R, Corbett T, Lin R-B, Wills M et al. Smoking cessation using mobile phone text messaging is as effective in Maori as non-Maori. </w:t>
      </w:r>
      <w:r w:rsidRPr="009F74BB">
        <w:rPr>
          <w:rStyle w:val="Emphasis"/>
          <w:rFonts w:eastAsia="Times New Roman"/>
          <w:b w:val="0"/>
          <w:bCs w:val="0"/>
        </w:rPr>
        <w:t>N Z Med J</w:t>
      </w:r>
      <w:r w:rsidRPr="009F74BB">
        <w:rPr>
          <w:rFonts w:eastAsia="Times New Roman"/>
        </w:rPr>
        <w:t>. 2005;118(1216</w:t>
      </w:r>
      <w:proofErr w:type="gramStart"/>
      <w:r w:rsidRPr="009F74BB">
        <w:rPr>
          <w:rFonts w:eastAsia="Times New Roman"/>
        </w:rPr>
        <w:t>):U</w:t>
      </w:r>
      <w:proofErr w:type="gramEnd"/>
      <w:r w:rsidRPr="009F74BB">
        <w:rPr>
          <w:rFonts w:eastAsia="Times New Roman"/>
        </w:rPr>
        <w:t xml:space="preserve">1494. </w:t>
      </w:r>
    </w:p>
    <w:p w14:paraId="30B4260A" w14:textId="77777777" w:rsidR="00D92B14" w:rsidRPr="009F74BB" w:rsidRDefault="00D92B14" w:rsidP="009F74BB">
      <w:pPr>
        <w:pStyle w:val="ListParagraph"/>
        <w:numPr>
          <w:ilvl w:val="0"/>
          <w:numId w:val="12"/>
        </w:numPr>
        <w:rPr>
          <w:rFonts w:eastAsia="Times New Roman"/>
        </w:rPr>
      </w:pPr>
      <w:proofErr w:type="spellStart"/>
      <w:r w:rsidRPr="009F74BB">
        <w:rPr>
          <w:rFonts w:eastAsia="Times New Roman"/>
        </w:rPr>
        <w:t>Kunutsor</w:t>
      </w:r>
      <w:proofErr w:type="spellEnd"/>
      <w:r w:rsidRPr="009F74BB">
        <w:rPr>
          <w:rFonts w:eastAsia="Times New Roman"/>
        </w:rPr>
        <w:t xml:space="preserve"> S, Walley J, </w:t>
      </w:r>
      <w:proofErr w:type="spellStart"/>
      <w:r w:rsidRPr="009F74BB">
        <w:rPr>
          <w:rFonts w:eastAsia="Times New Roman"/>
        </w:rPr>
        <w:t>Katabira</w:t>
      </w:r>
      <w:proofErr w:type="spellEnd"/>
      <w:r w:rsidRPr="009F74BB">
        <w:rPr>
          <w:rFonts w:eastAsia="Times New Roman"/>
        </w:rPr>
        <w:t xml:space="preserve"> E, </w:t>
      </w:r>
      <w:proofErr w:type="spellStart"/>
      <w:r w:rsidRPr="009F74BB">
        <w:rPr>
          <w:rFonts w:eastAsia="Times New Roman"/>
        </w:rPr>
        <w:t>Muchuro</w:t>
      </w:r>
      <w:proofErr w:type="spellEnd"/>
      <w:r w:rsidRPr="009F74BB">
        <w:rPr>
          <w:rFonts w:eastAsia="Times New Roman"/>
        </w:rPr>
        <w:t xml:space="preserve"> S, </w:t>
      </w:r>
      <w:proofErr w:type="spellStart"/>
      <w:r w:rsidRPr="009F74BB">
        <w:rPr>
          <w:rFonts w:eastAsia="Times New Roman"/>
        </w:rPr>
        <w:t>Balidawa</w:t>
      </w:r>
      <w:proofErr w:type="spellEnd"/>
      <w:r w:rsidRPr="009F74BB">
        <w:rPr>
          <w:rFonts w:eastAsia="Times New Roman"/>
        </w:rPr>
        <w:t xml:space="preserve"> H, </w:t>
      </w:r>
      <w:proofErr w:type="spellStart"/>
      <w:r w:rsidRPr="009F74BB">
        <w:rPr>
          <w:rFonts w:eastAsia="Times New Roman"/>
        </w:rPr>
        <w:t>Namagala</w:t>
      </w:r>
      <w:proofErr w:type="spellEnd"/>
      <w:r w:rsidRPr="009F74BB">
        <w:rPr>
          <w:rFonts w:eastAsia="Times New Roman"/>
        </w:rPr>
        <w:t xml:space="preserve"> E et al. Using mobile phones to improve clinic attendance amongst an antiretroviral treatment cohort in rural Uganda: a cross-sectional and prospective study. </w:t>
      </w:r>
      <w:r w:rsidRPr="009F74BB">
        <w:rPr>
          <w:rStyle w:val="Emphasis"/>
          <w:rFonts w:eastAsia="Times New Roman"/>
          <w:b w:val="0"/>
          <w:bCs w:val="0"/>
        </w:rPr>
        <w:t xml:space="preserve">AIDS </w:t>
      </w:r>
      <w:proofErr w:type="spellStart"/>
      <w:r w:rsidRPr="009F74BB">
        <w:rPr>
          <w:rStyle w:val="Emphasis"/>
          <w:rFonts w:eastAsia="Times New Roman"/>
          <w:b w:val="0"/>
          <w:bCs w:val="0"/>
        </w:rPr>
        <w:t>Behav</w:t>
      </w:r>
      <w:proofErr w:type="spellEnd"/>
      <w:r w:rsidRPr="009F74BB">
        <w:rPr>
          <w:rFonts w:eastAsia="Times New Roman"/>
        </w:rPr>
        <w:t xml:space="preserve">. 2010;14(6):1347–52. </w:t>
      </w:r>
      <w:proofErr w:type="spellStart"/>
      <w:r w:rsidRPr="009F74BB">
        <w:rPr>
          <w:rFonts w:eastAsia="Times New Roman"/>
        </w:rPr>
        <w:t>doi</w:t>
      </w:r>
      <w:proofErr w:type="spellEnd"/>
      <w:r w:rsidRPr="009F74BB">
        <w:rPr>
          <w:rFonts w:eastAsia="Times New Roman"/>
        </w:rPr>
        <w:t xml:space="preserve">: https://doi.org/10.1007/s10461-010-9780-2. </w:t>
      </w:r>
    </w:p>
    <w:p w14:paraId="0A240E13" w14:textId="77777777" w:rsidR="00D92B14" w:rsidRPr="009F74BB" w:rsidRDefault="00D92B14" w:rsidP="009F74BB">
      <w:pPr>
        <w:pStyle w:val="ListParagraph"/>
        <w:numPr>
          <w:ilvl w:val="0"/>
          <w:numId w:val="12"/>
        </w:numPr>
        <w:rPr>
          <w:rFonts w:eastAsia="Times New Roman"/>
        </w:rPr>
      </w:pPr>
      <w:r w:rsidRPr="009F74BB">
        <w:rPr>
          <w:rFonts w:eastAsia="Times New Roman"/>
        </w:rPr>
        <w:t xml:space="preserve">National Health and Medical Research Council. </w:t>
      </w:r>
      <w:r w:rsidRPr="009F74BB">
        <w:rPr>
          <w:rStyle w:val="Emphasis"/>
          <w:rFonts w:eastAsia="Times New Roman"/>
          <w:b w:val="0"/>
          <w:bCs w:val="0"/>
        </w:rPr>
        <w:t>National Statement on Ethical Conduct in Human Research (2007)</w:t>
      </w:r>
      <w:r w:rsidRPr="009F74BB">
        <w:rPr>
          <w:rFonts w:eastAsia="Times New Roman"/>
        </w:rPr>
        <w:t xml:space="preserve">. Canberra: Australian Government; 2007. </w:t>
      </w:r>
    </w:p>
    <w:p w14:paraId="243CAA79" w14:textId="77777777" w:rsidR="00D92B14" w:rsidRPr="009F74BB" w:rsidRDefault="00D92B14" w:rsidP="009F74BB">
      <w:pPr>
        <w:pStyle w:val="ListParagraph"/>
        <w:numPr>
          <w:ilvl w:val="0"/>
          <w:numId w:val="12"/>
        </w:numPr>
        <w:rPr>
          <w:rFonts w:eastAsia="Times New Roman"/>
        </w:rPr>
      </w:pPr>
      <w:r w:rsidRPr="009F74BB">
        <w:rPr>
          <w:rFonts w:eastAsia="Times New Roman"/>
        </w:rPr>
        <w:t xml:space="preserve">Jacobson Vann JC, Jacobson RM, Coyne-Beasley T, </w:t>
      </w:r>
      <w:proofErr w:type="spellStart"/>
      <w:r w:rsidRPr="009F74BB">
        <w:rPr>
          <w:rFonts w:eastAsia="Times New Roman"/>
        </w:rPr>
        <w:t>Asafu</w:t>
      </w:r>
      <w:proofErr w:type="spellEnd"/>
      <w:r w:rsidRPr="009F74BB">
        <w:rPr>
          <w:rFonts w:eastAsia="Times New Roman"/>
        </w:rPr>
        <w:t xml:space="preserve">-Adjei JK, </w:t>
      </w:r>
      <w:proofErr w:type="spellStart"/>
      <w:r w:rsidRPr="009F74BB">
        <w:rPr>
          <w:rFonts w:eastAsia="Times New Roman"/>
        </w:rPr>
        <w:t>Szilagyi</w:t>
      </w:r>
      <w:proofErr w:type="spellEnd"/>
      <w:r w:rsidRPr="009F74BB">
        <w:rPr>
          <w:rFonts w:eastAsia="Times New Roman"/>
        </w:rPr>
        <w:t xml:space="preserve"> PG. Patient reminder and recall interventions to improve immunization rates. </w:t>
      </w:r>
      <w:r w:rsidRPr="009F74BB">
        <w:rPr>
          <w:rStyle w:val="Emphasis"/>
          <w:rFonts w:eastAsia="Times New Roman"/>
          <w:b w:val="0"/>
          <w:bCs w:val="0"/>
        </w:rPr>
        <w:t>Cochrane Database Syst Rev</w:t>
      </w:r>
      <w:r w:rsidRPr="009F74BB">
        <w:rPr>
          <w:rFonts w:eastAsia="Times New Roman"/>
        </w:rPr>
        <w:t xml:space="preserve">. 2018;1:CD003941. </w:t>
      </w:r>
      <w:proofErr w:type="spellStart"/>
      <w:r w:rsidRPr="009F74BB">
        <w:rPr>
          <w:rFonts w:eastAsia="Times New Roman"/>
        </w:rPr>
        <w:t>doi</w:t>
      </w:r>
      <w:proofErr w:type="spellEnd"/>
      <w:r w:rsidRPr="009F74BB">
        <w:rPr>
          <w:rFonts w:eastAsia="Times New Roman"/>
        </w:rPr>
        <w:t xml:space="preserve">: https://doi.org/10.1002/14651858.CD003941.pub3. </w:t>
      </w:r>
    </w:p>
    <w:p w14:paraId="4664A6F1" w14:textId="77777777" w:rsidR="00D92B14" w:rsidRPr="009F74BB" w:rsidRDefault="00D92B14" w:rsidP="009F74BB">
      <w:pPr>
        <w:pStyle w:val="ListParagraph"/>
        <w:numPr>
          <w:ilvl w:val="0"/>
          <w:numId w:val="12"/>
        </w:numPr>
        <w:rPr>
          <w:rFonts w:eastAsia="Times New Roman"/>
        </w:rPr>
      </w:pPr>
      <w:proofErr w:type="spellStart"/>
      <w:r w:rsidRPr="009F74BB">
        <w:rPr>
          <w:rFonts w:eastAsia="Times New Roman"/>
        </w:rPr>
        <w:t>Mekonnen</w:t>
      </w:r>
      <w:proofErr w:type="spellEnd"/>
      <w:r w:rsidRPr="009F74BB">
        <w:rPr>
          <w:rFonts w:eastAsia="Times New Roman"/>
        </w:rPr>
        <w:t xml:space="preserve"> ZA, </w:t>
      </w:r>
      <w:proofErr w:type="spellStart"/>
      <w:r w:rsidRPr="009F74BB">
        <w:rPr>
          <w:rFonts w:eastAsia="Times New Roman"/>
        </w:rPr>
        <w:t>Gelaye</w:t>
      </w:r>
      <w:proofErr w:type="spellEnd"/>
      <w:r w:rsidRPr="009F74BB">
        <w:rPr>
          <w:rFonts w:eastAsia="Times New Roman"/>
        </w:rPr>
        <w:t xml:space="preserve"> KA, Were MC, </w:t>
      </w:r>
      <w:proofErr w:type="spellStart"/>
      <w:r w:rsidRPr="009F74BB">
        <w:rPr>
          <w:rFonts w:eastAsia="Times New Roman"/>
        </w:rPr>
        <w:t>Gashu</w:t>
      </w:r>
      <w:proofErr w:type="spellEnd"/>
      <w:r w:rsidRPr="009F74BB">
        <w:rPr>
          <w:rFonts w:eastAsia="Times New Roman"/>
        </w:rPr>
        <w:t xml:space="preserve"> KD, </w:t>
      </w:r>
      <w:proofErr w:type="spellStart"/>
      <w:r w:rsidRPr="009F74BB">
        <w:rPr>
          <w:rFonts w:eastAsia="Times New Roman"/>
        </w:rPr>
        <w:t>Tilahun</w:t>
      </w:r>
      <w:proofErr w:type="spellEnd"/>
      <w:r w:rsidRPr="009F74BB">
        <w:rPr>
          <w:rFonts w:eastAsia="Times New Roman"/>
        </w:rPr>
        <w:t xml:space="preserve"> BC. Effect of mobile text message reminders on routine childhood vaccination: a systematic review and meta-analysis. </w:t>
      </w:r>
      <w:r w:rsidRPr="009F74BB">
        <w:rPr>
          <w:rStyle w:val="Emphasis"/>
          <w:rFonts w:eastAsia="Times New Roman"/>
          <w:b w:val="0"/>
          <w:bCs w:val="0"/>
        </w:rPr>
        <w:t>Syst Rev</w:t>
      </w:r>
      <w:r w:rsidRPr="009F74BB">
        <w:rPr>
          <w:rFonts w:eastAsia="Times New Roman"/>
        </w:rPr>
        <w:t xml:space="preserve">. 2019;8(1):154. </w:t>
      </w:r>
      <w:proofErr w:type="spellStart"/>
      <w:r w:rsidRPr="009F74BB">
        <w:rPr>
          <w:rFonts w:eastAsia="Times New Roman"/>
        </w:rPr>
        <w:t>doi</w:t>
      </w:r>
      <w:proofErr w:type="spellEnd"/>
      <w:r w:rsidRPr="009F74BB">
        <w:rPr>
          <w:rFonts w:eastAsia="Times New Roman"/>
        </w:rPr>
        <w:t xml:space="preserve">: https://doi.org/10.1186/s13643-019-1054-0. </w:t>
      </w:r>
    </w:p>
    <w:p w14:paraId="1E65543A" w14:textId="77777777" w:rsidR="00D92B14" w:rsidRPr="009F74BB" w:rsidRDefault="00D92B14" w:rsidP="009F74BB">
      <w:pPr>
        <w:pStyle w:val="ListParagraph"/>
        <w:numPr>
          <w:ilvl w:val="0"/>
          <w:numId w:val="12"/>
        </w:numPr>
        <w:rPr>
          <w:rFonts w:eastAsia="Times New Roman"/>
        </w:rPr>
      </w:pPr>
      <w:r w:rsidRPr="009F74BB">
        <w:rPr>
          <w:rFonts w:eastAsia="Times New Roman"/>
        </w:rPr>
        <w:t xml:space="preserve">Eze P, Lawani LO, Acharya Y. Short message service (SMS) reminders for childhood immunisation in low-income and middle-income countries: a systematic review and meta-analysis. </w:t>
      </w:r>
      <w:r w:rsidRPr="009F74BB">
        <w:rPr>
          <w:rStyle w:val="Emphasis"/>
          <w:rFonts w:eastAsia="Times New Roman"/>
          <w:b w:val="0"/>
          <w:bCs w:val="0"/>
        </w:rPr>
        <w:t>BMJ Glob Health</w:t>
      </w:r>
      <w:r w:rsidRPr="009F74BB">
        <w:rPr>
          <w:rFonts w:eastAsia="Times New Roman"/>
        </w:rPr>
        <w:t xml:space="preserve">. 2021;6(7). </w:t>
      </w:r>
      <w:proofErr w:type="spellStart"/>
      <w:r w:rsidRPr="009F74BB">
        <w:rPr>
          <w:rFonts w:eastAsia="Times New Roman"/>
        </w:rPr>
        <w:t>doi</w:t>
      </w:r>
      <w:proofErr w:type="spellEnd"/>
      <w:r w:rsidRPr="009F74BB">
        <w:rPr>
          <w:rFonts w:eastAsia="Times New Roman"/>
        </w:rPr>
        <w:t xml:space="preserve">: https://doi.org/10.1136/bmjgh-2021-005035. </w:t>
      </w:r>
    </w:p>
    <w:p w14:paraId="305D0565" w14:textId="77777777" w:rsidR="00D92B14" w:rsidRPr="009F74BB" w:rsidRDefault="00D92B14" w:rsidP="009F74BB">
      <w:pPr>
        <w:pStyle w:val="ListParagraph"/>
        <w:numPr>
          <w:ilvl w:val="0"/>
          <w:numId w:val="12"/>
        </w:numPr>
        <w:rPr>
          <w:rFonts w:eastAsia="Times New Roman"/>
        </w:rPr>
      </w:pPr>
      <w:r w:rsidRPr="009F74BB">
        <w:rPr>
          <w:rFonts w:eastAsia="Times New Roman"/>
        </w:rPr>
        <w:t xml:space="preserve">Menzies R, Heron L, Lampard J, McMillan M, Joseph T, Chan J et al. A randomised controlled trial of SMS messaging and calendar reminders to improve vaccination timeliness in infants. </w:t>
      </w:r>
      <w:r w:rsidRPr="009F74BB">
        <w:rPr>
          <w:rStyle w:val="Emphasis"/>
          <w:rFonts w:eastAsia="Times New Roman"/>
          <w:b w:val="0"/>
          <w:bCs w:val="0"/>
        </w:rPr>
        <w:t>Vaccine</w:t>
      </w:r>
      <w:r w:rsidRPr="009F74BB">
        <w:rPr>
          <w:rFonts w:eastAsia="Times New Roman"/>
        </w:rPr>
        <w:t xml:space="preserve">. 2020;38(15):3137–42. </w:t>
      </w:r>
      <w:proofErr w:type="spellStart"/>
      <w:r w:rsidRPr="009F74BB">
        <w:rPr>
          <w:rFonts w:eastAsia="Times New Roman"/>
        </w:rPr>
        <w:t>doi</w:t>
      </w:r>
      <w:proofErr w:type="spellEnd"/>
      <w:r w:rsidRPr="009F74BB">
        <w:rPr>
          <w:rFonts w:eastAsia="Times New Roman"/>
        </w:rPr>
        <w:t xml:space="preserve">: https://doi.org/10.1016/j.vaccine.2020.02.045. </w:t>
      </w:r>
    </w:p>
    <w:p w14:paraId="7BA4C2BD" w14:textId="77777777" w:rsidR="00D92B14" w:rsidRPr="009F74BB" w:rsidRDefault="00D92B14" w:rsidP="009F74BB">
      <w:pPr>
        <w:pStyle w:val="ListParagraph"/>
        <w:numPr>
          <w:ilvl w:val="0"/>
          <w:numId w:val="12"/>
        </w:numPr>
        <w:rPr>
          <w:rFonts w:eastAsia="Times New Roman"/>
        </w:rPr>
      </w:pPr>
      <w:r w:rsidRPr="009F74BB">
        <w:rPr>
          <w:rFonts w:eastAsia="Times New Roman"/>
        </w:rPr>
        <w:t xml:space="preserve">Gibson DG, Ochieng B, </w:t>
      </w:r>
      <w:proofErr w:type="spellStart"/>
      <w:r w:rsidRPr="009F74BB">
        <w:rPr>
          <w:rFonts w:eastAsia="Times New Roman"/>
        </w:rPr>
        <w:t>Kagucia</w:t>
      </w:r>
      <w:proofErr w:type="spellEnd"/>
      <w:r w:rsidRPr="009F74BB">
        <w:rPr>
          <w:rFonts w:eastAsia="Times New Roman"/>
        </w:rPr>
        <w:t xml:space="preserve"> EW, Were J, Hayford K, Moulton LH et al. Mobile phone-delivered reminders and incentives to improve childhood immunisation coverage and timeliness in Kenya (M-SIMU): a cluster randomised controlled trial. </w:t>
      </w:r>
      <w:r w:rsidRPr="009F74BB">
        <w:rPr>
          <w:rStyle w:val="Emphasis"/>
          <w:rFonts w:eastAsia="Times New Roman"/>
          <w:b w:val="0"/>
          <w:bCs w:val="0"/>
        </w:rPr>
        <w:t>Lancet Glob Health</w:t>
      </w:r>
      <w:r w:rsidRPr="009F74BB">
        <w:rPr>
          <w:rFonts w:eastAsia="Times New Roman"/>
        </w:rPr>
        <w:t>. 2017;5(4</w:t>
      </w:r>
      <w:proofErr w:type="gramStart"/>
      <w:r w:rsidRPr="009F74BB">
        <w:rPr>
          <w:rFonts w:eastAsia="Times New Roman"/>
        </w:rPr>
        <w:t>):e</w:t>
      </w:r>
      <w:proofErr w:type="gramEnd"/>
      <w:r w:rsidRPr="009F74BB">
        <w:rPr>
          <w:rFonts w:eastAsia="Times New Roman"/>
        </w:rPr>
        <w:t xml:space="preserve">428–38. </w:t>
      </w:r>
      <w:proofErr w:type="spellStart"/>
      <w:r w:rsidRPr="009F74BB">
        <w:rPr>
          <w:rFonts w:eastAsia="Times New Roman"/>
        </w:rPr>
        <w:t>doi</w:t>
      </w:r>
      <w:proofErr w:type="spellEnd"/>
      <w:r w:rsidRPr="009F74BB">
        <w:rPr>
          <w:rFonts w:eastAsia="Times New Roman"/>
        </w:rPr>
        <w:t xml:space="preserve">: https://doi.org/10.1016/S2214-109X(17)30072-4. </w:t>
      </w:r>
    </w:p>
    <w:p w14:paraId="7ACFBEB3" w14:textId="77777777" w:rsidR="00D92B14" w:rsidRPr="009F74BB" w:rsidRDefault="00D92B14" w:rsidP="009F74BB">
      <w:pPr>
        <w:pStyle w:val="ListParagraph"/>
        <w:numPr>
          <w:ilvl w:val="0"/>
          <w:numId w:val="12"/>
        </w:numPr>
        <w:rPr>
          <w:rFonts w:eastAsia="Times New Roman"/>
        </w:rPr>
      </w:pPr>
      <w:proofErr w:type="spellStart"/>
      <w:r w:rsidRPr="009F74BB">
        <w:rPr>
          <w:rFonts w:eastAsia="Times New Roman"/>
        </w:rPr>
        <w:t>Kazi</w:t>
      </w:r>
      <w:proofErr w:type="spellEnd"/>
      <w:r w:rsidRPr="009F74BB">
        <w:rPr>
          <w:rFonts w:eastAsia="Times New Roman"/>
        </w:rPr>
        <w:t xml:space="preserve"> AM. The role of mobile phone-based interventions to improve routine childhood immunisation coverage. </w:t>
      </w:r>
      <w:r w:rsidRPr="009F74BB">
        <w:rPr>
          <w:rStyle w:val="Emphasis"/>
          <w:rFonts w:eastAsia="Times New Roman"/>
          <w:b w:val="0"/>
          <w:bCs w:val="0"/>
        </w:rPr>
        <w:t>Lancet Glob Health</w:t>
      </w:r>
      <w:r w:rsidRPr="009F74BB">
        <w:rPr>
          <w:rFonts w:eastAsia="Times New Roman"/>
        </w:rPr>
        <w:t>. 2017;5(4</w:t>
      </w:r>
      <w:proofErr w:type="gramStart"/>
      <w:r w:rsidRPr="009F74BB">
        <w:rPr>
          <w:rFonts w:eastAsia="Times New Roman"/>
        </w:rPr>
        <w:t>):e</w:t>
      </w:r>
      <w:proofErr w:type="gramEnd"/>
      <w:r w:rsidRPr="009F74BB">
        <w:rPr>
          <w:rFonts w:eastAsia="Times New Roman"/>
        </w:rPr>
        <w:t xml:space="preserve">377–8. </w:t>
      </w:r>
      <w:proofErr w:type="spellStart"/>
      <w:r w:rsidRPr="009F74BB">
        <w:rPr>
          <w:rFonts w:eastAsia="Times New Roman"/>
        </w:rPr>
        <w:t>doi</w:t>
      </w:r>
      <w:proofErr w:type="spellEnd"/>
      <w:r w:rsidRPr="009F74BB">
        <w:rPr>
          <w:rFonts w:eastAsia="Times New Roman"/>
        </w:rPr>
        <w:t xml:space="preserve">: https://doi.org/10.1016/S2214-109X(17)30088-8. </w:t>
      </w:r>
    </w:p>
    <w:p w14:paraId="0ED3C48E" w14:textId="77777777" w:rsidR="00D92B14" w:rsidRPr="009F74BB" w:rsidRDefault="00D92B14" w:rsidP="009F74BB">
      <w:pPr>
        <w:pStyle w:val="ListParagraph"/>
        <w:numPr>
          <w:ilvl w:val="0"/>
          <w:numId w:val="12"/>
        </w:numPr>
        <w:rPr>
          <w:rFonts w:eastAsia="Times New Roman"/>
        </w:rPr>
      </w:pPr>
      <w:r w:rsidRPr="009F74BB">
        <w:rPr>
          <w:rFonts w:eastAsia="Times New Roman"/>
        </w:rPr>
        <w:t xml:space="preserve">Becker MH. The Health Belief Model and personal behaviour. </w:t>
      </w:r>
      <w:r w:rsidRPr="009F74BB">
        <w:rPr>
          <w:rStyle w:val="Emphasis"/>
          <w:rFonts w:eastAsia="Times New Roman"/>
          <w:b w:val="0"/>
          <w:bCs w:val="0"/>
        </w:rPr>
        <w:t xml:space="preserve">Health Educ </w:t>
      </w:r>
      <w:proofErr w:type="spellStart"/>
      <w:r w:rsidRPr="009F74BB">
        <w:rPr>
          <w:rStyle w:val="Emphasis"/>
          <w:rFonts w:eastAsia="Times New Roman"/>
          <w:b w:val="0"/>
          <w:bCs w:val="0"/>
        </w:rPr>
        <w:t>Monogr</w:t>
      </w:r>
      <w:proofErr w:type="spellEnd"/>
      <w:r w:rsidRPr="009F74BB">
        <w:rPr>
          <w:rFonts w:eastAsia="Times New Roman"/>
        </w:rPr>
        <w:t xml:space="preserve">. </w:t>
      </w:r>
      <w:proofErr w:type="gramStart"/>
      <w:r w:rsidRPr="009F74BB">
        <w:rPr>
          <w:rFonts w:eastAsia="Times New Roman"/>
        </w:rPr>
        <w:t>1974;2:324</w:t>
      </w:r>
      <w:proofErr w:type="gramEnd"/>
      <w:r w:rsidRPr="009F74BB">
        <w:rPr>
          <w:rFonts w:eastAsia="Times New Roman"/>
        </w:rPr>
        <w:t xml:space="preserve">–508. </w:t>
      </w:r>
    </w:p>
    <w:p w14:paraId="6D2821DF" w14:textId="77777777" w:rsidR="00D92B14" w:rsidRPr="009F74BB" w:rsidRDefault="00D92B14" w:rsidP="009F74BB">
      <w:pPr>
        <w:pStyle w:val="ListParagraph"/>
        <w:numPr>
          <w:ilvl w:val="0"/>
          <w:numId w:val="12"/>
        </w:numPr>
        <w:rPr>
          <w:rFonts w:eastAsia="Times New Roman"/>
        </w:rPr>
      </w:pPr>
      <w:proofErr w:type="spellStart"/>
      <w:r w:rsidRPr="009F74BB">
        <w:rPr>
          <w:rFonts w:eastAsia="Times New Roman"/>
        </w:rPr>
        <w:lastRenderedPageBreak/>
        <w:t>Gidding</w:t>
      </w:r>
      <w:proofErr w:type="spellEnd"/>
      <w:r w:rsidRPr="009F74BB">
        <w:rPr>
          <w:rFonts w:eastAsia="Times New Roman"/>
        </w:rPr>
        <w:t xml:space="preserve"> HF, Flack LK, Sheridan S, Liu B, Fathima P, </w:t>
      </w:r>
      <w:proofErr w:type="spellStart"/>
      <w:r w:rsidRPr="009F74BB">
        <w:rPr>
          <w:rFonts w:eastAsia="Times New Roman"/>
        </w:rPr>
        <w:t>Sheppeard</w:t>
      </w:r>
      <w:proofErr w:type="spellEnd"/>
      <w:r w:rsidRPr="009F74BB">
        <w:rPr>
          <w:rFonts w:eastAsia="Times New Roman"/>
        </w:rPr>
        <w:t xml:space="preserve"> V et al. Infant, </w:t>
      </w:r>
      <w:proofErr w:type="gramStart"/>
      <w:r w:rsidRPr="009F74BB">
        <w:rPr>
          <w:rFonts w:eastAsia="Times New Roman"/>
        </w:rPr>
        <w:t>maternal</w:t>
      </w:r>
      <w:proofErr w:type="gramEnd"/>
      <w:r w:rsidRPr="009F74BB">
        <w:rPr>
          <w:rFonts w:eastAsia="Times New Roman"/>
        </w:rPr>
        <w:t xml:space="preserve"> and demographic predictors of delayed vaccination: a population-based cohort study. </w:t>
      </w:r>
      <w:r w:rsidRPr="009F74BB">
        <w:rPr>
          <w:rStyle w:val="Emphasis"/>
          <w:rFonts w:eastAsia="Times New Roman"/>
          <w:b w:val="0"/>
          <w:bCs w:val="0"/>
        </w:rPr>
        <w:t>Vaccine</w:t>
      </w:r>
      <w:r w:rsidRPr="009F74BB">
        <w:rPr>
          <w:rFonts w:eastAsia="Times New Roman"/>
        </w:rPr>
        <w:t xml:space="preserve">. 2020;38(38)6057–64. </w:t>
      </w:r>
      <w:proofErr w:type="spellStart"/>
      <w:r w:rsidRPr="009F74BB">
        <w:rPr>
          <w:rFonts w:eastAsia="Times New Roman"/>
        </w:rPr>
        <w:t>doi</w:t>
      </w:r>
      <w:proofErr w:type="spellEnd"/>
      <w:r w:rsidRPr="009F74BB">
        <w:rPr>
          <w:rFonts w:eastAsia="Times New Roman"/>
        </w:rPr>
        <w:t xml:space="preserve">: https://doi.org/10.1016/j.vaccine.2019.09.091. </w:t>
      </w:r>
    </w:p>
    <w:p w14:paraId="37A8613F" w14:textId="77777777" w:rsidR="00D92B14" w:rsidRPr="009F74BB" w:rsidRDefault="00D92B14" w:rsidP="009F74BB">
      <w:pPr>
        <w:pStyle w:val="ListParagraph"/>
        <w:numPr>
          <w:ilvl w:val="0"/>
          <w:numId w:val="12"/>
        </w:numPr>
        <w:rPr>
          <w:rFonts w:eastAsia="Times New Roman"/>
        </w:rPr>
      </w:pPr>
      <w:r w:rsidRPr="009F74BB">
        <w:rPr>
          <w:rFonts w:eastAsia="Times New Roman"/>
        </w:rPr>
        <w:t xml:space="preserve">McCurdy K, </w:t>
      </w:r>
      <w:proofErr w:type="spellStart"/>
      <w:r w:rsidRPr="009F74BB">
        <w:rPr>
          <w:rFonts w:eastAsia="Times New Roman"/>
        </w:rPr>
        <w:t>Daro</w:t>
      </w:r>
      <w:proofErr w:type="spellEnd"/>
      <w:r w:rsidRPr="009F74BB">
        <w:rPr>
          <w:rFonts w:eastAsia="Times New Roman"/>
        </w:rPr>
        <w:t xml:space="preserve"> D, </w:t>
      </w:r>
      <w:proofErr w:type="spellStart"/>
      <w:r w:rsidRPr="009F74BB">
        <w:rPr>
          <w:rFonts w:eastAsia="Times New Roman"/>
        </w:rPr>
        <w:t>Anisfeld</w:t>
      </w:r>
      <w:proofErr w:type="spellEnd"/>
      <w:r w:rsidRPr="009F74BB">
        <w:rPr>
          <w:rFonts w:eastAsia="Times New Roman"/>
        </w:rPr>
        <w:t xml:space="preserve"> E, </w:t>
      </w:r>
      <w:proofErr w:type="spellStart"/>
      <w:r w:rsidRPr="009F74BB">
        <w:rPr>
          <w:rFonts w:eastAsia="Times New Roman"/>
        </w:rPr>
        <w:t>Katzev</w:t>
      </w:r>
      <w:proofErr w:type="spellEnd"/>
      <w:r w:rsidRPr="009F74BB">
        <w:rPr>
          <w:rFonts w:eastAsia="Times New Roman"/>
        </w:rPr>
        <w:t xml:space="preserve"> A, </w:t>
      </w:r>
      <w:proofErr w:type="spellStart"/>
      <w:r w:rsidRPr="009F74BB">
        <w:rPr>
          <w:rFonts w:eastAsia="Times New Roman"/>
        </w:rPr>
        <w:t>Keim</w:t>
      </w:r>
      <w:proofErr w:type="spellEnd"/>
      <w:r w:rsidRPr="009F74BB">
        <w:rPr>
          <w:rFonts w:eastAsia="Times New Roman"/>
        </w:rPr>
        <w:t xml:space="preserve"> A, </w:t>
      </w:r>
      <w:proofErr w:type="spellStart"/>
      <w:r w:rsidRPr="009F74BB">
        <w:rPr>
          <w:rFonts w:eastAsia="Times New Roman"/>
        </w:rPr>
        <w:t>Lecroy</w:t>
      </w:r>
      <w:proofErr w:type="spellEnd"/>
      <w:r w:rsidRPr="009F74BB">
        <w:rPr>
          <w:rFonts w:eastAsia="Times New Roman"/>
        </w:rPr>
        <w:t xml:space="preserve"> C et al. Understanding maternal intentions to engage in home visiting programs. </w:t>
      </w:r>
      <w:r w:rsidRPr="009F74BB">
        <w:rPr>
          <w:rStyle w:val="Emphasis"/>
          <w:rFonts w:eastAsia="Times New Roman"/>
          <w:b w:val="0"/>
          <w:bCs w:val="0"/>
        </w:rPr>
        <w:t>Child Youth Serv Rev</w:t>
      </w:r>
      <w:r w:rsidRPr="009F74BB">
        <w:rPr>
          <w:rFonts w:eastAsia="Times New Roman"/>
        </w:rPr>
        <w:t xml:space="preserve">. 2006;28(10):1195–212. </w:t>
      </w:r>
      <w:proofErr w:type="spellStart"/>
      <w:r w:rsidRPr="009F74BB">
        <w:rPr>
          <w:rFonts w:eastAsia="Times New Roman"/>
        </w:rPr>
        <w:t>doi</w:t>
      </w:r>
      <w:proofErr w:type="spellEnd"/>
      <w:r w:rsidRPr="009F74BB">
        <w:rPr>
          <w:rFonts w:eastAsia="Times New Roman"/>
        </w:rPr>
        <w:t xml:space="preserve">: https://doi.org/10.1016/j.childyouth.2005.11.010. </w:t>
      </w:r>
    </w:p>
    <w:p w14:paraId="51A783D4" w14:textId="77777777" w:rsidR="00D92B14" w:rsidRPr="009F74BB" w:rsidRDefault="00D92B14" w:rsidP="009F74BB">
      <w:pPr>
        <w:pStyle w:val="ListParagraph"/>
        <w:numPr>
          <w:ilvl w:val="0"/>
          <w:numId w:val="12"/>
        </w:numPr>
        <w:rPr>
          <w:rFonts w:eastAsia="Times New Roman"/>
        </w:rPr>
      </w:pPr>
      <w:r w:rsidRPr="009F74BB">
        <w:rPr>
          <w:rFonts w:eastAsia="Times New Roman"/>
        </w:rPr>
        <w:t xml:space="preserve">Tandon SD, </w:t>
      </w:r>
      <w:proofErr w:type="spellStart"/>
      <w:r w:rsidRPr="009F74BB">
        <w:rPr>
          <w:rFonts w:eastAsia="Times New Roman"/>
        </w:rPr>
        <w:t>Parillo</w:t>
      </w:r>
      <w:proofErr w:type="spellEnd"/>
      <w:r w:rsidRPr="009F74BB">
        <w:rPr>
          <w:rFonts w:eastAsia="Times New Roman"/>
        </w:rPr>
        <w:t xml:space="preserve"> K, Mercer C, Keefer M, Duggan AK. Engagement in paraprofessional home visitation: families’ reasons for </w:t>
      </w:r>
      <w:proofErr w:type="spellStart"/>
      <w:r w:rsidRPr="009F74BB">
        <w:rPr>
          <w:rFonts w:eastAsia="Times New Roman"/>
        </w:rPr>
        <w:t>enrollment</w:t>
      </w:r>
      <w:proofErr w:type="spellEnd"/>
      <w:r w:rsidRPr="009F74BB">
        <w:rPr>
          <w:rFonts w:eastAsia="Times New Roman"/>
        </w:rPr>
        <w:t xml:space="preserve"> and program response to identified reasons. </w:t>
      </w:r>
      <w:proofErr w:type="spellStart"/>
      <w:r w:rsidRPr="009F74BB">
        <w:rPr>
          <w:rStyle w:val="Emphasis"/>
          <w:rFonts w:eastAsia="Times New Roman"/>
          <w:b w:val="0"/>
          <w:bCs w:val="0"/>
        </w:rPr>
        <w:t>Womens</w:t>
      </w:r>
      <w:proofErr w:type="spellEnd"/>
      <w:r w:rsidRPr="009F74BB">
        <w:rPr>
          <w:rStyle w:val="Emphasis"/>
          <w:rFonts w:eastAsia="Times New Roman"/>
          <w:b w:val="0"/>
          <w:bCs w:val="0"/>
        </w:rPr>
        <w:t xml:space="preserve"> Health Issues</w:t>
      </w:r>
      <w:r w:rsidRPr="009F74BB">
        <w:rPr>
          <w:rFonts w:eastAsia="Times New Roman"/>
        </w:rPr>
        <w:t xml:space="preserve">. 2008;18(2):118–29. </w:t>
      </w:r>
      <w:proofErr w:type="spellStart"/>
      <w:r w:rsidRPr="009F74BB">
        <w:rPr>
          <w:rFonts w:eastAsia="Times New Roman"/>
        </w:rPr>
        <w:t>doi</w:t>
      </w:r>
      <w:proofErr w:type="spellEnd"/>
      <w:r w:rsidRPr="009F74BB">
        <w:rPr>
          <w:rFonts w:eastAsia="Times New Roman"/>
        </w:rPr>
        <w:t xml:space="preserve">: https://doi.org/10.1016/j.whi.2007.10.005. </w:t>
      </w:r>
    </w:p>
    <w:p w14:paraId="227942F8" w14:textId="77777777" w:rsidR="00D92B14" w:rsidRPr="009F74BB" w:rsidRDefault="00D92B14" w:rsidP="009F74BB">
      <w:pPr>
        <w:pStyle w:val="ListParagraph"/>
        <w:numPr>
          <w:ilvl w:val="0"/>
          <w:numId w:val="12"/>
        </w:numPr>
        <w:rPr>
          <w:rFonts w:eastAsia="Times New Roman"/>
        </w:rPr>
      </w:pPr>
      <w:r w:rsidRPr="009F74BB">
        <w:rPr>
          <w:rFonts w:eastAsia="Times New Roman"/>
        </w:rPr>
        <w:t xml:space="preserve">Munns A, Watts R, </w:t>
      </w:r>
      <w:proofErr w:type="spellStart"/>
      <w:r w:rsidRPr="009F74BB">
        <w:rPr>
          <w:rFonts w:eastAsia="Times New Roman"/>
        </w:rPr>
        <w:t>Hegney</w:t>
      </w:r>
      <w:proofErr w:type="spellEnd"/>
      <w:r w:rsidRPr="009F74BB">
        <w:rPr>
          <w:rFonts w:eastAsia="Times New Roman"/>
        </w:rPr>
        <w:t xml:space="preserve"> D, Walker R. Effectiveness and experiences of families and support workers participating in peer-led parenting support programs delivered as home visiting programs: a comprehensive systematic review. </w:t>
      </w:r>
      <w:r w:rsidRPr="009F74BB">
        <w:rPr>
          <w:rStyle w:val="Emphasis"/>
          <w:rFonts w:eastAsia="Times New Roman"/>
          <w:b w:val="0"/>
          <w:bCs w:val="0"/>
        </w:rPr>
        <w:t>JBI Database System Rev Implement Rep</w:t>
      </w:r>
      <w:r w:rsidRPr="009F74BB">
        <w:rPr>
          <w:rFonts w:eastAsia="Times New Roman"/>
        </w:rPr>
        <w:t xml:space="preserve">. 2016;14(10):167–208. </w:t>
      </w:r>
      <w:proofErr w:type="spellStart"/>
      <w:r w:rsidRPr="009F74BB">
        <w:rPr>
          <w:rFonts w:eastAsia="Times New Roman"/>
        </w:rPr>
        <w:t>doi</w:t>
      </w:r>
      <w:proofErr w:type="spellEnd"/>
      <w:r w:rsidRPr="009F74BB">
        <w:rPr>
          <w:rFonts w:eastAsia="Times New Roman"/>
        </w:rPr>
        <w:t xml:space="preserve">: https://doi.org/10.11124/JBISRIR-2016-003166. </w:t>
      </w:r>
    </w:p>
    <w:p w14:paraId="210AED9A" w14:textId="77777777" w:rsidR="00D92B14" w:rsidRPr="009F74BB" w:rsidRDefault="00D92B14" w:rsidP="009F74BB">
      <w:pPr>
        <w:pStyle w:val="ListParagraph"/>
        <w:numPr>
          <w:ilvl w:val="0"/>
          <w:numId w:val="12"/>
        </w:numPr>
        <w:rPr>
          <w:rFonts w:eastAsia="Times New Roman"/>
        </w:rPr>
      </w:pPr>
      <w:r w:rsidRPr="009F74BB">
        <w:rPr>
          <w:rFonts w:eastAsia="Times New Roman"/>
        </w:rPr>
        <w:t xml:space="preserve">Kaufman J, </w:t>
      </w:r>
      <w:proofErr w:type="spellStart"/>
      <w:r w:rsidRPr="009F74BB">
        <w:rPr>
          <w:rFonts w:eastAsia="Times New Roman"/>
        </w:rPr>
        <w:t>Attwell</w:t>
      </w:r>
      <w:proofErr w:type="spellEnd"/>
      <w:r w:rsidRPr="009F74BB">
        <w:rPr>
          <w:rFonts w:eastAsia="Times New Roman"/>
        </w:rPr>
        <w:t xml:space="preserve"> K, Tuckerman J, O’Sullivan J, Omer SB, Leask J et al. Feasibility and acceptability of the multi-component P3-MumBubVax antenatal intervention to promote maternal and childhood vaccination: a pilot study. </w:t>
      </w:r>
      <w:r w:rsidRPr="009F74BB">
        <w:rPr>
          <w:rStyle w:val="Emphasis"/>
          <w:rFonts w:eastAsia="Times New Roman"/>
          <w:b w:val="0"/>
          <w:bCs w:val="0"/>
        </w:rPr>
        <w:t>Vaccine</w:t>
      </w:r>
      <w:r w:rsidRPr="009F74BB">
        <w:rPr>
          <w:rFonts w:eastAsia="Times New Roman"/>
        </w:rPr>
        <w:t xml:space="preserve">. 2020;38(24):4024–31. </w:t>
      </w:r>
      <w:proofErr w:type="spellStart"/>
      <w:r w:rsidRPr="009F74BB">
        <w:rPr>
          <w:rFonts w:eastAsia="Times New Roman"/>
        </w:rPr>
        <w:t>doi</w:t>
      </w:r>
      <w:proofErr w:type="spellEnd"/>
      <w:r w:rsidRPr="009F74BB">
        <w:rPr>
          <w:rFonts w:eastAsia="Times New Roman"/>
        </w:rPr>
        <w:t>: https://doi.org/10.1016/j.vaccine.2020.04.010.</w:t>
      </w:r>
    </w:p>
    <w:p w14:paraId="6812BB47" w14:textId="77777777" w:rsidR="0037437E" w:rsidRDefault="0037437E" w:rsidP="001042D7">
      <w:pPr>
        <w:pStyle w:val="Heading1"/>
        <w:sectPr w:rsidR="0037437E" w:rsidSect="00A30C37">
          <w:pgSz w:w="11906" w:h="16838"/>
          <w:pgMar w:top="720" w:right="720" w:bottom="1134" w:left="720" w:header="709" w:footer="284" w:gutter="0"/>
          <w:cols w:space="708"/>
          <w:titlePg/>
          <w:docGrid w:linePitch="360"/>
        </w:sectPr>
      </w:pPr>
    </w:p>
    <w:p w14:paraId="3B49E7B1" w14:textId="30A94041" w:rsidR="00D92B14" w:rsidRDefault="00D92B14" w:rsidP="001042D7">
      <w:pPr>
        <w:pStyle w:val="Heading1"/>
      </w:pPr>
      <w:r w:rsidRPr="001042D7">
        <w:lastRenderedPageBreak/>
        <w:t xml:space="preserve">Appendix A: Supplementary data </w:t>
      </w:r>
    </w:p>
    <w:p w14:paraId="6C57121D" w14:textId="77777777" w:rsidR="0037437E" w:rsidRPr="00DF6CFB" w:rsidRDefault="0037437E" w:rsidP="004C247C">
      <w:pPr>
        <w:pStyle w:val="CDIFigures"/>
      </w:pPr>
      <w:r w:rsidRPr="00DF6CFB">
        <w:rPr>
          <w:rStyle w:val="Strong"/>
          <w:b/>
          <w:bCs w:val="0"/>
        </w:rPr>
        <w:t>Table A.1: Baseline characteristics of enrolled women</w:t>
      </w:r>
    </w:p>
    <w:tbl>
      <w:tblPr>
        <w:tblStyle w:val="CDI-StandardTable"/>
        <w:tblW w:w="0" w:type="auto"/>
        <w:tblLook w:val="04A0" w:firstRow="1" w:lastRow="0" w:firstColumn="1" w:lastColumn="0" w:noHBand="0" w:noVBand="1"/>
      </w:tblPr>
      <w:tblGrid>
        <w:gridCol w:w="7740"/>
        <w:gridCol w:w="1620"/>
        <w:gridCol w:w="1440"/>
        <w:gridCol w:w="1440"/>
        <w:gridCol w:w="2700"/>
      </w:tblGrid>
      <w:tr w:rsidR="0037437E" w:rsidRPr="003E19C7" w14:paraId="17A0F5D7" w14:textId="77777777" w:rsidTr="0004093E">
        <w:trPr>
          <w:cnfStyle w:val="100000000000" w:firstRow="1" w:lastRow="0" w:firstColumn="0" w:lastColumn="0" w:oddVBand="0" w:evenVBand="0" w:oddHBand="0" w:evenHBand="0" w:firstRowFirstColumn="0" w:firstRowLastColumn="0" w:lastRowFirstColumn="0" w:lastRowLastColumn="0"/>
          <w:tblHeader/>
        </w:trPr>
        <w:tc>
          <w:tcPr>
            <w:tcW w:w="7740" w:type="dxa"/>
            <w:tcBorders>
              <w:right w:val="single" w:sz="2" w:space="0" w:color="FFFFFF" w:themeColor="background1"/>
            </w:tcBorders>
            <w:vAlign w:val="center"/>
            <w:hideMark/>
          </w:tcPr>
          <w:p w14:paraId="635EDF24" w14:textId="77777777" w:rsidR="0037437E" w:rsidRPr="003E19C7" w:rsidRDefault="0037437E" w:rsidP="0004093E">
            <w:pPr>
              <w:pStyle w:val="NormalWeb"/>
              <w:rPr>
                <w:color w:val="FFFFFF" w:themeColor="background1"/>
                <w:sz w:val="18"/>
                <w:szCs w:val="18"/>
              </w:rPr>
            </w:pPr>
            <w:r w:rsidRPr="003E19C7">
              <w:rPr>
                <w:color w:val="FFFFFF" w:themeColor="background1"/>
                <w:sz w:val="18"/>
                <w:szCs w:val="18"/>
              </w:rPr>
              <w:t>Characteristic</w:t>
            </w:r>
          </w:p>
        </w:tc>
        <w:tc>
          <w:tcPr>
            <w:tcW w:w="1620" w:type="dxa"/>
            <w:tcBorders>
              <w:left w:val="single" w:sz="2" w:space="0" w:color="FFFFFF" w:themeColor="background1"/>
              <w:right w:val="single" w:sz="2" w:space="0" w:color="FFFFFF" w:themeColor="background1"/>
            </w:tcBorders>
            <w:hideMark/>
          </w:tcPr>
          <w:p w14:paraId="49A3449D" w14:textId="77777777" w:rsidR="0037437E" w:rsidRPr="003E19C7" w:rsidRDefault="0037437E" w:rsidP="0004093E">
            <w:pPr>
              <w:pStyle w:val="NormalWeb"/>
              <w:jc w:val="center"/>
              <w:rPr>
                <w:color w:val="FFFFFF" w:themeColor="background1"/>
                <w:sz w:val="18"/>
                <w:szCs w:val="18"/>
              </w:rPr>
            </w:pPr>
            <w:r w:rsidRPr="003E19C7">
              <w:rPr>
                <w:color w:val="FFFFFF" w:themeColor="background1"/>
                <w:sz w:val="18"/>
                <w:szCs w:val="18"/>
              </w:rPr>
              <w:t>Simple SMS</w:t>
            </w:r>
            <w:r w:rsidRPr="003E19C7">
              <w:rPr>
                <w:color w:val="FFFFFF" w:themeColor="background1"/>
                <w:sz w:val="18"/>
                <w:szCs w:val="18"/>
              </w:rPr>
              <w:br/>
              <w:t>(N = 64)</w:t>
            </w:r>
          </w:p>
        </w:tc>
        <w:tc>
          <w:tcPr>
            <w:tcW w:w="1440" w:type="dxa"/>
            <w:tcBorders>
              <w:left w:val="single" w:sz="2" w:space="0" w:color="FFFFFF" w:themeColor="background1"/>
              <w:right w:val="single" w:sz="2" w:space="0" w:color="FFFFFF" w:themeColor="background1"/>
            </w:tcBorders>
            <w:hideMark/>
          </w:tcPr>
          <w:p w14:paraId="178C2164" w14:textId="77777777" w:rsidR="0037437E" w:rsidRPr="003E19C7" w:rsidRDefault="0037437E" w:rsidP="0004093E">
            <w:pPr>
              <w:pStyle w:val="NormalWeb"/>
              <w:jc w:val="center"/>
              <w:rPr>
                <w:color w:val="FFFFFF" w:themeColor="background1"/>
                <w:sz w:val="18"/>
                <w:szCs w:val="18"/>
              </w:rPr>
            </w:pPr>
            <w:r w:rsidRPr="003E19C7">
              <w:rPr>
                <w:color w:val="FFFFFF" w:themeColor="background1"/>
                <w:sz w:val="18"/>
                <w:szCs w:val="18"/>
              </w:rPr>
              <w:t>ESMS±S</w:t>
            </w:r>
            <w:r w:rsidRPr="003E19C7">
              <w:rPr>
                <w:color w:val="FFFFFF" w:themeColor="background1"/>
                <w:sz w:val="18"/>
                <w:szCs w:val="18"/>
              </w:rPr>
              <w:br/>
              <w:t>(N = 65)</w:t>
            </w:r>
          </w:p>
        </w:tc>
        <w:tc>
          <w:tcPr>
            <w:tcW w:w="1440" w:type="dxa"/>
            <w:tcBorders>
              <w:left w:val="single" w:sz="2" w:space="0" w:color="FFFFFF" w:themeColor="background1"/>
              <w:right w:val="single" w:sz="2" w:space="0" w:color="FFFFFF" w:themeColor="background1"/>
            </w:tcBorders>
            <w:hideMark/>
          </w:tcPr>
          <w:p w14:paraId="75E9B172" w14:textId="77777777" w:rsidR="0037437E" w:rsidRPr="003E19C7" w:rsidRDefault="0037437E" w:rsidP="0004093E">
            <w:pPr>
              <w:pStyle w:val="NormalWeb"/>
              <w:jc w:val="center"/>
              <w:rPr>
                <w:color w:val="FFFFFF" w:themeColor="background1"/>
                <w:sz w:val="18"/>
                <w:szCs w:val="18"/>
              </w:rPr>
            </w:pPr>
            <w:r w:rsidRPr="003E19C7">
              <w:rPr>
                <w:color w:val="FFFFFF" w:themeColor="background1"/>
                <w:sz w:val="18"/>
                <w:szCs w:val="18"/>
              </w:rPr>
              <w:t>Control</w:t>
            </w:r>
            <w:r w:rsidRPr="003E19C7">
              <w:rPr>
                <w:color w:val="FFFFFF" w:themeColor="background1"/>
                <w:sz w:val="18"/>
                <w:szCs w:val="18"/>
              </w:rPr>
              <w:br/>
              <w:t>(N = 67)</w:t>
            </w:r>
          </w:p>
        </w:tc>
        <w:tc>
          <w:tcPr>
            <w:tcW w:w="2700" w:type="dxa"/>
            <w:tcBorders>
              <w:left w:val="single" w:sz="2" w:space="0" w:color="FFFFFF" w:themeColor="background1"/>
            </w:tcBorders>
            <w:hideMark/>
          </w:tcPr>
          <w:p w14:paraId="2149647E" w14:textId="77777777" w:rsidR="0037437E" w:rsidRPr="003E19C7" w:rsidRDefault="0037437E" w:rsidP="0004093E">
            <w:pPr>
              <w:pStyle w:val="NormalWeb"/>
              <w:jc w:val="center"/>
              <w:rPr>
                <w:color w:val="FFFFFF" w:themeColor="background1"/>
                <w:sz w:val="18"/>
                <w:szCs w:val="18"/>
              </w:rPr>
            </w:pPr>
            <w:r w:rsidRPr="003E19C7">
              <w:rPr>
                <w:color w:val="FFFFFF" w:themeColor="background1"/>
                <w:sz w:val="18"/>
                <w:szCs w:val="18"/>
              </w:rPr>
              <w:t>Infant not randomised</w:t>
            </w:r>
            <w:r w:rsidRPr="003E19C7">
              <w:rPr>
                <w:color w:val="FFFFFF" w:themeColor="background1"/>
                <w:sz w:val="18"/>
                <w:szCs w:val="18"/>
              </w:rPr>
              <w:br/>
              <w:t>(N = 114)</w:t>
            </w:r>
          </w:p>
        </w:tc>
      </w:tr>
      <w:tr w:rsidR="0037437E" w:rsidRPr="003E19C7" w14:paraId="2BEEC951" w14:textId="77777777" w:rsidTr="000F3A27">
        <w:tblPrEx>
          <w:tblCellMar>
            <w:top w:w="57" w:type="dxa"/>
            <w:left w:w="57" w:type="dxa"/>
            <w:bottom w:w="57" w:type="dxa"/>
            <w:right w:w="57" w:type="dxa"/>
          </w:tblCellMar>
        </w:tblPrEx>
        <w:tc>
          <w:tcPr>
            <w:tcW w:w="7740" w:type="dxa"/>
            <w:shd w:val="clear" w:color="auto" w:fill="595959" w:themeFill="text1" w:themeFillTint="A6"/>
            <w:hideMark/>
          </w:tcPr>
          <w:p w14:paraId="1503F833" w14:textId="77777777" w:rsidR="0037437E" w:rsidRPr="003E19C7" w:rsidRDefault="0037437E" w:rsidP="008603FB">
            <w:pPr>
              <w:pStyle w:val="NormalWeb"/>
              <w:rPr>
                <w:b/>
                <w:bCs/>
                <w:color w:val="FFFFFF" w:themeColor="background1"/>
                <w:sz w:val="18"/>
                <w:szCs w:val="18"/>
              </w:rPr>
            </w:pPr>
            <w:r w:rsidRPr="003E19C7">
              <w:rPr>
                <w:b/>
                <w:bCs/>
                <w:color w:val="FFFFFF" w:themeColor="background1"/>
                <w:sz w:val="18"/>
                <w:szCs w:val="18"/>
              </w:rPr>
              <w:t>Mother’s age at enrolment (years)</w:t>
            </w:r>
          </w:p>
        </w:tc>
        <w:tc>
          <w:tcPr>
            <w:tcW w:w="1620" w:type="dxa"/>
            <w:shd w:val="clear" w:color="auto" w:fill="595959" w:themeFill="text1" w:themeFillTint="A6"/>
            <w:hideMark/>
          </w:tcPr>
          <w:p w14:paraId="54556DC1" w14:textId="77777777" w:rsidR="0037437E" w:rsidRPr="003E19C7" w:rsidRDefault="0037437E" w:rsidP="008603FB">
            <w:pPr>
              <w:jc w:val="center"/>
              <w:rPr>
                <w:b/>
                <w:bCs/>
                <w:color w:val="FFFFFF" w:themeColor="background1"/>
                <w:sz w:val="18"/>
                <w:szCs w:val="18"/>
              </w:rPr>
            </w:pPr>
          </w:p>
        </w:tc>
        <w:tc>
          <w:tcPr>
            <w:tcW w:w="1440" w:type="dxa"/>
            <w:shd w:val="clear" w:color="auto" w:fill="595959" w:themeFill="text1" w:themeFillTint="A6"/>
            <w:hideMark/>
          </w:tcPr>
          <w:p w14:paraId="6C606BEA" w14:textId="77777777" w:rsidR="0037437E" w:rsidRPr="003E19C7" w:rsidRDefault="0037437E"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4A18D1F0" w14:textId="77777777" w:rsidR="0037437E" w:rsidRPr="003E19C7" w:rsidRDefault="0037437E" w:rsidP="008603FB">
            <w:pPr>
              <w:jc w:val="center"/>
              <w:rPr>
                <w:rFonts w:eastAsia="Times New Roman"/>
                <w:b/>
                <w:bCs/>
                <w:color w:val="FFFFFF" w:themeColor="background1"/>
                <w:sz w:val="18"/>
                <w:szCs w:val="18"/>
              </w:rPr>
            </w:pPr>
          </w:p>
        </w:tc>
        <w:tc>
          <w:tcPr>
            <w:tcW w:w="2700" w:type="dxa"/>
            <w:shd w:val="clear" w:color="auto" w:fill="595959" w:themeFill="text1" w:themeFillTint="A6"/>
            <w:hideMark/>
          </w:tcPr>
          <w:p w14:paraId="353ACD9D" w14:textId="77777777" w:rsidR="0037437E" w:rsidRPr="003E19C7" w:rsidRDefault="0037437E" w:rsidP="008603FB">
            <w:pPr>
              <w:jc w:val="center"/>
              <w:rPr>
                <w:rFonts w:eastAsia="Times New Roman"/>
                <w:b/>
                <w:bCs/>
                <w:color w:val="FFFFFF" w:themeColor="background1"/>
                <w:sz w:val="18"/>
                <w:szCs w:val="18"/>
              </w:rPr>
            </w:pPr>
          </w:p>
        </w:tc>
      </w:tr>
      <w:tr w:rsidR="0037437E" w:rsidRPr="003E19C7" w14:paraId="3613696C"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02ADF4A2" w14:textId="77777777" w:rsidR="0037437E" w:rsidRPr="003E19C7" w:rsidRDefault="0037437E" w:rsidP="008603FB">
            <w:pPr>
              <w:pStyle w:val="NormalWeb"/>
              <w:rPr>
                <w:sz w:val="18"/>
                <w:szCs w:val="18"/>
              </w:rPr>
            </w:pPr>
            <w:r w:rsidRPr="003E19C7">
              <w:rPr>
                <w:sz w:val="18"/>
                <w:szCs w:val="18"/>
              </w:rPr>
              <w:t>Mean (SD)</w:t>
            </w:r>
          </w:p>
        </w:tc>
        <w:tc>
          <w:tcPr>
            <w:tcW w:w="1620" w:type="dxa"/>
            <w:hideMark/>
          </w:tcPr>
          <w:p w14:paraId="668E93E9" w14:textId="77777777" w:rsidR="0037437E" w:rsidRPr="003E19C7" w:rsidRDefault="0037437E" w:rsidP="008603FB">
            <w:pPr>
              <w:pStyle w:val="NormalWeb"/>
              <w:jc w:val="center"/>
              <w:rPr>
                <w:sz w:val="18"/>
                <w:szCs w:val="18"/>
              </w:rPr>
            </w:pPr>
            <w:r w:rsidRPr="003E19C7">
              <w:rPr>
                <w:sz w:val="18"/>
                <w:szCs w:val="18"/>
              </w:rPr>
              <w:t>29.1 (5.5)</w:t>
            </w:r>
          </w:p>
        </w:tc>
        <w:tc>
          <w:tcPr>
            <w:tcW w:w="1440" w:type="dxa"/>
            <w:hideMark/>
          </w:tcPr>
          <w:p w14:paraId="06CD402B" w14:textId="77777777" w:rsidR="0037437E" w:rsidRPr="003E19C7" w:rsidRDefault="0037437E" w:rsidP="008603FB">
            <w:pPr>
              <w:pStyle w:val="NormalWeb"/>
              <w:jc w:val="center"/>
              <w:rPr>
                <w:sz w:val="18"/>
                <w:szCs w:val="18"/>
              </w:rPr>
            </w:pPr>
            <w:r w:rsidRPr="003E19C7">
              <w:rPr>
                <w:sz w:val="18"/>
                <w:szCs w:val="18"/>
              </w:rPr>
              <w:t>29.4 (5.6)</w:t>
            </w:r>
          </w:p>
        </w:tc>
        <w:tc>
          <w:tcPr>
            <w:tcW w:w="1440" w:type="dxa"/>
            <w:hideMark/>
          </w:tcPr>
          <w:p w14:paraId="0B237908" w14:textId="77777777" w:rsidR="0037437E" w:rsidRPr="003E19C7" w:rsidRDefault="0037437E" w:rsidP="008603FB">
            <w:pPr>
              <w:pStyle w:val="NormalWeb"/>
              <w:jc w:val="center"/>
              <w:rPr>
                <w:sz w:val="18"/>
                <w:szCs w:val="18"/>
              </w:rPr>
            </w:pPr>
            <w:r w:rsidRPr="003E19C7">
              <w:rPr>
                <w:sz w:val="18"/>
                <w:szCs w:val="18"/>
              </w:rPr>
              <w:t>30.0 (5.7)</w:t>
            </w:r>
          </w:p>
        </w:tc>
        <w:tc>
          <w:tcPr>
            <w:tcW w:w="2700" w:type="dxa"/>
            <w:hideMark/>
          </w:tcPr>
          <w:p w14:paraId="6AE6DF5A" w14:textId="77777777" w:rsidR="0037437E" w:rsidRPr="003E19C7" w:rsidRDefault="0037437E" w:rsidP="008603FB">
            <w:pPr>
              <w:pStyle w:val="NormalWeb"/>
              <w:jc w:val="center"/>
              <w:rPr>
                <w:sz w:val="18"/>
                <w:szCs w:val="18"/>
              </w:rPr>
            </w:pPr>
            <w:r w:rsidRPr="003E19C7">
              <w:rPr>
                <w:sz w:val="18"/>
                <w:szCs w:val="18"/>
              </w:rPr>
              <w:t>27.2 (6.2)</w:t>
            </w:r>
          </w:p>
        </w:tc>
      </w:tr>
      <w:tr w:rsidR="0037437E" w:rsidRPr="003E19C7" w14:paraId="12387A47" w14:textId="77777777" w:rsidTr="000F3A27">
        <w:tblPrEx>
          <w:tblCellMar>
            <w:top w:w="57" w:type="dxa"/>
            <w:left w:w="57" w:type="dxa"/>
            <w:bottom w:w="57" w:type="dxa"/>
            <w:right w:w="57" w:type="dxa"/>
          </w:tblCellMar>
        </w:tblPrEx>
        <w:tc>
          <w:tcPr>
            <w:tcW w:w="7740" w:type="dxa"/>
            <w:shd w:val="clear" w:color="auto" w:fill="595959" w:themeFill="text1" w:themeFillTint="A6"/>
            <w:hideMark/>
          </w:tcPr>
          <w:p w14:paraId="21C0131A" w14:textId="77777777" w:rsidR="0037437E" w:rsidRPr="003E19C7" w:rsidRDefault="0037437E" w:rsidP="008603FB">
            <w:pPr>
              <w:pStyle w:val="NormalWeb"/>
              <w:rPr>
                <w:b/>
                <w:bCs/>
                <w:color w:val="FFFFFF" w:themeColor="background1"/>
                <w:sz w:val="18"/>
                <w:szCs w:val="18"/>
              </w:rPr>
            </w:pPr>
            <w:r w:rsidRPr="003E19C7">
              <w:rPr>
                <w:b/>
                <w:bCs/>
                <w:color w:val="FFFFFF" w:themeColor="background1"/>
                <w:sz w:val="18"/>
                <w:szCs w:val="18"/>
              </w:rPr>
              <w:t>Gestation at enrolment (weeks)</w:t>
            </w:r>
          </w:p>
        </w:tc>
        <w:tc>
          <w:tcPr>
            <w:tcW w:w="1620" w:type="dxa"/>
            <w:shd w:val="clear" w:color="auto" w:fill="595959" w:themeFill="text1" w:themeFillTint="A6"/>
            <w:hideMark/>
          </w:tcPr>
          <w:p w14:paraId="60A98F21" w14:textId="77777777" w:rsidR="0037437E" w:rsidRPr="003E19C7" w:rsidRDefault="0037437E" w:rsidP="008603FB">
            <w:pPr>
              <w:jc w:val="center"/>
              <w:rPr>
                <w:b/>
                <w:bCs/>
                <w:color w:val="FFFFFF" w:themeColor="background1"/>
                <w:sz w:val="18"/>
                <w:szCs w:val="18"/>
              </w:rPr>
            </w:pPr>
          </w:p>
        </w:tc>
        <w:tc>
          <w:tcPr>
            <w:tcW w:w="1440" w:type="dxa"/>
            <w:shd w:val="clear" w:color="auto" w:fill="595959" w:themeFill="text1" w:themeFillTint="A6"/>
            <w:hideMark/>
          </w:tcPr>
          <w:p w14:paraId="63E4D827" w14:textId="77777777" w:rsidR="0037437E" w:rsidRPr="003E19C7" w:rsidRDefault="0037437E"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5D4530F9" w14:textId="77777777" w:rsidR="0037437E" w:rsidRPr="003E19C7" w:rsidRDefault="0037437E" w:rsidP="008603FB">
            <w:pPr>
              <w:jc w:val="center"/>
              <w:rPr>
                <w:rFonts w:eastAsia="Times New Roman"/>
                <w:b/>
                <w:bCs/>
                <w:color w:val="FFFFFF" w:themeColor="background1"/>
                <w:sz w:val="18"/>
                <w:szCs w:val="18"/>
              </w:rPr>
            </w:pPr>
          </w:p>
        </w:tc>
        <w:tc>
          <w:tcPr>
            <w:tcW w:w="2700" w:type="dxa"/>
            <w:shd w:val="clear" w:color="auto" w:fill="595959" w:themeFill="text1" w:themeFillTint="A6"/>
            <w:hideMark/>
          </w:tcPr>
          <w:p w14:paraId="4274B45F" w14:textId="77777777" w:rsidR="0037437E" w:rsidRPr="003E19C7" w:rsidRDefault="0037437E" w:rsidP="008603FB">
            <w:pPr>
              <w:jc w:val="center"/>
              <w:rPr>
                <w:rFonts w:eastAsia="Times New Roman"/>
                <w:b/>
                <w:bCs/>
                <w:color w:val="FFFFFF" w:themeColor="background1"/>
                <w:sz w:val="18"/>
                <w:szCs w:val="18"/>
              </w:rPr>
            </w:pPr>
          </w:p>
        </w:tc>
      </w:tr>
      <w:tr w:rsidR="0037437E" w:rsidRPr="003E19C7" w14:paraId="12B3C4C6"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1BB7C080" w14:textId="77777777" w:rsidR="0037437E" w:rsidRPr="003E19C7" w:rsidRDefault="0037437E" w:rsidP="008603FB">
            <w:pPr>
              <w:pStyle w:val="NormalWeb"/>
              <w:rPr>
                <w:sz w:val="18"/>
                <w:szCs w:val="18"/>
              </w:rPr>
            </w:pPr>
            <w:r w:rsidRPr="003E19C7">
              <w:rPr>
                <w:sz w:val="18"/>
                <w:szCs w:val="18"/>
              </w:rPr>
              <w:t>Mean (SD)</w:t>
            </w:r>
          </w:p>
        </w:tc>
        <w:tc>
          <w:tcPr>
            <w:tcW w:w="1620" w:type="dxa"/>
            <w:hideMark/>
          </w:tcPr>
          <w:p w14:paraId="7360A5A5" w14:textId="77777777" w:rsidR="0037437E" w:rsidRPr="003E19C7" w:rsidRDefault="0037437E" w:rsidP="008603FB">
            <w:pPr>
              <w:pStyle w:val="NormalWeb"/>
              <w:jc w:val="center"/>
              <w:rPr>
                <w:sz w:val="18"/>
                <w:szCs w:val="18"/>
              </w:rPr>
            </w:pPr>
            <w:r w:rsidRPr="003E19C7">
              <w:rPr>
                <w:sz w:val="18"/>
                <w:szCs w:val="18"/>
              </w:rPr>
              <w:t>27.5 (8.2)</w:t>
            </w:r>
          </w:p>
        </w:tc>
        <w:tc>
          <w:tcPr>
            <w:tcW w:w="1440" w:type="dxa"/>
            <w:hideMark/>
          </w:tcPr>
          <w:p w14:paraId="5DBF9F27" w14:textId="77777777" w:rsidR="0037437E" w:rsidRPr="003E19C7" w:rsidRDefault="0037437E" w:rsidP="008603FB">
            <w:pPr>
              <w:pStyle w:val="NormalWeb"/>
              <w:jc w:val="center"/>
              <w:rPr>
                <w:sz w:val="18"/>
                <w:szCs w:val="18"/>
              </w:rPr>
            </w:pPr>
            <w:r w:rsidRPr="003E19C7">
              <w:rPr>
                <w:sz w:val="18"/>
                <w:szCs w:val="18"/>
              </w:rPr>
              <w:t>26.4 (7.6)</w:t>
            </w:r>
          </w:p>
        </w:tc>
        <w:tc>
          <w:tcPr>
            <w:tcW w:w="1440" w:type="dxa"/>
            <w:hideMark/>
          </w:tcPr>
          <w:p w14:paraId="1B4990E2" w14:textId="77777777" w:rsidR="0037437E" w:rsidRPr="003E19C7" w:rsidRDefault="0037437E" w:rsidP="008603FB">
            <w:pPr>
              <w:pStyle w:val="NormalWeb"/>
              <w:jc w:val="center"/>
              <w:rPr>
                <w:sz w:val="18"/>
                <w:szCs w:val="18"/>
              </w:rPr>
            </w:pPr>
            <w:r w:rsidRPr="003E19C7">
              <w:rPr>
                <w:sz w:val="18"/>
                <w:szCs w:val="18"/>
              </w:rPr>
              <w:t>26.9 (8.1)</w:t>
            </w:r>
          </w:p>
        </w:tc>
        <w:tc>
          <w:tcPr>
            <w:tcW w:w="2700" w:type="dxa"/>
            <w:hideMark/>
          </w:tcPr>
          <w:p w14:paraId="7047EF49" w14:textId="77777777" w:rsidR="0037437E" w:rsidRPr="003E19C7" w:rsidRDefault="0037437E" w:rsidP="008603FB">
            <w:pPr>
              <w:pStyle w:val="NormalWeb"/>
              <w:jc w:val="center"/>
              <w:rPr>
                <w:sz w:val="18"/>
                <w:szCs w:val="18"/>
              </w:rPr>
            </w:pPr>
            <w:r w:rsidRPr="003E19C7">
              <w:rPr>
                <w:sz w:val="18"/>
                <w:szCs w:val="18"/>
              </w:rPr>
              <w:t>29.2 (14.2)</w:t>
            </w:r>
          </w:p>
        </w:tc>
      </w:tr>
      <w:tr w:rsidR="004C247C" w:rsidRPr="004C247C" w14:paraId="2D0D3A62" w14:textId="77777777" w:rsidTr="000F3A27">
        <w:tblPrEx>
          <w:tblCellMar>
            <w:top w:w="57" w:type="dxa"/>
            <w:left w:w="57" w:type="dxa"/>
            <w:bottom w:w="57" w:type="dxa"/>
            <w:right w:w="57" w:type="dxa"/>
          </w:tblCellMar>
        </w:tblPrEx>
        <w:tc>
          <w:tcPr>
            <w:tcW w:w="7740" w:type="dxa"/>
            <w:shd w:val="clear" w:color="auto" w:fill="595959" w:themeFill="text1" w:themeFillTint="A6"/>
            <w:hideMark/>
          </w:tcPr>
          <w:p w14:paraId="1590A025" w14:textId="77777777" w:rsidR="0037437E" w:rsidRPr="004C247C" w:rsidRDefault="0037437E" w:rsidP="008603FB">
            <w:pPr>
              <w:pStyle w:val="NormalWeb"/>
              <w:rPr>
                <w:b/>
                <w:bCs/>
                <w:color w:val="FFFFFF" w:themeColor="background1"/>
                <w:sz w:val="18"/>
                <w:szCs w:val="18"/>
              </w:rPr>
            </w:pPr>
            <w:r w:rsidRPr="004C247C">
              <w:rPr>
                <w:b/>
                <w:bCs/>
                <w:color w:val="FFFFFF" w:themeColor="background1"/>
                <w:sz w:val="18"/>
                <w:szCs w:val="18"/>
              </w:rPr>
              <w:t>Mother’s Indigenous status</w:t>
            </w:r>
          </w:p>
        </w:tc>
        <w:tc>
          <w:tcPr>
            <w:tcW w:w="1620" w:type="dxa"/>
            <w:shd w:val="clear" w:color="auto" w:fill="595959" w:themeFill="text1" w:themeFillTint="A6"/>
            <w:hideMark/>
          </w:tcPr>
          <w:p w14:paraId="685C7877" w14:textId="77777777" w:rsidR="0037437E" w:rsidRPr="004C247C" w:rsidRDefault="0037437E" w:rsidP="008603FB">
            <w:pPr>
              <w:jc w:val="center"/>
              <w:rPr>
                <w:b/>
                <w:bCs/>
                <w:color w:val="FFFFFF" w:themeColor="background1"/>
                <w:sz w:val="18"/>
                <w:szCs w:val="18"/>
              </w:rPr>
            </w:pPr>
          </w:p>
        </w:tc>
        <w:tc>
          <w:tcPr>
            <w:tcW w:w="1440" w:type="dxa"/>
            <w:shd w:val="clear" w:color="auto" w:fill="595959" w:themeFill="text1" w:themeFillTint="A6"/>
            <w:hideMark/>
          </w:tcPr>
          <w:p w14:paraId="3E8662F1" w14:textId="77777777" w:rsidR="0037437E" w:rsidRPr="004C247C" w:rsidRDefault="0037437E"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448E9F1A" w14:textId="77777777" w:rsidR="0037437E" w:rsidRPr="004C247C" w:rsidRDefault="0037437E" w:rsidP="008603FB">
            <w:pPr>
              <w:jc w:val="center"/>
              <w:rPr>
                <w:rFonts w:eastAsia="Times New Roman"/>
                <w:b/>
                <w:bCs/>
                <w:color w:val="FFFFFF" w:themeColor="background1"/>
                <w:sz w:val="18"/>
                <w:szCs w:val="18"/>
              </w:rPr>
            </w:pPr>
          </w:p>
        </w:tc>
        <w:tc>
          <w:tcPr>
            <w:tcW w:w="2700" w:type="dxa"/>
            <w:shd w:val="clear" w:color="auto" w:fill="595959" w:themeFill="text1" w:themeFillTint="A6"/>
            <w:hideMark/>
          </w:tcPr>
          <w:p w14:paraId="2E7A8356" w14:textId="77777777" w:rsidR="0037437E" w:rsidRPr="004C247C" w:rsidRDefault="0037437E" w:rsidP="008603FB">
            <w:pPr>
              <w:jc w:val="center"/>
              <w:rPr>
                <w:rFonts w:eastAsia="Times New Roman"/>
                <w:b/>
                <w:bCs/>
                <w:color w:val="FFFFFF" w:themeColor="background1"/>
                <w:sz w:val="18"/>
                <w:szCs w:val="18"/>
              </w:rPr>
            </w:pPr>
          </w:p>
        </w:tc>
      </w:tr>
      <w:tr w:rsidR="0037437E" w:rsidRPr="003E19C7" w14:paraId="5D6EC37C"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6F8587A8" w14:textId="77777777" w:rsidR="0037437E" w:rsidRPr="003E19C7" w:rsidRDefault="0037437E" w:rsidP="008603FB">
            <w:pPr>
              <w:pStyle w:val="NormalWeb"/>
              <w:rPr>
                <w:sz w:val="18"/>
                <w:szCs w:val="18"/>
              </w:rPr>
            </w:pPr>
            <w:r w:rsidRPr="003E19C7">
              <w:rPr>
                <w:sz w:val="18"/>
                <w:szCs w:val="18"/>
              </w:rPr>
              <w:t>Indigenous</w:t>
            </w:r>
          </w:p>
        </w:tc>
        <w:tc>
          <w:tcPr>
            <w:tcW w:w="1620" w:type="dxa"/>
            <w:hideMark/>
          </w:tcPr>
          <w:p w14:paraId="70B231DD" w14:textId="77777777" w:rsidR="0037437E" w:rsidRPr="003E19C7" w:rsidRDefault="0037437E" w:rsidP="008603FB">
            <w:pPr>
              <w:pStyle w:val="NormalWeb"/>
              <w:jc w:val="center"/>
              <w:rPr>
                <w:sz w:val="18"/>
                <w:szCs w:val="18"/>
              </w:rPr>
            </w:pPr>
            <w:r w:rsidRPr="003E19C7">
              <w:rPr>
                <w:sz w:val="18"/>
                <w:szCs w:val="18"/>
              </w:rPr>
              <w:t>13 (20.3)</w:t>
            </w:r>
          </w:p>
        </w:tc>
        <w:tc>
          <w:tcPr>
            <w:tcW w:w="1440" w:type="dxa"/>
            <w:hideMark/>
          </w:tcPr>
          <w:p w14:paraId="7F2FD29C" w14:textId="77777777" w:rsidR="0037437E" w:rsidRPr="003E19C7" w:rsidRDefault="0037437E" w:rsidP="008603FB">
            <w:pPr>
              <w:pStyle w:val="NormalWeb"/>
              <w:jc w:val="center"/>
              <w:rPr>
                <w:sz w:val="18"/>
                <w:szCs w:val="18"/>
              </w:rPr>
            </w:pPr>
            <w:r w:rsidRPr="003E19C7">
              <w:rPr>
                <w:sz w:val="18"/>
                <w:szCs w:val="18"/>
              </w:rPr>
              <w:t>9 (13.9)</w:t>
            </w:r>
          </w:p>
        </w:tc>
        <w:tc>
          <w:tcPr>
            <w:tcW w:w="1440" w:type="dxa"/>
            <w:hideMark/>
          </w:tcPr>
          <w:p w14:paraId="68AF9717" w14:textId="77777777" w:rsidR="0037437E" w:rsidRPr="003E19C7" w:rsidRDefault="0037437E" w:rsidP="008603FB">
            <w:pPr>
              <w:pStyle w:val="NormalWeb"/>
              <w:jc w:val="center"/>
              <w:rPr>
                <w:sz w:val="18"/>
                <w:szCs w:val="18"/>
              </w:rPr>
            </w:pPr>
            <w:r w:rsidRPr="003E19C7">
              <w:rPr>
                <w:sz w:val="18"/>
                <w:szCs w:val="18"/>
              </w:rPr>
              <w:t>15 (22.4)</w:t>
            </w:r>
          </w:p>
        </w:tc>
        <w:tc>
          <w:tcPr>
            <w:tcW w:w="2700" w:type="dxa"/>
            <w:hideMark/>
          </w:tcPr>
          <w:p w14:paraId="33444744" w14:textId="77777777" w:rsidR="0037437E" w:rsidRPr="003E19C7" w:rsidRDefault="0037437E" w:rsidP="008603FB">
            <w:pPr>
              <w:pStyle w:val="NormalWeb"/>
              <w:jc w:val="center"/>
              <w:rPr>
                <w:sz w:val="18"/>
                <w:szCs w:val="18"/>
              </w:rPr>
            </w:pPr>
            <w:r w:rsidRPr="003E19C7">
              <w:rPr>
                <w:sz w:val="18"/>
                <w:szCs w:val="18"/>
              </w:rPr>
              <w:t>20 (17.5)</w:t>
            </w:r>
          </w:p>
        </w:tc>
      </w:tr>
      <w:tr w:rsidR="004C247C" w:rsidRPr="004C247C" w14:paraId="2FD4ED99" w14:textId="77777777" w:rsidTr="000F3A27">
        <w:tblPrEx>
          <w:tblCellMar>
            <w:top w:w="57" w:type="dxa"/>
            <w:left w:w="57" w:type="dxa"/>
            <w:bottom w:w="57" w:type="dxa"/>
            <w:right w:w="57" w:type="dxa"/>
          </w:tblCellMar>
        </w:tblPrEx>
        <w:tc>
          <w:tcPr>
            <w:tcW w:w="7740" w:type="dxa"/>
            <w:shd w:val="clear" w:color="auto" w:fill="595959" w:themeFill="text1" w:themeFillTint="A6"/>
            <w:hideMark/>
          </w:tcPr>
          <w:p w14:paraId="7D4E4655" w14:textId="77777777" w:rsidR="0037437E" w:rsidRPr="004C247C" w:rsidRDefault="0037437E" w:rsidP="008603FB">
            <w:pPr>
              <w:pStyle w:val="NormalWeb"/>
              <w:rPr>
                <w:b/>
                <w:bCs/>
                <w:color w:val="FFFFFF" w:themeColor="background1"/>
                <w:sz w:val="18"/>
                <w:szCs w:val="18"/>
              </w:rPr>
            </w:pPr>
            <w:r w:rsidRPr="004C247C">
              <w:rPr>
                <w:b/>
                <w:bCs/>
                <w:color w:val="FFFFFF" w:themeColor="background1"/>
                <w:sz w:val="18"/>
                <w:szCs w:val="18"/>
              </w:rPr>
              <w:t>Father’s Indigenous status</w:t>
            </w:r>
          </w:p>
        </w:tc>
        <w:tc>
          <w:tcPr>
            <w:tcW w:w="1620" w:type="dxa"/>
            <w:shd w:val="clear" w:color="auto" w:fill="595959" w:themeFill="text1" w:themeFillTint="A6"/>
            <w:hideMark/>
          </w:tcPr>
          <w:p w14:paraId="3EED265C" w14:textId="77777777" w:rsidR="0037437E" w:rsidRPr="004C247C" w:rsidRDefault="0037437E" w:rsidP="008603FB">
            <w:pPr>
              <w:jc w:val="center"/>
              <w:rPr>
                <w:b/>
                <w:bCs/>
                <w:color w:val="FFFFFF" w:themeColor="background1"/>
                <w:sz w:val="18"/>
                <w:szCs w:val="18"/>
              </w:rPr>
            </w:pPr>
          </w:p>
        </w:tc>
        <w:tc>
          <w:tcPr>
            <w:tcW w:w="1440" w:type="dxa"/>
            <w:shd w:val="clear" w:color="auto" w:fill="595959" w:themeFill="text1" w:themeFillTint="A6"/>
            <w:hideMark/>
          </w:tcPr>
          <w:p w14:paraId="2AE57E73" w14:textId="77777777" w:rsidR="0037437E" w:rsidRPr="004C247C" w:rsidRDefault="0037437E"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4130D240" w14:textId="77777777" w:rsidR="0037437E" w:rsidRPr="004C247C" w:rsidRDefault="0037437E" w:rsidP="008603FB">
            <w:pPr>
              <w:jc w:val="center"/>
              <w:rPr>
                <w:rFonts w:eastAsia="Times New Roman"/>
                <w:b/>
                <w:bCs/>
                <w:color w:val="FFFFFF" w:themeColor="background1"/>
                <w:sz w:val="18"/>
                <w:szCs w:val="18"/>
              </w:rPr>
            </w:pPr>
          </w:p>
        </w:tc>
        <w:tc>
          <w:tcPr>
            <w:tcW w:w="2700" w:type="dxa"/>
            <w:shd w:val="clear" w:color="auto" w:fill="595959" w:themeFill="text1" w:themeFillTint="A6"/>
            <w:hideMark/>
          </w:tcPr>
          <w:p w14:paraId="08FEBE3D" w14:textId="77777777" w:rsidR="0037437E" w:rsidRPr="004C247C" w:rsidRDefault="0037437E" w:rsidP="008603FB">
            <w:pPr>
              <w:jc w:val="center"/>
              <w:rPr>
                <w:rFonts w:eastAsia="Times New Roman"/>
                <w:b/>
                <w:bCs/>
                <w:color w:val="FFFFFF" w:themeColor="background1"/>
                <w:sz w:val="18"/>
                <w:szCs w:val="18"/>
              </w:rPr>
            </w:pPr>
          </w:p>
        </w:tc>
      </w:tr>
      <w:tr w:rsidR="0037437E" w:rsidRPr="003E19C7" w14:paraId="3DA3FE10"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16ABCC58" w14:textId="77777777" w:rsidR="0037437E" w:rsidRPr="003E19C7" w:rsidRDefault="0037437E" w:rsidP="008603FB">
            <w:pPr>
              <w:pStyle w:val="NormalWeb"/>
              <w:rPr>
                <w:sz w:val="18"/>
                <w:szCs w:val="18"/>
              </w:rPr>
            </w:pPr>
            <w:r w:rsidRPr="003E19C7">
              <w:rPr>
                <w:sz w:val="18"/>
                <w:szCs w:val="18"/>
              </w:rPr>
              <w:t>Indigenous</w:t>
            </w:r>
          </w:p>
        </w:tc>
        <w:tc>
          <w:tcPr>
            <w:tcW w:w="1620" w:type="dxa"/>
            <w:hideMark/>
          </w:tcPr>
          <w:p w14:paraId="57CB0390" w14:textId="77777777" w:rsidR="0037437E" w:rsidRPr="003E19C7" w:rsidRDefault="0037437E" w:rsidP="008603FB">
            <w:pPr>
              <w:pStyle w:val="NormalWeb"/>
              <w:jc w:val="center"/>
              <w:rPr>
                <w:sz w:val="18"/>
                <w:szCs w:val="18"/>
              </w:rPr>
            </w:pPr>
            <w:r w:rsidRPr="003E19C7">
              <w:rPr>
                <w:sz w:val="18"/>
                <w:szCs w:val="18"/>
              </w:rPr>
              <w:t>11 (17.2)</w:t>
            </w:r>
          </w:p>
        </w:tc>
        <w:tc>
          <w:tcPr>
            <w:tcW w:w="1440" w:type="dxa"/>
            <w:hideMark/>
          </w:tcPr>
          <w:p w14:paraId="2254A2FA" w14:textId="77777777" w:rsidR="0037437E" w:rsidRPr="003E19C7" w:rsidRDefault="0037437E" w:rsidP="008603FB">
            <w:pPr>
              <w:pStyle w:val="NormalWeb"/>
              <w:jc w:val="center"/>
              <w:rPr>
                <w:sz w:val="18"/>
                <w:szCs w:val="18"/>
              </w:rPr>
            </w:pPr>
            <w:r w:rsidRPr="003E19C7">
              <w:rPr>
                <w:sz w:val="18"/>
                <w:szCs w:val="18"/>
              </w:rPr>
              <w:t>8 (12.3)</w:t>
            </w:r>
          </w:p>
        </w:tc>
        <w:tc>
          <w:tcPr>
            <w:tcW w:w="1440" w:type="dxa"/>
            <w:hideMark/>
          </w:tcPr>
          <w:p w14:paraId="23FD075F" w14:textId="77777777" w:rsidR="0037437E" w:rsidRPr="003E19C7" w:rsidRDefault="0037437E" w:rsidP="008603FB">
            <w:pPr>
              <w:pStyle w:val="NormalWeb"/>
              <w:jc w:val="center"/>
              <w:rPr>
                <w:sz w:val="18"/>
                <w:szCs w:val="18"/>
              </w:rPr>
            </w:pPr>
            <w:r w:rsidRPr="003E19C7">
              <w:rPr>
                <w:sz w:val="18"/>
                <w:szCs w:val="18"/>
              </w:rPr>
              <w:t>15 (22.4)</w:t>
            </w:r>
          </w:p>
        </w:tc>
        <w:tc>
          <w:tcPr>
            <w:tcW w:w="2700" w:type="dxa"/>
            <w:hideMark/>
          </w:tcPr>
          <w:p w14:paraId="3D1083FB" w14:textId="77777777" w:rsidR="0037437E" w:rsidRPr="003E19C7" w:rsidRDefault="0037437E" w:rsidP="008603FB">
            <w:pPr>
              <w:pStyle w:val="NormalWeb"/>
              <w:jc w:val="center"/>
              <w:rPr>
                <w:sz w:val="18"/>
                <w:szCs w:val="18"/>
              </w:rPr>
            </w:pPr>
            <w:r w:rsidRPr="003E19C7">
              <w:rPr>
                <w:sz w:val="18"/>
                <w:szCs w:val="18"/>
              </w:rPr>
              <w:t>19 (16.7)</w:t>
            </w:r>
          </w:p>
        </w:tc>
      </w:tr>
      <w:tr w:rsidR="0037437E" w:rsidRPr="003E19C7" w14:paraId="251765EF" w14:textId="77777777" w:rsidTr="000F3A27">
        <w:tblPrEx>
          <w:tblCellMar>
            <w:top w:w="57" w:type="dxa"/>
            <w:left w:w="57" w:type="dxa"/>
            <w:bottom w:w="57" w:type="dxa"/>
            <w:right w:w="57" w:type="dxa"/>
          </w:tblCellMar>
        </w:tblPrEx>
        <w:tc>
          <w:tcPr>
            <w:tcW w:w="7740" w:type="dxa"/>
            <w:shd w:val="clear" w:color="auto" w:fill="595959" w:themeFill="text1" w:themeFillTint="A6"/>
            <w:hideMark/>
          </w:tcPr>
          <w:p w14:paraId="57568966" w14:textId="77777777" w:rsidR="0037437E" w:rsidRPr="003E19C7" w:rsidRDefault="0037437E" w:rsidP="008603FB">
            <w:pPr>
              <w:pStyle w:val="NormalWeb"/>
              <w:rPr>
                <w:b/>
                <w:bCs/>
                <w:color w:val="FFFFFF" w:themeColor="background1"/>
                <w:sz w:val="18"/>
                <w:szCs w:val="18"/>
              </w:rPr>
            </w:pPr>
            <w:r w:rsidRPr="003E19C7">
              <w:rPr>
                <w:b/>
                <w:bCs/>
                <w:color w:val="FFFFFF" w:themeColor="background1"/>
                <w:sz w:val="18"/>
                <w:szCs w:val="18"/>
              </w:rPr>
              <w:t>Mother’s relationship status</w:t>
            </w:r>
          </w:p>
        </w:tc>
        <w:tc>
          <w:tcPr>
            <w:tcW w:w="1620" w:type="dxa"/>
            <w:shd w:val="clear" w:color="auto" w:fill="595959" w:themeFill="text1" w:themeFillTint="A6"/>
            <w:hideMark/>
          </w:tcPr>
          <w:p w14:paraId="2DE1E2E0" w14:textId="77777777" w:rsidR="0037437E" w:rsidRPr="003E19C7" w:rsidRDefault="0037437E" w:rsidP="008603FB">
            <w:pPr>
              <w:jc w:val="center"/>
              <w:rPr>
                <w:b/>
                <w:bCs/>
                <w:color w:val="FFFFFF" w:themeColor="background1"/>
                <w:sz w:val="18"/>
                <w:szCs w:val="18"/>
              </w:rPr>
            </w:pPr>
          </w:p>
        </w:tc>
        <w:tc>
          <w:tcPr>
            <w:tcW w:w="1440" w:type="dxa"/>
            <w:shd w:val="clear" w:color="auto" w:fill="595959" w:themeFill="text1" w:themeFillTint="A6"/>
            <w:hideMark/>
          </w:tcPr>
          <w:p w14:paraId="4DC97687" w14:textId="77777777" w:rsidR="0037437E" w:rsidRPr="003E19C7" w:rsidRDefault="0037437E"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44D4FA00" w14:textId="77777777" w:rsidR="0037437E" w:rsidRPr="003E19C7" w:rsidRDefault="0037437E" w:rsidP="008603FB">
            <w:pPr>
              <w:jc w:val="center"/>
              <w:rPr>
                <w:rFonts w:eastAsia="Times New Roman"/>
                <w:b/>
                <w:bCs/>
                <w:color w:val="FFFFFF" w:themeColor="background1"/>
                <w:sz w:val="18"/>
                <w:szCs w:val="18"/>
              </w:rPr>
            </w:pPr>
          </w:p>
        </w:tc>
        <w:tc>
          <w:tcPr>
            <w:tcW w:w="2700" w:type="dxa"/>
            <w:shd w:val="clear" w:color="auto" w:fill="595959" w:themeFill="text1" w:themeFillTint="A6"/>
            <w:hideMark/>
          </w:tcPr>
          <w:p w14:paraId="3987AD7D" w14:textId="77777777" w:rsidR="0037437E" w:rsidRPr="003E19C7" w:rsidRDefault="0037437E" w:rsidP="008603FB">
            <w:pPr>
              <w:jc w:val="center"/>
              <w:rPr>
                <w:rFonts w:eastAsia="Times New Roman"/>
                <w:b/>
                <w:bCs/>
                <w:color w:val="FFFFFF" w:themeColor="background1"/>
                <w:sz w:val="18"/>
                <w:szCs w:val="18"/>
              </w:rPr>
            </w:pPr>
          </w:p>
        </w:tc>
      </w:tr>
      <w:tr w:rsidR="0037437E" w:rsidRPr="003E19C7" w14:paraId="2C37E53E"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0DAE4D48" w14:textId="77777777" w:rsidR="0037437E" w:rsidRPr="003E19C7" w:rsidRDefault="0037437E" w:rsidP="008603FB">
            <w:pPr>
              <w:pStyle w:val="NormalWeb"/>
              <w:rPr>
                <w:sz w:val="18"/>
                <w:szCs w:val="18"/>
              </w:rPr>
            </w:pPr>
            <w:r w:rsidRPr="003E19C7">
              <w:rPr>
                <w:sz w:val="18"/>
                <w:szCs w:val="18"/>
              </w:rPr>
              <w:t>Single</w:t>
            </w:r>
          </w:p>
        </w:tc>
        <w:tc>
          <w:tcPr>
            <w:tcW w:w="1620" w:type="dxa"/>
            <w:hideMark/>
          </w:tcPr>
          <w:p w14:paraId="72D77342" w14:textId="77777777" w:rsidR="0037437E" w:rsidRPr="003E19C7" w:rsidRDefault="0037437E" w:rsidP="008603FB">
            <w:pPr>
              <w:pStyle w:val="NormalWeb"/>
              <w:jc w:val="center"/>
              <w:rPr>
                <w:sz w:val="18"/>
                <w:szCs w:val="18"/>
              </w:rPr>
            </w:pPr>
            <w:r w:rsidRPr="003E19C7">
              <w:rPr>
                <w:sz w:val="18"/>
                <w:szCs w:val="18"/>
              </w:rPr>
              <w:t>7 (10.9)</w:t>
            </w:r>
          </w:p>
        </w:tc>
        <w:tc>
          <w:tcPr>
            <w:tcW w:w="1440" w:type="dxa"/>
            <w:hideMark/>
          </w:tcPr>
          <w:p w14:paraId="4E6D9C58" w14:textId="77777777" w:rsidR="0037437E" w:rsidRPr="003E19C7" w:rsidRDefault="0037437E" w:rsidP="008603FB">
            <w:pPr>
              <w:pStyle w:val="NormalWeb"/>
              <w:jc w:val="center"/>
              <w:rPr>
                <w:sz w:val="18"/>
                <w:szCs w:val="18"/>
              </w:rPr>
            </w:pPr>
            <w:r w:rsidRPr="003E19C7">
              <w:rPr>
                <w:sz w:val="18"/>
                <w:szCs w:val="18"/>
              </w:rPr>
              <w:t>9 (13.9)</w:t>
            </w:r>
          </w:p>
        </w:tc>
        <w:tc>
          <w:tcPr>
            <w:tcW w:w="1440" w:type="dxa"/>
            <w:hideMark/>
          </w:tcPr>
          <w:p w14:paraId="5E13AF10" w14:textId="77777777" w:rsidR="0037437E" w:rsidRPr="003E19C7" w:rsidRDefault="0037437E" w:rsidP="008603FB">
            <w:pPr>
              <w:pStyle w:val="NormalWeb"/>
              <w:jc w:val="center"/>
              <w:rPr>
                <w:sz w:val="18"/>
                <w:szCs w:val="18"/>
              </w:rPr>
            </w:pPr>
            <w:r w:rsidRPr="003E19C7">
              <w:rPr>
                <w:sz w:val="18"/>
                <w:szCs w:val="18"/>
              </w:rPr>
              <w:t>11 (16.4)</w:t>
            </w:r>
          </w:p>
        </w:tc>
        <w:tc>
          <w:tcPr>
            <w:tcW w:w="2700" w:type="dxa"/>
            <w:hideMark/>
          </w:tcPr>
          <w:p w14:paraId="342FE383" w14:textId="77777777" w:rsidR="0037437E" w:rsidRPr="003E19C7" w:rsidRDefault="0037437E" w:rsidP="008603FB">
            <w:pPr>
              <w:pStyle w:val="NormalWeb"/>
              <w:jc w:val="center"/>
              <w:rPr>
                <w:sz w:val="18"/>
                <w:szCs w:val="18"/>
              </w:rPr>
            </w:pPr>
            <w:r w:rsidRPr="003E19C7">
              <w:rPr>
                <w:sz w:val="18"/>
                <w:szCs w:val="18"/>
              </w:rPr>
              <w:t>18 (15.8)</w:t>
            </w:r>
          </w:p>
        </w:tc>
      </w:tr>
      <w:tr w:rsidR="0037437E" w:rsidRPr="003E19C7" w14:paraId="72714A01" w14:textId="77777777" w:rsidTr="008603FB">
        <w:tblPrEx>
          <w:tblCellMar>
            <w:top w:w="57" w:type="dxa"/>
            <w:left w:w="57" w:type="dxa"/>
            <w:bottom w:w="57" w:type="dxa"/>
            <w:right w:w="57" w:type="dxa"/>
          </w:tblCellMar>
        </w:tblPrEx>
        <w:tc>
          <w:tcPr>
            <w:tcW w:w="7740" w:type="dxa"/>
            <w:hideMark/>
          </w:tcPr>
          <w:p w14:paraId="77624E64" w14:textId="77777777" w:rsidR="0037437E" w:rsidRPr="003E19C7" w:rsidRDefault="0037437E" w:rsidP="008603FB">
            <w:pPr>
              <w:pStyle w:val="NormalWeb"/>
              <w:rPr>
                <w:sz w:val="18"/>
                <w:szCs w:val="18"/>
              </w:rPr>
            </w:pPr>
            <w:r w:rsidRPr="003E19C7">
              <w:rPr>
                <w:sz w:val="18"/>
                <w:szCs w:val="18"/>
              </w:rPr>
              <w:t>Married</w:t>
            </w:r>
          </w:p>
        </w:tc>
        <w:tc>
          <w:tcPr>
            <w:tcW w:w="1620" w:type="dxa"/>
            <w:hideMark/>
          </w:tcPr>
          <w:p w14:paraId="11664E7D" w14:textId="77777777" w:rsidR="0037437E" w:rsidRPr="003E19C7" w:rsidRDefault="0037437E" w:rsidP="008603FB">
            <w:pPr>
              <w:pStyle w:val="NormalWeb"/>
              <w:jc w:val="center"/>
              <w:rPr>
                <w:sz w:val="18"/>
                <w:szCs w:val="18"/>
              </w:rPr>
            </w:pPr>
            <w:r w:rsidRPr="003E19C7">
              <w:rPr>
                <w:sz w:val="18"/>
                <w:szCs w:val="18"/>
              </w:rPr>
              <w:t>27 (42.2)</w:t>
            </w:r>
          </w:p>
        </w:tc>
        <w:tc>
          <w:tcPr>
            <w:tcW w:w="1440" w:type="dxa"/>
            <w:hideMark/>
          </w:tcPr>
          <w:p w14:paraId="1CDDC424" w14:textId="77777777" w:rsidR="0037437E" w:rsidRPr="003E19C7" w:rsidRDefault="0037437E" w:rsidP="008603FB">
            <w:pPr>
              <w:pStyle w:val="NormalWeb"/>
              <w:jc w:val="center"/>
              <w:rPr>
                <w:sz w:val="18"/>
                <w:szCs w:val="18"/>
              </w:rPr>
            </w:pPr>
            <w:r w:rsidRPr="003E19C7">
              <w:rPr>
                <w:sz w:val="18"/>
                <w:szCs w:val="18"/>
              </w:rPr>
              <w:t>29 (44.6)</w:t>
            </w:r>
          </w:p>
        </w:tc>
        <w:tc>
          <w:tcPr>
            <w:tcW w:w="1440" w:type="dxa"/>
            <w:hideMark/>
          </w:tcPr>
          <w:p w14:paraId="02BA4B6F" w14:textId="77777777" w:rsidR="0037437E" w:rsidRPr="003E19C7" w:rsidRDefault="0037437E" w:rsidP="008603FB">
            <w:pPr>
              <w:pStyle w:val="NormalWeb"/>
              <w:jc w:val="center"/>
              <w:rPr>
                <w:sz w:val="18"/>
                <w:szCs w:val="18"/>
              </w:rPr>
            </w:pPr>
            <w:r w:rsidRPr="003E19C7">
              <w:rPr>
                <w:sz w:val="18"/>
                <w:szCs w:val="18"/>
              </w:rPr>
              <w:t>18 (26.9)</w:t>
            </w:r>
          </w:p>
        </w:tc>
        <w:tc>
          <w:tcPr>
            <w:tcW w:w="2700" w:type="dxa"/>
            <w:hideMark/>
          </w:tcPr>
          <w:p w14:paraId="3FEC9733" w14:textId="77777777" w:rsidR="0037437E" w:rsidRPr="003E19C7" w:rsidRDefault="0037437E" w:rsidP="008603FB">
            <w:pPr>
              <w:pStyle w:val="NormalWeb"/>
              <w:jc w:val="center"/>
              <w:rPr>
                <w:sz w:val="18"/>
                <w:szCs w:val="18"/>
              </w:rPr>
            </w:pPr>
            <w:r w:rsidRPr="003E19C7">
              <w:rPr>
                <w:sz w:val="18"/>
                <w:szCs w:val="18"/>
              </w:rPr>
              <w:t>34 (29.8)</w:t>
            </w:r>
          </w:p>
        </w:tc>
      </w:tr>
      <w:tr w:rsidR="0037437E" w:rsidRPr="003E19C7" w14:paraId="0DA7CF52"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7F310E55" w14:textId="77777777" w:rsidR="0037437E" w:rsidRPr="003E19C7" w:rsidRDefault="0037437E" w:rsidP="008603FB">
            <w:pPr>
              <w:pStyle w:val="NormalWeb"/>
              <w:rPr>
                <w:sz w:val="18"/>
                <w:szCs w:val="18"/>
              </w:rPr>
            </w:pPr>
            <w:proofErr w:type="spellStart"/>
            <w:r w:rsidRPr="003E19C7">
              <w:rPr>
                <w:sz w:val="18"/>
                <w:szCs w:val="18"/>
              </w:rPr>
              <w:t>Defacto</w:t>
            </w:r>
            <w:proofErr w:type="spellEnd"/>
          </w:p>
        </w:tc>
        <w:tc>
          <w:tcPr>
            <w:tcW w:w="1620" w:type="dxa"/>
            <w:hideMark/>
          </w:tcPr>
          <w:p w14:paraId="17FFCA64" w14:textId="77777777" w:rsidR="0037437E" w:rsidRPr="003E19C7" w:rsidRDefault="0037437E" w:rsidP="008603FB">
            <w:pPr>
              <w:pStyle w:val="NormalWeb"/>
              <w:jc w:val="center"/>
              <w:rPr>
                <w:sz w:val="18"/>
                <w:szCs w:val="18"/>
              </w:rPr>
            </w:pPr>
            <w:r w:rsidRPr="003E19C7">
              <w:rPr>
                <w:sz w:val="18"/>
                <w:szCs w:val="18"/>
              </w:rPr>
              <w:t>22 (34.4)</w:t>
            </w:r>
          </w:p>
        </w:tc>
        <w:tc>
          <w:tcPr>
            <w:tcW w:w="1440" w:type="dxa"/>
            <w:hideMark/>
          </w:tcPr>
          <w:p w14:paraId="4B042D61" w14:textId="77777777" w:rsidR="0037437E" w:rsidRPr="003E19C7" w:rsidRDefault="0037437E" w:rsidP="008603FB">
            <w:pPr>
              <w:pStyle w:val="NormalWeb"/>
              <w:jc w:val="center"/>
              <w:rPr>
                <w:sz w:val="18"/>
                <w:szCs w:val="18"/>
              </w:rPr>
            </w:pPr>
            <w:r w:rsidRPr="003E19C7">
              <w:rPr>
                <w:sz w:val="18"/>
                <w:szCs w:val="18"/>
              </w:rPr>
              <w:t>18 (27.7)</w:t>
            </w:r>
          </w:p>
        </w:tc>
        <w:tc>
          <w:tcPr>
            <w:tcW w:w="1440" w:type="dxa"/>
            <w:hideMark/>
          </w:tcPr>
          <w:p w14:paraId="7A4DADEA" w14:textId="77777777" w:rsidR="0037437E" w:rsidRPr="003E19C7" w:rsidRDefault="0037437E" w:rsidP="008603FB">
            <w:pPr>
              <w:pStyle w:val="NormalWeb"/>
              <w:jc w:val="center"/>
              <w:rPr>
                <w:sz w:val="18"/>
                <w:szCs w:val="18"/>
              </w:rPr>
            </w:pPr>
            <w:r w:rsidRPr="003E19C7">
              <w:rPr>
                <w:sz w:val="18"/>
                <w:szCs w:val="18"/>
              </w:rPr>
              <w:t>26 (38.8)</w:t>
            </w:r>
          </w:p>
        </w:tc>
        <w:tc>
          <w:tcPr>
            <w:tcW w:w="2700" w:type="dxa"/>
            <w:hideMark/>
          </w:tcPr>
          <w:p w14:paraId="1115D562" w14:textId="77777777" w:rsidR="0037437E" w:rsidRPr="003E19C7" w:rsidRDefault="0037437E" w:rsidP="008603FB">
            <w:pPr>
              <w:pStyle w:val="NormalWeb"/>
              <w:jc w:val="center"/>
              <w:rPr>
                <w:sz w:val="18"/>
                <w:szCs w:val="18"/>
              </w:rPr>
            </w:pPr>
            <w:r w:rsidRPr="003E19C7">
              <w:rPr>
                <w:sz w:val="18"/>
                <w:szCs w:val="18"/>
              </w:rPr>
              <w:t>54 (47.3)</w:t>
            </w:r>
          </w:p>
        </w:tc>
      </w:tr>
      <w:tr w:rsidR="0037437E" w:rsidRPr="003E19C7" w14:paraId="405E5592" w14:textId="77777777" w:rsidTr="008603FB">
        <w:tblPrEx>
          <w:tblCellMar>
            <w:top w:w="57" w:type="dxa"/>
            <w:left w:w="57" w:type="dxa"/>
            <w:bottom w:w="57" w:type="dxa"/>
            <w:right w:w="57" w:type="dxa"/>
          </w:tblCellMar>
        </w:tblPrEx>
        <w:tc>
          <w:tcPr>
            <w:tcW w:w="7740" w:type="dxa"/>
            <w:hideMark/>
          </w:tcPr>
          <w:p w14:paraId="79C93189" w14:textId="77777777" w:rsidR="0037437E" w:rsidRPr="003E19C7" w:rsidRDefault="0037437E" w:rsidP="008603FB">
            <w:pPr>
              <w:pStyle w:val="NormalWeb"/>
              <w:rPr>
                <w:sz w:val="18"/>
                <w:szCs w:val="18"/>
              </w:rPr>
            </w:pPr>
            <w:r w:rsidRPr="003E19C7">
              <w:rPr>
                <w:sz w:val="18"/>
                <w:szCs w:val="18"/>
              </w:rPr>
              <w:t>Separated</w:t>
            </w:r>
          </w:p>
        </w:tc>
        <w:tc>
          <w:tcPr>
            <w:tcW w:w="1620" w:type="dxa"/>
            <w:hideMark/>
          </w:tcPr>
          <w:p w14:paraId="367E502D" w14:textId="77777777" w:rsidR="0037437E" w:rsidRPr="003E19C7" w:rsidRDefault="0037437E" w:rsidP="008603FB">
            <w:pPr>
              <w:pStyle w:val="NormalWeb"/>
              <w:jc w:val="center"/>
              <w:rPr>
                <w:sz w:val="18"/>
                <w:szCs w:val="18"/>
              </w:rPr>
            </w:pPr>
            <w:r w:rsidRPr="003E19C7">
              <w:rPr>
                <w:sz w:val="18"/>
                <w:szCs w:val="18"/>
              </w:rPr>
              <w:t>1 (1.6)</w:t>
            </w:r>
          </w:p>
        </w:tc>
        <w:tc>
          <w:tcPr>
            <w:tcW w:w="1440" w:type="dxa"/>
            <w:hideMark/>
          </w:tcPr>
          <w:p w14:paraId="26D6AE7C" w14:textId="77777777" w:rsidR="0037437E" w:rsidRPr="003E19C7" w:rsidRDefault="0037437E" w:rsidP="008603FB">
            <w:pPr>
              <w:pStyle w:val="NormalWeb"/>
              <w:jc w:val="center"/>
              <w:rPr>
                <w:sz w:val="18"/>
                <w:szCs w:val="18"/>
              </w:rPr>
            </w:pPr>
            <w:r w:rsidRPr="003E19C7">
              <w:rPr>
                <w:sz w:val="18"/>
                <w:szCs w:val="18"/>
              </w:rPr>
              <w:t>2 (3.1)</w:t>
            </w:r>
          </w:p>
        </w:tc>
        <w:tc>
          <w:tcPr>
            <w:tcW w:w="1440" w:type="dxa"/>
            <w:hideMark/>
          </w:tcPr>
          <w:p w14:paraId="14F08040" w14:textId="77777777" w:rsidR="0037437E" w:rsidRPr="003E19C7" w:rsidRDefault="0037437E" w:rsidP="008603FB">
            <w:pPr>
              <w:pStyle w:val="NormalWeb"/>
              <w:jc w:val="center"/>
              <w:rPr>
                <w:sz w:val="18"/>
                <w:szCs w:val="18"/>
              </w:rPr>
            </w:pPr>
            <w:r w:rsidRPr="003E19C7">
              <w:rPr>
                <w:sz w:val="18"/>
                <w:szCs w:val="18"/>
              </w:rPr>
              <w:t>0 (0.0)</w:t>
            </w:r>
          </w:p>
        </w:tc>
        <w:tc>
          <w:tcPr>
            <w:tcW w:w="2700" w:type="dxa"/>
            <w:hideMark/>
          </w:tcPr>
          <w:p w14:paraId="6974C960" w14:textId="77777777" w:rsidR="0037437E" w:rsidRPr="003E19C7" w:rsidRDefault="0037437E" w:rsidP="008603FB">
            <w:pPr>
              <w:pStyle w:val="NormalWeb"/>
              <w:jc w:val="center"/>
              <w:rPr>
                <w:sz w:val="18"/>
                <w:szCs w:val="18"/>
              </w:rPr>
            </w:pPr>
            <w:r w:rsidRPr="003E19C7">
              <w:rPr>
                <w:sz w:val="18"/>
                <w:szCs w:val="18"/>
              </w:rPr>
              <w:t>6 (5.3)</w:t>
            </w:r>
          </w:p>
        </w:tc>
      </w:tr>
      <w:tr w:rsidR="0037437E" w:rsidRPr="003E19C7" w14:paraId="7192AC73"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7E0598E1" w14:textId="77777777" w:rsidR="0037437E" w:rsidRPr="003E19C7" w:rsidRDefault="0037437E" w:rsidP="008603FB">
            <w:pPr>
              <w:pStyle w:val="NormalWeb"/>
              <w:rPr>
                <w:sz w:val="18"/>
                <w:szCs w:val="18"/>
              </w:rPr>
            </w:pPr>
            <w:r w:rsidRPr="003E19C7">
              <w:rPr>
                <w:sz w:val="18"/>
                <w:szCs w:val="18"/>
              </w:rPr>
              <w:t>Declined/missing/unknown</w:t>
            </w:r>
          </w:p>
        </w:tc>
        <w:tc>
          <w:tcPr>
            <w:tcW w:w="1620" w:type="dxa"/>
            <w:hideMark/>
          </w:tcPr>
          <w:p w14:paraId="37C6DD96" w14:textId="77777777" w:rsidR="0037437E" w:rsidRPr="003E19C7" w:rsidRDefault="0037437E" w:rsidP="008603FB">
            <w:pPr>
              <w:pStyle w:val="NormalWeb"/>
              <w:jc w:val="center"/>
              <w:rPr>
                <w:sz w:val="18"/>
                <w:szCs w:val="18"/>
              </w:rPr>
            </w:pPr>
            <w:r w:rsidRPr="003E19C7">
              <w:rPr>
                <w:sz w:val="18"/>
                <w:szCs w:val="18"/>
              </w:rPr>
              <w:t>7 (10.9)</w:t>
            </w:r>
          </w:p>
        </w:tc>
        <w:tc>
          <w:tcPr>
            <w:tcW w:w="1440" w:type="dxa"/>
            <w:hideMark/>
          </w:tcPr>
          <w:p w14:paraId="632F820E" w14:textId="77777777" w:rsidR="0037437E" w:rsidRPr="003E19C7" w:rsidRDefault="0037437E" w:rsidP="008603FB">
            <w:pPr>
              <w:pStyle w:val="NormalWeb"/>
              <w:jc w:val="center"/>
              <w:rPr>
                <w:sz w:val="18"/>
                <w:szCs w:val="18"/>
              </w:rPr>
            </w:pPr>
            <w:r w:rsidRPr="003E19C7">
              <w:rPr>
                <w:sz w:val="18"/>
                <w:szCs w:val="18"/>
              </w:rPr>
              <w:t>7 (10.8)</w:t>
            </w:r>
          </w:p>
        </w:tc>
        <w:tc>
          <w:tcPr>
            <w:tcW w:w="1440" w:type="dxa"/>
            <w:hideMark/>
          </w:tcPr>
          <w:p w14:paraId="309D46A0" w14:textId="77777777" w:rsidR="0037437E" w:rsidRPr="003E19C7" w:rsidRDefault="0037437E" w:rsidP="008603FB">
            <w:pPr>
              <w:pStyle w:val="NormalWeb"/>
              <w:jc w:val="center"/>
              <w:rPr>
                <w:sz w:val="18"/>
                <w:szCs w:val="18"/>
              </w:rPr>
            </w:pPr>
            <w:r w:rsidRPr="003E19C7">
              <w:rPr>
                <w:sz w:val="18"/>
                <w:szCs w:val="18"/>
              </w:rPr>
              <w:t>12 (17.9)</w:t>
            </w:r>
          </w:p>
        </w:tc>
        <w:tc>
          <w:tcPr>
            <w:tcW w:w="2700" w:type="dxa"/>
            <w:hideMark/>
          </w:tcPr>
          <w:p w14:paraId="1CAB456A" w14:textId="77777777" w:rsidR="0037437E" w:rsidRPr="003E19C7" w:rsidRDefault="0037437E" w:rsidP="008603FB">
            <w:pPr>
              <w:pStyle w:val="NormalWeb"/>
              <w:jc w:val="center"/>
              <w:rPr>
                <w:sz w:val="18"/>
                <w:szCs w:val="18"/>
              </w:rPr>
            </w:pPr>
            <w:r w:rsidRPr="003E19C7">
              <w:rPr>
                <w:sz w:val="18"/>
                <w:szCs w:val="18"/>
              </w:rPr>
              <w:t>2 (1.8)</w:t>
            </w:r>
          </w:p>
        </w:tc>
      </w:tr>
      <w:tr w:rsidR="0037437E" w:rsidRPr="003E19C7" w14:paraId="1B49D081" w14:textId="77777777" w:rsidTr="000F3A27">
        <w:tblPrEx>
          <w:tblCellMar>
            <w:top w:w="57" w:type="dxa"/>
            <w:left w:w="57" w:type="dxa"/>
            <w:bottom w:w="57" w:type="dxa"/>
            <w:right w:w="57" w:type="dxa"/>
          </w:tblCellMar>
        </w:tblPrEx>
        <w:tc>
          <w:tcPr>
            <w:tcW w:w="7740" w:type="dxa"/>
            <w:shd w:val="clear" w:color="auto" w:fill="595959" w:themeFill="text1" w:themeFillTint="A6"/>
            <w:hideMark/>
          </w:tcPr>
          <w:p w14:paraId="22EEB9C8" w14:textId="77777777" w:rsidR="0037437E" w:rsidRPr="003E19C7" w:rsidRDefault="0037437E" w:rsidP="008603FB">
            <w:pPr>
              <w:pStyle w:val="NormalWeb"/>
              <w:rPr>
                <w:b/>
                <w:bCs/>
                <w:color w:val="FFFFFF" w:themeColor="background1"/>
                <w:sz w:val="18"/>
                <w:szCs w:val="18"/>
              </w:rPr>
            </w:pPr>
            <w:r w:rsidRPr="003E19C7">
              <w:rPr>
                <w:b/>
                <w:bCs/>
                <w:color w:val="FFFFFF" w:themeColor="background1"/>
                <w:sz w:val="18"/>
                <w:szCs w:val="18"/>
              </w:rPr>
              <w:t>Household family type</w:t>
            </w:r>
          </w:p>
        </w:tc>
        <w:tc>
          <w:tcPr>
            <w:tcW w:w="1620" w:type="dxa"/>
            <w:shd w:val="clear" w:color="auto" w:fill="595959" w:themeFill="text1" w:themeFillTint="A6"/>
            <w:hideMark/>
          </w:tcPr>
          <w:p w14:paraId="3B59E6D4" w14:textId="77777777" w:rsidR="0037437E" w:rsidRPr="003E19C7" w:rsidRDefault="0037437E" w:rsidP="008603FB">
            <w:pPr>
              <w:jc w:val="center"/>
              <w:rPr>
                <w:b/>
                <w:bCs/>
                <w:color w:val="FFFFFF" w:themeColor="background1"/>
                <w:sz w:val="18"/>
                <w:szCs w:val="18"/>
              </w:rPr>
            </w:pPr>
          </w:p>
        </w:tc>
        <w:tc>
          <w:tcPr>
            <w:tcW w:w="1440" w:type="dxa"/>
            <w:shd w:val="clear" w:color="auto" w:fill="595959" w:themeFill="text1" w:themeFillTint="A6"/>
            <w:hideMark/>
          </w:tcPr>
          <w:p w14:paraId="02F91D33" w14:textId="77777777" w:rsidR="0037437E" w:rsidRPr="003E19C7" w:rsidRDefault="0037437E"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29E1DA43" w14:textId="77777777" w:rsidR="0037437E" w:rsidRPr="003E19C7" w:rsidRDefault="0037437E" w:rsidP="008603FB">
            <w:pPr>
              <w:jc w:val="center"/>
              <w:rPr>
                <w:rFonts w:eastAsia="Times New Roman"/>
                <w:b/>
                <w:bCs/>
                <w:color w:val="FFFFFF" w:themeColor="background1"/>
                <w:sz w:val="18"/>
                <w:szCs w:val="18"/>
              </w:rPr>
            </w:pPr>
          </w:p>
        </w:tc>
        <w:tc>
          <w:tcPr>
            <w:tcW w:w="2700" w:type="dxa"/>
            <w:shd w:val="clear" w:color="auto" w:fill="595959" w:themeFill="text1" w:themeFillTint="A6"/>
            <w:hideMark/>
          </w:tcPr>
          <w:p w14:paraId="587F00AD" w14:textId="77777777" w:rsidR="0037437E" w:rsidRPr="003E19C7" w:rsidRDefault="0037437E" w:rsidP="008603FB">
            <w:pPr>
              <w:jc w:val="center"/>
              <w:rPr>
                <w:rFonts w:eastAsia="Times New Roman"/>
                <w:b/>
                <w:bCs/>
                <w:color w:val="FFFFFF" w:themeColor="background1"/>
                <w:sz w:val="18"/>
                <w:szCs w:val="18"/>
              </w:rPr>
            </w:pPr>
          </w:p>
        </w:tc>
      </w:tr>
      <w:tr w:rsidR="0037437E" w:rsidRPr="003E19C7" w14:paraId="3C84C3AB"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79D0AEAA" w14:textId="77777777" w:rsidR="0037437E" w:rsidRPr="003E19C7" w:rsidRDefault="0037437E" w:rsidP="008603FB">
            <w:pPr>
              <w:pStyle w:val="NormalWeb"/>
              <w:rPr>
                <w:sz w:val="18"/>
                <w:szCs w:val="18"/>
              </w:rPr>
            </w:pPr>
            <w:proofErr w:type="spellStart"/>
            <w:r w:rsidRPr="003E19C7">
              <w:rPr>
                <w:sz w:val="18"/>
                <w:szCs w:val="18"/>
              </w:rPr>
              <w:t>Nuclear</w:t>
            </w:r>
            <w:r w:rsidRPr="003E19C7">
              <w:rPr>
                <w:sz w:val="18"/>
                <w:szCs w:val="18"/>
                <w:vertAlign w:val="superscript"/>
              </w:rPr>
              <w:t>a</w:t>
            </w:r>
            <w:proofErr w:type="spellEnd"/>
          </w:p>
        </w:tc>
        <w:tc>
          <w:tcPr>
            <w:tcW w:w="1620" w:type="dxa"/>
            <w:hideMark/>
          </w:tcPr>
          <w:p w14:paraId="55C9ACBD" w14:textId="77777777" w:rsidR="0037437E" w:rsidRPr="003E19C7" w:rsidRDefault="0037437E" w:rsidP="008603FB">
            <w:pPr>
              <w:pStyle w:val="NormalWeb"/>
              <w:jc w:val="center"/>
              <w:rPr>
                <w:sz w:val="18"/>
                <w:szCs w:val="18"/>
              </w:rPr>
            </w:pPr>
            <w:r w:rsidRPr="003E19C7">
              <w:rPr>
                <w:sz w:val="18"/>
                <w:szCs w:val="18"/>
              </w:rPr>
              <w:t>57 (89.1)</w:t>
            </w:r>
          </w:p>
        </w:tc>
        <w:tc>
          <w:tcPr>
            <w:tcW w:w="1440" w:type="dxa"/>
            <w:hideMark/>
          </w:tcPr>
          <w:p w14:paraId="34F4A79A" w14:textId="77777777" w:rsidR="0037437E" w:rsidRPr="003E19C7" w:rsidRDefault="0037437E" w:rsidP="008603FB">
            <w:pPr>
              <w:pStyle w:val="NormalWeb"/>
              <w:jc w:val="center"/>
              <w:rPr>
                <w:sz w:val="18"/>
                <w:szCs w:val="18"/>
              </w:rPr>
            </w:pPr>
            <w:r w:rsidRPr="003E19C7">
              <w:rPr>
                <w:sz w:val="18"/>
                <w:szCs w:val="18"/>
              </w:rPr>
              <w:t>58 (89.2)</w:t>
            </w:r>
          </w:p>
        </w:tc>
        <w:tc>
          <w:tcPr>
            <w:tcW w:w="1440" w:type="dxa"/>
            <w:hideMark/>
          </w:tcPr>
          <w:p w14:paraId="28CE89BA" w14:textId="77777777" w:rsidR="0037437E" w:rsidRPr="003E19C7" w:rsidRDefault="0037437E" w:rsidP="008603FB">
            <w:pPr>
              <w:pStyle w:val="NormalWeb"/>
              <w:jc w:val="center"/>
              <w:rPr>
                <w:sz w:val="18"/>
                <w:szCs w:val="18"/>
              </w:rPr>
            </w:pPr>
            <w:r w:rsidRPr="003E19C7">
              <w:rPr>
                <w:sz w:val="18"/>
                <w:szCs w:val="18"/>
              </w:rPr>
              <w:t>54 (80.6)</w:t>
            </w:r>
          </w:p>
        </w:tc>
        <w:tc>
          <w:tcPr>
            <w:tcW w:w="2700" w:type="dxa"/>
            <w:hideMark/>
          </w:tcPr>
          <w:p w14:paraId="168662B0" w14:textId="77777777" w:rsidR="0037437E" w:rsidRPr="003E19C7" w:rsidRDefault="0037437E" w:rsidP="008603FB">
            <w:pPr>
              <w:pStyle w:val="NormalWeb"/>
              <w:jc w:val="center"/>
              <w:rPr>
                <w:sz w:val="18"/>
                <w:szCs w:val="18"/>
              </w:rPr>
            </w:pPr>
            <w:r w:rsidRPr="003E19C7">
              <w:rPr>
                <w:sz w:val="18"/>
                <w:szCs w:val="18"/>
              </w:rPr>
              <w:t>97 (85.1)</w:t>
            </w:r>
          </w:p>
        </w:tc>
      </w:tr>
      <w:tr w:rsidR="0037437E" w:rsidRPr="003E19C7" w14:paraId="3CD3058C" w14:textId="77777777" w:rsidTr="000F3A27">
        <w:tblPrEx>
          <w:tblCellMar>
            <w:top w:w="57" w:type="dxa"/>
            <w:left w:w="57" w:type="dxa"/>
            <w:bottom w:w="57" w:type="dxa"/>
            <w:right w:w="57" w:type="dxa"/>
          </w:tblCellMar>
        </w:tblPrEx>
        <w:tc>
          <w:tcPr>
            <w:tcW w:w="7740" w:type="dxa"/>
            <w:shd w:val="clear" w:color="auto" w:fill="595959" w:themeFill="text1" w:themeFillTint="A6"/>
            <w:hideMark/>
          </w:tcPr>
          <w:p w14:paraId="4C5346C5" w14:textId="77777777" w:rsidR="0037437E" w:rsidRPr="003E19C7" w:rsidRDefault="0037437E" w:rsidP="008603FB">
            <w:pPr>
              <w:pStyle w:val="NormalWeb"/>
              <w:rPr>
                <w:b/>
                <w:bCs/>
                <w:color w:val="FFFFFF" w:themeColor="background1"/>
                <w:sz w:val="18"/>
                <w:szCs w:val="18"/>
              </w:rPr>
            </w:pPr>
            <w:r w:rsidRPr="003E19C7">
              <w:rPr>
                <w:b/>
                <w:bCs/>
                <w:color w:val="FFFFFF" w:themeColor="background1"/>
                <w:sz w:val="18"/>
                <w:szCs w:val="18"/>
              </w:rPr>
              <w:t>Number of other children at home</w:t>
            </w:r>
          </w:p>
        </w:tc>
        <w:tc>
          <w:tcPr>
            <w:tcW w:w="1620" w:type="dxa"/>
            <w:shd w:val="clear" w:color="auto" w:fill="595959" w:themeFill="text1" w:themeFillTint="A6"/>
            <w:hideMark/>
          </w:tcPr>
          <w:p w14:paraId="31CED0A1" w14:textId="77777777" w:rsidR="0037437E" w:rsidRPr="003E19C7" w:rsidRDefault="0037437E" w:rsidP="008603FB">
            <w:pPr>
              <w:jc w:val="center"/>
              <w:rPr>
                <w:b/>
                <w:bCs/>
                <w:color w:val="FFFFFF" w:themeColor="background1"/>
                <w:sz w:val="18"/>
                <w:szCs w:val="18"/>
              </w:rPr>
            </w:pPr>
          </w:p>
        </w:tc>
        <w:tc>
          <w:tcPr>
            <w:tcW w:w="1440" w:type="dxa"/>
            <w:shd w:val="clear" w:color="auto" w:fill="595959" w:themeFill="text1" w:themeFillTint="A6"/>
            <w:hideMark/>
          </w:tcPr>
          <w:p w14:paraId="66267AE4" w14:textId="77777777" w:rsidR="0037437E" w:rsidRPr="003E19C7" w:rsidRDefault="0037437E"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6D4564D3" w14:textId="77777777" w:rsidR="0037437E" w:rsidRPr="003E19C7" w:rsidRDefault="0037437E" w:rsidP="008603FB">
            <w:pPr>
              <w:jc w:val="center"/>
              <w:rPr>
                <w:rFonts w:eastAsia="Times New Roman"/>
                <w:b/>
                <w:bCs/>
                <w:color w:val="FFFFFF" w:themeColor="background1"/>
                <w:sz w:val="18"/>
                <w:szCs w:val="18"/>
              </w:rPr>
            </w:pPr>
          </w:p>
        </w:tc>
        <w:tc>
          <w:tcPr>
            <w:tcW w:w="2700" w:type="dxa"/>
            <w:shd w:val="clear" w:color="auto" w:fill="595959" w:themeFill="text1" w:themeFillTint="A6"/>
            <w:hideMark/>
          </w:tcPr>
          <w:p w14:paraId="1A39F75A" w14:textId="77777777" w:rsidR="0037437E" w:rsidRPr="003E19C7" w:rsidRDefault="0037437E" w:rsidP="008603FB">
            <w:pPr>
              <w:jc w:val="center"/>
              <w:rPr>
                <w:rFonts w:eastAsia="Times New Roman"/>
                <w:b/>
                <w:bCs/>
                <w:color w:val="FFFFFF" w:themeColor="background1"/>
                <w:sz w:val="18"/>
                <w:szCs w:val="18"/>
              </w:rPr>
            </w:pPr>
          </w:p>
        </w:tc>
      </w:tr>
      <w:tr w:rsidR="0037437E" w:rsidRPr="003E19C7" w14:paraId="75E3F5E9"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06889B23" w14:textId="77777777" w:rsidR="0037437E" w:rsidRPr="003E19C7" w:rsidRDefault="0037437E" w:rsidP="008603FB">
            <w:pPr>
              <w:pStyle w:val="NormalWeb"/>
              <w:rPr>
                <w:sz w:val="18"/>
                <w:szCs w:val="18"/>
              </w:rPr>
            </w:pPr>
            <w:r w:rsidRPr="003E19C7">
              <w:rPr>
                <w:sz w:val="18"/>
                <w:szCs w:val="18"/>
              </w:rPr>
              <w:t>None</w:t>
            </w:r>
          </w:p>
        </w:tc>
        <w:tc>
          <w:tcPr>
            <w:tcW w:w="1620" w:type="dxa"/>
            <w:hideMark/>
          </w:tcPr>
          <w:p w14:paraId="41B447EF" w14:textId="77777777" w:rsidR="0037437E" w:rsidRPr="003E19C7" w:rsidRDefault="0037437E" w:rsidP="008603FB">
            <w:pPr>
              <w:pStyle w:val="NormalWeb"/>
              <w:jc w:val="center"/>
              <w:rPr>
                <w:sz w:val="18"/>
                <w:szCs w:val="18"/>
              </w:rPr>
            </w:pPr>
            <w:r w:rsidRPr="003E19C7">
              <w:rPr>
                <w:sz w:val="18"/>
                <w:szCs w:val="18"/>
              </w:rPr>
              <w:t>19 (29.7)</w:t>
            </w:r>
          </w:p>
        </w:tc>
        <w:tc>
          <w:tcPr>
            <w:tcW w:w="1440" w:type="dxa"/>
            <w:hideMark/>
          </w:tcPr>
          <w:p w14:paraId="3C387AD5" w14:textId="77777777" w:rsidR="0037437E" w:rsidRPr="003E19C7" w:rsidRDefault="0037437E" w:rsidP="008603FB">
            <w:pPr>
              <w:pStyle w:val="NormalWeb"/>
              <w:jc w:val="center"/>
              <w:rPr>
                <w:sz w:val="18"/>
                <w:szCs w:val="18"/>
              </w:rPr>
            </w:pPr>
            <w:r w:rsidRPr="003E19C7">
              <w:rPr>
                <w:sz w:val="18"/>
                <w:szCs w:val="18"/>
              </w:rPr>
              <w:t>17 (26.2)</w:t>
            </w:r>
          </w:p>
        </w:tc>
        <w:tc>
          <w:tcPr>
            <w:tcW w:w="1440" w:type="dxa"/>
            <w:hideMark/>
          </w:tcPr>
          <w:p w14:paraId="5DCD2381" w14:textId="77777777" w:rsidR="0037437E" w:rsidRPr="003E19C7" w:rsidRDefault="0037437E" w:rsidP="008603FB">
            <w:pPr>
              <w:pStyle w:val="NormalWeb"/>
              <w:jc w:val="center"/>
              <w:rPr>
                <w:sz w:val="18"/>
                <w:szCs w:val="18"/>
              </w:rPr>
            </w:pPr>
            <w:r w:rsidRPr="003E19C7">
              <w:rPr>
                <w:sz w:val="18"/>
                <w:szCs w:val="18"/>
              </w:rPr>
              <w:t>19 (28.4)</w:t>
            </w:r>
          </w:p>
        </w:tc>
        <w:tc>
          <w:tcPr>
            <w:tcW w:w="2700" w:type="dxa"/>
            <w:hideMark/>
          </w:tcPr>
          <w:p w14:paraId="21D7FBCF" w14:textId="77777777" w:rsidR="0037437E" w:rsidRPr="003E19C7" w:rsidRDefault="0037437E" w:rsidP="008603FB">
            <w:pPr>
              <w:pStyle w:val="NormalWeb"/>
              <w:jc w:val="center"/>
              <w:rPr>
                <w:sz w:val="18"/>
                <w:szCs w:val="18"/>
              </w:rPr>
            </w:pPr>
            <w:r w:rsidRPr="003E19C7">
              <w:rPr>
                <w:sz w:val="18"/>
                <w:szCs w:val="18"/>
              </w:rPr>
              <w:t>34 (29.8)</w:t>
            </w:r>
          </w:p>
        </w:tc>
      </w:tr>
      <w:tr w:rsidR="0037437E" w:rsidRPr="003E19C7" w14:paraId="6D98D57C" w14:textId="77777777" w:rsidTr="008603FB">
        <w:tblPrEx>
          <w:tblCellMar>
            <w:top w:w="57" w:type="dxa"/>
            <w:left w:w="57" w:type="dxa"/>
            <w:bottom w:w="57" w:type="dxa"/>
            <w:right w:w="57" w:type="dxa"/>
          </w:tblCellMar>
        </w:tblPrEx>
        <w:tc>
          <w:tcPr>
            <w:tcW w:w="7740" w:type="dxa"/>
            <w:hideMark/>
          </w:tcPr>
          <w:p w14:paraId="455DD0F3" w14:textId="77777777" w:rsidR="0037437E" w:rsidRPr="003E19C7" w:rsidRDefault="0037437E" w:rsidP="008603FB">
            <w:pPr>
              <w:pStyle w:val="NormalWeb"/>
              <w:rPr>
                <w:sz w:val="18"/>
                <w:szCs w:val="18"/>
              </w:rPr>
            </w:pPr>
            <w:r w:rsidRPr="003E19C7">
              <w:rPr>
                <w:sz w:val="18"/>
                <w:szCs w:val="18"/>
              </w:rPr>
              <w:t>1–2</w:t>
            </w:r>
          </w:p>
        </w:tc>
        <w:tc>
          <w:tcPr>
            <w:tcW w:w="1620" w:type="dxa"/>
            <w:hideMark/>
          </w:tcPr>
          <w:p w14:paraId="3B25C3EF" w14:textId="77777777" w:rsidR="0037437E" w:rsidRPr="003E19C7" w:rsidRDefault="0037437E" w:rsidP="008603FB">
            <w:pPr>
              <w:pStyle w:val="NormalWeb"/>
              <w:jc w:val="center"/>
              <w:rPr>
                <w:sz w:val="18"/>
                <w:szCs w:val="18"/>
              </w:rPr>
            </w:pPr>
            <w:r w:rsidRPr="003E19C7">
              <w:rPr>
                <w:sz w:val="18"/>
                <w:szCs w:val="18"/>
              </w:rPr>
              <w:t>36 (56.3)</w:t>
            </w:r>
          </w:p>
        </w:tc>
        <w:tc>
          <w:tcPr>
            <w:tcW w:w="1440" w:type="dxa"/>
            <w:hideMark/>
          </w:tcPr>
          <w:p w14:paraId="32DA7081" w14:textId="77777777" w:rsidR="0037437E" w:rsidRPr="003E19C7" w:rsidRDefault="0037437E" w:rsidP="008603FB">
            <w:pPr>
              <w:pStyle w:val="NormalWeb"/>
              <w:jc w:val="center"/>
              <w:rPr>
                <w:sz w:val="18"/>
                <w:szCs w:val="18"/>
              </w:rPr>
            </w:pPr>
            <w:r w:rsidRPr="003E19C7">
              <w:rPr>
                <w:sz w:val="18"/>
                <w:szCs w:val="18"/>
              </w:rPr>
              <w:t>35 (53.8)</w:t>
            </w:r>
          </w:p>
        </w:tc>
        <w:tc>
          <w:tcPr>
            <w:tcW w:w="1440" w:type="dxa"/>
            <w:hideMark/>
          </w:tcPr>
          <w:p w14:paraId="011AE60D" w14:textId="77777777" w:rsidR="0037437E" w:rsidRPr="003E19C7" w:rsidRDefault="0037437E" w:rsidP="008603FB">
            <w:pPr>
              <w:pStyle w:val="NormalWeb"/>
              <w:jc w:val="center"/>
              <w:rPr>
                <w:sz w:val="18"/>
                <w:szCs w:val="18"/>
              </w:rPr>
            </w:pPr>
            <w:r w:rsidRPr="003E19C7">
              <w:rPr>
                <w:sz w:val="18"/>
                <w:szCs w:val="18"/>
              </w:rPr>
              <w:t>37 (55.2)</w:t>
            </w:r>
          </w:p>
        </w:tc>
        <w:tc>
          <w:tcPr>
            <w:tcW w:w="2700" w:type="dxa"/>
            <w:hideMark/>
          </w:tcPr>
          <w:p w14:paraId="7FF82463" w14:textId="77777777" w:rsidR="0037437E" w:rsidRPr="003E19C7" w:rsidRDefault="0037437E" w:rsidP="008603FB">
            <w:pPr>
              <w:pStyle w:val="NormalWeb"/>
              <w:jc w:val="center"/>
              <w:rPr>
                <w:sz w:val="18"/>
                <w:szCs w:val="18"/>
              </w:rPr>
            </w:pPr>
            <w:r w:rsidRPr="003E19C7">
              <w:rPr>
                <w:sz w:val="18"/>
                <w:szCs w:val="18"/>
              </w:rPr>
              <w:t>55 (48.2)</w:t>
            </w:r>
          </w:p>
        </w:tc>
      </w:tr>
      <w:tr w:rsidR="0037437E" w:rsidRPr="003E19C7" w14:paraId="348805AF"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1B42F49A" w14:textId="77777777" w:rsidR="0037437E" w:rsidRPr="003E19C7" w:rsidRDefault="0037437E" w:rsidP="008603FB">
            <w:pPr>
              <w:pStyle w:val="NormalWeb"/>
              <w:rPr>
                <w:sz w:val="18"/>
                <w:szCs w:val="18"/>
              </w:rPr>
            </w:pPr>
            <w:r w:rsidRPr="003E19C7">
              <w:rPr>
                <w:sz w:val="18"/>
                <w:szCs w:val="18"/>
              </w:rPr>
              <w:t>3+</w:t>
            </w:r>
          </w:p>
        </w:tc>
        <w:tc>
          <w:tcPr>
            <w:tcW w:w="1620" w:type="dxa"/>
            <w:hideMark/>
          </w:tcPr>
          <w:p w14:paraId="72AE89D7" w14:textId="77777777" w:rsidR="0037437E" w:rsidRPr="003E19C7" w:rsidRDefault="0037437E" w:rsidP="008603FB">
            <w:pPr>
              <w:pStyle w:val="NormalWeb"/>
              <w:jc w:val="center"/>
              <w:rPr>
                <w:sz w:val="18"/>
                <w:szCs w:val="18"/>
              </w:rPr>
            </w:pPr>
            <w:r w:rsidRPr="003E19C7">
              <w:rPr>
                <w:sz w:val="18"/>
                <w:szCs w:val="18"/>
              </w:rPr>
              <w:t>9 (14.1)</w:t>
            </w:r>
          </w:p>
        </w:tc>
        <w:tc>
          <w:tcPr>
            <w:tcW w:w="1440" w:type="dxa"/>
            <w:hideMark/>
          </w:tcPr>
          <w:p w14:paraId="2CEAEB67" w14:textId="77777777" w:rsidR="0037437E" w:rsidRPr="003E19C7" w:rsidRDefault="0037437E" w:rsidP="008603FB">
            <w:pPr>
              <w:pStyle w:val="NormalWeb"/>
              <w:jc w:val="center"/>
              <w:rPr>
                <w:sz w:val="18"/>
                <w:szCs w:val="18"/>
              </w:rPr>
            </w:pPr>
            <w:r w:rsidRPr="003E19C7">
              <w:rPr>
                <w:sz w:val="18"/>
                <w:szCs w:val="18"/>
              </w:rPr>
              <w:t>13 (11.3)</w:t>
            </w:r>
          </w:p>
        </w:tc>
        <w:tc>
          <w:tcPr>
            <w:tcW w:w="1440" w:type="dxa"/>
            <w:hideMark/>
          </w:tcPr>
          <w:p w14:paraId="4B559048" w14:textId="77777777" w:rsidR="0037437E" w:rsidRPr="003E19C7" w:rsidRDefault="0037437E" w:rsidP="008603FB">
            <w:pPr>
              <w:pStyle w:val="NormalWeb"/>
              <w:jc w:val="center"/>
              <w:rPr>
                <w:sz w:val="18"/>
                <w:szCs w:val="18"/>
              </w:rPr>
            </w:pPr>
            <w:r w:rsidRPr="003E19C7">
              <w:rPr>
                <w:sz w:val="18"/>
                <w:szCs w:val="18"/>
              </w:rPr>
              <w:t>11 (16.4)</w:t>
            </w:r>
          </w:p>
        </w:tc>
        <w:tc>
          <w:tcPr>
            <w:tcW w:w="2700" w:type="dxa"/>
            <w:hideMark/>
          </w:tcPr>
          <w:p w14:paraId="2C8CE709" w14:textId="77777777" w:rsidR="0037437E" w:rsidRPr="003E19C7" w:rsidRDefault="0037437E" w:rsidP="008603FB">
            <w:pPr>
              <w:pStyle w:val="NormalWeb"/>
              <w:jc w:val="center"/>
              <w:rPr>
                <w:sz w:val="18"/>
                <w:szCs w:val="18"/>
              </w:rPr>
            </w:pPr>
            <w:r w:rsidRPr="003E19C7">
              <w:rPr>
                <w:sz w:val="18"/>
                <w:szCs w:val="18"/>
              </w:rPr>
              <w:t>25 (22.0)</w:t>
            </w:r>
          </w:p>
        </w:tc>
      </w:tr>
      <w:tr w:rsidR="0037437E" w:rsidRPr="003E19C7" w14:paraId="1DB406A1" w14:textId="77777777" w:rsidTr="000F3A27">
        <w:tblPrEx>
          <w:tblCellMar>
            <w:top w:w="57" w:type="dxa"/>
            <w:left w:w="57" w:type="dxa"/>
            <w:bottom w:w="57" w:type="dxa"/>
            <w:right w:w="57" w:type="dxa"/>
          </w:tblCellMar>
        </w:tblPrEx>
        <w:tc>
          <w:tcPr>
            <w:tcW w:w="7740" w:type="dxa"/>
            <w:shd w:val="clear" w:color="auto" w:fill="595959" w:themeFill="text1" w:themeFillTint="A6"/>
            <w:hideMark/>
          </w:tcPr>
          <w:p w14:paraId="614ED401" w14:textId="77777777" w:rsidR="0037437E" w:rsidRPr="003E19C7" w:rsidRDefault="0037437E" w:rsidP="008603FB">
            <w:pPr>
              <w:pStyle w:val="NormalWeb"/>
              <w:rPr>
                <w:b/>
                <w:bCs/>
                <w:color w:val="FFFFFF" w:themeColor="background1"/>
                <w:sz w:val="18"/>
                <w:szCs w:val="18"/>
              </w:rPr>
            </w:pPr>
            <w:r w:rsidRPr="003E19C7">
              <w:rPr>
                <w:b/>
                <w:bCs/>
                <w:color w:val="FFFFFF" w:themeColor="background1"/>
                <w:sz w:val="18"/>
                <w:szCs w:val="18"/>
              </w:rPr>
              <w:t>Other children at home are up to date with immunisations (mother report)</w:t>
            </w:r>
          </w:p>
        </w:tc>
        <w:tc>
          <w:tcPr>
            <w:tcW w:w="1620" w:type="dxa"/>
            <w:shd w:val="clear" w:color="auto" w:fill="595959" w:themeFill="text1" w:themeFillTint="A6"/>
            <w:hideMark/>
          </w:tcPr>
          <w:p w14:paraId="28280481" w14:textId="77777777" w:rsidR="0037437E" w:rsidRPr="003E19C7" w:rsidRDefault="0037437E" w:rsidP="008603FB">
            <w:pPr>
              <w:jc w:val="center"/>
              <w:rPr>
                <w:b/>
                <w:bCs/>
                <w:color w:val="FFFFFF" w:themeColor="background1"/>
                <w:sz w:val="18"/>
                <w:szCs w:val="18"/>
              </w:rPr>
            </w:pPr>
          </w:p>
        </w:tc>
        <w:tc>
          <w:tcPr>
            <w:tcW w:w="1440" w:type="dxa"/>
            <w:shd w:val="clear" w:color="auto" w:fill="595959" w:themeFill="text1" w:themeFillTint="A6"/>
            <w:hideMark/>
          </w:tcPr>
          <w:p w14:paraId="2241900C" w14:textId="77777777" w:rsidR="0037437E" w:rsidRPr="003E19C7" w:rsidRDefault="0037437E"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483FE544" w14:textId="77777777" w:rsidR="0037437E" w:rsidRPr="003E19C7" w:rsidRDefault="0037437E" w:rsidP="008603FB">
            <w:pPr>
              <w:jc w:val="center"/>
              <w:rPr>
                <w:rFonts w:eastAsia="Times New Roman"/>
                <w:b/>
                <w:bCs/>
                <w:color w:val="FFFFFF" w:themeColor="background1"/>
                <w:sz w:val="18"/>
                <w:szCs w:val="18"/>
              </w:rPr>
            </w:pPr>
          </w:p>
        </w:tc>
        <w:tc>
          <w:tcPr>
            <w:tcW w:w="2700" w:type="dxa"/>
            <w:shd w:val="clear" w:color="auto" w:fill="595959" w:themeFill="text1" w:themeFillTint="A6"/>
            <w:hideMark/>
          </w:tcPr>
          <w:p w14:paraId="564B316D" w14:textId="77777777" w:rsidR="0037437E" w:rsidRPr="003E19C7" w:rsidRDefault="0037437E" w:rsidP="008603FB">
            <w:pPr>
              <w:jc w:val="center"/>
              <w:rPr>
                <w:rFonts w:eastAsia="Times New Roman"/>
                <w:b/>
                <w:bCs/>
                <w:color w:val="FFFFFF" w:themeColor="background1"/>
                <w:sz w:val="18"/>
                <w:szCs w:val="18"/>
              </w:rPr>
            </w:pPr>
          </w:p>
        </w:tc>
      </w:tr>
      <w:tr w:rsidR="0037437E" w:rsidRPr="003E19C7" w14:paraId="18B7C431"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1E6F14C6" w14:textId="77777777" w:rsidR="0037437E" w:rsidRPr="003E19C7" w:rsidRDefault="0037437E" w:rsidP="008603FB">
            <w:pPr>
              <w:pStyle w:val="NormalWeb"/>
              <w:rPr>
                <w:sz w:val="18"/>
                <w:szCs w:val="18"/>
              </w:rPr>
            </w:pPr>
            <w:r w:rsidRPr="003E19C7">
              <w:rPr>
                <w:sz w:val="18"/>
                <w:szCs w:val="18"/>
              </w:rPr>
              <w:t>Yes</w:t>
            </w:r>
          </w:p>
        </w:tc>
        <w:tc>
          <w:tcPr>
            <w:tcW w:w="1620" w:type="dxa"/>
            <w:hideMark/>
          </w:tcPr>
          <w:p w14:paraId="267CB1F2" w14:textId="77777777" w:rsidR="0037437E" w:rsidRPr="003E19C7" w:rsidRDefault="0037437E" w:rsidP="008603FB">
            <w:pPr>
              <w:pStyle w:val="NormalWeb"/>
              <w:jc w:val="center"/>
              <w:rPr>
                <w:sz w:val="18"/>
                <w:szCs w:val="18"/>
              </w:rPr>
            </w:pPr>
            <w:r w:rsidRPr="003E19C7">
              <w:rPr>
                <w:sz w:val="18"/>
                <w:szCs w:val="18"/>
              </w:rPr>
              <w:t>46 (71.9)</w:t>
            </w:r>
          </w:p>
        </w:tc>
        <w:tc>
          <w:tcPr>
            <w:tcW w:w="1440" w:type="dxa"/>
            <w:hideMark/>
          </w:tcPr>
          <w:p w14:paraId="18C3455E" w14:textId="77777777" w:rsidR="0037437E" w:rsidRPr="003E19C7" w:rsidRDefault="0037437E" w:rsidP="008603FB">
            <w:pPr>
              <w:pStyle w:val="NormalWeb"/>
              <w:jc w:val="center"/>
              <w:rPr>
                <w:sz w:val="18"/>
                <w:szCs w:val="18"/>
              </w:rPr>
            </w:pPr>
            <w:r w:rsidRPr="003E19C7">
              <w:rPr>
                <w:sz w:val="18"/>
                <w:szCs w:val="18"/>
              </w:rPr>
              <w:t>46 (70.8)</w:t>
            </w:r>
          </w:p>
        </w:tc>
        <w:tc>
          <w:tcPr>
            <w:tcW w:w="1440" w:type="dxa"/>
            <w:hideMark/>
          </w:tcPr>
          <w:p w14:paraId="1648E052" w14:textId="77777777" w:rsidR="0037437E" w:rsidRPr="003E19C7" w:rsidRDefault="0037437E" w:rsidP="008603FB">
            <w:pPr>
              <w:pStyle w:val="NormalWeb"/>
              <w:jc w:val="center"/>
              <w:rPr>
                <w:sz w:val="18"/>
                <w:szCs w:val="18"/>
              </w:rPr>
            </w:pPr>
            <w:r w:rsidRPr="003E19C7">
              <w:rPr>
                <w:sz w:val="18"/>
                <w:szCs w:val="18"/>
              </w:rPr>
              <w:t>46 (68.6)</w:t>
            </w:r>
          </w:p>
        </w:tc>
        <w:tc>
          <w:tcPr>
            <w:tcW w:w="2700" w:type="dxa"/>
            <w:hideMark/>
          </w:tcPr>
          <w:p w14:paraId="04D273F9" w14:textId="77777777" w:rsidR="0037437E" w:rsidRPr="003E19C7" w:rsidRDefault="0037437E" w:rsidP="008603FB">
            <w:pPr>
              <w:pStyle w:val="NormalWeb"/>
              <w:jc w:val="center"/>
              <w:rPr>
                <w:sz w:val="18"/>
                <w:szCs w:val="18"/>
              </w:rPr>
            </w:pPr>
            <w:r w:rsidRPr="003E19C7">
              <w:rPr>
                <w:sz w:val="18"/>
                <w:szCs w:val="18"/>
              </w:rPr>
              <w:t>77 (67.5)</w:t>
            </w:r>
          </w:p>
        </w:tc>
      </w:tr>
      <w:tr w:rsidR="0037437E" w:rsidRPr="003E19C7" w14:paraId="07877BB0" w14:textId="77777777" w:rsidTr="008603FB">
        <w:tblPrEx>
          <w:tblCellMar>
            <w:top w:w="57" w:type="dxa"/>
            <w:left w:w="57" w:type="dxa"/>
            <w:bottom w:w="57" w:type="dxa"/>
            <w:right w:w="57" w:type="dxa"/>
          </w:tblCellMar>
        </w:tblPrEx>
        <w:tc>
          <w:tcPr>
            <w:tcW w:w="7740" w:type="dxa"/>
            <w:hideMark/>
          </w:tcPr>
          <w:p w14:paraId="5CEE5022" w14:textId="77777777" w:rsidR="0037437E" w:rsidRPr="003E19C7" w:rsidRDefault="0037437E" w:rsidP="008603FB">
            <w:pPr>
              <w:pStyle w:val="NormalWeb"/>
              <w:rPr>
                <w:sz w:val="18"/>
                <w:szCs w:val="18"/>
              </w:rPr>
            </w:pPr>
            <w:r w:rsidRPr="003E19C7">
              <w:rPr>
                <w:sz w:val="18"/>
                <w:szCs w:val="18"/>
              </w:rPr>
              <w:t>No</w:t>
            </w:r>
          </w:p>
        </w:tc>
        <w:tc>
          <w:tcPr>
            <w:tcW w:w="1620" w:type="dxa"/>
            <w:hideMark/>
          </w:tcPr>
          <w:p w14:paraId="3D851B5E" w14:textId="77777777" w:rsidR="0037437E" w:rsidRPr="003E19C7" w:rsidRDefault="0037437E" w:rsidP="008603FB">
            <w:pPr>
              <w:pStyle w:val="NormalWeb"/>
              <w:jc w:val="center"/>
              <w:rPr>
                <w:sz w:val="18"/>
                <w:szCs w:val="18"/>
              </w:rPr>
            </w:pPr>
            <w:r w:rsidRPr="003E19C7">
              <w:rPr>
                <w:sz w:val="18"/>
                <w:szCs w:val="18"/>
              </w:rPr>
              <w:t>0</w:t>
            </w:r>
          </w:p>
        </w:tc>
        <w:tc>
          <w:tcPr>
            <w:tcW w:w="1440" w:type="dxa"/>
            <w:hideMark/>
          </w:tcPr>
          <w:p w14:paraId="3677B805" w14:textId="77777777" w:rsidR="0037437E" w:rsidRPr="003E19C7" w:rsidRDefault="0037437E" w:rsidP="008603FB">
            <w:pPr>
              <w:pStyle w:val="NormalWeb"/>
              <w:jc w:val="center"/>
              <w:rPr>
                <w:sz w:val="18"/>
                <w:szCs w:val="18"/>
              </w:rPr>
            </w:pPr>
            <w:r w:rsidRPr="003E19C7">
              <w:rPr>
                <w:sz w:val="18"/>
                <w:szCs w:val="18"/>
              </w:rPr>
              <w:t>2 (3.1)</w:t>
            </w:r>
          </w:p>
        </w:tc>
        <w:tc>
          <w:tcPr>
            <w:tcW w:w="1440" w:type="dxa"/>
            <w:hideMark/>
          </w:tcPr>
          <w:p w14:paraId="29DB6D9C" w14:textId="77777777" w:rsidR="0037437E" w:rsidRPr="003E19C7" w:rsidRDefault="0037437E" w:rsidP="008603FB">
            <w:pPr>
              <w:pStyle w:val="NormalWeb"/>
              <w:jc w:val="center"/>
              <w:rPr>
                <w:sz w:val="18"/>
                <w:szCs w:val="18"/>
              </w:rPr>
            </w:pPr>
            <w:r w:rsidRPr="003E19C7">
              <w:rPr>
                <w:sz w:val="18"/>
                <w:szCs w:val="18"/>
              </w:rPr>
              <w:t>1 (1.5)</w:t>
            </w:r>
          </w:p>
        </w:tc>
        <w:tc>
          <w:tcPr>
            <w:tcW w:w="2700" w:type="dxa"/>
            <w:hideMark/>
          </w:tcPr>
          <w:p w14:paraId="6208D2AF" w14:textId="77777777" w:rsidR="0037437E" w:rsidRPr="003E19C7" w:rsidRDefault="0037437E" w:rsidP="008603FB">
            <w:pPr>
              <w:pStyle w:val="NormalWeb"/>
              <w:jc w:val="center"/>
              <w:rPr>
                <w:sz w:val="18"/>
                <w:szCs w:val="18"/>
              </w:rPr>
            </w:pPr>
            <w:r w:rsidRPr="003E19C7">
              <w:rPr>
                <w:sz w:val="18"/>
                <w:szCs w:val="18"/>
              </w:rPr>
              <w:t>1 (0.9)</w:t>
            </w:r>
          </w:p>
        </w:tc>
      </w:tr>
      <w:tr w:rsidR="0037437E" w:rsidRPr="003E19C7" w14:paraId="12554018"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73A0C8EE" w14:textId="77777777" w:rsidR="0037437E" w:rsidRPr="003E19C7" w:rsidRDefault="0037437E" w:rsidP="008603FB">
            <w:pPr>
              <w:pStyle w:val="NormalWeb"/>
              <w:rPr>
                <w:sz w:val="18"/>
                <w:szCs w:val="18"/>
              </w:rPr>
            </w:pPr>
            <w:r w:rsidRPr="003E19C7">
              <w:rPr>
                <w:sz w:val="18"/>
                <w:szCs w:val="18"/>
              </w:rPr>
              <w:t>Not applicable</w:t>
            </w:r>
          </w:p>
        </w:tc>
        <w:tc>
          <w:tcPr>
            <w:tcW w:w="1620" w:type="dxa"/>
            <w:hideMark/>
          </w:tcPr>
          <w:p w14:paraId="7A4942ED" w14:textId="77777777" w:rsidR="0037437E" w:rsidRPr="003E19C7" w:rsidRDefault="0037437E" w:rsidP="008603FB">
            <w:pPr>
              <w:pStyle w:val="NormalWeb"/>
              <w:jc w:val="center"/>
              <w:rPr>
                <w:sz w:val="18"/>
                <w:szCs w:val="18"/>
              </w:rPr>
            </w:pPr>
            <w:r w:rsidRPr="003E19C7">
              <w:rPr>
                <w:sz w:val="18"/>
                <w:szCs w:val="18"/>
              </w:rPr>
              <w:t>17 (26.6)</w:t>
            </w:r>
          </w:p>
        </w:tc>
        <w:tc>
          <w:tcPr>
            <w:tcW w:w="1440" w:type="dxa"/>
            <w:hideMark/>
          </w:tcPr>
          <w:p w14:paraId="679970A9" w14:textId="77777777" w:rsidR="0037437E" w:rsidRPr="003E19C7" w:rsidRDefault="0037437E" w:rsidP="008603FB">
            <w:pPr>
              <w:pStyle w:val="NormalWeb"/>
              <w:jc w:val="center"/>
              <w:rPr>
                <w:sz w:val="18"/>
                <w:szCs w:val="18"/>
              </w:rPr>
            </w:pPr>
            <w:r w:rsidRPr="003E19C7">
              <w:rPr>
                <w:sz w:val="18"/>
                <w:szCs w:val="18"/>
              </w:rPr>
              <w:t>17 (26.2)</w:t>
            </w:r>
          </w:p>
        </w:tc>
        <w:tc>
          <w:tcPr>
            <w:tcW w:w="1440" w:type="dxa"/>
            <w:hideMark/>
          </w:tcPr>
          <w:p w14:paraId="0483F943" w14:textId="77777777" w:rsidR="0037437E" w:rsidRPr="003E19C7" w:rsidRDefault="0037437E" w:rsidP="008603FB">
            <w:pPr>
              <w:pStyle w:val="NormalWeb"/>
              <w:jc w:val="center"/>
              <w:rPr>
                <w:sz w:val="18"/>
                <w:szCs w:val="18"/>
              </w:rPr>
            </w:pPr>
            <w:r w:rsidRPr="003E19C7">
              <w:rPr>
                <w:sz w:val="18"/>
                <w:szCs w:val="18"/>
              </w:rPr>
              <w:t>19 (28.4)</w:t>
            </w:r>
          </w:p>
        </w:tc>
        <w:tc>
          <w:tcPr>
            <w:tcW w:w="2700" w:type="dxa"/>
            <w:hideMark/>
          </w:tcPr>
          <w:p w14:paraId="55FE281A" w14:textId="77777777" w:rsidR="0037437E" w:rsidRPr="003E19C7" w:rsidRDefault="0037437E" w:rsidP="008603FB">
            <w:pPr>
              <w:pStyle w:val="NormalWeb"/>
              <w:jc w:val="center"/>
              <w:rPr>
                <w:sz w:val="18"/>
                <w:szCs w:val="18"/>
              </w:rPr>
            </w:pPr>
            <w:r w:rsidRPr="003E19C7">
              <w:rPr>
                <w:sz w:val="18"/>
                <w:szCs w:val="18"/>
              </w:rPr>
              <w:t>29 (25.4)</w:t>
            </w:r>
          </w:p>
        </w:tc>
      </w:tr>
      <w:tr w:rsidR="0037437E" w:rsidRPr="003E19C7" w14:paraId="3EC9F9A4" w14:textId="77777777" w:rsidTr="008603FB">
        <w:tblPrEx>
          <w:tblCellMar>
            <w:top w:w="57" w:type="dxa"/>
            <w:left w:w="57" w:type="dxa"/>
            <w:bottom w:w="57" w:type="dxa"/>
            <w:right w:w="57" w:type="dxa"/>
          </w:tblCellMar>
        </w:tblPrEx>
        <w:tc>
          <w:tcPr>
            <w:tcW w:w="7740" w:type="dxa"/>
            <w:hideMark/>
          </w:tcPr>
          <w:p w14:paraId="6B88999B" w14:textId="77777777" w:rsidR="0037437E" w:rsidRPr="003E19C7" w:rsidRDefault="0037437E" w:rsidP="008603FB">
            <w:pPr>
              <w:pStyle w:val="NormalWeb"/>
              <w:rPr>
                <w:sz w:val="18"/>
                <w:szCs w:val="18"/>
              </w:rPr>
            </w:pPr>
            <w:r w:rsidRPr="003E19C7">
              <w:rPr>
                <w:sz w:val="18"/>
                <w:szCs w:val="18"/>
              </w:rPr>
              <w:t>Declined/missing/unknown</w:t>
            </w:r>
          </w:p>
        </w:tc>
        <w:tc>
          <w:tcPr>
            <w:tcW w:w="1620" w:type="dxa"/>
            <w:hideMark/>
          </w:tcPr>
          <w:p w14:paraId="7279B4AF" w14:textId="77777777" w:rsidR="0037437E" w:rsidRPr="003E19C7" w:rsidRDefault="0037437E" w:rsidP="008603FB">
            <w:pPr>
              <w:pStyle w:val="NormalWeb"/>
              <w:jc w:val="center"/>
              <w:rPr>
                <w:sz w:val="18"/>
                <w:szCs w:val="18"/>
              </w:rPr>
            </w:pPr>
            <w:r w:rsidRPr="003E19C7">
              <w:rPr>
                <w:sz w:val="18"/>
                <w:szCs w:val="18"/>
              </w:rPr>
              <w:t>1 (1.5)</w:t>
            </w:r>
          </w:p>
        </w:tc>
        <w:tc>
          <w:tcPr>
            <w:tcW w:w="1440" w:type="dxa"/>
            <w:hideMark/>
          </w:tcPr>
          <w:p w14:paraId="421594A3" w14:textId="77777777" w:rsidR="0037437E" w:rsidRPr="003E19C7" w:rsidRDefault="0037437E" w:rsidP="008603FB">
            <w:pPr>
              <w:pStyle w:val="NormalWeb"/>
              <w:jc w:val="center"/>
              <w:rPr>
                <w:sz w:val="18"/>
                <w:szCs w:val="18"/>
              </w:rPr>
            </w:pPr>
            <w:r w:rsidRPr="003E19C7">
              <w:rPr>
                <w:sz w:val="18"/>
                <w:szCs w:val="18"/>
              </w:rPr>
              <w:t>1 (1.6)</w:t>
            </w:r>
          </w:p>
        </w:tc>
        <w:tc>
          <w:tcPr>
            <w:tcW w:w="1440" w:type="dxa"/>
            <w:hideMark/>
          </w:tcPr>
          <w:p w14:paraId="50F3FCD1" w14:textId="77777777" w:rsidR="0037437E" w:rsidRPr="003E19C7" w:rsidRDefault="0037437E" w:rsidP="008603FB">
            <w:pPr>
              <w:pStyle w:val="NormalWeb"/>
              <w:jc w:val="center"/>
              <w:rPr>
                <w:sz w:val="18"/>
                <w:szCs w:val="18"/>
              </w:rPr>
            </w:pPr>
            <w:r w:rsidRPr="003E19C7">
              <w:rPr>
                <w:sz w:val="18"/>
                <w:szCs w:val="18"/>
              </w:rPr>
              <w:t>1 (1.5)</w:t>
            </w:r>
          </w:p>
        </w:tc>
        <w:tc>
          <w:tcPr>
            <w:tcW w:w="2700" w:type="dxa"/>
            <w:hideMark/>
          </w:tcPr>
          <w:p w14:paraId="3B36C255" w14:textId="77777777" w:rsidR="0037437E" w:rsidRPr="003E19C7" w:rsidRDefault="0037437E" w:rsidP="008603FB">
            <w:pPr>
              <w:pStyle w:val="NormalWeb"/>
              <w:jc w:val="center"/>
              <w:rPr>
                <w:sz w:val="18"/>
                <w:szCs w:val="18"/>
              </w:rPr>
            </w:pPr>
            <w:r w:rsidRPr="003E19C7">
              <w:rPr>
                <w:sz w:val="18"/>
                <w:szCs w:val="18"/>
              </w:rPr>
              <w:t>7 (6.1)</w:t>
            </w:r>
          </w:p>
        </w:tc>
      </w:tr>
      <w:tr w:rsidR="0037437E" w:rsidRPr="003E19C7" w14:paraId="35C4FAA4"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shd w:val="clear" w:color="auto" w:fill="595959" w:themeFill="text1" w:themeFillTint="A6"/>
            <w:hideMark/>
          </w:tcPr>
          <w:p w14:paraId="657ADC59" w14:textId="77777777" w:rsidR="0037437E" w:rsidRPr="003E19C7" w:rsidRDefault="0037437E" w:rsidP="008603FB">
            <w:pPr>
              <w:pStyle w:val="NormalWeb"/>
              <w:rPr>
                <w:b/>
                <w:bCs/>
                <w:color w:val="FFFFFF" w:themeColor="background1"/>
                <w:sz w:val="18"/>
                <w:szCs w:val="18"/>
              </w:rPr>
            </w:pPr>
            <w:r w:rsidRPr="003E19C7">
              <w:rPr>
                <w:b/>
                <w:bCs/>
                <w:color w:val="FFFFFF" w:themeColor="background1"/>
                <w:sz w:val="18"/>
                <w:szCs w:val="18"/>
              </w:rPr>
              <w:lastRenderedPageBreak/>
              <w:t>Receive government pension/unemployment benefits</w:t>
            </w:r>
          </w:p>
        </w:tc>
        <w:tc>
          <w:tcPr>
            <w:tcW w:w="1620" w:type="dxa"/>
            <w:shd w:val="clear" w:color="auto" w:fill="595959" w:themeFill="text1" w:themeFillTint="A6"/>
            <w:hideMark/>
          </w:tcPr>
          <w:p w14:paraId="35641F05" w14:textId="77777777" w:rsidR="0037437E" w:rsidRPr="003E19C7" w:rsidRDefault="0037437E" w:rsidP="008603FB">
            <w:pPr>
              <w:jc w:val="center"/>
              <w:rPr>
                <w:b/>
                <w:bCs/>
                <w:color w:val="FFFFFF" w:themeColor="background1"/>
                <w:sz w:val="18"/>
                <w:szCs w:val="18"/>
              </w:rPr>
            </w:pPr>
          </w:p>
        </w:tc>
        <w:tc>
          <w:tcPr>
            <w:tcW w:w="1440" w:type="dxa"/>
            <w:shd w:val="clear" w:color="auto" w:fill="595959" w:themeFill="text1" w:themeFillTint="A6"/>
            <w:hideMark/>
          </w:tcPr>
          <w:p w14:paraId="5D06D0BE" w14:textId="77777777" w:rsidR="0037437E" w:rsidRPr="003E19C7" w:rsidRDefault="0037437E"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6982DF44" w14:textId="77777777" w:rsidR="0037437E" w:rsidRPr="003E19C7" w:rsidRDefault="0037437E" w:rsidP="008603FB">
            <w:pPr>
              <w:jc w:val="center"/>
              <w:rPr>
                <w:rFonts w:eastAsia="Times New Roman"/>
                <w:b/>
                <w:bCs/>
                <w:color w:val="FFFFFF" w:themeColor="background1"/>
                <w:sz w:val="18"/>
                <w:szCs w:val="18"/>
              </w:rPr>
            </w:pPr>
          </w:p>
        </w:tc>
        <w:tc>
          <w:tcPr>
            <w:tcW w:w="2700" w:type="dxa"/>
            <w:shd w:val="clear" w:color="auto" w:fill="595959" w:themeFill="text1" w:themeFillTint="A6"/>
            <w:hideMark/>
          </w:tcPr>
          <w:p w14:paraId="5CBC102A" w14:textId="77777777" w:rsidR="0037437E" w:rsidRPr="003E19C7" w:rsidRDefault="0037437E" w:rsidP="008603FB">
            <w:pPr>
              <w:jc w:val="center"/>
              <w:rPr>
                <w:rFonts w:eastAsia="Times New Roman"/>
                <w:b/>
                <w:bCs/>
                <w:color w:val="FFFFFF" w:themeColor="background1"/>
                <w:sz w:val="18"/>
                <w:szCs w:val="18"/>
              </w:rPr>
            </w:pPr>
          </w:p>
        </w:tc>
      </w:tr>
      <w:tr w:rsidR="0037437E" w:rsidRPr="003E19C7" w14:paraId="492FD31E" w14:textId="77777777" w:rsidTr="008603FB">
        <w:tblPrEx>
          <w:tblCellMar>
            <w:top w:w="57" w:type="dxa"/>
            <w:left w:w="57" w:type="dxa"/>
            <w:bottom w:w="57" w:type="dxa"/>
            <w:right w:w="57" w:type="dxa"/>
          </w:tblCellMar>
        </w:tblPrEx>
        <w:tc>
          <w:tcPr>
            <w:tcW w:w="7740" w:type="dxa"/>
            <w:hideMark/>
          </w:tcPr>
          <w:p w14:paraId="60D0482F" w14:textId="77777777" w:rsidR="0037437E" w:rsidRPr="003E19C7" w:rsidRDefault="0037437E" w:rsidP="008603FB">
            <w:pPr>
              <w:pStyle w:val="NormalWeb"/>
              <w:rPr>
                <w:sz w:val="18"/>
                <w:szCs w:val="18"/>
              </w:rPr>
            </w:pPr>
            <w:r w:rsidRPr="003E19C7">
              <w:rPr>
                <w:sz w:val="18"/>
                <w:szCs w:val="18"/>
              </w:rPr>
              <w:t>Yes</w:t>
            </w:r>
          </w:p>
        </w:tc>
        <w:tc>
          <w:tcPr>
            <w:tcW w:w="1620" w:type="dxa"/>
            <w:hideMark/>
          </w:tcPr>
          <w:p w14:paraId="316E0E6A" w14:textId="77777777" w:rsidR="0037437E" w:rsidRPr="003E19C7" w:rsidRDefault="0037437E" w:rsidP="008603FB">
            <w:pPr>
              <w:pStyle w:val="NormalWeb"/>
              <w:jc w:val="center"/>
              <w:rPr>
                <w:sz w:val="18"/>
                <w:szCs w:val="18"/>
              </w:rPr>
            </w:pPr>
            <w:r w:rsidRPr="003E19C7">
              <w:rPr>
                <w:sz w:val="18"/>
                <w:szCs w:val="18"/>
              </w:rPr>
              <w:t>24 (37.5)</w:t>
            </w:r>
          </w:p>
        </w:tc>
        <w:tc>
          <w:tcPr>
            <w:tcW w:w="1440" w:type="dxa"/>
            <w:hideMark/>
          </w:tcPr>
          <w:p w14:paraId="662BBC17" w14:textId="77777777" w:rsidR="0037437E" w:rsidRPr="003E19C7" w:rsidRDefault="0037437E" w:rsidP="008603FB">
            <w:pPr>
              <w:pStyle w:val="NormalWeb"/>
              <w:jc w:val="center"/>
              <w:rPr>
                <w:sz w:val="18"/>
                <w:szCs w:val="18"/>
              </w:rPr>
            </w:pPr>
            <w:r w:rsidRPr="003E19C7">
              <w:rPr>
                <w:sz w:val="18"/>
                <w:szCs w:val="18"/>
              </w:rPr>
              <w:t>24 (36.9)</w:t>
            </w:r>
          </w:p>
        </w:tc>
        <w:tc>
          <w:tcPr>
            <w:tcW w:w="1440" w:type="dxa"/>
            <w:hideMark/>
          </w:tcPr>
          <w:p w14:paraId="36DBB86A" w14:textId="77777777" w:rsidR="0037437E" w:rsidRPr="003E19C7" w:rsidRDefault="0037437E" w:rsidP="008603FB">
            <w:pPr>
              <w:pStyle w:val="NormalWeb"/>
              <w:jc w:val="center"/>
              <w:rPr>
                <w:sz w:val="18"/>
                <w:szCs w:val="18"/>
              </w:rPr>
            </w:pPr>
            <w:r w:rsidRPr="003E19C7">
              <w:rPr>
                <w:sz w:val="18"/>
                <w:szCs w:val="18"/>
              </w:rPr>
              <w:t>28 (41.8)</w:t>
            </w:r>
          </w:p>
        </w:tc>
        <w:tc>
          <w:tcPr>
            <w:tcW w:w="2700" w:type="dxa"/>
            <w:hideMark/>
          </w:tcPr>
          <w:p w14:paraId="263E903A" w14:textId="77777777" w:rsidR="0037437E" w:rsidRPr="003E19C7" w:rsidRDefault="0037437E" w:rsidP="008603FB">
            <w:pPr>
              <w:pStyle w:val="NormalWeb"/>
              <w:jc w:val="center"/>
              <w:rPr>
                <w:sz w:val="18"/>
                <w:szCs w:val="18"/>
              </w:rPr>
            </w:pPr>
            <w:r w:rsidRPr="003E19C7">
              <w:rPr>
                <w:sz w:val="18"/>
                <w:szCs w:val="18"/>
              </w:rPr>
              <w:t>60 (52.6)</w:t>
            </w:r>
          </w:p>
        </w:tc>
      </w:tr>
      <w:tr w:rsidR="0037437E" w:rsidRPr="003E19C7" w14:paraId="19FBA8F0"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shd w:val="clear" w:color="auto" w:fill="595959" w:themeFill="text1" w:themeFillTint="A6"/>
            <w:hideMark/>
          </w:tcPr>
          <w:p w14:paraId="4AC2FBC4" w14:textId="77777777" w:rsidR="0037437E" w:rsidRPr="003E19C7" w:rsidRDefault="0037437E" w:rsidP="008603FB">
            <w:pPr>
              <w:pStyle w:val="NormalWeb"/>
              <w:rPr>
                <w:b/>
                <w:bCs/>
                <w:color w:val="FFFFFF" w:themeColor="background1"/>
                <w:sz w:val="18"/>
                <w:szCs w:val="18"/>
              </w:rPr>
            </w:pPr>
            <w:r w:rsidRPr="003E19C7">
              <w:rPr>
                <w:b/>
                <w:bCs/>
                <w:color w:val="FFFFFF" w:themeColor="background1"/>
                <w:sz w:val="18"/>
                <w:szCs w:val="18"/>
              </w:rPr>
              <w:t>Mother’s education status</w:t>
            </w:r>
          </w:p>
        </w:tc>
        <w:tc>
          <w:tcPr>
            <w:tcW w:w="1620" w:type="dxa"/>
            <w:shd w:val="clear" w:color="auto" w:fill="595959" w:themeFill="text1" w:themeFillTint="A6"/>
            <w:hideMark/>
          </w:tcPr>
          <w:p w14:paraId="35416E30" w14:textId="77777777" w:rsidR="0037437E" w:rsidRPr="003E19C7" w:rsidRDefault="0037437E" w:rsidP="008603FB">
            <w:pPr>
              <w:jc w:val="center"/>
              <w:rPr>
                <w:b/>
                <w:bCs/>
                <w:color w:val="FFFFFF" w:themeColor="background1"/>
                <w:sz w:val="18"/>
                <w:szCs w:val="18"/>
              </w:rPr>
            </w:pPr>
          </w:p>
        </w:tc>
        <w:tc>
          <w:tcPr>
            <w:tcW w:w="1440" w:type="dxa"/>
            <w:shd w:val="clear" w:color="auto" w:fill="595959" w:themeFill="text1" w:themeFillTint="A6"/>
            <w:hideMark/>
          </w:tcPr>
          <w:p w14:paraId="2A2CF511" w14:textId="77777777" w:rsidR="0037437E" w:rsidRPr="003E19C7" w:rsidRDefault="0037437E"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19C2478C" w14:textId="77777777" w:rsidR="0037437E" w:rsidRPr="003E19C7" w:rsidRDefault="0037437E" w:rsidP="008603FB">
            <w:pPr>
              <w:jc w:val="center"/>
              <w:rPr>
                <w:rFonts w:eastAsia="Times New Roman"/>
                <w:b/>
                <w:bCs/>
                <w:color w:val="FFFFFF" w:themeColor="background1"/>
                <w:sz w:val="18"/>
                <w:szCs w:val="18"/>
              </w:rPr>
            </w:pPr>
          </w:p>
        </w:tc>
        <w:tc>
          <w:tcPr>
            <w:tcW w:w="2700" w:type="dxa"/>
            <w:shd w:val="clear" w:color="auto" w:fill="595959" w:themeFill="text1" w:themeFillTint="A6"/>
            <w:hideMark/>
          </w:tcPr>
          <w:p w14:paraId="4D3F8C71" w14:textId="77777777" w:rsidR="0037437E" w:rsidRPr="003E19C7" w:rsidRDefault="0037437E" w:rsidP="008603FB">
            <w:pPr>
              <w:jc w:val="center"/>
              <w:rPr>
                <w:rFonts w:eastAsia="Times New Roman"/>
                <w:b/>
                <w:bCs/>
                <w:color w:val="FFFFFF" w:themeColor="background1"/>
                <w:sz w:val="18"/>
                <w:szCs w:val="18"/>
              </w:rPr>
            </w:pPr>
          </w:p>
        </w:tc>
      </w:tr>
      <w:tr w:rsidR="0037437E" w:rsidRPr="003E19C7" w14:paraId="7C33EAD9" w14:textId="77777777" w:rsidTr="008603FB">
        <w:tblPrEx>
          <w:tblCellMar>
            <w:top w:w="57" w:type="dxa"/>
            <w:left w:w="57" w:type="dxa"/>
            <w:bottom w:w="57" w:type="dxa"/>
            <w:right w:w="57" w:type="dxa"/>
          </w:tblCellMar>
        </w:tblPrEx>
        <w:tc>
          <w:tcPr>
            <w:tcW w:w="7740" w:type="dxa"/>
            <w:hideMark/>
          </w:tcPr>
          <w:p w14:paraId="668CC984" w14:textId="77777777" w:rsidR="0037437E" w:rsidRPr="003E19C7" w:rsidRDefault="0037437E" w:rsidP="008603FB">
            <w:pPr>
              <w:pStyle w:val="NormalWeb"/>
              <w:rPr>
                <w:sz w:val="18"/>
                <w:szCs w:val="18"/>
              </w:rPr>
            </w:pPr>
            <w:r w:rsidRPr="003E19C7">
              <w:rPr>
                <w:sz w:val="18"/>
                <w:szCs w:val="18"/>
              </w:rPr>
              <w:t>Tertiary degree</w:t>
            </w:r>
          </w:p>
        </w:tc>
        <w:tc>
          <w:tcPr>
            <w:tcW w:w="1620" w:type="dxa"/>
            <w:hideMark/>
          </w:tcPr>
          <w:p w14:paraId="421BADFC" w14:textId="77777777" w:rsidR="0037437E" w:rsidRPr="003E19C7" w:rsidRDefault="0037437E" w:rsidP="008603FB">
            <w:pPr>
              <w:pStyle w:val="NormalWeb"/>
              <w:jc w:val="center"/>
              <w:rPr>
                <w:sz w:val="18"/>
                <w:szCs w:val="18"/>
              </w:rPr>
            </w:pPr>
            <w:r w:rsidRPr="003E19C7">
              <w:rPr>
                <w:sz w:val="18"/>
                <w:szCs w:val="18"/>
              </w:rPr>
              <w:t>8 (12.5)</w:t>
            </w:r>
          </w:p>
        </w:tc>
        <w:tc>
          <w:tcPr>
            <w:tcW w:w="1440" w:type="dxa"/>
            <w:hideMark/>
          </w:tcPr>
          <w:p w14:paraId="3AEE7F01" w14:textId="77777777" w:rsidR="0037437E" w:rsidRPr="003E19C7" w:rsidRDefault="0037437E" w:rsidP="008603FB">
            <w:pPr>
              <w:pStyle w:val="NormalWeb"/>
              <w:jc w:val="center"/>
              <w:rPr>
                <w:sz w:val="18"/>
                <w:szCs w:val="18"/>
              </w:rPr>
            </w:pPr>
            <w:r w:rsidRPr="003E19C7">
              <w:rPr>
                <w:sz w:val="18"/>
                <w:szCs w:val="18"/>
              </w:rPr>
              <w:t>11 (16.9)</w:t>
            </w:r>
          </w:p>
        </w:tc>
        <w:tc>
          <w:tcPr>
            <w:tcW w:w="1440" w:type="dxa"/>
            <w:hideMark/>
          </w:tcPr>
          <w:p w14:paraId="6A8B16C3" w14:textId="77777777" w:rsidR="0037437E" w:rsidRPr="003E19C7" w:rsidRDefault="0037437E" w:rsidP="008603FB">
            <w:pPr>
              <w:pStyle w:val="NormalWeb"/>
              <w:jc w:val="center"/>
              <w:rPr>
                <w:sz w:val="18"/>
                <w:szCs w:val="18"/>
              </w:rPr>
            </w:pPr>
            <w:r w:rsidRPr="003E19C7">
              <w:rPr>
                <w:sz w:val="18"/>
                <w:szCs w:val="18"/>
              </w:rPr>
              <w:t>14 (20.9)</w:t>
            </w:r>
          </w:p>
        </w:tc>
        <w:tc>
          <w:tcPr>
            <w:tcW w:w="2700" w:type="dxa"/>
            <w:hideMark/>
          </w:tcPr>
          <w:p w14:paraId="74F52907" w14:textId="77777777" w:rsidR="0037437E" w:rsidRPr="003E19C7" w:rsidRDefault="0037437E" w:rsidP="008603FB">
            <w:pPr>
              <w:pStyle w:val="NormalWeb"/>
              <w:jc w:val="center"/>
              <w:rPr>
                <w:sz w:val="18"/>
                <w:szCs w:val="18"/>
              </w:rPr>
            </w:pPr>
            <w:r w:rsidRPr="003E19C7">
              <w:rPr>
                <w:sz w:val="18"/>
                <w:szCs w:val="18"/>
              </w:rPr>
              <w:t>10 (8.8)</w:t>
            </w:r>
          </w:p>
        </w:tc>
      </w:tr>
      <w:tr w:rsidR="0037437E" w:rsidRPr="003E19C7" w14:paraId="646A303D"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6EC58A07" w14:textId="77777777" w:rsidR="0037437E" w:rsidRPr="003E19C7" w:rsidRDefault="0037437E" w:rsidP="008603FB">
            <w:pPr>
              <w:pStyle w:val="NormalWeb"/>
              <w:rPr>
                <w:sz w:val="18"/>
                <w:szCs w:val="18"/>
              </w:rPr>
            </w:pPr>
            <w:r w:rsidRPr="003E19C7">
              <w:rPr>
                <w:sz w:val="18"/>
                <w:szCs w:val="18"/>
              </w:rPr>
              <w:t>Diploma/certificate/trade</w:t>
            </w:r>
          </w:p>
        </w:tc>
        <w:tc>
          <w:tcPr>
            <w:tcW w:w="1620" w:type="dxa"/>
            <w:hideMark/>
          </w:tcPr>
          <w:p w14:paraId="2B4D30D8" w14:textId="77777777" w:rsidR="0037437E" w:rsidRPr="003E19C7" w:rsidRDefault="0037437E" w:rsidP="008603FB">
            <w:pPr>
              <w:pStyle w:val="NormalWeb"/>
              <w:jc w:val="center"/>
              <w:rPr>
                <w:sz w:val="18"/>
                <w:szCs w:val="18"/>
              </w:rPr>
            </w:pPr>
            <w:r w:rsidRPr="003E19C7">
              <w:rPr>
                <w:sz w:val="18"/>
                <w:szCs w:val="18"/>
              </w:rPr>
              <w:t>28 (43.8)</w:t>
            </w:r>
          </w:p>
        </w:tc>
        <w:tc>
          <w:tcPr>
            <w:tcW w:w="1440" w:type="dxa"/>
            <w:hideMark/>
          </w:tcPr>
          <w:p w14:paraId="4B57A383" w14:textId="77777777" w:rsidR="0037437E" w:rsidRPr="003E19C7" w:rsidRDefault="0037437E" w:rsidP="008603FB">
            <w:pPr>
              <w:pStyle w:val="NormalWeb"/>
              <w:jc w:val="center"/>
              <w:rPr>
                <w:sz w:val="18"/>
                <w:szCs w:val="18"/>
              </w:rPr>
            </w:pPr>
            <w:r w:rsidRPr="003E19C7">
              <w:rPr>
                <w:sz w:val="18"/>
                <w:szCs w:val="18"/>
              </w:rPr>
              <w:t>27 (41.5)</w:t>
            </w:r>
          </w:p>
        </w:tc>
        <w:tc>
          <w:tcPr>
            <w:tcW w:w="1440" w:type="dxa"/>
            <w:hideMark/>
          </w:tcPr>
          <w:p w14:paraId="7C28B8A5" w14:textId="77777777" w:rsidR="0037437E" w:rsidRPr="003E19C7" w:rsidRDefault="0037437E" w:rsidP="008603FB">
            <w:pPr>
              <w:pStyle w:val="NormalWeb"/>
              <w:jc w:val="center"/>
              <w:rPr>
                <w:sz w:val="18"/>
                <w:szCs w:val="18"/>
              </w:rPr>
            </w:pPr>
            <w:r w:rsidRPr="003E19C7">
              <w:rPr>
                <w:sz w:val="18"/>
                <w:szCs w:val="18"/>
              </w:rPr>
              <w:t>26 (38.8)</w:t>
            </w:r>
          </w:p>
        </w:tc>
        <w:tc>
          <w:tcPr>
            <w:tcW w:w="2700" w:type="dxa"/>
            <w:hideMark/>
          </w:tcPr>
          <w:p w14:paraId="41408CE6" w14:textId="77777777" w:rsidR="0037437E" w:rsidRPr="003E19C7" w:rsidRDefault="0037437E" w:rsidP="008603FB">
            <w:pPr>
              <w:pStyle w:val="NormalWeb"/>
              <w:jc w:val="center"/>
              <w:rPr>
                <w:sz w:val="18"/>
                <w:szCs w:val="18"/>
              </w:rPr>
            </w:pPr>
            <w:r w:rsidRPr="003E19C7">
              <w:rPr>
                <w:sz w:val="18"/>
                <w:szCs w:val="18"/>
              </w:rPr>
              <w:t>43 (37.7)</w:t>
            </w:r>
          </w:p>
        </w:tc>
      </w:tr>
      <w:tr w:rsidR="0037437E" w:rsidRPr="003E19C7" w14:paraId="15A10CFB" w14:textId="77777777" w:rsidTr="008603FB">
        <w:tblPrEx>
          <w:tblCellMar>
            <w:top w:w="57" w:type="dxa"/>
            <w:left w:w="57" w:type="dxa"/>
            <w:bottom w:w="57" w:type="dxa"/>
            <w:right w:w="57" w:type="dxa"/>
          </w:tblCellMar>
        </w:tblPrEx>
        <w:tc>
          <w:tcPr>
            <w:tcW w:w="7740" w:type="dxa"/>
            <w:hideMark/>
          </w:tcPr>
          <w:p w14:paraId="58C98873" w14:textId="77777777" w:rsidR="0037437E" w:rsidRPr="003E19C7" w:rsidRDefault="0037437E" w:rsidP="008603FB">
            <w:pPr>
              <w:pStyle w:val="NormalWeb"/>
              <w:rPr>
                <w:sz w:val="18"/>
                <w:szCs w:val="18"/>
              </w:rPr>
            </w:pPr>
            <w:r w:rsidRPr="003E19C7">
              <w:rPr>
                <w:sz w:val="18"/>
                <w:szCs w:val="18"/>
              </w:rPr>
              <w:t>High school</w:t>
            </w:r>
          </w:p>
        </w:tc>
        <w:tc>
          <w:tcPr>
            <w:tcW w:w="1620" w:type="dxa"/>
            <w:hideMark/>
          </w:tcPr>
          <w:p w14:paraId="46847A05" w14:textId="77777777" w:rsidR="0037437E" w:rsidRPr="003E19C7" w:rsidRDefault="0037437E" w:rsidP="008603FB">
            <w:pPr>
              <w:pStyle w:val="NormalWeb"/>
              <w:jc w:val="center"/>
              <w:rPr>
                <w:sz w:val="18"/>
                <w:szCs w:val="18"/>
              </w:rPr>
            </w:pPr>
            <w:r w:rsidRPr="003E19C7">
              <w:rPr>
                <w:sz w:val="18"/>
                <w:szCs w:val="18"/>
              </w:rPr>
              <w:t>14 (21.9)</w:t>
            </w:r>
          </w:p>
        </w:tc>
        <w:tc>
          <w:tcPr>
            <w:tcW w:w="1440" w:type="dxa"/>
            <w:hideMark/>
          </w:tcPr>
          <w:p w14:paraId="6349EE47" w14:textId="77777777" w:rsidR="0037437E" w:rsidRPr="003E19C7" w:rsidRDefault="0037437E" w:rsidP="008603FB">
            <w:pPr>
              <w:pStyle w:val="NormalWeb"/>
              <w:jc w:val="center"/>
              <w:rPr>
                <w:sz w:val="18"/>
                <w:szCs w:val="18"/>
              </w:rPr>
            </w:pPr>
            <w:r w:rsidRPr="003E19C7">
              <w:rPr>
                <w:sz w:val="18"/>
                <w:szCs w:val="18"/>
              </w:rPr>
              <w:t>9 (13.8)</w:t>
            </w:r>
          </w:p>
        </w:tc>
        <w:tc>
          <w:tcPr>
            <w:tcW w:w="1440" w:type="dxa"/>
            <w:hideMark/>
          </w:tcPr>
          <w:p w14:paraId="2646F92E" w14:textId="77777777" w:rsidR="0037437E" w:rsidRPr="003E19C7" w:rsidRDefault="0037437E" w:rsidP="008603FB">
            <w:pPr>
              <w:pStyle w:val="NormalWeb"/>
              <w:jc w:val="center"/>
              <w:rPr>
                <w:sz w:val="18"/>
                <w:szCs w:val="18"/>
              </w:rPr>
            </w:pPr>
            <w:r w:rsidRPr="003E19C7">
              <w:rPr>
                <w:sz w:val="18"/>
                <w:szCs w:val="18"/>
              </w:rPr>
              <w:t>15 (22.4)</w:t>
            </w:r>
          </w:p>
        </w:tc>
        <w:tc>
          <w:tcPr>
            <w:tcW w:w="2700" w:type="dxa"/>
            <w:hideMark/>
          </w:tcPr>
          <w:p w14:paraId="0BD215F5" w14:textId="77777777" w:rsidR="0037437E" w:rsidRPr="003E19C7" w:rsidRDefault="0037437E" w:rsidP="008603FB">
            <w:pPr>
              <w:pStyle w:val="NormalWeb"/>
              <w:jc w:val="center"/>
              <w:rPr>
                <w:sz w:val="18"/>
                <w:szCs w:val="18"/>
              </w:rPr>
            </w:pPr>
            <w:r w:rsidRPr="003E19C7">
              <w:rPr>
                <w:sz w:val="18"/>
                <w:szCs w:val="18"/>
              </w:rPr>
              <w:t>29 (25.4)</w:t>
            </w:r>
          </w:p>
        </w:tc>
      </w:tr>
      <w:tr w:rsidR="0037437E" w:rsidRPr="003E19C7" w14:paraId="3A671A59"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5E7BBCC4" w14:textId="77777777" w:rsidR="0037437E" w:rsidRPr="003E19C7" w:rsidRDefault="0037437E" w:rsidP="008603FB">
            <w:pPr>
              <w:pStyle w:val="NormalWeb"/>
              <w:rPr>
                <w:sz w:val="18"/>
                <w:szCs w:val="18"/>
              </w:rPr>
            </w:pPr>
            <w:r w:rsidRPr="003E19C7">
              <w:rPr>
                <w:sz w:val="18"/>
                <w:szCs w:val="18"/>
              </w:rPr>
              <w:t>Did not finish high school</w:t>
            </w:r>
          </w:p>
        </w:tc>
        <w:tc>
          <w:tcPr>
            <w:tcW w:w="1620" w:type="dxa"/>
            <w:hideMark/>
          </w:tcPr>
          <w:p w14:paraId="4C05A543" w14:textId="77777777" w:rsidR="0037437E" w:rsidRPr="003E19C7" w:rsidRDefault="0037437E" w:rsidP="008603FB">
            <w:pPr>
              <w:pStyle w:val="NormalWeb"/>
              <w:jc w:val="center"/>
              <w:rPr>
                <w:sz w:val="18"/>
                <w:szCs w:val="18"/>
              </w:rPr>
            </w:pPr>
            <w:r w:rsidRPr="003E19C7">
              <w:rPr>
                <w:sz w:val="18"/>
                <w:szCs w:val="18"/>
              </w:rPr>
              <w:t>13 (20.3)</w:t>
            </w:r>
          </w:p>
        </w:tc>
        <w:tc>
          <w:tcPr>
            <w:tcW w:w="1440" w:type="dxa"/>
            <w:hideMark/>
          </w:tcPr>
          <w:p w14:paraId="0FA1D110" w14:textId="77777777" w:rsidR="0037437E" w:rsidRPr="003E19C7" w:rsidRDefault="0037437E" w:rsidP="008603FB">
            <w:pPr>
              <w:pStyle w:val="NormalWeb"/>
              <w:jc w:val="center"/>
              <w:rPr>
                <w:sz w:val="18"/>
                <w:szCs w:val="18"/>
              </w:rPr>
            </w:pPr>
            <w:r w:rsidRPr="003E19C7">
              <w:rPr>
                <w:sz w:val="18"/>
                <w:szCs w:val="18"/>
              </w:rPr>
              <w:t>15 (23.1)</w:t>
            </w:r>
          </w:p>
        </w:tc>
        <w:tc>
          <w:tcPr>
            <w:tcW w:w="1440" w:type="dxa"/>
            <w:hideMark/>
          </w:tcPr>
          <w:p w14:paraId="4DDDFE7F" w14:textId="77777777" w:rsidR="0037437E" w:rsidRPr="003E19C7" w:rsidRDefault="0037437E" w:rsidP="008603FB">
            <w:pPr>
              <w:pStyle w:val="NormalWeb"/>
              <w:jc w:val="center"/>
              <w:rPr>
                <w:sz w:val="18"/>
                <w:szCs w:val="18"/>
              </w:rPr>
            </w:pPr>
            <w:r w:rsidRPr="003E19C7">
              <w:rPr>
                <w:sz w:val="18"/>
                <w:szCs w:val="18"/>
              </w:rPr>
              <w:t>12 (17.9)</w:t>
            </w:r>
          </w:p>
        </w:tc>
        <w:tc>
          <w:tcPr>
            <w:tcW w:w="2700" w:type="dxa"/>
            <w:hideMark/>
          </w:tcPr>
          <w:p w14:paraId="58792401" w14:textId="77777777" w:rsidR="0037437E" w:rsidRPr="003E19C7" w:rsidRDefault="0037437E" w:rsidP="008603FB">
            <w:pPr>
              <w:pStyle w:val="NormalWeb"/>
              <w:jc w:val="center"/>
              <w:rPr>
                <w:sz w:val="18"/>
                <w:szCs w:val="18"/>
              </w:rPr>
            </w:pPr>
            <w:r w:rsidRPr="003E19C7">
              <w:rPr>
                <w:sz w:val="18"/>
                <w:szCs w:val="18"/>
              </w:rPr>
              <w:t>27 (23.7)</w:t>
            </w:r>
          </w:p>
        </w:tc>
      </w:tr>
      <w:tr w:rsidR="0037437E" w:rsidRPr="003E19C7" w14:paraId="7BF7CDFC" w14:textId="77777777" w:rsidTr="008603FB">
        <w:tblPrEx>
          <w:tblCellMar>
            <w:top w:w="57" w:type="dxa"/>
            <w:left w:w="57" w:type="dxa"/>
            <w:bottom w:w="57" w:type="dxa"/>
            <w:right w:w="57" w:type="dxa"/>
          </w:tblCellMar>
        </w:tblPrEx>
        <w:tc>
          <w:tcPr>
            <w:tcW w:w="7740" w:type="dxa"/>
            <w:hideMark/>
          </w:tcPr>
          <w:p w14:paraId="206A95F6" w14:textId="77777777" w:rsidR="0037437E" w:rsidRPr="003E19C7" w:rsidRDefault="0037437E" w:rsidP="008603FB">
            <w:pPr>
              <w:pStyle w:val="NormalWeb"/>
              <w:rPr>
                <w:sz w:val="18"/>
                <w:szCs w:val="18"/>
              </w:rPr>
            </w:pPr>
            <w:r w:rsidRPr="003E19C7">
              <w:rPr>
                <w:sz w:val="18"/>
                <w:szCs w:val="18"/>
              </w:rPr>
              <w:t>Declined/missing/unknown</w:t>
            </w:r>
          </w:p>
        </w:tc>
        <w:tc>
          <w:tcPr>
            <w:tcW w:w="1620" w:type="dxa"/>
            <w:hideMark/>
          </w:tcPr>
          <w:p w14:paraId="3407B8BD" w14:textId="77777777" w:rsidR="0037437E" w:rsidRPr="003E19C7" w:rsidRDefault="0037437E" w:rsidP="008603FB">
            <w:pPr>
              <w:pStyle w:val="NormalWeb"/>
              <w:jc w:val="center"/>
              <w:rPr>
                <w:sz w:val="18"/>
                <w:szCs w:val="18"/>
              </w:rPr>
            </w:pPr>
            <w:r w:rsidRPr="003E19C7">
              <w:rPr>
                <w:sz w:val="18"/>
                <w:szCs w:val="18"/>
              </w:rPr>
              <w:t>1 (1.6)</w:t>
            </w:r>
          </w:p>
        </w:tc>
        <w:tc>
          <w:tcPr>
            <w:tcW w:w="1440" w:type="dxa"/>
            <w:hideMark/>
          </w:tcPr>
          <w:p w14:paraId="2746F13F" w14:textId="77777777" w:rsidR="0037437E" w:rsidRPr="003E19C7" w:rsidRDefault="0037437E" w:rsidP="008603FB">
            <w:pPr>
              <w:pStyle w:val="NormalWeb"/>
              <w:jc w:val="center"/>
              <w:rPr>
                <w:sz w:val="18"/>
                <w:szCs w:val="18"/>
              </w:rPr>
            </w:pPr>
            <w:r w:rsidRPr="003E19C7">
              <w:rPr>
                <w:sz w:val="18"/>
                <w:szCs w:val="18"/>
              </w:rPr>
              <w:t>3 (4.6)</w:t>
            </w:r>
          </w:p>
        </w:tc>
        <w:tc>
          <w:tcPr>
            <w:tcW w:w="1440" w:type="dxa"/>
            <w:hideMark/>
          </w:tcPr>
          <w:p w14:paraId="67A1B568" w14:textId="77777777" w:rsidR="0037437E" w:rsidRPr="003E19C7" w:rsidRDefault="0037437E" w:rsidP="008603FB">
            <w:pPr>
              <w:pStyle w:val="NormalWeb"/>
              <w:jc w:val="center"/>
              <w:rPr>
                <w:sz w:val="18"/>
                <w:szCs w:val="18"/>
              </w:rPr>
            </w:pPr>
            <w:r w:rsidRPr="003E19C7">
              <w:rPr>
                <w:sz w:val="18"/>
                <w:szCs w:val="18"/>
              </w:rPr>
              <w:t>1 (1.5)</w:t>
            </w:r>
          </w:p>
        </w:tc>
        <w:tc>
          <w:tcPr>
            <w:tcW w:w="2700" w:type="dxa"/>
            <w:hideMark/>
          </w:tcPr>
          <w:p w14:paraId="41B94779" w14:textId="77777777" w:rsidR="0037437E" w:rsidRPr="003E19C7" w:rsidRDefault="0037437E" w:rsidP="008603FB">
            <w:pPr>
              <w:pStyle w:val="NormalWeb"/>
              <w:jc w:val="center"/>
              <w:rPr>
                <w:sz w:val="18"/>
                <w:szCs w:val="18"/>
              </w:rPr>
            </w:pPr>
            <w:r w:rsidRPr="003E19C7">
              <w:rPr>
                <w:sz w:val="18"/>
                <w:szCs w:val="18"/>
              </w:rPr>
              <w:t>5 (4.4)</w:t>
            </w:r>
          </w:p>
        </w:tc>
      </w:tr>
      <w:tr w:rsidR="0037437E" w:rsidRPr="003E19C7" w14:paraId="28E2FFAE"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shd w:val="clear" w:color="auto" w:fill="595959" w:themeFill="text1" w:themeFillTint="A6"/>
            <w:hideMark/>
          </w:tcPr>
          <w:p w14:paraId="6CA6455D" w14:textId="77777777" w:rsidR="0037437E" w:rsidRPr="003E19C7" w:rsidRDefault="0037437E" w:rsidP="008603FB">
            <w:pPr>
              <w:pStyle w:val="NormalWeb"/>
              <w:rPr>
                <w:b/>
                <w:bCs/>
                <w:color w:val="FFFFFF" w:themeColor="background1"/>
                <w:sz w:val="18"/>
                <w:szCs w:val="18"/>
              </w:rPr>
            </w:pPr>
            <w:r w:rsidRPr="003E19C7">
              <w:rPr>
                <w:b/>
                <w:bCs/>
                <w:color w:val="FFFFFF" w:themeColor="background1"/>
                <w:sz w:val="18"/>
                <w:szCs w:val="18"/>
              </w:rPr>
              <w:t>Total annual household income</w:t>
            </w:r>
          </w:p>
        </w:tc>
        <w:tc>
          <w:tcPr>
            <w:tcW w:w="1620" w:type="dxa"/>
            <w:shd w:val="clear" w:color="auto" w:fill="595959" w:themeFill="text1" w:themeFillTint="A6"/>
            <w:hideMark/>
          </w:tcPr>
          <w:p w14:paraId="41BFF4B3" w14:textId="77777777" w:rsidR="0037437E" w:rsidRPr="003E19C7" w:rsidRDefault="0037437E" w:rsidP="008603FB">
            <w:pPr>
              <w:jc w:val="center"/>
              <w:rPr>
                <w:b/>
                <w:bCs/>
                <w:color w:val="FFFFFF" w:themeColor="background1"/>
                <w:sz w:val="18"/>
                <w:szCs w:val="18"/>
              </w:rPr>
            </w:pPr>
          </w:p>
        </w:tc>
        <w:tc>
          <w:tcPr>
            <w:tcW w:w="1440" w:type="dxa"/>
            <w:shd w:val="clear" w:color="auto" w:fill="595959" w:themeFill="text1" w:themeFillTint="A6"/>
            <w:hideMark/>
          </w:tcPr>
          <w:p w14:paraId="7C1B50DD" w14:textId="77777777" w:rsidR="0037437E" w:rsidRPr="003E19C7" w:rsidRDefault="0037437E"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3EFA2652" w14:textId="77777777" w:rsidR="0037437E" w:rsidRPr="003E19C7" w:rsidRDefault="0037437E" w:rsidP="008603FB">
            <w:pPr>
              <w:jc w:val="center"/>
              <w:rPr>
                <w:rFonts w:eastAsia="Times New Roman"/>
                <w:b/>
                <w:bCs/>
                <w:color w:val="FFFFFF" w:themeColor="background1"/>
                <w:sz w:val="18"/>
                <w:szCs w:val="18"/>
              </w:rPr>
            </w:pPr>
          </w:p>
        </w:tc>
        <w:tc>
          <w:tcPr>
            <w:tcW w:w="2700" w:type="dxa"/>
            <w:shd w:val="clear" w:color="auto" w:fill="595959" w:themeFill="text1" w:themeFillTint="A6"/>
            <w:hideMark/>
          </w:tcPr>
          <w:p w14:paraId="1D9CF155" w14:textId="77777777" w:rsidR="0037437E" w:rsidRPr="003E19C7" w:rsidRDefault="0037437E" w:rsidP="008603FB">
            <w:pPr>
              <w:jc w:val="center"/>
              <w:rPr>
                <w:rFonts w:eastAsia="Times New Roman"/>
                <w:b/>
                <w:bCs/>
                <w:color w:val="FFFFFF" w:themeColor="background1"/>
                <w:sz w:val="18"/>
                <w:szCs w:val="18"/>
              </w:rPr>
            </w:pPr>
          </w:p>
        </w:tc>
      </w:tr>
      <w:tr w:rsidR="0037437E" w:rsidRPr="003E19C7" w14:paraId="23A7BAAA" w14:textId="77777777" w:rsidTr="008603FB">
        <w:tblPrEx>
          <w:tblCellMar>
            <w:top w:w="57" w:type="dxa"/>
            <w:left w:w="57" w:type="dxa"/>
            <w:bottom w:w="57" w:type="dxa"/>
            <w:right w:w="57" w:type="dxa"/>
          </w:tblCellMar>
        </w:tblPrEx>
        <w:tc>
          <w:tcPr>
            <w:tcW w:w="7740" w:type="dxa"/>
            <w:hideMark/>
          </w:tcPr>
          <w:p w14:paraId="277779B9" w14:textId="77777777" w:rsidR="0037437E" w:rsidRPr="003E19C7" w:rsidRDefault="0037437E" w:rsidP="008603FB">
            <w:pPr>
              <w:pStyle w:val="NormalWeb"/>
              <w:rPr>
                <w:sz w:val="18"/>
                <w:szCs w:val="18"/>
              </w:rPr>
            </w:pPr>
            <w:r w:rsidRPr="003E19C7">
              <w:rPr>
                <w:sz w:val="18"/>
                <w:szCs w:val="18"/>
              </w:rPr>
              <w:t>$104,000+</w:t>
            </w:r>
          </w:p>
        </w:tc>
        <w:tc>
          <w:tcPr>
            <w:tcW w:w="1620" w:type="dxa"/>
            <w:hideMark/>
          </w:tcPr>
          <w:p w14:paraId="2D857AEF" w14:textId="77777777" w:rsidR="0037437E" w:rsidRPr="003E19C7" w:rsidRDefault="0037437E" w:rsidP="008603FB">
            <w:pPr>
              <w:pStyle w:val="NormalWeb"/>
              <w:jc w:val="center"/>
              <w:rPr>
                <w:sz w:val="18"/>
                <w:szCs w:val="18"/>
              </w:rPr>
            </w:pPr>
            <w:r w:rsidRPr="003E19C7">
              <w:rPr>
                <w:sz w:val="18"/>
                <w:szCs w:val="18"/>
              </w:rPr>
              <w:t>15 (23.4)</w:t>
            </w:r>
          </w:p>
        </w:tc>
        <w:tc>
          <w:tcPr>
            <w:tcW w:w="1440" w:type="dxa"/>
            <w:hideMark/>
          </w:tcPr>
          <w:p w14:paraId="74C9FCA9" w14:textId="77777777" w:rsidR="0037437E" w:rsidRPr="003E19C7" w:rsidRDefault="0037437E" w:rsidP="008603FB">
            <w:pPr>
              <w:pStyle w:val="NormalWeb"/>
              <w:jc w:val="center"/>
              <w:rPr>
                <w:sz w:val="18"/>
                <w:szCs w:val="18"/>
              </w:rPr>
            </w:pPr>
            <w:r w:rsidRPr="003E19C7">
              <w:rPr>
                <w:sz w:val="18"/>
                <w:szCs w:val="18"/>
              </w:rPr>
              <w:t>17 (26.2)</w:t>
            </w:r>
          </w:p>
        </w:tc>
        <w:tc>
          <w:tcPr>
            <w:tcW w:w="1440" w:type="dxa"/>
            <w:hideMark/>
          </w:tcPr>
          <w:p w14:paraId="03EED76F" w14:textId="77777777" w:rsidR="0037437E" w:rsidRPr="003E19C7" w:rsidRDefault="0037437E" w:rsidP="008603FB">
            <w:pPr>
              <w:pStyle w:val="NormalWeb"/>
              <w:jc w:val="center"/>
              <w:rPr>
                <w:sz w:val="18"/>
                <w:szCs w:val="18"/>
              </w:rPr>
            </w:pPr>
            <w:r w:rsidRPr="003E19C7">
              <w:rPr>
                <w:sz w:val="18"/>
                <w:szCs w:val="18"/>
              </w:rPr>
              <w:t>14 (20.9)</w:t>
            </w:r>
          </w:p>
        </w:tc>
        <w:tc>
          <w:tcPr>
            <w:tcW w:w="2700" w:type="dxa"/>
            <w:hideMark/>
          </w:tcPr>
          <w:p w14:paraId="7CCB707F" w14:textId="77777777" w:rsidR="0037437E" w:rsidRPr="003E19C7" w:rsidRDefault="0037437E" w:rsidP="008603FB">
            <w:pPr>
              <w:pStyle w:val="NormalWeb"/>
              <w:jc w:val="center"/>
              <w:rPr>
                <w:sz w:val="18"/>
                <w:szCs w:val="18"/>
              </w:rPr>
            </w:pPr>
            <w:r w:rsidRPr="003E19C7">
              <w:rPr>
                <w:sz w:val="18"/>
                <w:szCs w:val="18"/>
              </w:rPr>
              <w:t>9 (7.9)</w:t>
            </w:r>
          </w:p>
        </w:tc>
      </w:tr>
      <w:tr w:rsidR="0037437E" w:rsidRPr="003E19C7" w14:paraId="051623C1"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74B0CF6A" w14:textId="77777777" w:rsidR="0037437E" w:rsidRPr="003E19C7" w:rsidRDefault="0037437E" w:rsidP="008603FB">
            <w:pPr>
              <w:pStyle w:val="NormalWeb"/>
              <w:rPr>
                <w:sz w:val="18"/>
                <w:szCs w:val="18"/>
              </w:rPr>
            </w:pPr>
            <w:r w:rsidRPr="003E19C7">
              <w:rPr>
                <w:sz w:val="18"/>
                <w:szCs w:val="18"/>
              </w:rPr>
              <w:t>$78,000–103,999</w:t>
            </w:r>
          </w:p>
        </w:tc>
        <w:tc>
          <w:tcPr>
            <w:tcW w:w="1620" w:type="dxa"/>
            <w:hideMark/>
          </w:tcPr>
          <w:p w14:paraId="3E121689" w14:textId="77777777" w:rsidR="0037437E" w:rsidRPr="003E19C7" w:rsidRDefault="0037437E" w:rsidP="008603FB">
            <w:pPr>
              <w:pStyle w:val="NormalWeb"/>
              <w:jc w:val="center"/>
              <w:rPr>
                <w:sz w:val="18"/>
                <w:szCs w:val="18"/>
              </w:rPr>
            </w:pPr>
            <w:r w:rsidRPr="003E19C7">
              <w:rPr>
                <w:sz w:val="18"/>
                <w:szCs w:val="18"/>
              </w:rPr>
              <w:t>12 (18.8)</w:t>
            </w:r>
          </w:p>
        </w:tc>
        <w:tc>
          <w:tcPr>
            <w:tcW w:w="1440" w:type="dxa"/>
            <w:hideMark/>
          </w:tcPr>
          <w:p w14:paraId="56F75784" w14:textId="77777777" w:rsidR="0037437E" w:rsidRPr="003E19C7" w:rsidRDefault="0037437E" w:rsidP="008603FB">
            <w:pPr>
              <w:pStyle w:val="NormalWeb"/>
              <w:jc w:val="center"/>
              <w:rPr>
                <w:sz w:val="18"/>
                <w:szCs w:val="18"/>
              </w:rPr>
            </w:pPr>
            <w:r w:rsidRPr="003E19C7">
              <w:rPr>
                <w:sz w:val="18"/>
                <w:szCs w:val="18"/>
              </w:rPr>
              <w:t>13 (20.0)</w:t>
            </w:r>
          </w:p>
        </w:tc>
        <w:tc>
          <w:tcPr>
            <w:tcW w:w="1440" w:type="dxa"/>
            <w:hideMark/>
          </w:tcPr>
          <w:p w14:paraId="69E5434F" w14:textId="77777777" w:rsidR="0037437E" w:rsidRPr="003E19C7" w:rsidRDefault="0037437E" w:rsidP="008603FB">
            <w:pPr>
              <w:pStyle w:val="NormalWeb"/>
              <w:jc w:val="center"/>
              <w:rPr>
                <w:sz w:val="18"/>
                <w:szCs w:val="18"/>
              </w:rPr>
            </w:pPr>
            <w:r w:rsidRPr="003E19C7">
              <w:rPr>
                <w:sz w:val="18"/>
                <w:szCs w:val="18"/>
              </w:rPr>
              <w:t>15 (22.4)</w:t>
            </w:r>
          </w:p>
        </w:tc>
        <w:tc>
          <w:tcPr>
            <w:tcW w:w="2700" w:type="dxa"/>
            <w:hideMark/>
          </w:tcPr>
          <w:p w14:paraId="1B541E2B" w14:textId="77777777" w:rsidR="0037437E" w:rsidRPr="003E19C7" w:rsidRDefault="0037437E" w:rsidP="008603FB">
            <w:pPr>
              <w:pStyle w:val="NormalWeb"/>
              <w:jc w:val="center"/>
              <w:rPr>
                <w:sz w:val="18"/>
                <w:szCs w:val="18"/>
              </w:rPr>
            </w:pPr>
            <w:r w:rsidRPr="003E19C7">
              <w:rPr>
                <w:sz w:val="18"/>
                <w:szCs w:val="18"/>
              </w:rPr>
              <w:t>12 (10.5)</w:t>
            </w:r>
          </w:p>
        </w:tc>
      </w:tr>
      <w:tr w:rsidR="0037437E" w:rsidRPr="003E19C7" w14:paraId="71A66093" w14:textId="77777777" w:rsidTr="008603FB">
        <w:tblPrEx>
          <w:tblCellMar>
            <w:top w:w="57" w:type="dxa"/>
            <w:left w:w="57" w:type="dxa"/>
            <w:bottom w:w="57" w:type="dxa"/>
            <w:right w:w="57" w:type="dxa"/>
          </w:tblCellMar>
        </w:tblPrEx>
        <w:tc>
          <w:tcPr>
            <w:tcW w:w="7740" w:type="dxa"/>
            <w:hideMark/>
          </w:tcPr>
          <w:p w14:paraId="3D664535" w14:textId="77777777" w:rsidR="0037437E" w:rsidRPr="003E19C7" w:rsidRDefault="0037437E" w:rsidP="008603FB">
            <w:pPr>
              <w:pStyle w:val="NormalWeb"/>
              <w:rPr>
                <w:sz w:val="18"/>
                <w:szCs w:val="18"/>
              </w:rPr>
            </w:pPr>
            <w:r w:rsidRPr="003E19C7">
              <w:rPr>
                <w:sz w:val="18"/>
                <w:szCs w:val="18"/>
              </w:rPr>
              <w:t>$52,000–77,999</w:t>
            </w:r>
          </w:p>
        </w:tc>
        <w:tc>
          <w:tcPr>
            <w:tcW w:w="1620" w:type="dxa"/>
            <w:hideMark/>
          </w:tcPr>
          <w:p w14:paraId="1779CE89" w14:textId="77777777" w:rsidR="0037437E" w:rsidRPr="003E19C7" w:rsidRDefault="0037437E" w:rsidP="008603FB">
            <w:pPr>
              <w:pStyle w:val="NormalWeb"/>
              <w:jc w:val="center"/>
              <w:rPr>
                <w:sz w:val="18"/>
                <w:szCs w:val="18"/>
              </w:rPr>
            </w:pPr>
            <w:r w:rsidRPr="003E19C7">
              <w:rPr>
                <w:sz w:val="18"/>
                <w:szCs w:val="18"/>
              </w:rPr>
              <w:t>9 (14.1)</w:t>
            </w:r>
          </w:p>
        </w:tc>
        <w:tc>
          <w:tcPr>
            <w:tcW w:w="1440" w:type="dxa"/>
            <w:hideMark/>
          </w:tcPr>
          <w:p w14:paraId="36F50DCD" w14:textId="77777777" w:rsidR="0037437E" w:rsidRPr="003E19C7" w:rsidRDefault="0037437E" w:rsidP="008603FB">
            <w:pPr>
              <w:pStyle w:val="NormalWeb"/>
              <w:jc w:val="center"/>
              <w:rPr>
                <w:sz w:val="18"/>
                <w:szCs w:val="18"/>
              </w:rPr>
            </w:pPr>
            <w:r w:rsidRPr="003E19C7">
              <w:rPr>
                <w:sz w:val="18"/>
                <w:szCs w:val="18"/>
              </w:rPr>
              <w:t>7 (10.8)</w:t>
            </w:r>
          </w:p>
        </w:tc>
        <w:tc>
          <w:tcPr>
            <w:tcW w:w="1440" w:type="dxa"/>
            <w:hideMark/>
          </w:tcPr>
          <w:p w14:paraId="721F3581" w14:textId="77777777" w:rsidR="0037437E" w:rsidRPr="003E19C7" w:rsidRDefault="0037437E" w:rsidP="008603FB">
            <w:pPr>
              <w:pStyle w:val="NormalWeb"/>
              <w:jc w:val="center"/>
              <w:rPr>
                <w:sz w:val="18"/>
                <w:szCs w:val="18"/>
              </w:rPr>
            </w:pPr>
            <w:r w:rsidRPr="003E19C7">
              <w:rPr>
                <w:sz w:val="18"/>
                <w:szCs w:val="18"/>
              </w:rPr>
              <w:t>10 (14.9)</w:t>
            </w:r>
          </w:p>
        </w:tc>
        <w:tc>
          <w:tcPr>
            <w:tcW w:w="2700" w:type="dxa"/>
            <w:hideMark/>
          </w:tcPr>
          <w:p w14:paraId="3254935F" w14:textId="77777777" w:rsidR="0037437E" w:rsidRPr="003E19C7" w:rsidRDefault="0037437E" w:rsidP="008603FB">
            <w:pPr>
              <w:pStyle w:val="NormalWeb"/>
              <w:jc w:val="center"/>
              <w:rPr>
                <w:sz w:val="18"/>
                <w:szCs w:val="18"/>
              </w:rPr>
            </w:pPr>
            <w:r w:rsidRPr="003E19C7">
              <w:rPr>
                <w:sz w:val="18"/>
                <w:szCs w:val="18"/>
              </w:rPr>
              <w:t>23 (20.2)</w:t>
            </w:r>
          </w:p>
        </w:tc>
      </w:tr>
      <w:tr w:rsidR="0037437E" w:rsidRPr="003E19C7" w14:paraId="50D1D976"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16D3E908" w14:textId="77777777" w:rsidR="0037437E" w:rsidRPr="003E19C7" w:rsidRDefault="0037437E" w:rsidP="008603FB">
            <w:pPr>
              <w:pStyle w:val="NormalWeb"/>
              <w:rPr>
                <w:sz w:val="18"/>
                <w:szCs w:val="18"/>
              </w:rPr>
            </w:pPr>
            <w:r w:rsidRPr="003E19C7">
              <w:rPr>
                <w:sz w:val="18"/>
                <w:szCs w:val="18"/>
              </w:rPr>
              <w:t>$0–51,999</w:t>
            </w:r>
          </w:p>
        </w:tc>
        <w:tc>
          <w:tcPr>
            <w:tcW w:w="1620" w:type="dxa"/>
            <w:hideMark/>
          </w:tcPr>
          <w:p w14:paraId="5A9F94AC" w14:textId="77777777" w:rsidR="0037437E" w:rsidRPr="003E19C7" w:rsidRDefault="0037437E" w:rsidP="008603FB">
            <w:pPr>
              <w:pStyle w:val="NormalWeb"/>
              <w:jc w:val="center"/>
              <w:rPr>
                <w:sz w:val="18"/>
                <w:szCs w:val="18"/>
              </w:rPr>
            </w:pPr>
            <w:r w:rsidRPr="003E19C7">
              <w:rPr>
                <w:sz w:val="18"/>
                <w:szCs w:val="18"/>
              </w:rPr>
              <w:t>18 (28.1)</w:t>
            </w:r>
          </w:p>
        </w:tc>
        <w:tc>
          <w:tcPr>
            <w:tcW w:w="1440" w:type="dxa"/>
            <w:hideMark/>
          </w:tcPr>
          <w:p w14:paraId="3717703D" w14:textId="77777777" w:rsidR="0037437E" w:rsidRPr="003E19C7" w:rsidRDefault="0037437E" w:rsidP="008603FB">
            <w:pPr>
              <w:pStyle w:val="NormalWeb"/>
              <w:jc w:val="center"/>
              <w:rPr>
                <w:sz w:val="18"/>
                <w:szCs w:val="18"/>
              </w:rPr>
            </w:pPr>
            <w:r w:rsidRPr="003E19C7">
              <w:rPr>
                <w:sz w:val="18"/>
                <w:szCs w:val="18"/>
              </w:rPr>
              <w:t>16 (24.6)</w:t>
            </w:r>
          </w:p>
        </w:tc>
        <w:tc>
          <w:tcPr>
            <w:tcW w:w="1440" w:type="dxa"/>
            <w:hideMark/>
          </w:tcPr>
          <w:p w14:paraId="1939A144" w14:textId="77777777" w:rsidR="0037437E" w:rsidRPr="003E19C7" w:rsidRDefault="0037437E" w:rsidP="008603FB">
            <w:pPr>
              <w:pStyle w:val="NormalWeb"/>
              <w:jc w:val="center"/>
              <w:rPr>
                <w:sz w:val="18"/>
                <w:szCs w:val="18"/>
              </w:rPr>
            </w:pPr>
            <w:r w:rsidRPr="003E19C7">
              <w:rPr>
                <w:sz w:val="18"/>
                <w:szCs w:val="18"/>
              </w:rPr>
              <w:t>16 (23.9)</w:t>
            </w:r>
          </w:p>
        </w:tc>
        <w:tc>
          <w:tcPr>
            <w:tcW w:w="2700" w:type="dxa"/>
            <w:hideMark/>
          </w:tcPr>
          <w:p w14:paraId="52EC5DA8" w14:textId="77777777" w:rsidR="0037437E" w:rsidRPr="003E19C7" w:rsidRDefault="0037437E" w:rsidP="008603FB">
            <w:pPr>
              <w:pStyle w:val="NormalWeb"/>
              <w:jc w:val="center"/>
              <w:rPr>
                <w:sz w:val="18"/>
                <w:szCs w:val="18"/>
              </w:rPr>
            </w:pPr>
            <w:r w:rsidRPr="003E19C7">
              <w:rPr>
                <w:sz w:val="18"/>
                <w:szCs w:val="18"/>
              </w:rPr>
              <w:t>31 (27.2)</w:t>
            </w:r>
          </w:p>
        </w:tc>
      </w:tr>
      <w:tr w:rsidR="0037437E" w:rsidRPr="003E19C7" w14:paraId="467098CB" w14:textId="77777777" w:rsidTr="008603FB">
        <w:tblPrEx>
          <w:tblCellMar>
            <w:top w:w="57" w:type="dxa"/>
            <w:left w:w="57" w:type="dxa"/>
            <w:bottom w:w="57" w:type="dxa"/>
            <w:right w:w="57" w:type="dxa"/>
          </w:tblCellMar>
        </w:tblPrEx>
        <w:tc>
          <w:tcPr>
            <w:tcW w:w="7740" w:type="dxa"/>
            <w:hideMark/>
          </w:tcPr>
          <w:p w14:paraId="1D905F22" w14:textId="77777777" w:rsidR="0037437E" w:rsidRPr="003E19C7" w:rsidRDefault="0037437E" w:rsidP="008603FB">
            <w:pPr>
              <w:pStyle w:val="NormalWeb"/>
              <w:rPr>
                <w:sz w:val="18"/>
                <w:szCs w:val="18"/>
              </w:rPr>
            </w:pPr>
            <w:r w:rsidRPr="003E19C7">
              <w:rPr>
                <w:sz w:val="18"/>
                <w:szCs w:val="18"/>
              </w:rPr>
              <w:t>Declined/missing/unknown</w:t>
            </w:r>
          </w:p>
        </w:tc>
        <w:tc>
          <w:tcPr>
            <w:tcW w:w="1620" w:type="dxa"/>
            <w:hideMark/>
          </w:tcPr>
          <w:p w14:paraId="469E57F8" w14:textId="77777777" w:rsidR="0037437E" w:rsidRPr="003E19C7" w:rsidRDefault="0037437E" w:rsidP="008603FB">
            <w:pPr>
              <w:pStyle w:val="NormalWeb"/>
              <w:jc w:val="center"/>
              <w:rPr>
                <w:sz w:val="18"/>
                <w:szCs w:val="18"/>
              </w:rPr>
            </w:pPr>
            <w:r w:rsidRPr="003E19C7">
              <w:rPr>
                <w:sz w:val="18"/>
                <w:szCs w:val="18"/>
              </w:rPr>
              <w:t>10 (15.6)</w:t>
            </w:r>
          </w:p>
        </w:tc>
        <w:tc>
          <w:tcPr>
            <w:tcW w:w="1440" w:type="dxa"/>
            <w:hideMark/>
          </w:tcPr>
          <w:p w14:paraId="43A19CE9" w14:textId="77777777" w:rsidR="0037437E" w:rsidRPr="003E19C7" w:rsidRDefault="0037437E" w:rsidP="008603FB">
            <w:pPr>
              <w:pStyle w:val="NormalWeb"/>
              <w:jc w:val="center"/>
              <w:rPr>
                <w:sz w:val="18"/>
                <w:szCs w:val="18"/>
              </w:rPr>
            </w:pPr>
            <w:r w:rsidRPr="003E19C7">
              <w:rPr>
                <w:sz w:val="18"/>
                <w:szCs w:val="18"/>
              </w:rPr>
              <w:t>12 (18.5)</w:t>
            </w:r>
          </w:p>
        </w:tc>
        <w:tc>
          <w:tcPr>
            <w:tcW w:w="1440" w:type="dxa"/>
            <w:hideMark/>
          </w:tcPr>
          <w:p w14:paraId="2A0D6BFD" w14:textId="77777777" w:rsidR="0037437E" w:rsidRPr="003E19C7" w:rsidRDefault="0037437E" w:rsidP="008603FB">
            <w:pPr>
              <w:pStyle w:val="NormalWeb"/>
              <w:jc w:val="center"/>
              <w:rPr>
                <w:sz w:val="18"/>
                <w:szCs w:val="18"/>
              </w:rPr>
            </w:pPr>
            <w:r w:rsidRPr="003E19C7">
              <w:rPr>
                <w:sz w:val="18"/>
                <w:szCs w:val="18"/>
              </w:rPr>
              <w:t>12 (17.9)</w:t>
            </w:r>
          </w:p>
        </w:tc>
        <w:tc>
          <w:tcPr>
            <w:tcW w:w="2700" w:type="dxa"/>
            <w:hideMark/>
          </w:tcPr>
          <w:p w14:paraId="5FF49E7A" w14:textId="77777777" w:rsidR="0037437E" w:rsidRPr="003E19C7" w:rsidRDefault="0037437E" w:rsidP="008603FB">
            <w:pPr>
              <w:pStyle w:val="NormalWeb"/>
              <w:jc w:val="center"/>
              <w:rPr>
                <w:sz w:val="18"/>
                <w:szCs w:val="18"/>
              </w:rPr>
            </w:pPr>
            <w:r w:rsidRPr="003E19C7">
              <w:rPr>
                <w:sz w:val="18"/>
                <w:szCs w:val="18"/>
              </w:rPr>
              <w:t>39 (34.2)</w:t>
            </w:r>
          </w:p>
        </w:tc>
      </w:tr>
      <w:tr w:rsidR="0037437E" w:rsidRPr="003E19C7" w14:paraId="20BD468B"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shd w:val="clear" w:color="auto" w:fill="595959" w:themeFill="text1" w:themeFillTint="A6"/>
            <w:hideMark/>
          </w:tcPr>
          <w:p w14:paraId="68A281DB" w14:textId="77777777" w:rsidR="0037437E" w:rsidRPr="003E19C7" w:rsidRDefault="0037437E" w:rsidP="008603FB">
            <w:pPr>
              <w:pStyle w:val="NormalWeb"/>
              <w:rPr>
                <w:b/>
                <w:bCs/>
                <w:color w:val="FFFFFF" w:themeColor="background1"/>
                <w:sz w:val="18"/>
                <w:szCs w:val="18"/>
              </w:rPr>
            </w:pPr>
            <w:r w:rsidRPr="003E19C7">
              <w:rPr>
                <w:b/>
                <w:bCs/>
                <w:color w:val="FFFFFF" w:themeColor="background1"/>
                <w:sz w:val="18"/>
                <w:szCs w:val="18"/>
              </w:rPr>
              <w:t>Mother has regular GP</w:t>
            </w:r>
          </w:p>
        </w:tc>
        <w:tc>
          <w:tcPr>
            <w:tcW w:w="1620" w:type="dxa"/>
            <w:shd w:val="clear" w:color="auto" w:fill="595959" w:themeFill="text1" w:themeFillTint="A6"/>
            <w:hideMark/>
          </w:tcPr>
          <w:p w14:paraId="3D5C8DCB" w14:textId="77777777" w:rsidR="0037437E" w:rsidRPr="003E19C7" w:rsidRDefault="0037437E" w:rsidP="008603FB">
            <w:pPr>
              <w:jc w:val="center"/>
              <w:rPr>
                <w:b/>
                <w:bCs/>
                <w:color w:val="FFFFFF" w:themeColor="background1"/>
                <w:sz w:val="18"/>
                <w:szCs w:val="18"/>
              </w:rPr>
            </w:pPr>
          </w:p>
        </w:tc>
        <w:tc>
          <w:tcPr>
            <w:tcW w:w="1440" w:type="dxa"/>
            <w:shd w:val="clear" w:color="auto" w:fill="595959" w:themeFill="text1" w:themeFillTint="A6"/>
            <w:hideMark/>
          </w:tcPr>
          <w:p w14:paraId="22B8796B" w14:textId="77777777" w:rsidR="0037437E" w:rsidRPr="003E19C7" w:rsidRDefault="0037437E"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1A16BB17" w14:textId="77777777" w:rsidR="0037437E" w:rsidRPr="003E19C7" w:rsidRDefault="0037437E" w:rsidP="008603FB">
            <w:pPr>
              <w:jc w:val="center"/>
              <w:rPr>
                <w:rFonts w:eastAsia="Times New Roman"/>
                <w:b/>
                <w:bCs/>
                <w:color w:val="FFFFFF" w:themeColor="background1"/>
                <w:sz w:val="18"/>
                <w:szCs w:val="18"/>
              </w:rPr>
            </w:pPr>
          </w:p>
        </w:tc>
        <w:tc>
          <w:tcPr>
            <w:tcW w:w="2700" w:type="dxa"/>
            <w:shd w:val="clear" w:color="auto" w:fill="595959" w:themeFill="text1" w:themeFillTint="A6"/>
            <w:hideMark/>
          </w:tcPr>
          <w:p w14:paraId="75142430" w14:textId="77777777" w:rsidR="0037437E" w:rsidRPr="003E19C7" w:rsidRDefault="0037437E" w:rsidP="008603FB">
            <w:pPr>
              <w:jc w:val="center"/>
              <w:rPr>
                <w:rFonts w:eastAsia="Times New Roman"/>
                <w:b/>
                <w:bCs/>
                <w:color w:val="FFFFFF" w:themeColor="background1"/>
                <w:sz w:val="18"/>
                <w:szCs w:val="18"/>
              </w:rPr>
            </w:pPr>
          </w:p>
        </w:tc>
      </w:tr>
      <w:tr w:rsidR="0037437E" w:rsidRPr="003E19C7" w14:paraId="12775A06" w14:textId="77777777" w:rsidTr="008603FB">
        <w:tblPrEx>
          <w:tblCellMar>
            <w:top w:w="57" w:type="dxa"/>
            <w:left w:w="57" w:type="dxa"/>
            <w:bottom w:w="57" w:type="dxa"/>
            <w:right w:w="57" w:type="dxa"/>
          </w:tblCellMar>
        </w:tblPrEx>
        <w:tc>
          <w:tcPr>
            <w:tcW w:w="7740" w:type="dxa"/>
            <w:hideMark/>
          </w:tcPr>
          <w:p w14:paraId="1847F4C7" w14:textId="77777777" w:rsidR="0037437E" w:rsidRPr="003E19C7" w:rsidRDefault="0037437E" w:rsidP="008603FB">
            <w:pPr>
              <w:pStyle w:val="NormalWeb"/>
              <w:rPr>
                <w:sz w:val="18"/>
                <w:szCs w:val="18"/>
              </w:rPr>
            </w:pPr>
            <w:r w:rsidRPr="003E19C7">
              <w:rPr>
                <w:sz w:val="18"/>
                <w:szCs w:val="18"/>
              </w:rPr>
              <w:t>No</w:t>
            </w:r>
          </w:p>
        </w:tc>
        <w:tc>
          <w:tcPr>
            <w:tcW w:w="1620" w:type="dxa"/>
            <w:hideMark/>
          </w:tcPr>
          <w:p w14:paraId="1B862533" w14:textId="77777777" w:rsidR="0037437E" w:rsidRPr="003E19C7" w:rsidRDefault="0037437E" w:rsidP="008603FB">
            <w:pPr>
              <w:pStyle w:val="NormalWeb"/>
              <w:jc w:val="center"/>
              <w:rPr>
                <w:sz w:val="18"/>
                <w:szCs w:val="18"/>
              </w:rPr>
            </w:pPr>
            <w:r w:rsidRPr="003E19C7">
              <w:rPr>
                <w:sz w:val="18"/>
                <w:szCs w:val="18"/>
              </w:rPr>
              <w:t>25 (39.1)</w:t>
            </w:r>
          </w:p>
        </w:tc>
        <w:tc>
          <w:tcPr>
            <w:tcW w:w="1440" w:type="dxa"/>
            <w:hideMark/>
          </w:tcPr>
          <w:p w14:paraId="044DE422" w14:textId="77777777" w:rsidR="0037437E" w:rsidRPr="003E19C7" w:rsidRDefault="0037437E" w:rsidP="008603FB">
            <w:pPr>
              <w:pStyle w:val="NormalWeb"/>
              <w:jc w:val="center"/>
              <w:rPr>
                <w:sz w:val="18"/>
                <w:szCs w:val="18"/>
              </w:rPr>
            </w:pPr>
            <w:r w:rsidRPr="003E19C7">
              <w:rPr>
                <w:sz w:val="18"/>
                <w:szCs w:val="18"/>
              </w:rPr>
              <w:t>23 (35.4)</w:t>
            </w:r>
          </w:p>
        </w:tc>
        <w:tc>
          <w:tcPr>
            <w:tcW w:w="1440" w:type="dxa"/>
            <w:hideMark/>
          </w:tcPr>
          <w:p w14:paraId="3B358E38" w14:textId="77777777" w:rsidR="0037437E" w:rsidRPr="003E19C7" w:rsidRDefault="0037437E" w:rsidP="008603FB">
            <w:pPr>
              <w:pStyle w:val="NormalWeb"/>
              <w:jc w:val="center"/>
              <w:rPr>
                <w:sz w:val="18"/>
                <w:szCs w:val="18"/>
              </w:rPr>
            </w:pPr>
            <w:r w:rsidRPr="003E19C7">
              <w:rPr>
                <w:sz w:val="18"/>
                <w:szCs w:val="18"/>
              </w:rPr>
              <w:t>16 (23.9)</w:t>
            </w:r>
          </w:p>
        </w:tc>
        <w:tc>
          <w:tcPr>
            <w:tcW w:w="2700" w:type="dxa"/>
            <w:hideMark/>
          </w:tcPr>
          <w:p w14:paraId="109DD815" w14:textId="77777777" w:rsidR="0037437E" w:rsidRPr="003E19C7" w:rsidRDefault="0037437E" w:rsidP="008603FB">
            <w:pPr>
              <w:pStyle w:val="NormalWeb"/>
              <w:jc w:val="center"/>
              <w:rPr>
                <w:sz w:val="18"/>
                <w:szCs w:val="18"/>
              </w:rPr>
            </w:pPr>
            <w:r w:rsidRPr="003E19C7">
              <w:rPr>
                <w:sz w:val="18"/>
                <w:szCs w:val="18"/>
              </w:rPr>
              <w:t>49 (43.0)</w:t>
            </w:r>
          </w:p>
        </w:tc>
      </w:tr>
      <w:tr w:rsidR="0037437E" w:rsidRPr="003E19C7" w14:paraId="490C3644"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shd w:val="clear" w:color="auto" w:fill="595959" w:themeFill="text1" w:themeFillTint="A6"/>
            <w:hideMark/>
          </w:tcPr>
          <w:p w14:paraId="07C55B18" w14:textId="77777777" w:rsidR="0037437E" w:rsidRPr="003E19C7" w:rsidRDefault="0037437E" w:rsidP="008603FB">
            <w:pPr>
              <w:pStyle w:val="NormalWeb"/>
              <w:rPr>
                <w:b/>
                <w:bCs/>
                <w:color w:val="FFFFFF" w:themeColor="background1"/>
                <w:sz w:val="18"/>
                <w:szCs w:val="18"/>
              </w:rPr>
            </w:pPr>
            <w:r w:rsidRPr="003E19C7">
              <w:rPr>
                <w:b/>
                <w:bCs/>
                <w:color w:val="FFFFFF" w:themeColor="background1"/>
                <w:sz w:val="18"/>
                <w:szCs w:val="18"/>
              </w:rPr>
              <w:t>Mother has had the same midwife for antenatal care</w:t>
            </w:r>
          </w:p>
        </w:tc>
        <w:tc>
          <w:tcPr>
            <w:tcW w:w="1620" w:type="dxa"/>
            <w:shd w:val="clear" w:color="auto" w:fill="595959" w:themeFill="text1" w:themeFillTint="A6"/>
            <w:hideMark/>
          </w:tcPr>
          <w:p w14:paraId="39446310" w14:textId="77777777" w:rsidR="0037437E" w:rsidRPr="003E19C7" w:rsidRDefault="0037437E" w:rsidP="008603FB">
            <w:pPr>
              <w:jc w:val="center"/>
              <w:rPr>
                <w:b/>
                <w:bCs/>
                <w:color w:val="FFFFFF" w:themeColor="background1"/>
                <w:sz w:val="18"/>
                <w:szCs w:val="18"/>
              </w:rPr>
            </w:pPr>
          </w:p>
        </w:tc>
        <w:tc>
          <w:tcPr>
            <w:tcW w:w="1440" w:type="dxa"/>
            <w:shd w:val="clear" w:color="auto" w:fill="595959" w:themeFill="text1" w:themeFillTint="A6"/>
            <w:hideMark/>
          </w:tcPr>
          <w:p w14:paraId="0F993143" w14:textId="77777777" w:rsidR="0037437E" w:rsidRPr="003E19C7" w:rsidRDefault="0037437E"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03037FA8" w14:textId="77777777" w:rsidR="0037437E" w:rsidRPr="003E19C7" w:rsidRDefault="0037437E" w:rsidP="008603FB">
            <w:pPr>
              <w:jc w:val="center"/>
              <w:rPr>
                <w:rFonts w:eastAsia="Times New Roman"/>
                <w:b/>
                <w:bCs/>
                <w:color w:val="FFFFFF" w:themeColor="background1"/>
                <w:sz w:val="18"/>
                <w:szCs w:val="18"/>
              </w:rPr>
            </w:pPr>
          </w:p>
        </w:tc>
        <w:tc>
          <w:tcPr>
            <w:tcW w:w="2700" w:type="dxa"/>
            <w:shd w:val="clear" w:color="auto" w:fill="595959" w:themeFill="text1" w:themeFillTint="A6"/>
            <w:hideMark/>
          </w:tcPr>
          <w:p w14:paraId="3844F8DE" w14:textId="77777777" w:rsidR="0037437E" w:rsidRPr="003E19C7" w:rsidRDefault="0037437E" w:rsidP="008603FB">
            <w:pPr>
              <w:jc w:val="center"/>
              <w:rPr>
                <w:rFonts w:eastAsia="Times New Roman"/>
                <w:b/>
                <w:bCs/>
                <w:color w:val="FFFFFF" w:themeColor="background1"/>
                <w:sz w:val="18"/>
                <w:szCs w:val="18"/>
              </w:rPr>
            </w:pPr>
          </w:p>
        </w:tc>
      </w:tr>
      <w:tr w:rsidR="0037437E" w:rsidRPr="003E19C7" w14:paraId="09EB3679" w14:textId="77777777" w:rsidTr="008603FB">
        <w:tblPrEx>
          <w:tblCellMar>
            <w:top w:w="57" w:type="dxa"/>
            <w:left w:w="57" w:type="dxa"/>
            <w:bottom w:w="57" w:type="dxa"/>
            <w:right w:w="57" w:type="dxa"/>
          </w:tblCellMar>
        </w:tblPrEx>
        <w:tc>
          <w:tcPr>
            <w:tcW w:w="7740" w:type="dxa"/>
            <w:hideMark/>
          </w:tcPr>
          <w:p w14:paraId="748AA278" w14:textId="77777777" w:rsidR="0037437E" w:rsidRPr="003E19C7" w:rsidRDefault="0037437E" w:rsidP="008603FB">
            <w:pPr>
              <w:pStyle w:val="NormalWeb"/>
              <w:rPr>
                <w:sz w:val="18"/>
                <w:szCs w:val="18"/>
              </w:rPr>
            </w:pPr>
            <w:r w:rsidRPr="003E19C7">
              <w:rPr>
                <w:sz w:val="18"/>
                <w:szCs w:val="18"/>
              </w:rPr>
              <w:t>No</w:t>
            </w:r>
          </w:p>
        </w:tc>
        <w:tc>
          <w:tcPr>
            <w:tcW w:w="1620" w:type="dxa"/>
            <w:hideMark/>
          </w:tcPr>
          <w:p w14:paraId="0587D8A6" w14:textId="77777777" w:rsidR="0037437E" w:rsidRPr="003E19C7" w:rsidRDefault="0037437E" w:rsidP="008603FB">
            <w:pPr>
              <w:pStyle w:val="NormalWeb"/>
              <w:jc w:val="center"/>
              <w:rPr>
                <w:sz w:val="18"/>
                <w:szCs w:val="18"/>
              </w:rPr>
            </w:pPr>
            <w:r w:rsidRPr="003E19C7">
              <w:rPr>
                <w:sz w:val="18"/>
                <w:szCs w:val="18"/>
              </w:rPr>
              <w:t>33 (51.6)</w:t>
            </w:r>
          </w:p>
        </w:tc>
        <w:tc>
          <w:tcPr>
            <w:tcW w:w="1440" w:type="dxa"/>
            <w:hideMark/>
          </w:tcPr>
          <w:p w14:paraId="478EFFF1" w14:textId="77777777" w:rsidR="0037437E" w:rsidRPr="003E19C7" w:rsidRDefault="0037437E" w:rsidP="008603FB">
            <w:pPr>
              <w:pStyle w:val="NormalWeb"/>
              <w:jc w:val="center"/>
              <w:rPr>
                <w:sz w:val="18"/>
                <w:szCs w:val="18"/>
              </w:rPr>
            </w:pPr>
            <w:r w:rsidRPr="003E19C7">
              <w:rPr>
                <w:sz w:val="18"/>
                <w:szCs w:val="18"/>
              </w:rPr>
              <w:t>39 (60.0)</w:t>
            </w:r>
          </w:p>
        </w:tc>
        <w:tc>
          <w:tcPr>
            <w:tcW w:w="1440" w:type="dxa"/>
            <w:hideMark/>
          </w:tcPr>
          <w:p w14:paraId="53FD9DC3" w14:textId="77777777" w:rsidR="0037437E" w:rsidRPr="003E19C7" w:rsidRDefault="0037437E" w:rsidP="008603FB">
            <w:pPr>
              <w:pStyle w:val="NormalWeb"/>
              <w:jc w:val="center"/>
              <w:rPr>
                <w:sz w:val="18"/>
                <w:szCs w:val="18"/>
              </w:rPr>
            </w:pPr>
            <w:r w:rsidRPr="003E19C7">
              <w:rPr>
                <w:sz w:val="18"/>
                <w:szCs w:val="18"/>
              </w:rPr>
              <w:t>34 (50.8)</w:t>
            </w:r>
          </w:p>
        </w:tc>
        <w:tc>
          <w:tcPr>
            <w:tcW w:w="2700" w:type="dxa"/>
            <w:hideMark/>
          </w:tcPr>
          <w:p w14:paraId="439A1A2E" w14:textId="77777777" w:rsidR="0037437E" w:rsidRPr="003E19C7" w:rsidRDefault="0037437E" w:rsidP="008603FB">
            <w:pPr>
              <w:pStyle w:val="NormalWeb"/>
              <w:jc w:val="center"/>
              <w:rPr>
                <w:sz w:val="18"/>
                <w:szCs w:val="18"/>
              </w:rPr>
            </w:pPr>
            <w:r w:rsidRPr="003E19C7">
              <w:rPr>
                <w:sz w:val="18"/>
                <w:szCs w:val="18"/>
              </w:rPr>
              <w:t>56 (49.1)</w:t>
            </w:r>
          </w:p>
        </w:tc>
      </w:tr>
      <w:tr w:rsidR="0037437E" w:rsidRPr="003E19C7" w14:paraId="4BE5A24B"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shd w:val="clear" w:color="auto" w:fill="595959" w:themeFill="text1" w:themeFillTint="A6"/>
            <w:hideMark/>
          </w:tcPr>
          <w:p w14:paraId="1F9578AE" w14:textId="77777777" w:rsidR="0037437E" w:rsidRPr="003E19C7" w:rsidRDefault="0037437E" w:rsidP="008603FB">
            <w:pPr>
              <w:pStyle w:val="NormalWeb"/>
              <w:rPr>
                <w:b/>
                <w:bCs/>
                <w:color w:val="FFFFFF" w:themeColor="background1"/>
                <w:sz w:val="18"/>
                <w:szCs w:val="18"/>
              </w:rPr>
            </w:pPr>
            <w:r w:rsidRPr="003E19C7">
              <w:rPr>
                <w:b/>
                <w:bCs/>
                <w:color w:val="FFFFFF" w:themeColor="background1"/>
                <w:sz w:val="18"/>
                <w:szCs w:val="18"/>
              </w:rPr>
              <w:t>Has internet access at home</w:t>
            </w:r>
          </w:p>
        </w:tc>
        <w:tc>
          <w:tcPr>
            <w:tcW w:w="1620" w:type="dxa"/>
            <w:shd w:val="clear" w:color="auto" w:fill="595959" w:themeFill="text1" w:themeFillTint="A6"/>
            <w:hideMark/>
          </w:tcPr>
          <w:p w14:paraId="444371F1" w14:textId="77777777" w:rsidR="0037437E" w:rsidRPr="003E19C7" w:rsidRDefault="0037437E" w:rsidP="008603FB">
            <w:pPr>
              <w:jc w:val="center"/>
              <w:rPr>
                <w:b/>
                <w:bCs/>
                <w:color w:val="FFFFFF" w:themeColor="background1"/>
                <w:sz w:val="18"/>
                <w:szCs w:val="18"/>
              </w:rPr>
            </w:pPr>
          </w:p>
        </w:tc>
        <w:tc>
          <w:tcPr>
            <w:tcW w:w="1440" w:type="dxa"/>
            <w:shd w:val="clear" w:color="auto" w:fill="595959" w:themeFill="text1" w:themeFillTint="A6"/>
            <w:hideMark/>
          </w:tcPr>
          <w:p w14:paraId="6A77165F" w14:textId="77777777" w:rsidR="0037437E" w:rsidRPr="003E19C7" w:rsidRDefault="0037437E"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75A222F5" w14:textId="77777777" w:rsidR="0037437E" w:rsidRPr="003E19C7" w:rsidRDefault="0037437E" w:rsidP="008603FB">
            <w:pPr>
              <w:jc w:val="center"/>
              <w:rPr>
                <w:rFonts w:eastAsia="Times New Roman"/>
                <w:b/>
                <w:bCs/>
                <w:color w:val="FFFFFF" w:themeColor="background1"/>
                <w:sz w:val="18"/>
                <w:szCs w:val="18"/>
              </w:rPr>
            </w:pPr>
          </w:p>
        </w:tc>
        <w:tc>
          <w:tcPr>
            <w:tcW w:w="2700" w:type="dxa"/>
            <w:shd w:val="clear" w:color="auto" w:fill="595959" w:themeFill="text1" w:themeFillTint="A6"/>
            <w:hideMark/>
          </w:tcPr>
          <w:p w14:paraId="68241926" w14:textId="77777777" w:rsidR="0037437E" w:rsidRPr="003E19C7" w:rsidRDefault="0037437E" w:rsidP="008603FB">
            <w:pPr>
              <w:jc w:val="center"/>
              <w:rPr>
                <w:rFonts w:eastAsia="Times New Roman"/>
                <w:b/>
                <w:bCs/>
                <w:color w:val="FFFFFF" w:themeColor="background1"/>
                <w:sz w:val="18"/>
                <w:szCs w:val="18"/>
              </w:rPr>
            </w:pPr>
          </w:p>
        </w:tc>
      </w:tr>
      <w:tr w:rsidR="0037437E" w:rsidRPr="003E19C7" w14:paraId="30B9C421" w14:textId="77777777" w:rsidTr="008603FB">
        <w:tblPrEx>
          <w:tblCellMar>
            <w:top w:w="57" w:type="dxa"/>
            <w:left w:w="57" w:type="dxa"/>
            <w:bottom w:w="57" w:type="dxa"/>
            <w:right w:w="57" w:type="dxa"/>
          </w:tblCellMar>
        </w:tblPrEx>
        <w:tc>
          <w:tcPr>
            <w:tcW w:w="7740" w:type="dxa"/>
            <w:hideMark/>
          </w:tcPr>
          <w:p w14:paraId="438FE8C5" w14:textId="77777777" w:rsidR="0037437E" w:rsidRPr="003E19C7" w:rsidRDefault="0037437E" w:rsidP="008603FB">
            <w:pPr>
              <w:pStyle w:val="NormalWeb"/>
              <w:rPr>
                <w:sz w:val="18"/>
                <w:szCs w:val="18"/>
              </w:rPr>
            </w:pPr>
            <w:r w:rsidRPr="003E19C7">
              <w:rPr>
                <w:sz w:val="18"/>
                <w:szCs w:val="18"/>
              </w:rPr>
              <w:t>Yes</w:t>
            </w:r>
          </w:p>
        </w:tc>
        <w:tc>
          <w:tcPr>
            <w:tcW w:w="1620" w:type="dxa"/>
            <w:hideMark/>
          </w:tcPr>
          <w:p w14:paraId="02E19906" w14:textId="77777777" w:rsidR="0037437E" w:rsidRPr="003E19C7" w:rsidRDefault="0037437E" w:rsidP="008603FB">
            <w:pPr>
              <w:pStyle w:val="NormalWeb"/>
              <w:jc w:val="center"/>
              <w:rPr>
                <w:sz w:val="18"/>
                <w:szCs w:val="18"/>
              </w:rPr>
            </w:pPr>
            <w:r w:rsidRPr="003E19C7">
              <w:rPr>
                <w:sz w:val="18"/>
                <w:szCs w:val="18"/>
              </w:rPr>
              <w:t>62 (96.9)</w:t>
            </w:r>
          </w:p>
        </w:tc>
        <w:tc>
          <w:tcPr>
            <w:tcW w:w="1440" w:type="dxa"/>
            <w:hideMark/>
          </w:tcPr>
          <w:p w14:paraId="23B82B49" w14:textId="77777777" w:rsidR="0037437E" w:rsidRPr="003E19C7" w:rsidRDefault="0037437E" w:rsidP="008603FB">
            <w:pPr>
              <w:pStyle w:val="NormalWeb"/>
              <w:jc w:val="center"/>
              <w:rPr>
                <w:sz w:val="18"/>
                <w:szCs w:val="18"/>
              </w:rPr>
            </w:pPr>
            <w:r w:rsidRPr="003E19C7">
              <w:rPr>
                <w:sz w:val="18"/>
                <w:szCs w:val="18"/>
              </w:rPr>
              <w:t>52(80.0)</w:t>
            </w:r>
          </w:p>
        </w:tc>
        <w:tc>
          <w:tcPr>
            <w:tcW w:w="1440" w:type="dxa"/>
            <w:hideMark/>
          </w:tcPr>
          <w:p w14:paraId="6B615A86" w14:textId="77777777" w:rsidR="0037437E" w:rsidRPr="003E19C7" w:rsidRDefault="0037437E" w:rsidP="008603FB">
            <w:pPr>
              <w:pStyle w:val="NormalWeb"/>
              <w:jc w:val="center"/>
              <w:rPr>
                <w:sz w:val="18"/>
                <w:szCs w:val="18"/>
              </w:rPr>
            </w:pPr>
            <w:r w:rsidRPr="003E19C7">
              <w:rPr>
                <w:sz w:val="18"/>
                <w:szCs w:val="18"/>
              </w:rPr>
              <w:t>60 (89.5)</w:t>
            </w:r>
          </w:p>
        </w:tc>
        <w:tc>
          <w:tcPr>
            <w:tcW w:w="2700" w:type="dxa"/>
            <w:hideMark/>
          </w:tcPr>
          <w:p w14:paraId="10DAB0B5" w14:textId="77777777" w:rsidR="0037437E" w:rsidRPr="003E19C7" w:rsidRDefault="0037437E" w:rsidP="008603FB">
            <w:pPr>
              <w:pStyle w:val="NormalWeb"/>
              <w:jc w:val="center"/>
              <w:rPr>
                <w:sz w:val="18"/>
                <w:szCs w:val="18"/>
              </w:rPr>
            </w:pPr>
            <w:r w:rsidRPr="003E19C7">
              <w:rPr>
                <w:sz w:val="18"/>
                <w:szCs w:val="18"/>
              </w:rPr>
              <w:t>93 (81.6)</w:t>
            </w:r>
          </w:p>
        </w:tc>
      </w:tr>
      <w:tr w:rsidR="0037437E" w:rsidRPr="003E19C7" w14:paraId="13370ADE"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shd w:val="clear" w:color="auto" w:fill="595959" w:themeFill="text1" w:themeFillTint="A6"/>
            <w:hideMark/>
          </w:tcPr>
          <w:p w14:paraId="61A5FE8D" w14:textId="77777777" w:rsidR="0037437E" w:rsidRPr="003E19C7" w:rsidRDefault="0037437E" w:rsidP="008603FB">
            <w:pPr>
              <w:pStyle w:val="NormalWeb"/>
              <w:rPr>
                <w:b/>
                <w:bCs/>
                <w:color w:val="FFFFFF" w:themeColor="background1"/>
                <w:sz w:val="18"/>
                <w:szCs w:val="18"/>
              </w:rPr>
            </w:pPr>
            <w:r w:rsidRPr="003E19C7">
              <w:rPr>
                <w:b/>
                <w:bCs/>
                <w:color w:val="FFFFFF" w:themeColor="background1"/>
                <w:sz w:val="18"/>
                <w:szCs w:val="18"/>
              </w:rPr>
              <w:t>Has an email address</w:t>
            </w:r>
          </w:p>
        </w:tc>
        <w:tc>
          <w:tcPr>
            <w:tcW w:w="1620" w:type="dxa"/>
            <w:shd w:val="clear" w:color="auto" w:fill="595959" w:themeFill="text1" w:themeFillTint="A6"/>
            <w:hideMark/>
          </w:tcPr>
          <w:p w14:paraId="38235BE3" w14:textId="77777777" w:rsidR="0037437E" w:rsidRPr="003E19C7" w:rsidRDefault="0037437E" w:rsidP="008603FB">
            <w:pPr>
              <w:jc w:val="center"/>
              <w:rPr>
                <w:b/>
                <w:bCs/>
                <w:color w:val="FFFFFF" w:themeColor="background1"/>
                <w:sz w:val="18"/>
                <w:szCs w:val="18"/>
              </w:rPr>
            </w:pPr>
          </w:p>
        </w:tc>
        <w:tc>
          <w:tcPr>
            <w:tcW w:w="1440" w:type="dxa"/>
            <w:shd w:val="clear" w:color="auto" w:fill="595959" w:themeFill="text1" w:themeFillTint="A6"/>
            <w:hideMark/>
          </w:tcPr>
          <w:p w14:paraId="3F88E630" w14:textId="77777777" w:rsidR="0037437E" w:rsidRPr="003E19C7" w:rsidRDefault="0037437E"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01F3874C" w14:textId="77777777" w:rsidR="0037437E" w:rsidRPr="003E19C7" w:rsidRDefault="0037437E" w:rsidP="008603FB">
            <w:pPr>
              <w:jc w:val="center"/>
              <w:rPr>
                <w:rFonts w:eastAsia="Times New Roman"/>
                <w:b/>
                <w:bCs/>
                <w:color w:val="FFFFFF" w:themeColor="background1"/>
                <w:sz w:val="18"/>
                <w:szCs w:val="18"/>
              </w:rPr>
            </w:pPr>
          </w:p>
        </w:tc>
        <w:tc>
          <w:tcPr>
            <w:tcW w:w="2700" w:type="dxa"/>
            <w:shd w:val="clear" w:color="auto" w:fill="595959" w:themeFill="text1" w:themeFillTint="A6"/>
            <w:hideMark/>
          </w:tcPr>
          <w:p w14:paraId="769A2980" w14:textId="77777777" w:rsidR="0037437E" w:rsidRPr="003E19C7" w:rsidRDefault="0037437E" w:rsidP="008603FB">
            <w:pPr>
              <w:jc w:val="center"/>
              <w:rPr>
                <w:rFonts w:eastAsia="Times New Roman"/>
                <w:b/>
                <w:bCs/>
                <w:color w:val="FFFFFF" w:themeColor="background1"/>
                <w:sz w:val="18"/>
                <w:szCs w:val="18"/>
              </w:rPr>
            </w:pPr>
          </w:p>
        </w:tc>
      </w:tr>
      <w:tr w:rsidR="0037437E" w:rsidRPr="003E19C7" w14:paraId="7E1248C3" w14:textId="77777777" w:rsidTr="008603FB">
        <w:tblPrEx>
          <w:tblCellMar>
            <w:top w:w="57" w:type="dxa"/>
            <w:left w:w="57" w:type="dxa"/>
            <w:bottom w:w="57" w:type="dxa"/>
            <w:right w:w="57" w:type="dxa"/>
          </w:tblCellMar>
        </w:tblPrEx>
        <w:tc>
          <w:tcPr>
            <w:tcW w:w="7740" w:type="dxa"/>
            <w:hideMark/>
          </w:tcPr>
          <w:p w14:paraId="41A89853" w14:textId="77777777" w:rsidR="0037437E" w:rsidRPr="003E19C7" w:rsidRDefault="0037437E" w:rsidP="008603FB">
            <w:pPr>
              <w:pStyle w:val="NormalWeb"/>
              <w:rPr>
                <w:sz w:val="18"/>
                <w:szCs w:val="18"/>
              </w:rPr>
            </w:pPr>
            <w:r w:rsidRPr="003E19C7">
              <w:rPr>
                <w:sz w:val="18"/>
                <w:szCs w:val="18"/>
              </w:rPr>
              <w:t>Yes</w:t>
            </w:r>
          </w:p>
        </w:tc>
        <w:tc>
          <w:tcPr>
            <w:tcW w:w="1620" w:type="dxa"/>
            <w:hideMark/>
          </w:tcPr>
          <w:p w14:paraId="7BE89266" w14:textId="77777777" w:rsidR="0037437E" w:rsidRPr="003E19C7" w:rsidRDefault="0037437E" w:rsidP="008603FB">
            <w:pPr>
              <w:pStyle w:val="NormalWeb"/>
              <w:jc w:val="center"/>
              <w:rPr>
                <w:sz w:val="18"/>
                <w:szCs w:val="18"/>
              </w:rPr>
            </w:pPr>
            <w:r w:rsidRPr="003E19C7">
              <w:rPr>
                <w:sz w:val="18"/>
                <w:szCs w:val="18"/>
              </w:rPr>
              <w:t>61 (95.3)</w:t>
            </w:r>
          </w:p>
        </w:tc>
        <w:tc>
          <w:tcPr>
            <w:tcW w:w="1440" w:type="dxa"/>
            <w:hideMark/>
          </w:tcPr>
          <w:p w14:paraId="244542A0" w14:textId="77777777" w:rsidR="0037437E" w:rsidRPr="003E19C7" w:rsidRDefault="0037437E" w:rsidP="008603FB">
            <w:pPr>
              <w:pStyle w:val="NormalWeb"/>
              <w:jc w:val="center"/>
              <w:rPr>
                <w:sz w:val="18"/>
                <w:szCs w:val="18"/>
              </w:rPr>
            </w:pPr>
            <w:r w:rsidRPr="003E19C7">
              <w:rPr>
                <w:sz w:val="18"/>
                <w:szCs w:val="18"/>
              </w:rPr>
              <w:t>61 (93.8)</w:t>
            </w:r>
          </w:p>
        </w:tc>
        <w:tc>
          <w:tcPr>
            <w:tcW w:w="1440" w:type="dxa"/>
            <w:hideMark/>
          </w:tcPr>
          <w:p w14:paraId="1019B970" w14:textId="77777777" w:rsidR="0037437E" w:rsidRPr="003E19C7" w:rsidRDefault="0037437E" w:rsidP="008603FB">
            <w:pPr>
              <w:pStyle w:val="NormalWeb"/>
              <w:jc w:val="center"/>
              <w:rPr>
                <w:sz w:val="18"/>
                <w:szCs w:val="18"/>
              </w:rPr>
            </w:pPr>
            <w:r w:rsidRPr="003E19C7">
              <w:rPr>
                <w:sz w:val="18"/>
                <w:szCs w:val="18"/>
              </w:rPr>
              <w:t>63 (94.0)</w:t>
            </w:r>
          </w:p>
        </w:tc>
        <w:tc>
          <w:tcPr>
            <w:tcW w:w="2700" w:type="dxa"/>
            <w:hideMark/>
          </w:tcPr>
          <w:p w14:paraId="45EBB1D6" w14:textId="77777777" w:rsidR="0037437E" w:rsidRPr="003E19C7" w:rsidRDefault="0037437E" w:rsidP="008603FB">
            <w:pPr>
              <w:pStyle w:val="NormalWeb"/>
              <w:jc w:val="center"/>
              <w:rPr>
                <w:sz w:val="18"/>
                <w:szCs w:val="18"/>
              </w:rPr>
            </w:pPr>
            <w:r w:rsidRPr="003E19C7">
              <w:rPr>
                <w:sz w:val="18"/>
                <w:szCs w:val="18"/>
              </w:rPr>
              <w:t>105 (92.1)</w:t>
            </w:r>
          </w:p>
        </w:tc>
      </w:tr>
      <w:tr w:rsidR="0037437E" w:rsidRPr="003E19C7" w14:paraId="2E50228D"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1E7E61DE" w14:textId="77777777" w:rsidR="0037437E" w:rsidRPr="003E19C7" w:rsidRDefault="0037437E" w:rsidP="008603FB">
            <w:pPr>
              <w:pStyle w:val="NormalWeb"/>
              <w:rPr>
                <w:sz w:val="18"/>
                <w:szCs w:val="18"/>
              </w:rPr>
            </w:pPr>
            <w:r w:rsidRPr="003E19C7">
              <w:rPr>
                <w:sz w:val="18"/>
                <w:szCs w:val="18"/>
              </w:rPr>
              <w:t>No</w:t>
            </w:r>
          </w:p>
        </w:tc>
        <w:tc>
          <w:tcPr>
            <w:tcW w:w="1620" w:type="dxa"/>
            <w:hideMark/>
          </w:tcPr>
          <w:p w14:paraId="717D5364" w14:textId="77777777" w:rsidR="0037437E" w:rsidRPr="003E19C7" w:rsidRDefault="0037437E" w:rsidP="008603FB">
            <w:pPr>
              <w:pStyle w:val="NormalWeb"/>
              <w:jc w:val="center"/>
              <w:rPr>
                <w:sz w:val="18"/>
                <w:szCs w:val="18"/>
              </w:rPr>
            </w:pPr>
            <w:r w:rsidRPr="003E19C7">
              <w:rPr>
                <w:sz w:val="18"/>
                <w:szCs w:val="18"/>
              </w:rPr>
              <w:t>2 (3.1)</w:t>
            </w:r>
          </w:p>
        </w:tc>
        <w:tc>
          <w:tcPr>
            <w:tcW w:w="1440" w:type="dxa"/>
            <w:hideMark/>
          </w:tcPr>
          <w:p w14:paraId="6FF52A0C" w14:textId="77777777" w:rsidR="0037437E" w:rsidRPr="003E19C7" w:rsidRDefault="0037437E" w:rsidP="008603FB">
            <w:pPr>
              <w:pStyle w:val="NormalWeb"/>
              <w:jc w:val="center"/>
              <w:rPr>
                <w:sz w:val="18"/>
                <w:szCs w:val="18"/>
              </w:rPr>
            </w:pPr>
            <w:r w:rsidRPr="003E19C7">
              <w:rPr>
                <w:sz w:val="18"/>
                <w:szCs w:val="18"/>
              </w:rPr>
              <w:t>2 (3.1)</w:t>
            </w:r>
          </w:p>
        </w:tc>
        <w:tc>
          <w:tcPr>
            <w:tcW w:w="1440" w:type="dxa"/>
            <w:hideMark/>
          </w:tcPr>
          <w:p w14:paraId="2B5AFEFA" w14:textId="77777777" w:rsidR="0037437E" w:rsidRPr="003E19C7" w:rsidRDefault="0037437E" w:rsidP="008603FB">
            <w:pPr>
              <w:pStyle w:val="NormalWeb"/>
              <w:jc w:val="center"/>
              <w:rPr>
                <w:sz w:val="18"/>
                <w:szCs w:val="18"/>
              </w:rPr>
            </w:pPr>
            <w:r w:rsidRPr="003E19C7">
              <w:rPr>
                <w:sz w:val="18"/>
                <w:szCs w:val="18"/>
              </w:rPr>
              <w:t>4 (6.0)</w:t>
            </w:r>
          </w:p>
        </w:tc>
        <w:tc>
          <w:tcPr>
            <w:tcW w:w="2700" w:type="dxa"/>
            <w:hideMark/>
          </w:tcPr>
          <w:p w14:paraId="5CF496F5" w14:textId="77777777" w:rsidR="0037437E" w:rsidRPr="003E19C7" w:rsidRDefault="0037437E" w:rsidP="008603FB">
            <w:pPr>
              <w:pStyle w:val="NormalWeb"/>
              <w:jc w:val="center"/>
              <w:rPr>
                <w:sz w:val="18"/>
                <w:szCs w:val="18"/>
              </w:rPr>
            </w:pPr>
            <w:r w:rsidRPr="003E19C7">
              <w:rPr>
                <w:sz w:val="18"/>
                <w:szCs w:val="18"/>
              </w:rPr>
              <w:t>5 (4.3)</w:t>
            </w:r>
          </w:p>
        </w:tc>
      </w:tr>
      <w:tr w:rsidR="0037437E" w:rsidRPr="003E19C7" w14:paraId="063D640A" w14:textId="77777777" w:rsidTr="008603FB">
        <w:tblPrEx>
          <w:tblCellMar>
            <w:top w:w="57" w:type="dxa"/>
            <w:left w:w="57" w:type="dxa"/>
            <w:bottom w:w="57" w:type="dxa"/>
            <w:right w:w="57" w:type="dxa"/>
          </w:tblCellMar>
        </w:tblPrEx>
        <w:tc>
          <w:tcPr>
            <w:tcW w:w="7740" w:type="dxa"/>
            <w:hideMark/>
          </w:tcPr>
          <w:p w14:paraId="534A4421" w14:textId="77777777" w:rsidR="0037437E" w:rsidRPr="003E19C7" w:rsidRDefault="0037437E" w:rsidP="008603FB">
            <w:pPr>
              <w:pStyle w:val="NormalWeb"/>
              <w:rPr>
                <w:sz w:val="18"/>
                <w:szCs w:val="18"/>
              </w:rPr>
            </w:pPr>
            <w:r w:rsidRPr="003E19C7">
              <w:rPr>
                <w:sz w:val="18"/>
                <w:szCs w:val="18"/>
              </w:rPr>
              <w:t>Declined/missing/unknown</w:t>
            </w:r>
          </w:p>
        </w:tc>
        <w:tc>
          <w:tcPr>
            <w:tcW w:w="1620" w:type="dxa"/>
            <w:hideMark/>
          </w:tcPr>
          <w:p w14:paraId="632475B6" w14:textId="77777777" w:rsidR="0037437E" w:rsidRPr="003E19C7" w:rsidRDefault="0037437E" w:rsidP="008603FB">
            <w:pPr>
              <w:pStyle w:val="NormalWeb"/>
              <w:jc w:val="center"/>
              <w:rPr>
                <w:sz w:val="18"/>
                <w:szCs w:val="18"/>
              </w:rPr>
            </w:pPr>
            <w:r w:rsidRPr="003E19C7">
              <w:rPr>
                <w:sz w:val="18"/>
                <w:szCs w:val="18"/>
              </w:rPr>
              <w:t>1 (1.6)</w:t>
            </w:r>
          </w:p>
        </w:tc>
        <w:tc>
          <w:tcPr>
            <w:tcW w:w="1440" w:type="dxa"/>
            <w:hideMark/>
          </w:tcPr>
          <w:p w14:paraId="08C4AB26" w14:textId="77777777" w:rsidR="0037437E" w:rsidRPr="003E19C7" w:rsidRDefault="0037437E" w:rsidP="008603FB">
            <w:pPr>
              <w:pStyle w:val="NormalWeb"/>
              <w:jc w:val="center"/>
              <w:rPr>
                <w:sz w:val="18"/>
                <w:szCs w:val="18"/>
              </w:rPr>
            </w:pPr>
            <w:r w:rsidRPr="003E19C7">
              <w:rPr>
                <w:sz w:val="18"/>
                <w:szCs w:val="18"/>
              </w:rPr>
              <w:t>2 (3.1)</w:t>
            </w:r>
          </w:p>
        </w:tc>
        <w:tc>
          <w:tcPr>
            <w:tcW w:w="1440" w:type="dxa"/>
            <w:hideMark/>
          </w:tcPr>
          <w:p w14:paraId="7BE69716" w14:textId="77777777" w:rsidR="0037437E" w:rsidRPr="003E19C7" w:rsidRDefault="0037437E" w:rsidP="008603FB">
            <w:pPr>
              <w:pStyle w:val="NormalWeb"/>
              <w:jc w:val="center"/>
              <w:rPr>
                <w:sz w:val="18"/>
                <w:szCs w:val="18"/>
              </w:rPr>
            </w:pPr>
            <w:r w:rsidRPr="003E19C7">
              <w:rPr>
                <w:sz w:val="18"/>
                <w:szCs w:val="18"/>
              </w:rPr>
              <w:t>0</w:t>
            </w:r>
          </w:p>
        </w:tc>
        <w:tc>
          <w:tcPr>
            <w:tcW w:w="2700" w:type="dxa"/>
            <w:hideMark/>
          </w:tcPr>
          <w:p w14:paraId="583F0F5E" w14:textId="77777777" w:rsidR="0037437E" w:rsidRPr="003E19C7" w:rsidRDefault="0037437E" w:rsidP="008603FB">
            <w:pPr>
              <w:pStyle w:val="NormalWeb"/>
              <w:jc w:val="center"/>
              <w:rPr>
                <w:sz w:val="18"/>
                <w:szCs w:val="18"/>
              </w:rPr>
            </w:pPr>
            <w:r w:rsidRPr="003E19C7">
              <w:rPr>
                <w:sz w:val="18"/>
                <w:szCs w:val="18"/>
              </w:rPr>
              <w:t>4 (2.6)</w:t>
            </w:r>
          </w:p>
        </w:tc>
      </w:tr>
      <w:tr w:rsidR="0037437E" w:rsidRPr="003E19C7" w14:paraId="701F1551"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shd w:val="clear" w:color="auto" w:fill="595959" w:themeFill="text1" w:themeFillTint="A6"/>
            <w:hideMark/>
          </w:tcPr>
          <w:p w14:paraId="7C3393C5" w14:textId="77777777" w:rsidR="0037437E" w:rsidRPr="003E19C7" w:rsidRDefault="0037437E" w:rsidP="008603FB">
            <w:pPr>
              <w:pStyle w:val="NormalWeb"/>
              <w:rPr>
                <w:b/>
                <w:bCs/>
                <w:color w:val="FFFFFF" w:themeColor="background1"/>
                <w:sz w:val="18"/>
                <w:szCs w:val="18"/>
              </w:rPr>
            </w:pPr>
            <w:r w:rsidRPr="003E19C7">
              <w:rPr>
                <w:b/>
                <w:bCs/>
                <w:color w:val="FFFFFF" w:themeColor="background1"/>
                <w:sz w:val="18"/>
                <w:szCs w:val="18"/>
              </w:rPr>
              <w:t xml:space="preserve">Has a smart phone capable of hosting mobile </w:t>
            </w:r>
            <w:proofErr w:type="spellStart"/>
            <w:r w:rsidRPr="003E19C7">
              <w:rPr>
                <w:b/>
                <w:bCs/>
                <w:color w:val="FFFFFF" w:themeColor="background1"/>
                <w:sz w:val="18"/>
                <w:szCs w:val="18"/>
              </w:rPr>
              <w:t>applications</w:t>
            </w:r>
            <w:r w:rsidRPr="003E19C7">
              <w:rPr>
                <w:b/>
                <w:bCs/>
                <w:color w:val="FFFFFF" w:themeColor="background1"/>
                <w:sz w:val="18"/>
                <w:szCs w:val="18"/>
                <w:vertAlign w:val="superscript"/>
              </w:rPr>
              <w:t>b</w:t>
            </w:r>
            <w:proofErr w:type="spellEnd"/>
          </w:p>
        </w:tc>
        <w:tc>
          <w:tcPr>
            <w:tcW w:w="1620" w:type="dxa"/>
            <w:shd w:val="clear" w:color="auto" w:fill="595959" w:themeFill="text1" w:themeFillTint="A6"/>
            <w:hideMark/>
          </w:tcPr>
          <w:p w14:paraId="61B8D8FC" w14:textId="77777777" w:rsidR="0037437E" w:rsidRPr="003E19C7" w:rsidRDefault="0037437E" w:rsidP="008603FB">
            <w:pPr>
              <w:jc w:val="center"/>
              <w:rPr>
                <w:b/>
                <w:bCs/>
                <w:color w:val="FFFFFF" w:themeColor="background1"/>
                <w:sz w:val="18"/>
                <w:szCs w:val="18"/>
              </w:rPr>
            </w:pPr>
          </w:p>
        </w:tc>
        <w:tc>
          <w:tcPr>
            <w:tcW w:w="1440" w:type="dxa"/>
            <w:shd w:val="clear" w:color="auto" w:fill="595959" w:themeFill="text1" w:themeFillTint="A6"/>
            <w:hideMark/>
          </w:tcPr>
          <w:p w14:paraId="0B693575" w14:textId="77777777" w:rsidR="0037437E" w:rsidRPr="003E19C7" w:rsidRDefault="0037437E"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5E349149" w14:textId="77777777" w:rsidR="0037437E" w:rsidRPr="003E19C7" w:rsidRDefault="0037437E" w:rsidP="008603FB">
            <w:pPr>
              <w:jc w:val="center"/>
              <w:rPr>
                <w:rFonts w:eastAsia="Times New Roman"/>
                <w:b/>
                <w:bCs/>
                <w:color w:val="FFFFFF" w:themeColor="background1"/>
                <w:sz w:val="18"/>
                <w:szCs w:val="18"/>
              </w:rPr>
            </w:pPr>
          </w:p>
        </w:tc>
        <w:tc>
          <w:tcPr>
            <w:tcW w:w="2700" w:type="dxa"/>
            <w:shd w:val="clear" w:color="auto" w:fill="595959" w:themeFill="text1" w:themeFillTint="A6"/>
            <w:hideMark/>
          </w:tcPr>
          <w:p w14:paraId="21B677CF" w14:textId="77777777" w:rsidR="0037437E" w:rsidRPr="003E19C7" w:rsidRDefault="0037437E" w:rsidP="008603FB">
            <w:pPr>
              <w:jc w:val="center"/>
              <w:rPr>
                <w:rFonts w:eastAsia="Times New Roman"/>
                <w:b/>
                <w:bCs/>
                <w:color w:val="FFFFFF" w:themeColor="background1"/>
                <w:sz w:val="18"/>
                <w:szCs w:val="18"/>
              </w:rPr>
            </w:pPr>
          </w:p>
        </w:tc>
      </w:tr>
      <w:tr w:rsidR="0037437E" w:rsidRPr="003E19C7" w14:paraId="230E50CE" w14:textId="77777777" w:rsidTr="008603FB">
        <w:tblPrEx>
          <w:tblCellMar>
            <w:top w:w="57" w:type="dxa"/>
            <w:left w:w="57" w:type="dxa"/>
            <w:bottom w:w="57" w:type="dxa"/>
            <w:right w:w="57" w:type="dxa"/>
          </w:tblCellMar>
        </w:tblPrEx>
        <w:tc>
          <w:tcPr>
            <w:tcW w:w="7740" w:type="dxa"/>
            <w:hideMark/>
          </w:tcPr>
          <w:p w14:paraId="7381AB73" w14:textId="77777777" w:rsidR="0037437E" w:rsidRPr="003E19C7" w:rsidRDefault="0037437E" w:rsidP="008603FB">
            <w:pPr>
              <w:pStyle w:val="NormalWeb"/>
              <w:rPr>
                <w:sz w:val="18"/>
                <w:szCs w:val="18"/>
              </w:rPr>
            </w:pPr>
            <w:r w:rsidRPr="003E19C7">
              <w:rPr>
                <w:sz w:val="18"/>
                <w:szCs w:val="18"/>
              </w:rPr>
              <w:t>Yes</w:t>
            </w:r>
          </w:p>
        </w:tc>
        <w:tc>
          <w:tcPr>
            <w:tcW w:w="1620" w:type="dxa"/>
            <w:hideMark/>
          </w:tcPr>
          <w:p w14:paraId="509B51B0" w14:textId="77777777" w:rsidR="0037437E" w:rsidRPr="003E19C7" w:rsidRDefault="0037437E" w:rsidP="008603FB">
            <w:pPr>
              <w:pStyle w:val="NormalWeb"/>
              <w:jc w:val="center"/>
              <w:rPr>
                <w:sz w:val="18"/>
                <w:szCs w:val="18"/>
              </w:rPr>
            </w:pPr>
            <w:r w:rsidRPr="003E19C7">
              <w:rPr>
                <w:sz w:val="18"/>
                <w:szCs w:val="18"/>
              </w:rPr>
              <w:t>63 (98.4)</w:t>
            </w:r>
          </w:p>
        </w:tc>
        <w:tc>
          <w:tcPr>
            <w:tcW w:w="1440" w:type="dxa"/>
            <w:hideMark/>
          </w:tcPr>
          <w:p w14:paraId="7199B0F7" w14:textId="77777777" w:rsidR="0037437E" w:rsidRPr="003E19C7" w:rsidRDefault="0037437E" w:rsidP="008603FB">
            <w:pPr>
              <w:pStyle w:val="NormalWeb"/>
              <w:jc w:val="center"/>
              <w:rPr>
                <w:sz w:val="18"/>
                <w:szCs w:val="18"/>
              </w:rPr>
            </w:pPr>
            <w:r w:rsidRPr="003E19C7">
              <w:rPr>
                <w:sz w:val="18"/>
                <w:szCs w:val="18"/>
              </w:rPr>
              <w:t>62 (95.5)</w:t>
            </w:r>
          </w:p>
        </w:tc>
        <w:tc>
          <w:tcPr>
            <w:tcW w:w="1440" w:type="dxa"/>
            <w:hideMark/>
          </w:tcPr>
          <w:p w14:paraId="3026E061" w14:textId="77777777" w:rsidR="0037437E" w:rsidRPr="003E19C7" w:rsidRDefault="0037437E" w:rsidP="008603FB">
            <w:pPr>
              <w:pStyle w:val="NormalWeb"/>
              <w:jc w:val="center"/>
              <w:rPr>
                <w:sz w:val="18"/>
                <w:szCs w:val="18"/>
              </w:rPr>
            </w:pPr>
            <w:r w:rsidRPr="003E19C7">
              <w:rPr>
                <w:sz w:val="18"/>
                <w:szCs w:val="18"/>
              </w:rPr>
              <w:t>64 (95.5)</w:t>
            </w:r>
          </w:p>
        </w:tc>
        <w:tc>
          <w:tcPr>
            <w:tcW w:w="2700" w:type="dxa"/>
            <w:hideMark/>
          </w:tcPr>
          <w:p w14:paraId="5E7AAB66" w14:textId="77777777" w:rsidR="0037437E" w:rsidRPr="003E19C7" w:rsidRDefault="0037437E" w:rsidP="008603FB">
            <w:pPr>
              <w:pStyle w:val="NormalWeb"/>
              <w:jc w:val="center"/>
              <w:rPr>
                <w:sz w:val="18"/>
                <w:szCs w:val="18"/>
              </w:rPr>
            </w:pPr>
            <w:r w:rsidRPr="003E19C7">
              <w:rPr>
                <w:sz w:val="18"/>
                <w:szCs w:val="18"/>
              </w:rPr>
              <w:t>112 (98.2)</w:t>
            </w:r>
          </w:p>
        </w:tc>
      </w:tr>
      <w:tr w:rsidR="0037437E" w:rsidRPr="003E19C7" w14:paraId="12DBE659"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773EC620" w14:textId="77777777" w:rsidR="0037437E" w:rsidRPr="003E19C7" w:rsidRDefault="0037437E" w:rsidP="008603FB">
            <w:pPr>
              <w:pStyle w:val="NormalWeb"/>
              <w:rPr>
                <w:sz w:val="18"/>
                <w:szCs w:val="18"/>
              </w:rPr>
            </w:pPr>
            <w:r w:rsidRPr="003E19C7">
              <w:rPr>
                <w:sz w:val="18"/>
                <w:szCs w:val="18"/>
              </w:rPr>
              <w:t>No</w:t>
            </w:r>
          </w:p>
        </w:tc>
        <w:tc>
          <w:tcPr>
            <w:tcW w:w="1620" w:type="dxa"/>
            <w:hideMark/>
          </w:tcPr>
          <w:p w14:paraId="3E43AAEB" w14:textId="77777777" w:rsidR="0037437E" w:rsidRPr="003E19C7" w:rsidRDefault="0037437E" w:rsidP="008603FB">
            <w:pPr>
              <w:pStyle w:val="NormalWeb"/>
              <w:jc w:val="center"/>
              <w:rPr>
                <w:sz w:val="18"/>
                <w:szCs w:val="18"/>
              </w:rPr>
            </w:pPr>
            <w:r w:rsidRPr="003E19C7">
              <w:rPr>
                <w:sz w:val="18"/>
                <w:szCs w:val="18"/>
              </w:rPr>
              <w:t>0</w:t>
            </w:r>
          </w:p>
        </w:tc>
        <w:tc>
          <w:tcPr>
            <w:tcW w:w="1440" w:type="dxa"/>
            <w:hideMark/>
          </w:tcPr>
          <w:p w14:paraId="4500C56C" w14:textId="77777777" w:rsidR="0037437E" w:rsidRPr="003E19C7" w:rsidRDefault="0037437E" w:rsidP="008603FB">
            <w:pPr>
              <w:pStyle w:val="NormalWeb"/>
              <w:jc w:val="center"/>
              <w:rPr>
                <w:sz w:val="18"/>
                <w:szCs w:val="18"/>
              </w:rPr>
            </w:pPr>
            <w:r w:rsidRPr="003E19C7">
              <w:rPr>
                <w:sz w:val="18"/>
                <w:szCs w:val="18"/>
              </w:rPr>
              <w:t>1 (1.5)</w:t>
            </w:r>
          </w:p>
        </w:tc>
        <w:tc>
          <w:tcPr>
            <w:tcW w:w="1440" w:type="dxa"/>
            <w:hideMark/>
          </w:tcPr>
          <w:p w14:paraId="49A2A816" w14:textId="77777777" w:rsidR="0037437E" w:rsidRPr="003E19C7" w:rsidRDefault="0037437E" w:rsidP="008603FB">
            <w:pPr>
              <w:pStyle w:val="NormalWeb"/>
              <w:jc w:val="center"/>
              <w:rPr>
                <w:sz w:val="18"/>
                <w:szCs w:val="18"/>
              </w:rPr>
            </w:pPr>
            <w:r w:rsidRPr="003E19C7">
              <w:rPr>
                <w:sz w:val="18"/>
                <w:szCs w:val="18"/>
              </w:rPr>
              <w:t>3 (4.5)</w:t>
            </w:r>
          </w:p>
        </w:tc>
        <w:tc>
          <w:tcPr>
            <w:tcW w:w="2700" w:type="dxa"/>
            <w:hideMark/>
          </w:tcPr>
          <w:p w14:paraId="00172465" w14:textId="77777777" w:rsidR="0037437E" w:rsidRPr="003E19C7" w:rsidRDefault="0037437E" w:rsidP="008603FB">
            <w:pPr>
              <w:pStyle w:val="NormalWeb"/>
              <w:jc w:val="center"/>
              <w:rPr>
                <w:sz w:val="18"/>
                <w:szCs w:val="18"/>
              </w:rPr>
            </w:pPr>
            <w:r w:rsidRPr="003E19C7">
              <w:rPr>
                <w:sz w:val="18"/>
                <w:szCs w:val="18"/>
              </w:rPr>
              <w:t>1 (0.9)</w:t>
            </w:r>
          </w:p>
        </w:tc>
      </w:tr>
      <w:tr w:rsidR="0037437E" w:rsidRPr="003E19C7" w14:paraId="10C5299A" w14:textId="77777777" w:rsidTr="008603FB">
        <w:tblPrEx>
          <w:tblCellMar>
            <w:top w:w="57" w:type="dxa"/>
            <w:left w:w="57" w:type="dxa"/>
            <w:bottom w:w="57" w:type="dxa"/>
            <w:right w:w="57" w:type="dxa"/>
          </w:tblCellMar>
        </w:tblPrEx>
        <w:tc>
          <w:tcPr>
            <w:tcW w:w="7740" w:type="dxa"/>
            <w:hideMark/>
          </w:tcPr>
          <w:p w14:paraId="1920ABE5" w14:textId="77777777" w:rsidR="0037437E" w:rsidRPr="003E19C7" w:rsidRDefault="0037437E" w:rsidP="008603FB">
            <w:pPr>
              <w:pStyle w:val="NormalWeb"/>
              <w:rPr>
                <w:sz w:val="18"/>
                <w:szCs w:val="18"/>
              </w:rPr>
            </w:pPr>
            <w:r w:rsidRPr="003E19C7">
              <w:rPr>
                <w:sz w:val="18"/>
                <w:szCs w:val="18"/>
              </w:rPr>
              <w:lastRenderedPageBreak/>
              <w:t>Declined/missing/unknown</w:t>
            </w:r>
          </w:p>
        </w:tc>
        <w:tc>
          <w:tcPr>
            <w:tcW w:w="1620" w:type="dxa"/>
            <w:hideMark/>
          </w:tcPr>
          <w:p w14:paraId="156F1CDF" w14:textId="77777777" w:rsidR="0037437E" w:rsidRPr="003E19C7" w:rsidRDefault="0037437E" w:rsidP="008603FB">
            <w:pPr>
              <w:pStyle w:val="NormalWeb"/>
              <w:jc w:val="center"/>
              <w:rPr>
                <w:sz w:val="18"/>
                <w:szCs w:val="18"/>
              </w:rPr>
            </w:pPr>
            <w:r w:rsidRPr="003E19C7">
              <w:rPr>
                <w:sz w:val="18"/>
                <w:szCs w:val="18"/>
              </w:rPr>
              <w:t>1 (1.6)</w:t>
            </w:r>
          </w:p>
        </w:tc>
        <w:tc>
          <w:tcPr>
            <w:tcW w:w="1440" w:type="dxa"/>
            <w:hideMark/>
          </w:tcPr>
          <w:p w14:paraId="62B34C87" w14:textId="77777777" w:rsidR="0037437E" w:rsidRPr="003E19C7" w:rsidRDefault="0037437E" w:rsidP="008603FB">
            <w:pPr>
              <w:pStyle w:val="NormalWeb"/>
              <w:jc w:val="center"/>
              <w:rPr>
                <w:sz w:val="18"/>
                <w:szCs w:val="18"/>
              </w:rPr>
            </w:pPr>
            <w:r w:rsidRPr="003E19C7">
              <w:rPr>
                <w:sz w:val="18"/>
                <w:szCs w:val="18"/>
              </w:rPr>
              <w:t>2 (3.0)</w:t>
            </w:r>
          </w:p>
        </w:tc>
        <w:tc>
          <w:tcPr>
            <w:tcW w:w="1440" w:type="dxa"/>
            <w:hideMark/>
          </w:tcPr>
          <w:p w14:paraId="138BC390" w14:textId="77777777" w:rsidR="0037437E" w:rsidRPr="003E19C7" w:rsidRDefault="0037437E" w:rsidP="008603FB">
            <w:pPr>
              <w:pStyle w:val="NormalWeb"/>
              <w:jc w:val="center"/>
              <w:rPr>
                <w:sz w:val="18"/>
                <w:szCs w:val="18"/>
              </w:rPr>
            </w:pPr>
            <w:r w:rsidRPr="003E19C7">
              <w:rPr>
                <w:sz w:val="18"/>
                <w:szCs w:val="18"/>
              </w:rPr>
              <w:t>0</w:t>
            </w:r>
          </w:p>
        </w:tc>
        <w:tc>
          <w:tcPr>
            <w:tcW w:w="2700" w:type="dxa"/>
            <w:hideMark/>
          </w:tcPr>
          <w:p w14:paraId="73DA1784" w14:textId="77777777" w:rsidR="0037437E" w:rsidRPr="003E19C7" w:rsidRDefault="0037437E" w:rsidP="008603FB">
            <w:pPr>
              <w:pStyle w:val="NormalWeb"/>
              <w:jc w:val="center"/>
              <w:rPr>
                <w:sz w:val="18"/>
                <w:szCs w:val="18"/>
              </w:rPr>
            </w:pPr>
            <w:r w:rsidRPr="003E19C7">
              <w:rPr>
                <w:sz w:val="18"/>
                <w:szCs w:val="18"/>
              </w:rPr>
              <w:t>1 (0.9)</w:t>
            </w:r>
          </w:p>
        </w:tc>
      </w:tr>
      <w:tr w:rsidR="0037437E" w:rsidRPr="003E19C7" w14:paraId="40CAC758"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shd w:val="clear" w:color="auto" w:fill="595959" w:themeFill="text1" w:themeFillTint="A6"/>
            <w:hideMark/>
          </w:tcPr>
          <w:p w14:paraId="76D9BC27" w14:textId="77777777" w:rsidR="0037437E" w:rsidRPr="003E19C7" w:rsidRDefault="0037437E" w:rsidP="008603FB">
            <w:pPr>
              <w:pStyle w:val="NormalWeb"/>
              <w:rPr>
                <w:b/>
                <w:bCs/>
                <w:color w:val="FFFFFF" w:themeColor="background1"/>
                <w:sz w:val="18"/>
                <w:szCs w:val="18"/>
              </w:rPr>
            </w:pPr>
            <w:r w:rsidRPr="003E19C7">
              <w:rPr>
                <w:b/>
                <w:bCs/>
                <w:color w:val="FFFFFF" w:themeColor="background1"/>
                <w:sz w:val="18"/>
                <w:szCs w:val="18"/>
              </w:rPr>
              <w:t>Has received/sought information on infant immunisation during pregnancy</w:t>
            </w:r>
          </w:p>
        </w:tc>
        <w:tc>
          <w:tcPr>
            <w:tcW w:w="1620" w:type="dxa"/>
            <w:shd w:val="clear" w:color="auto" w:fill="595959" w:themeFill="text1" w:themeFillTint="A6"/>
            <w:hideMark/>
          </w:tcPr>
          <w:p w14:paraId="1A1421C0" w14:textId="77777777" w:rsidR="0037437E" w:rsidRPr="003E19C7" w:rsidRDefault="0037437E" w:rsidP="008603FB">
            <w:pPr>
              <w:jc w:val="center"/>
              <w:rPr>
                <w:b/>
                <w:bCs/>
                <w:color w:val="FFFFFF" w:themeColor="background1"/>
                <w:sz w:val="18"/>
                <w:szCs w:val="18"/>
              </w:rPr>
            </w:pPr>
          </w:p>
        </w:tc>
        <w:tc>
          <w:tcPr>
            <w:tcW w:w="1440" w:type="dxa"/>
            <w:shd w:val="clear" w:color="auto" w:fill="595959" w:themeFill="text1" w:themeFillTint="A6"/>
            <w:hideMark/>
          </w:tcPr>
          <w:p w14:paraId="115F86B7" w14:textId="77777777" w:rsidR="0037437E" w:rsidRPr="003E19C7" w:rsidRDefault="0037437E"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18BFC44B" w14:textId="77777777" w:rsidR="0037437E" w:rsidRPr="003E19C7" w:rsidRDefault="0037437E" w:rsidP="008603FB">
            <w:pPr>
              <w:jc w:val="center"/>
              <w:rPr>
                <w:rFonts w:eastAsia="Times New Roman"/>
                <w:b/>
                <w:bCs/>
                <w:color w:val="FFFFFF" w:themeColor="background1"/>
                <w:sz w:val="18"/>
                <w:szCs w:val="18"/>
              </w:rPr>
            </w:pPr>
          </w:p>
        </w:tc>
        <w:tc>
          <w:tcPr>
            <w:tcW w:w="2700" w:type="dxa"/>
            <w:shd w:val="clear" w:color="auto" w:fill="595959" w:themeFill="text1" w:themeFillTint="A6"/>
            <w:hideMark/>
          </w:tcPr>
          <w:p w14:paraId="0FDA325D" w14:textId="77777777" w:rsidR="0037437E" w:rsidRPr="003E19C7" w:rsidRDefault="0037437E" w:rsidP="008603FB">
            <w:pPr>
              <w:jc w:val="center"/>
              <w:rPr>
                <w:rFonts w:eastAsia="Times New Roman"/>
                <w:b/>
                <w:bCs/>
                <w:color w:val="FFFFFF" w:themeColor="background1"/>
                <w:sz w:val="18"/>
                <w:szCs w:val="18"/>
              </w:rPr>
            </w:pPr>
          </w:p>
        </w:tc>
      </w:tr>
      <w:tr w:rsidR="0037437E" w:rsidRPr="003E19C7" w14:paraId="52CF3796" w14:textId="77777777" w:rsidTr="008603FB">
        <w:tblPrEx>
          <w:tblCellMar>
            <w:top w:w="57" w:type="dxa"/>
            <w:left w:w="57" w:type="dxa"/>
            <w:bottom w:w="57" w:type="dxa"/>
            <w:right w:w="57" w:type="dxa"/>
          </w:tblCellMar>
        </w:tblPrEx>
        <w:tc>
          <w:tcPr>
            <w:tcW w:w="7740" w:type="dxa"/>
            <w:hideMark/>
          </w:tcPr>
          <w:p w14:paraId="3E4E3F3B" w14:textId="77777777" w:rsidR="0037437E" w:rsidRPr="003E19C7" w:rsidRDefault="0037437E" w:rsidP="008603FB">
            <w:pPr>
              <w:pStyle w:val="NormalWeb"/>
              <w:rPr>
                <w:sz w:val="18"/>
                <w:szCs w:val="18"/>
              </w:rPr>
            </w:pPr>
            <w:r w:rsidRPr="003E19C7">
              <w:rPr>
                <w:sz w:val="18"/>
                <w:szCs w:val="18"/>
              </w:rPr>
              <w:t>Yes</w:t>
            </w:r>
          </w:p>
        </w:tc>
        <w:tc>
          <w:tcPr>
            <w:tcW w:w="1620" w:type="dxa"/>
            <w:hideMark/>
          </w:tcPr>
          <w:p w14:paraId="5ADC801E" w14:textId="77777777" w:rsidR="0037437E" w:rsidRPr="003E19C7" w:rsidRDefault="0037437E" w:rsidP="008603FB">
            <w:pPr>
              <w:pStyle w:val="NormalWeb"/>
              <w:jc w:val="center"/>
              <w:rPr>
                <w:sz w:val="18"/>
                <w:szCs w:val="18"/>
              </w:rPr>
            </w:pPr>
            <w:r w:rsidRPr="003E19C7">
              <w:rPr>
                <w:sz w:val="18"/>
                <w:szCs w:val="18"/>
              </w:rPr>
              <w:t>35 (54.7)</w:t>
            </w:r>
          </w:p>
        </w:tc>
        <w:tc>
          <w:tcPr>
            <w:tcW w:w="1440" w:type="dxa"/>
            <w:hideMark/>
          </w:tcPr>
          <w:p w14:paraId="582BD5E4" w14:textId="77777777" w:rsidR="0037437E" w:rsidRPr="003E19C7" w:rsidRDefault="0037437E" w:rsidP="008603FB">
            <w:pPr>
              <w:pStyle w:val="NormalWeb"/>
              <w:jc w:val="center"/>
              <w:rPr>
                <w:sz w:val="18"/>
                <w:szCs w:val="18"/>
              </w:rPr>
            </w:pPr>
            <w:r w:rsidRPr="003E19C7">
              <w:rPr>
                <w:sz w:val="18"/>
                <w:szCs w:val="18"/>
              </w:rPr>
              <w:t>45 (69.2)</w:t>
            </w:r>
          </w:p>
        </w:tc>
        <w:tc>
          <w:tcPr>
            <w:tcW w:w="1440" w:type="dxa"/>
            <w:hideMark/>
          </w:tcPr>
          <w:p w14:paraId="24B96140" w14:textId="77777777" w:rsidR="0037437E" w:rsidRPr="003E19C7" w:rsidRDefault="0037437E" w:rsidP="008603FB">
            <w:pPr>
              <w:pStyle w:val="NormalWeb"/>
              <w:jc w:val="center"/>
              <w:rPr>
                <w:sz w:val="18"/>
                <w:szCs w:val="18"/>
              </w:rPr>
            </w:pPr>
            <w:r w:rsidRPr="003E19C7">
              <w:rPr>
                <w:sz w:val="18"/>
                <w:szCs w:val="18"/>
              </w:rPr>
              <w:t>39 (58.2)</w:t>
            </w:r>
          </w:p>
        </w:tc>
        <w:tc>
          <w:tcPr>
            <w:tcW w:w="2700" w:type="dxa"/>
            <w:hideMark/>
          </w:tcPr>
          <w:p w14:paraId="76D48A6C" w14:textId="77777777" w:rsidR="0037437E" w:rsidRPr="003E19C7" w:rsidRDefault="0037437E" w:rsidP="008603FB">
            <w:pPr>
              <w:pStyle w:val="NormalWeb"/>
              <w:jc w:val="center"/>
              <w:rPr>
                <w:sz w:val="18"/>
                <w:szCs w:val="18"/>
              </w:rPr>
            </w:pPr>
            <w:r w:rsidRPr="003E19C7">
              <w:rPr>
                <w:sz w:val="18"/>
                <w:szCs w:val="18"/>
              </w:rPr>
              <w:t>59 (51.8)</w:t>
            </w:r>
          </w:p>
        </w:tc>
      </w:tr>
      <w:tr w:rsidR="0037437E" w:rsidRPr="003E19C7" w14:paraId="7BDB2D1C"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72945420" w14:textId="77777777" w:rsidR="0037437E" w:rsidRPr="003E19C7" w:rsidRDefault="0037437E" w:rsidP="008603FB">
            <w:pPr>
              <w:pStyle w:val="NormalWeb"/>
              <w:rPr>
                <w:sz w:val="18"/>
                <w:szCs w:val="18"/>
              </w:rPr>
            </w:pPr>
            <w:r w:rsidRPr="003E19C7">
              <w:rPr>
                <w:sz w:val="18"/>
                <w:szCs w:val="18"/>
              </w:rPr>
              <w:t>No</w:t>
            </w:r>
          </w:p>
        </w:tc>
        <w:tc>
          <w:tcPr>
            <w:tcW w:w="1620" w:type="dxa"/>
            <w:hideMark/>
          </w:tcPr>
          <w:p w14:paraId="3F6C3946" w14:textId="77777777" w:rsidR="0037437E" w:rsidRPr="003E19C7" w:rsidRDefault="0037437E" w:rsidP="008603FB">
            <w:pPr>
              <w:pStyle w:val="NormalWeb"/>
              <w:jc w:val="center"/>
              <w:rPr>
                <w:sz w:val="18"/>
                <w:szCs w:val="18"/>
              </w:rPr>
            </w:pPr>
            <w:r w:rsidRPr="003E19C7">
              <w:rPr>
                <w:sz w:val="18"/>
                <w:szCs w:val="18"/>
              </w:rPr>
              <w:t>26 (40.6)</w:t>
            </w:r>
          </w:p>
        </w:tc>
        <w:tc>
          <w:tcPr>
            <w:tcW w:w="1440" w:type="dxa"/>
            <w:hideMark/>
          </w:tcPr>
          <w:p w14:paraId="35DE10C4" w14:textId="77777777" w:rsidR="0037437E" w:rsidRPr="003E19C7" w:rsidRDefault="0037437E" w:rsidP="008603FB">
            <w:pPr>
              <w:pStyle w:val="NormalWeb"/>
              <w:jc w:val="center"/>
              <w:rPr>
                <w:sz w:val="18"/>
                <w:szCs w:val="18"/>
              </w:rPr>
            </w:pPr>
            <w:r w:rsidRPr="003E19C7">
              <w:rPr>
                <w:sz w:val="18"/>
                <w:szCs w:val="18"/>
              </w:rPr>
              <w:t>19 (29.2)</w:t>
            </w:r>
          </w:p>
        </w:tc>
        <w:tc>
          <w:tcPr>
            <w:tcW w:w="1440" w:type="dxa"/>
            <w:hideMark/>
          </w:tcPr>
          <w:p w14:paraId="2335FCFB" w14:textId="77777777" w:rsidR="0037437E" w:rsidRPr="003E19C7" w:rsidRDefault="0037437E" w:rsidP="008603FB">
            <w:pPr>
              <w:pStyle w:val="NormalWeb"/>
              <w:jc w:val="center"/>
              <w:rPr>
                <w:sz w:val="18"/>
                <w:szCs w:val="18"/>
              </w:rPr>
            </w:pPr>
            <w:r w:rsidRPr="003E19C7">
              <w:rPr>
                <w:sz w:val="18"/>
                <w:szCs w:val="18"/>
              </w:rPr>
              <w:t>25 (37.3)</w:t>
            </w:r>
          </w:p>
        </w:tc>
        <w:tc>
          <w:tcPr>
            <w:tcW w:w="2700" w:type="dxa"/>
            <w:hideMark/>
          </w:tcPr>
          <w:p w14:paraId="6936F17D" w14:textId="77777777" w:rsidR="0037437E" w:rsidRPr="003E19C7" w:rsidRDefault="0037437E" w:rsidP="008603FB">
            <w:pPr>
              <w:pStyle w:val="NormalWeb"/>
              <w:jc w:val="center"/>
              <w:rPr>
                <w:sz w:val="18"/>
                <w:szCs w:val="18"/>
              </w:rPr>
            </w:pPr>
            <w:r w:rsidRPr="003E19C7">
              <w:rPr>
                <w:sz w:val="18"/>
                <w:szCs w:val="18"/>
              </w:rPr>
              <w:t>48 (42.1)</w:t>
            </w:r>
          </w:p>
        </w:tc>
      </w:tr>
      <w:tr w:rsidR="0037437E" w:rsidRPr="003E19C7" w14:paraId="58AF0E43" w14:textId="77777777" w:rsidTr="008603FB">
        <w:tblPrEx>
          <w:tblCellMar>
            <w:top w:w="57" w:type="dxa"/>
            <w:left w:w="57" w:type="dxa"/>
            <w:bottom w:w="57" w:type="dxa"/>
            <w:right w:w="57" w:type="dxa"/>
          </w:tblCellMar>
        </w:tblPrEx>
        <w:tc>
          <w:tcPr>
            <w:tcW w:w="7740" w:type="dxa"/>
            <w:hideMark/>
          </w:tcPr>
          <w:p w14:paraId="225E902C" w14:textId="77777777" w:rsidR="0037437E" w:rsidRPr="003E19C7" w:rsidRDefault="0037437E" w:rsidP="008603FB">
            <w:pPr>
              <w:pStyle w:val="NormalWeb"/>
              <w:rPr>
                <w:sz w:val="18"/>
                <w:szCs w:val="18"/>
              </w:rPr>
            </w:pPr>
            <w:r w:rsidRPr="003E19C7">
              <w:rPr>
                <w:sz w:val="18"/>
                <w:szCs w:val="18"/>
              </w:rPr>
              <w:t>Declined/missing/unknown</w:t>
            </w:r>
          </w:p>
        </w:tc>
        <w:tc>
          <w:tcPr>
            <w:tcW w:w="1620" w:type="dxa"/>
            <w:hideMark/>
          </w:tcPr>
          <w:p w14:paraId="20CDAB59" w14:textId="77777777" w:rsidR="0037437E" w:rsidRPr="003E19C7" w:rsidRDefault="0037437E" w:rsidP="008603FB">
            <w:pPr>
              <w:pStyle w:val="NormalWeb"/>
              <w:jc w:val="center"/>
              <w:rPr>
                <w:sz w:val="18"/>
                <w:szCs w:val="18"/>
              </w:rPr>
            </w:pPr>
            <w:r w:rsidRPr="003E19C7">
              <w:rPr>
                <w:sz w:val="18"/>
                <w:szCs w:val="18"/>
              </w:rPr>
              <w:t>3 (4.7)</w:t>
            </w:r>
          </w:p>
        </w:tc>
        <w:tc>
          <w:tcPr>
            <w:tcW w:w="1440" w:type="dxa"/>
            <w:hideMark/>
          </w:tcPr>
          <w:p w14:paraId="0D333420" w14:textId="77777777" w:rsidR="0037437E" w:rsidRPr="003E19C7" w:rsidRDefault="0037437E" w:rsidP="008603FB">
            <w:pPr>
              <w:pStyle w:val="NormalWeb"/>
              <w:jc w:val="center"/>
              <w:rPr>
                <w:sz w:val="18"/>
                <w:szCs w:val="18"/>
              </w:rPr>
            </w:pPr>
            <w:r w:rsidRPr="003E19C7">
              <w:rPr>
                <w:sz w:val="18"/>
                <w:szCs w:val="18"/>
              </w:rPr>
              <w:t>1 (1.5)</w:t>
            </w:r>
          </w:p>
        </w:tc>
        <w:tc>
          <w:tcPr>
            <w:tcW w:w="1440" w:type="dxa"/>
            <w:hideMark/>
          </w:tcPr>
          <w:p w14:paraId="00636B59" w14:textId="77777777" w:rsidR="0037437E" w:rsidRPr="003E19C7" w:rsidRDefault="0037437E" w:rsidP="008603FB">
            <w:pPr>
              <w:pStyle w:val="NormalWeb"/>
              <w:jc w:val="center"/>
              <w:rPr>
                <w:sz w:val="18"/>
                <w:szCs w:val="18"/>
              </w:rPr>
            </w:pPr>
            <w:r w:rsidRPr="003E19C7">
              <w:rPr>
                <w:sz w:val="18"/>
                <w:szCs w:val="18"/>
              </w:rPr>
              <w:t>2 (4.5)</w:t>
            </w:r>
          </w:p>
        </w:tc>
        <w:tc>
          <w:tcPr>
            <w:tcW w:w="2700" w:type="dxa"/>
            <w:hideMark/>
          </w:tcPr>
          <w:p w14:paraId="0119DFE5" w14:textId="77777777" w:rsidR="0037437E" w:rsidRPr="003E19C7" w:rsidRDefault="0037437E" w:rsidP="008603FB">
            <w:pPr>
              <w:pStyle w:val="NormalWeb"/>
              <w:jc w:val="center"/>
              <w:rPr>
                <w:sz w:val="18"/>
                <w:szCs w:val="18"/>
              </w:rPr>
            </w:pPr>
            <w:r w:rsidRPr="003E19C7">
              <w:rPr>
                <w:sz w:val="18"/>
                <w:szCs w:val="18"/>
              </w:rPr>
              <w:t>7 (6.1)</w:t>
            </w:r>
          </w:p>
        </w:tc>
      </w:tr>
      <w:tr w:rsidR="0037437E" w:rsidRPr="003E19C7" w14:paraId="3244DCB6"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shd w:val="clear" w:color="auto" w:fill="595959" w:themeFill="text1" w:themeFillTint="A6"/>
            <w:hideMark/>
          </w:tcPr>
          <w:p w14:paraId="4EC2FFC9" w14:textId="77777777" w:rsidR="0037437E" w:rsidRPr="003E19C7" w:rsidRDefault="0037437E" w:rsidP="008603FB">
            <w:pPr>
              <w:pStyle w:val="NormalWeb"/>
              <w:rPr>
                <w:b/>
                <w:bCs/>
                <w:color w:val="FFFFFF" w:themeColor="background1"/>
                <w:sz w:val="18"/>
                <w:szCs w:val="18"/>
              </w:rPr>
            </w:pPr>
            <w:r w:rsidRPr="003E19C7">
              <w:rPr>
                <w:b/>
                <w:bCs/>
                <w:color w:val="FFFFFF" w:themeColor="background1"/>
                <w:sz w:val="18"/>
                <w:szCs w:val="18"/>
              </w:rPr>
              <w:t>Mother has someone to count on to support decisions she makes</w:t>
            </w:r>
          </w:p>
        </w:tc>
        <w:tc>
          <w:tcPr>
            <w:tcW w:w="1620" w:type="dxa"/>
            <w:shd w:val="clear" w:color="auto" w:fill="595959" w:themeFill="text1" w:themeFillTint="A6"/>
            <w:hideMark/>
          </w:tcPr>
          <w:p w14:paraId="29DBA035" w14:textId="77777777" w:rsidR="0037437E" w:rsidRPr="003E19C7" w:rsidRDefault="0037437E" w:rsidP="008603FB">
            <w:pPr>
              <w:jc w:val="center"/>
              <w:rPr>
                <w:b/>
                <w:bCs/>
                <w:color w:val="FFFFFF" w:themeColor="background1"/>
                <w:sz w:val="18"/>
                <w:szCs w:val="18"/>
              </w:rPr>
            </w:pPr>
          </w:p>
        </w:tc>
        <w:tc>
          <w:tcPr>
            <w:tcW w:w="1440" w:type="dxa"/>
            <w:shd w:val="clear" w:color="auto" w:fill="595959" w:themeFill="text1" w:themeFillTint="A6"/>
            <w:hideMark/>
          </w:tcPr>
          <w:p w14:paraId="699DD117" w14:textId="77777777" w:rsidR="0037437E" w:rsidRPr="003E19C7" w:rsidRDefault="0037437E"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666B5644" w14:textId="77777777" w:rsidR="0037437E" w:rsidRPr="003E19C7" w:rsidRDefault="0037437E" w:rsidP="008603FB">
            <w:pPr>
              <w:jc w:val="center"/>
              <w:rPr>
                <w:rFonts w:eastAsia="Times New Roman"/>
                <w:b/>
                <w:bCs/>
                <w:color w:val="FFFFFF" w:themeColor="background1"/>
                <w:sz w:val="18"/>
                <w:szCs w:val="18"/>
              </w:rPr>
            </w:pPr>
          </w:p>
        </w:tc>
        <w:tc>
          <w:tcPr>
            <w:tcW w:w="2700" w:type="dxa"/>
            <w:shd w:val="clear" w:color="auto" w:fill="595959" w:themeFill="text1" w:themeFillTint="A6"/>
            <w:hideMark/>
          </w:tcPr>
          <w:p w14:paraId="3ED952A8" w14:textId="77777777" w:rsidR="0037437E" w:rsidRPr="003E19C7" w:rsidRDefault="0037437E" w:rsidP="008603FB">
            <w:pPr>
              <w:jc w:val="center"/>
              <w:rPr>
                <w:rFonts w:eastAsia="Times New Roman"/>
                <w:b/>
                <w:bCs/>
                <w:color w:val="FFFFFF" w:themeColor="background1"/>
                <w:sz w:val="18"/>
                <w:szCs w:val="18"/>
              </w:rPr>
            </w:pPr>
          </w:p>
        </w:tc>
      </w:tr>
      <w:tr w:rsidR="0037437E" w:rsidRPr="003E19C7" w14:paraId="2CEA366E" w14:textId="77777777" w:rsidTr="008603FB">
        <w:tblPrEx>
          <w:tblCellMar>
            <w:top w:w="57" w:type="dxa"/>
            <w:left w:w="57" w:type="dxa"/>
            <w:bottom w:w="57" w:type="dxa"/>
            <w:right w:w="57" w:type="dxa"/>
          </w:tblCellMar>
        </w:tblPrEx>
        <w:tc>
          <w:tcPr>
            <w:tcW w:w="7740" w:type="dxa"/>
            <w:hideMark/>
          </w:tcPr>
          <w:p w14:paraId="16D3F841" w14:textId="77777777" w:rsidR="0037437E" w:rsidRPr="003E19C7" w:rsidRDefault="0037437E" w:rsidP="008603FB">
            <w:pPr>
              <w:pStyle w:val="NormalWeb"/>
              <w:rPr>
                <w:sz w:val="18"/>
                <w:szCs w:val="18"/>
              </w:rPr>
            </w:pPr>
            <w:r w:rsidRPr="003E19C7">
              <w:rPr>
                <w:sz w:val="18"/>
                <w:szCs w:val="18"/>
              </w:rPr>
              <w:t>Yes</w:t>
            </w:r>
          </w:p>
        </w:tc>
        <w:tc>
          <w:tcPr>
            <w:tcW w:w="1620" w:type="dxa"/>
            <w:hideMark/>
          </w:tcPr>
          <w:p w14:paraId="5CE789B0" w14:textId="77777777" w:rsidR="0037437E" w:rsidRPr="003E19C7" w:rsidRDefault="0037437E" w:rsidP="008603FB">
            <w:pPr>
              <w:pStyle w:val="NormalWeb"/>
              <w:jc w:val="center"/>
              <w:rPr>
                <w:sz w:val="18"/>
                <w:szCs w:val="18"/>
              </w:rPr>
            </w:pPr>
            <w:r w:rsidRPr="003E19C7">
              <w:rPr>
                <w:sz w:val="18"/>
                <w:szCs w:val="18"/>
              </w:rPr>
              <w:t>63 (98.4)</w:t>
            </w:r>
          </w:p>
        </w:tc>
        <w:tc>
          <w:tcPr>
            <w:tcW w:w="1440" w:type="dxa"/>
            <w:hideMark/>
          </w:tcPr>
          <w:p w14:paraId="399A07FE" w14:textId="77777777" w:rsidR="0037437E" w:rsidRPr="003E19C7" w:rsidRDefault="0037437E" w:rsidP="008603FB">
            <w:pPr>
              <w:pStyle w:val="NormalWeb"/>
              <w:jc w:val="center"/>
              <w:rPr>
                <w:sz w:val="18"/>
                <w:szCs w:val="18"/>
              </w:rPr>
            </w:pPr>
            <w:r w:rsidRPr="003E19C7">
              <w:rPr>
                <w:sz w:val="18"/>
                <w:szCs w:val="18"/>
              </w:rPr>
              <w:t>64 (98.5)</w:t>
            </w:r>
          </w:p>
        </w:tc>
        <w:tc>
          <w:tcPr>
            <w:tcW w:w="1440" w:type="dxa"/>
            <w:hideMark/>
          </w:tcPr>
          <w:p w14:paraId="65317A0E" w14:textId="77777777" w:rsidR="0037437E" w:rsidRPr="003E19C7" w:rsidRDefault="0037437E" w:rsidP="008603FB">
            <w:pPr>
              <w:pStyle w:val="NormalWeb"/>
              <w:jc w:val="center"/>
              <w:rPr>
                <w:sz w:val="18"/>
                <w:szCs w:val="18"/>
              </w:rPr>
            </w:pPr>
            <w:r w:rsidRPr="003E19C7">
              <w:rPr>
                <w:sz w:val="18"/>
                <w:szCs w:val="18"/>
              </w:rPr>
              <w:t>66 (98.5)</w:t>
            </w:r>
          </w:p>
        </w:tc>
        <w:tc>
          <w:tcPr>
            <w:tcW w:w="2700" w:type="dxa"/>
            <w:hideMark/>
          </w:tcPr>
          <w:p w14:paraId="362462AC" w14:textId="77777777" w:rsidR="0037437E" w:rsidRPr="003E19C7" w:rsidRDefault="0037437E" w:rsidP="008603FB">
            <w:pPr>
              <w:pStyle w:val="NormalWeb"/>
              <w:jc w:val="center"/>
              <w:rPr>
                <w:sz w:val="18"/>
                <w:szCs w:val="18"/>
              </w:rPr>
            </w:pPr>
            <w:r w:rsidRPr="003E19C7">
              <w:rPr>
                <w:sz w:val="18"/>
                <w:szCs w:val="18"/>
              </w:rPr>
              <w:t>105 (92.1)</w:t>
            </w:r>
          </w:p>
        </w:tc>
      </w:tr>
      <w:tr w:rsidR="0037437E" w:rsidRPr="003E19C7" w14:paraId="4F010244"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3036DA8D" w14:textId="77777777" w:rsidR="0037437E" w:rsidRPr="003E19C7" w:rsidRDefault="0037437E" w:rsidP="008603FB">
            <w:pPr>
              <w:pStyle w:val="NormalWeb"/>
              <w:rPr>
                <w:sz w:val="18"/>
                <w:szCs w:val="18"/>
              </w:rPr>
            </w:pPr>
            <w:r w:rsidRPr="003E19C7">
              <w:rPr>
                <w:sz w:val="18"/>
                <w:szCs w:val="18"/>
              </w:rPr>
              <w:t>No</w:t>
            </w:r>
          </w:p>
        </w:tc>
        <w:tc>
          <w:tcPr>
            <w:tcW w:w="1620" w:type="dxa"/>
            <w:hideMark/>
          </w:tcPr>
          <w:p w14:paraId="436B1CBA" w14:textId="77777777" w:rsidR="0037437E" w:rsidRPr="003E19C7" w:rsidRDefault="0037437E" w:rsidP="008603FB">
            <w:pPr>
              <w:pStyle w:val="NormalWeb"/>
              <w:jc w:val="center"/>
              <w:rPr>
                <w:sz w:val="18"/>
                <w:szCs w:val="18"/>
              </w:rPr>
            </w:pPr>
            <w:r w:rsidRPr="003E19C7">
              <w:rPr>
                <w:sz w:val="18"/>
                <w:szCs w:val="18"/>
              </w:rPr>
              <w:t>0</w:t>
            </w:r>
          </w:p>
        </w:tc>
        <w:tc>
          <w:tcPr>
            <w:tcW w:w="1440" w:type="dxa"/>
            <w:hideMark/>
          </w:tcPr>
          <w:p w14:paraId="7F39ECAD" w14:textId="77777777" w:rsidR="0037437E" w:rsidRPr="003E19C7" w:rsidRDefault="0037437E" w:rsidP="008603FB">
            <w:pPr>
              <w:pStyle w:val="NormalWeb"/>
              <w:jc w:val="center"/>
              <w:rPr>
                <w:sz w:val="18"/>
                <w:szCs w:val="18"/>
              </w:rPr>
            </w:pPr>
            <w:r w:rsidRPr="003E19C7">
              <w:rPr>
                <w:sz w:val="18"/>
                <w:szCs w:val="18"/>
              </w:rPr>
              <w:t>1 (1.5)</w:t>
            </w:r>
          </w:p>
        </w:tc>
        <w:tc>
          <w:tcPr>
            <w:tcW w:w="1440" w:type="dxa"/>
            <w:hideMark/>
          </w:tcPr>
          <w:p w14:paraId="6C399245" w14:textId="77777777" w:rsidR="0037437E" w:rsidRPr="003E19C7" w:rsidRDefault="0037437E" w:rsidP="008603FB">
            <w:pPr>
              <w:pStyle w:val="NormalWeb"/>
              <w:jc w:val="center"/>
              <w:rPr>
                <w:sz w:val="18"/>
                <w:szCs w:val="18"/>
              </w:rPr>
            </w:pPr>
            <w:r w:rsidRPr="003E19C7">
              <w:rPr>
                <w:sz w:val="18"/>
                <w:szCs w:val="18"/>
              </w:rPr>
              <w:t>0</w:t>
            </w:r>
          </w:p>
        </w:tc>
        <w:tc>
          <w:tcPr>
            <w:tcW w:w="2700" w:type="dxa"/>
            <w:hideMark/>
          </w:tcPr>
          <w:p w14:paraId="77AD50C8" w14:textId="77777777" w:rsidR="0037437E" w:rsidRPr="003E19C7" w:rsidRDefault="0037437E" w:rsidP="008603FB">
            <w:pPr>
              <w:pStyle w:val="NormalWeb"/>
              <w:jc w:val="center"/>
              <w:rPr>
                <w:sz w:val="18"/>
                <w:szCs w:val="18"/>
              </w:rPr>
            </w:pPr>
            <w:r w:rsidRPr="003E19C7">
              <w:rPr>
                <w:sz w:val="18"/>
                <w:szCs w:val="18"/>
              </w:rPr>
              <w:t>4 (3.5)</w:t>
            </w:r>
          </w:p>
        </w:tc>
      </w:tr>
      <w:tr w:rsidR="0037437E" w:rsidRPr="003E19C7" w14:paraId="24487B87" w14:textId="77777777" w:rsidTr="008603FB">
        <w:tblPrEx>
          <w:tblCellMar>
            <w:top w:w="57" w:type="dxa"/>
            <w:left w:w="57" w:type="dxa"/>
            <w:bottom w:w="57" w:type="dxa"/>
            <w:right w:w="57" w:type="dxa"/>
          </w:tblCellMar>
        </w:tblPrEx>
        <w:tc>
          <w:tcPr>
            <w:tcW w:w="7740" w:type="dxa"/>
            <w:hideMark/>
          </w:tcPr>
          <w:p w14:paraId="74C0BD0C" w14:textId="77777777" w:rsidR="0037437E" w:rsidRPr="003E19C7" w:rsidRDefault="0037437E" w:rsidP="008603FB">
            <w:pPr>
              <w:pStyle w:val="NormalWeb"/>
              <w:rPr>
                <w:sz w:val="18"/>
                <w:szCs w:val="18"/>
              </w:rPr>
            </w:pPr>
            <w:r w:rsidRPr="003E19C7">
              <w:rPr>
                <w:sz w:val="18"/>
                <w:szCs w:val="18"/>
              </w:rPr>
              <w:t>Declined/missing/unknown</w:t>
            </w:r>
          </w:p>
        </w:tc>
        <w:tc>
          <w:tcPr>
            <w:tcW w:w="1620" w:type="dxa"/>
            <w:hideMark/>
          </w:tcPr>
          <w:p w14:paraId="2121671A" w14:textId="77777777" w:rsidR="0037437E" w:rsidRPr="003E19C7" w:rsidRDefault="0037437E" w:rsidP="008603FB">
            <w:pPr>
              <w:pStyle w:val="NormalWeb"/>
              <w:jc w:val="center"/>
              <w:rPr>
                <w:sz w:val="18"/>
                <w:szCs w:val="18"/>
              </w:rPr>
            </w:pPr>
            <w:r w:rsidRPr="003E19C7">
              <w:rPr>
                <w:sz w:val="18"/>
                <w:szCs w:val="18"/>
              </w:rPr>
              <w:t>1 (1.6)</w:t>
            </w:r>
          </w:p>
        </w:tc>
        <w:tc>
          <w:tcPr>
            <w:tcW w:w="1440" w:type="dxa"/>
            <w:hideMark/>
          </w:tcPr>
          <w:p w14:paraId="197D2019" w14:textId="77777777" w:rsidR="0037437E" w:rsidRPr="003E19C7" w:rsidRDefault="0037437E" w:rsidP="008603FB">
            <w:pPr>
              <w:pStyle w:val="NormalWeb"/>
              <w:jc w:val="center"/>
              <w:rPr>
                <w:sz w:val="18"/>
                <w:szCs w:val="18"/>
              </w:rPr>
            </w:pPr>
            <w:r w:rsidRPr="003E19C7">
              <w:rPr>
                <w:sz w:val="18"/>
                <w:szCs w:val="18"/>
              </w:rPr>
              <w:t>0</w:t>
            </w:r>
          </w:p>
        </w:tc>
        <w:tc>
          <w:tcPr>
            <w:tcW w:w="1440" w:type="dxa"/>
            <w:hideMark/>
          </w:tcPr>
          <w:p w14:paraId="704515C7" w14:textId="77777777" w:rsidR="0037437E" w:rsidRPr="003E19C7" w:rsidRDefault="0037437E" w:rsidP="008603FB">
            <w:pPr>
              <w:pStyle w:val="NormalWeb"/>
              <w:jc w:val="center"/>
              <w:rPr>
                <w:sz w:val="18"/>
                <w:szCs w:val="18"/>
              </w:rPr>
            </w:pPr>
            <w:r w:rsidRPr="003E19C7">
              <w:rPr>
                <w:sz w:val="18"/>
                <w:szCs w:val="18"/>
              </w:rPr>
              <w:t>1 (1.5)</w:t>
            </w:r>
          </w:p>
        </w:tc>
        <w:tc>
          <w:tcPr>
            <w:tcW w:w="2700" w:type="dxa"/>
            <w:hideMark/>
          </w:tcPr>
          <w:p w14:paraId="25616410" w14:textId="77777777" w:rsidR="0037437E" w:rsidRPr="003E19C7" w:rsidRDefault="0037437E" w:rsidP="008603FB">
            <w:pPr>
              <w:pStyle w:val="NormalWeb"/>
              <w:jc w:val="center"/>
              <w:rPr>
                <w:sz w:val="18"/>
                <w:szCs w:val="18"/>
              </w:rPr>
            </w:pPr>
            <w:r w:rsidRPr="003E19C7">
              <w:rPr>
                <w:sz w:val="18"/>
                <w:szCs w:val="18"/>
              </w:rPr>
              <w:t>5 (4.4)</w:t>
            </w:r>
          </w:p>
        </w:tc>
      </w:tr>
      <w:tr w:rsidR="0037437E" w:rsidRPr="003E19C7" w14:paraId="288A71D2"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shd w:val="clear" w:color="auto" w:fill="595959" w:themeFill="text1" w:themeFillTint="A6"/>
            <w:hideMark/>
          </w:tcPr>
          <w:p w14:paraId="0BB7A8FC" w14:textId="77777777" w:rsidR="0037437E" w:rsidRPr="003E19C7" w:rsidRDefault="0037437E" w:rsidP="008603FB">
            <w:pPr>
              <w:pStyle w:val="NormalWeb"/>
              <w:rPr>
                <w:b/>
                <w:bCs/>
                <w:color w:val="FFFFFF" w:themeColor="background1"/>
                <w:sz w:val="18"/>
                <w:szCs w:val="18"/>
              </w:rPr>
            </w:pPr>
            <w:r w:rsidRPr="003E19C7">
              <w:rPr>
                <w:b/>
                <w:bCs/>
                <w:color w:val="FFFFFF" w:themeColor="background1"/>
                <w:sz w:val="18"/>
                <w:szCs w:val="18"/>
              </w:rPr>
              <w:t>Mother has someone to confide in</w:t>
            </w:r>
          </w:p>
        </w:tc>
        <w:tc>
          <w:tcPr>
            <w:tcW w:w="1620" w:type="dxa"/>
            <w:shd w:val="clear" w:color="auto" w:fill="595959" w:themeFill="text1" w:themeFillTint="A6"/>
            <w:hideMark/>
          </w:tcPr>
          <w:p w14:paraId="1FDA9534" w14:textId="77777777" w:rsidR="0037437E" w:rsidRPr="003E19C7" w:rsidRDefault="0037437E" w:rsidP="008603FB">
            <w:pPr>
              <w:jc w:val="center"/>
              <w:rPr>
                <w:b/>
                <w:bCs/>
                <w:color w:val="FFFFFF" w:themeColor="background1"/>
                <w:sz w:val="18"/>
                <w:szCs w:val="18"/>
              </w:rPr>
            </w:pPr>
          </w:p>
        </w:tc>
        <w:tc>
          <w:tcPr>
            <w:tcW w:w="1440" w:type="dxa"/>
            <w:shd w:val="clear" w:color="auto" w:fill="595959" w:themeFill="text1" w:themeFillTint="A6"/>
            <w:hideMark/>
          </w:tcPr>
          <w:p w14:paraId="1F9AB493" w14:textId="77777777" w:rsidR="0037437E" w:rsidRPr="003E19C7" w:rsidRDefault="0037437E"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0D0E2639" w14:textId="77777777" w:rsidR="0037437E" w:rsidRPr="003E19C7" w:rsidRDefault="0037437E" w:rsidP="008603FB">
            <w:pPr>
              <w:jc w:val="center"/>
              <w:rPr>
                <w:rFonts w:eastAsia="Times New Roman"/>
                <w:b/>
                <w:bCs/>
                <w:color w:val="FFFFFF" w:themeColor="background1"/>
                <w:sz w:val="18"/>
                <w:szCs w:val="18"/>
              </w:rPr>
            </w:pPr>
          </w:p>
        </w:tc>
        <w:tc>
          <w:tcPr>
            <w:tcW w:w="2700" w:type="dxa"/>
            <w:shd w:val="clear" w:color="auto" w:fill="595959" w:themeFill="text1" w:themeFillTint="A6"/>
            <w:hideMark/>
          </w:tcPr>
          <w:p w14:paraId="72DD22BC" w14:textId="77777777" w:rsidR="0037437E" w:rsidRPr="003E19C7" w:rsidRDefault="0037437E" w:rsidP="008603FB">
            <w:pPr>
              <w:jc w:val="center"/>
              <w:rPr>
                <w:rFonts w:eastAsia="Times New Roman"/>
                <w:b/>
                <w:bCs/>
                <w:color w:val="FFFFFF" w:themeColor="background1"/>
                <w:sz w:val="18"/>
                <w:szCs w:val="18"/>
              </w:rPr>
            </w:pPr>
          </w:p>
        </w:tc>
      </w:tr>
      <w:tr w:rsidR="0037437E" w:rsidRPr="003E19C7" w14:paraId="25294306" w14:textId="77777777" w:rsidTr="008603FB">
        <w:tblPrEx>
          <w:tblCellMar>
            <w:top w:w="57" w:type="dxa"/>
            <w:left w:w="57" w:type="dxa"/>
            <w:bottom w:w="57" w:type="dxa"/>
            <w:right w:w="57" w:type="dxa"/>
          </w:tblCellMar>
        </w:tblPrEx>
        <w:tc>
          <w:tcPr>
            <w:tcW w:w="7740" w:type="dxa"/>
            <w:hideMark/>
          </w:tcPr>
          <w:p w14:paraId="623D51F0" w14:textId="77777777" w:rsidR="0037437E" w:rsidRPr="003E19C7" w:rsidRDefault="0037437E" w:rsidP="008603FB">
            <w:pPr>
              <w:pStyle w:val="NormalWeb"/>
              <w:rPr>
                <w:sz w:val="18"/>
                <w:szCs w:val="18"/>
              </w:rPr>
            </w:pPr>
            <w:r w:rsidRPr="003E19C7">
              <w:rPr>
                <w:sz w:val="18"/>
                <w:szCs w:val="18"/>
              </w:rPr>
              <w:t>Yes</w:t>
            </w:r>
          </w:p>
        </w:tc>
        <w:tc>
          <w:tcPr>
            <w:tcW w:w="1620" w:type="dxa"/>
            <w:hideMark/>
          </w:tcPr>
          <w:p w14:paraId="657D5D6B" w14:textId="77777777" w:rsidR="0037437E" w:rsidRPr="003E19C7" w:rsidRDefault="0037437E" w:rsidP="008603FB">
            <w:pPr>
              <w:pStyle w:val="NormalWeb"/>
              <w:jc w:val="center"/>
              <w:rPr>
                <w:sz w:val="18"/>
                <w:szCs w:val="18"/>
              </w:rPr>
            </w:pPr>
            <w:r w:rsidRPr="003E19C7">
              <w:rPr>
                <w:sz w:val="18"/>
                <w:szCs w:val="18"/>
              </w:rPr>
              <w:t>62 (96.8)</w:t>
            </w:r>
          </w:p>
        </w:tc>
        <w:tc>
          <w:tcPr>
            <w:tcW w:w="1440" w:type="dxa"/>
            <w:hideMark/>
          </w:tcPr>
          <w:p w14:paraId="1575CE08" w14:textId="77777777" w:rsidR="0037437E" w:rsidRPr="003E19C7" w:rsidRDefault="0037437E" w:rsidP="008603FB">
            <w:pPr>
              <w:pStyle w:val="NormalWeb"/>
              <w:jc w:val="center"/>
              <w:rPr>
                <w:sz w:val="18"/>
                <w:szCs w:val="18"/>
              </w:rPr>
            </w:pPr>
            <w:r w:rsidRPr="003E19C7">
              <w:rPr>
                <w:sz w:val="18"/>
                <w:szCs w:val="18"/>
              </w:rPr>
              <w:t>65 (100.0)</w:t>
            </w:r>
          </w:p>
        </w:tc>
        <w:tc>
          <w:tcPr>
            <w:tcW w:w="1440" w:type="dxa"/>
            <w:hideMark/>
          </w:tcPr>
          <w:p w14:paraId="636DBB8E" w14:textId="77777777" w:rsidR="0037437E" w:rsidRPr="003E19C7" w:rsidRDefault="0037437E" w:rsidP="008603FB">
            <w:pPr>
              <w:pStyle w:val="NormalWeb"/>
              <w:jc w:val="center"/>
              <w:rPr>
                <w:sz w:val="18"/>
                <w:szCs w:val="18"/>
              </w:rPr>
            </w:pPr>
            <w:r w:rsidRPr="003E19C7">
              <w:rPr>
                <w:sz w:val="18"/>
                <w:szCs w:val="18"/>
              </w:rPr>
              <w:t>64 (95.5)</w:t>
            </w:r>
          </w:p>
        </w:tc>
        <w:tc>
          <w:tcPr>
            <w:tcW w:w="2700" w:type="dxa"/>
            <w:hideMark/>
          </w:tcPr>
          <w:p w14:paraId="03C12EB3" w14:textId="77777777" w:rsidR="0037437E" w:rsidRPr="003E19C7" w:rsidRDefault="0037437E" w:rsidP="008603FB">
            <w:pPr>
              <w:pStyle w:val="NormalWeb"/>
              <w:jc w:val="center"/>
              <w:rPr>
                <w:sz w:val="18"/>
                <w:szCs w:val="18"/>
              </w:rPr>
            </w:pPr>
            <w:r w:rsidRPr="003E19C7">
              <w:rPr>
                <w:sz w:val="18"/>
                <w:szCs w:val="18"/>
              </w:rPr>
              <w:t>106 (93.0)</w:t>
            </w:r>
          </w:p>
        </w:tc>
      </w:tr>
      <w:tr w:rsidR="0037437E" w:rsidRPr="003E19C7" w14:paraId="5D150E48"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3AFD0749" w14:textId="77777777" w:rsidR="0037437E" w:rsidRPr="003E19C7" w:rsidRDefault="0037437E" w:rsidP="008603FB">
            <w:pPr>
              <w:pStyle w:val="NormalWeb"/>
              <w:rPr>
                <w:sz w:val="18"/>
                <w:szCs w:val="18"/>
              </w:rPr>
            </w:pPr>
            <w:r w:rsidRPr="003E19C7">
              <w:rPr>
                <w:sz w:val="18"/>
                <w:szCs w:val="18"/>
              </w:rPr>
              <w:t>No</w:t>
            </w:r>
          </w:p>
        </w:tc>
        <w:tc>
          <w:tcPr>
            <w:tcW w:w="1620" w:type="dxa"/>
            <w:hideMark/>
          </w:tcPr>
          <w:p w14:paraId="180D47A6" w14:textId="77777777" w:rsidR="0037437E" w:rsidRPr="003E19C7" w:rsidRDefault="0037437E" w:rsidP="008603FB">
            <w:pPr>
              <w:pStyle w:val="NormalWeb"/>
              <w:jc w:val="center"/>
              <w:rPr>
                <w:sz w:val="18"/>
                <w:szCs w:val="18"/>
              </w:rPr>
            </w:pPr>
            <w:r w:rsidRPr="003E19C7">
              <w:rPr>
                <w:sz w:val="18"/>
                <w:szCs w:val="18"/>
              </w:rPr>
              <w:t>1 (1.6)</w:t>
            </w:r>
          </w:p>
        </w:tc>
        <w:tc>
          <w:tcPr>
            <w:tcW w:w="1440" w:type="dxa"/>
            <w:hideMark/>
          </w:tcPr>
          <w:p w14:paraId="508273C2" w14:textId="77777777" w:rsidR="0037437E" w:rsidRPr="003E19C7" w:rsidRDefault="0037437E" w:rsidP="008603FB">
            <w:pPr>
              <w:pStyle w:val="NormalWeb"/>
              <w:jc w:val="center"/>
              <w:rPr>
                <w:sz w:val="18"/>
                <w:szCs w:val="18"/>
              </w:rPr>
            </w:pPr>
            <w:r w:rsidRPr="003E19C7">
              <w:rPr>
                <w:sz w:val="18"/>
                <w:szCs w:val="18"/>
              </w:rPr>
              <w:t>0</w:t>
            </w:r>
          </w:p>
        </w:tc>
        <w:tc>
          <w:tcPr>
            <w:tcW w:w="1440" w:type="dxa"/>
            <w:hideMark/>
          </w:tcPr>
          <w:p w14:paraId="379FCC1E" w14:textId="77777777" w:rsidR="0037437E" w:rsidRPr="003E19C7" w:rsidRDefault="0037437E" w:rsidP="008603FB">
            <w:pPr>
              <w:pStyle w:val="NormalWeb"/>
              <w:jc w:val="center"/>
              <w:rPr>
                <w:sz w:val="18"/>
                <w:szCs w:val="18"/>
              </w:rPr>
            </w:pPr>
            <w:r w:rsidRPr="003E19C7">
              <w:rPr>
                <w:sz w:val="18"/>
                <w:szCs w:val="18"/>
              </w:rPr>
              <w:t>2 (3.0)</w:t>
            </w:r>
          </w:p>
        </w:tc>
        <w:tc>
          <w:tcPr>
            <w:tcW w:w="2700" w:type="dxa"/>
            <w:hideMark/>
          </w:tcPr>
          <w:p w14:paraId="0866714B" w14:textId="77777777" w:rsidR="0037437E" w:rsidRPr="003E19C7" w:rsidRDefault="0037437E" w:rsidP="008603FB">
            <w:pPr>
              <w:pStyle w:val="NormalWeb"/>
              <w:jc w:val="center"/>
              <w:rPr>
                <w:sz w:val="18"/>
                <w:szCs w:val="18"/>
              </w:rPr>
            </w:pPr>
            <w:r w:rsidRPr="003E19C7">
              <w:rPr>
                <w:sz w:val="18"/>
                <w:szCs w:val="18"/>
              </w:rPr>
              <w:t>3 (2.6)</w:t>
            </w:r>
          </w:p>
        </w:tc>
      </w:tr>
      <w:tr w:rsidR="0037437E" w:rsidRPr="003E19C7" w14:paraId="4F0D0172" w14:textId="77777777" w:rsidTr="008603FB">
        <w:tblPrEx>
          <w:tblCellMar>
            <w:top w:w="57" w:type="dxa"/>
            <w:left w:w="57" w:type="dxa"/>
            <w:bottom w:w="57" w:type="dxa"/>
            <w:right w:w="57" w:type="dxa"/>
          </w:tblCellMar>
        </w:tblPrEx>
        <w:tc>
          <w:tcPr>
            <w:tcW w:w="7740" w:type="dxa"/>
            <w:hideMark/>
          </w:tcPr>
          <w:p w14:paraId="0BD1B74D" w14:textId="77777777" w:rsidR="0037437E" w:rsidRPr="003E19C7" w:rsidRDefault="0037437E" w:rsidP="008603FB">
            <w:pPr>
              <w:pStyle w:val="NormalWeb"/>
              <w:rPr>
                <w:sz w:val="18"/>
                <w:szCs w:val="18"/>
              </w:rPr>
            </w:pPr>
            <w:r w:rsidRPr="003E19C7">
              <w:rPr>
                <w:sz w:val="18"/>
                <w:szCs w:val="18"/>
              </w:rPr>
              <w:t>Declined/missing/unknown</w:t>
            </w:r>
          </w:p>
        </w:tc>
        <w:tc>
          <w:tcPr>
            <w:tcW w:w="1620" w:type="dxa"/>
            <w:hideMark/>
          </w:tcPr>
          <w:p w14:paraId="0771C1F8" w14:textId="77777777" w:rsidR="0037437E" w:rsidRPr="003E19C7" w:rsidRDefault="0037437E" w:rsidP="008603FB">
            <w:pPr>
              <w:pStyle w:val="NormalWeb"/>
              <w:jc w:val="center"/>
              <w:rPr>
                <w:sz w:val="18"/>
                <w:szCs w:val="18"/>
              </w:rPr>
            </w:pPr>
            <w:r w:rsidRPr="003E19C7">
              <w:rPr>
                <w:sz w:val="18"/>
                <w:szCs w:val="18"/>
              </w:rPr>
              <w:t>1 (1.6)</w:t>
            </w:r>
          </w:p>
        </w:tc>
        <w:tc>
          <w:tcPr>
            <w:tcW w:w="1440" w:type="dxa"/>
            <w:hideMark/>
          </w:tcPr>
          <w:p w14:paraId="322AF507" w14:textId="77777777" w:rsidR="0037437E" w:rsidRPr="003E19C7" w:rsidRDefault="0037437E" w:rsidP="008603FB">
            <w:pPr>
              <w:pStyle w:val="NormalWeb"/>
              <w:jc w:val="center"/>
              <w:rPr>
                <w:sz w:val="18"/>
                <w:szCs w:val="18"/>
              </w:rPr>
            </w:pPr>
            <w:r w:rsidRPr="003E19C7">
              <w:rPr>
                <w:sz w:val="18"/>
                <w:szCs w:val="18"/>
              </w:rPr>
              <w:t>0</w:t>
            </w:r>
          </w:p>
        </w:tc>
        <w:tc>
          <w:tcPr>
            <w:tcW w:w="1440" w:type="dxa"/>
            <w:hideMark/>
          </w:tcPr>
          <w:p w14:paraId="3506CE48" w14:textId="77777777" w:rsidR="0037437E" w:rsidRPr="003E19C7" w:rsidRDefault="0037437E" w:rsidP="008603FB">
            <w:pPr>
              <w:pStyle w:val="NormalWeb"/>
              <w:jc w:val="center"/>
              <w:rPr>
                <w:sz w:val="18"/>
                <w:szCs w:val="18"/>
              </w:rPr>
            </w:pPr>
            <w:r w:rsidRPr="003E19C7">
              <w:rPr>
                <w:sz w:val="18"/>
                <w:szCs w:val="18"/>
              </w:rPr>
              <w:t>1 (1.5)</w:t>
            </w:r>
          </w:p>
        </w:tc>
        <w:tc>
          <w:tcPr>
            <w:tcW w:w="2700" w:type="dxa"/>
            <w:hideMark/>
          </w:tcPr>
          <w:p w14:paraId="61247799" w14:textId="77777777" w:rsidR="0037437E" w:rsidRPr="003E19C7" w:rsidRDefault="0037437E" w:rsidP="008603FB">
            <w:pPr>
              <w:pStyle w:val="NormalWeb"/>
              <w:jc w:val="center"/>
              <w:rPr>
                <w:sz w:val="18"/>
                <w:szCs w:val="18"/>
              </w:rPr>
            </w:pPr>
            <w:r w:rsidRPr="003E19C7">
              <w:rPr>
                <w:sz w:val="18"/>
                <w:szCs w:val="18"/>
              </w:rPr>
              <w:t>5 (4.4)</w:t>
            </w:r>
          </w:p>
        </w:tc>
      </w:tr>
      <w:tr w:rsidR="0037437E" w:rsidRPr="003E19C7" w14:paraId="08240288" w14:textId="77777777" w:rsidTr="000F3A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shd w:val="clear" w:color="auto" w:fill="595959" w:themeFill="text1" w:themeFillTint="A6"/>
            <w:hideMark/>
          </w:tcPr>
          <w:p w14:paraId="40FD5C96" w14:textId="77777777" w:rsidR="0037437E" w:rsidRPr="003E19C7" w:rsidRDefault="0037437E" w:rsidP="008603FB">
            <w:pPr>
              <w:pStyle w:val="NormalWeb"/>
              <w:rPr>
                <w:b/>
                <w:bCs/>
                <w:color w:val="FFFFFF" w:themeColor="background1"/>
                <w:sz w:val="18"/>
                <w:szCs w:val="18"/>
              </w:rPr>
            </w:pPr>
            <w:r w:rsidRPr="003E19C7">
              <w:rPr>
                <w:b/>
                <w:bCs/>
                <w:color w:val="FFFFFF" w:themeColor="background1"/>
                <w:sz w:val="18"/>
                <w:szCs w:val="18"/>
              </w:rPr>
              <w:t>Mother has someone she can trust/rely on for help</w:t>
            </w:r>
          </w:p>
        </w:tc>
        <w:tc>
          <w:tcPr>
            <w:tcW w:w="1620" w:type="dxa"/>
            <w:shd w:val="clear" w:color="auto" w:fill="595959" w:themeFill="text1" w:themeFillTint="A6"/>
            <w:hideMark/>
          </w:tcPr>
          <w:p w14:paraId="52D5CF17" w14:textId="77777777" w:rsidR="0037437E" w:rsidRPr="003E19C7" w:rsidRDefault="0037437E" w:rsidP="008603FB">
            <w:pPr>
              <w:jc w:val="center"/>
              <w:rPr>
                <w:b/>
                <w:bCs/>
                <w:color w:val="FFFFFF" w:themeColor="background1"/>
                <w:sz w:val="18"/>
                <w:szCs w:val="18"/>
              </w:rPr>
            </w:pPr>
          </w:p>
        </w:tc>
        <w:tc>
          <w:tcPr>
            <w:tcW w:w="1440" w:type="dxa"/>
            <w:shd w:val="clear" w:color="auto" w:fill="595959" w:themeFill="text1" w:themeFillTint="A6"/>
            <w:hideMark/>
          </w:tcPr>
          <w:p w14:paraId="6F769512" w14:textId="77777777" w:rsidR="0037437E" w:rsidRPr="003E19C7" w:rsidRDefault="0037437E" w:rsidP="008603FB">
            <w:pPr>
              <w:jc w:val="center"/>
              <w:rPr>
                <w:rFonts w:eastAsia="Times New Roman"/>
                <w:b/>
                <w:bCs/>
                <w:color w:val="FFFFFF" w:themeColor="background1"/>
                <w:sz w:val="18"/>
                <w:szCs w:val="18"/>
              </w:rPr>
            </w:pPr>
          </w:p>
        </w:tc>
        <w:tc>
          <w:tcPr>
            <w:tcW w:w="1440" w:type="dxa"/>
            <w:shd w:val="clear" w:color="auto" w:fill="595959" w:themeFill="text1" w:themeFillTint="A6"/>
            <w:hideMark/>
          </w:tcPr>
          <w:p w14:paraId="3341CD13" w14:textId="77777777" w:rsidR="0037437E" w:rsidRPr="003E19C7" w:rsidRDefault="0037437E" w:rsidP="008603FB">
            <w:pPr>
              <w:jc w:val="center"/>
              <w:rPr>
                <w:rFonts w:eastAsia="Times New Roman"/>
                <w:b/>
                <w:bCs/>
                <w:color w:val="FFFFFF" w:themeColor="background1"/>
                <w:sz w:val="18"/>
                <w:szCs w:val="18"/>
              </w:rPr>
            </w:pPr>
          </w:p>
        </w:tc>
        <w:tc>
          <w:tcPr>
            <w:tcW w:w="2700" w:type="dxa"/>
            <w:shd w:val="clear" w:color="auto" w:fill="595959" w:themeFill="text1" w:themeFillTint="A6"/>
            <w:hideMark/>
          </w:tcPr>
          <w:p w14:paraId="7E651D5A" w14:textId="77777777" w:rsidR="0037437E" w:rsidRPr="003E19C7" w:rsidRDefault="0037437E" w:rsidP="008603FB">
            <w:pPr>
              <w:jc w:val="center"/>
              <w:rPr>
                <w:rFonts w:eastAsia="Times New Roman"/>
                <w:b/>
                <w:bCs/>
                <w:color w:val="FFFFFF" w:themeColor="background1"/>
                <w:sz w:val="18"/>
                <w:szCs w:val="18"/>
              </w:rPr>
            </w:pPr>
          </w:p>
        </w:tc>
      </w:tr>
      <w:tr w:rsidR="0037437E" w:rsidRPr="003E19C7" w14:paraId="02C73A93" w14:textId="77777777" w:rsidTr="008603FB">
        <w:tblPrEx>
          <w:tblCellMar>
            <w:top w:w="57" w:type="dxa"/>
            <w:left w:w="57" w:type="dxa"/>
            <w:bottom w:w="57" w:type="dxa"/>
            <w:right w:w="57" w:type="dxa"/>
          </w:tblCellMar>
        </w:tblPrEx>
        <w:tc>
          <w:tcPr>
            <w:tcW w:w="7740" w:type="dxa"/>
            <w:hideMark/>
          </w:tcPr>
          <w:p w14:paraId="6881C032" w14:textId="77777777" w:rsidR="0037437E" w:rsidRPr="003E19C7" w:rsidRDefault="0037437E" w:rsidP="008603FB">
            <w:pPr>
              <w:pStyle w:val="NormalWeb"/>
              <w:rPr>
                <w:sz w:val="18"/>
                <w:szCs w:val="18"/>
              </w:rPr>
            </w:pPr>
            <w:r w:rsidRPr="003E19C7">
              <w:rPr>
                <w:sz w:val="18"/>
                <w:szCs w:val="18"/>
              </w:rPr>
              <w:t>Yes</w:t>
            </w:r>
          </w:p>
        </w:tc>
        <w:tc>
          <w:tcPr>
            <w:tcW w:w="1620" w:type="dxa"/>
            <w:hideMark/>
          </w:tcPr>
          <w:p w14:paraId="54B71F1F" w14:textId="77777777" w:rsidR="0037437E" w:rsidRPr="003E19C7" w:rsidRDefault="0037437E" w:rsidP="008603FB">
            <w:pPr>
              <w:pStyle w:val="NormalWeb"/>
              <w:jc w:val="center"/>
              <w:rPr>
                <w:sz w:val="18"/>
                <w:szCs w:val="18"/>
              </w:rPr>
            </w:pPr>
            <w:r w:rsidRPr="003E19C7">
              <w:rPr>
                <w:sz w:val="18"/>
                <w:szCs w:val="18"/>
              </w:rPr>
              <w:t>62 (96.8)</w:t>
            </w:r>
          </w:p>
        </w:tc>
        <w:tc>
          <w:tcPr>
            <w:tcW w:w="1440" w:type="dxa"/>
            <w:hideMark/>
          </w:tcPr>
          <w:p w14:paraId="1031C3C1" w14:textId="77777777" w:rsidR="0037437E" w:rsidRPr="003E19C7" w:rsidRDefault="0037437E" w:rsidP="008603FB">
            <w:pPr>
              <w:pStyle w:val="NormalWeb"/>
              <w:jc w:val="center"/>
              <w:rPr>
                <w:sz w:val="18"/>
                <w:szCs w:val="18"/>
              </w:rPr>
            </w:pPr>
            <w:r w:rsidRPr="003E19C7">
              <w:rPr>
                <w:sz w:val="18"/>
                <w:szCs w:val="18"/>
              </w:rPr>
              <w:t>65 (100.0)</w:t>
            </w:r>
          </w:p>
        </w:tc>
        <w:tc>
          <w:tcPr>
            <w:tcW w:w="1440" w:type="dxa"/>
            <w:hideMark/>
          </w:tcPr>
          <w:p w14:paraId="602F6E45" w14:textId="77777777" w:rsidR="0037437E" w:rsidRPr="003E19C7" w:rsidRDefault="0037437E" w:rsidP="008603FB">
            <w:pPr>
              <w:pStyle w:val="NormalWeb"/>
              <w:jc w:val="center"/>
              <w:rPr>
                <w:sz w:val="18"/>
                <w:szCs w:val="18"/>
              </w:rPr>
            </w:pPr>
            <w:r w:rsidRPr="003E19C7">
              <w:rPr>
                <w:sz w:val="18"/>
                <w:szCs w:val="18"/>
              </w:rPr>
              <w:t>62 (92.5)</w:t>
            </w:r>
          </w:p>
        </w:tc>
        <w:tc>
          <w:tcPr>
            <w:tcW w:w="2700" w:type="dxa"/>
            <w:hideMark/>
          </w:tcPr>
          <w:p w14:paraId="16A63EE3" w14:textId="77777777" w:rsidR="0037437E" w:rsidRPr="003E19C7" w:rsidRDefault="0037437E" w:rsidP="008603FB">
            <w:pPr>
              <w:pStyle w:val="NormalWeb"/>
              <w:jc w:val="center"/>
              <w:rPr>
                <w:sz w:val="18"/>
                <w:szCs w:val="18"/>
              </w:rPr>
            </w:pPr>
            <w:r w:rsidRPr="003E19C7">
              <w:rPr>
                <w:sz w:val="18"/>
                <w:szCs w:val="18"/>
              </w:rPr>
              <w:t>104 (91.2)</w:t>
            </w:r>
          </w:p>
        </w:tc>
      </w:tr>
      <w:tr w:rsidR="0037437E" w:rsidRPr="003E19C7" w14:paraId="5FAF4C14" w14:textId="77777777" w:rsidTr="008603F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7740" w:type="dxa"/>
            <w:hideMark/>
          </w:tcPr>
          <w:p w14:paraId="301EBE0B" w14:textId="77777777" w:rsidR="0037437E" w:rsidRPr="003E19C7" w:rsidRDefault="0037437E" w:rsidP="008603FB">
            <w:pPr>
              <w:pStyle w:val="NormalWeb"/>
              <w:rPr>
                <w:sz w:val="18"/>
                <w:szCs w:val="18"/>
              </w:rPr>
            </w:pPr>
            <w:r w:rsidRPr="003E19C7">
              <w:rPr>
                <w:sz w:val="18"/>
                <w:szCs w:val="18"/>
              </w:rPr>
              <w:t>No</w:t>
            </w:r>
          </w:p>
        </w:tc>
        <w:tc>
          <w:tcPr>
            <w:tcW w:w="1620" w:type="dxa"/>
            <w:hideMark/>
          </w:tcPr>
          <w:p w14:paraId="266D7F05" w14:textId="77777777" w:rsidR="0037437E" w:rsidRPr="003E19C7" w:rsidRDefault="0037437E" w:rsidP="008603FB">
            <w:pPr>
              <w:pStyle w:val="NormalWeb"/>
              <w:jc w:val="center"/>
              <w:rPr>
                <w:sz w:val="18"/>
                <w:szCs w:val="18"/>
              </w:rPr>
            </w:pPr>
            <w:r w:rsidRPr="003E19C7">
              <w:rPr>
                <w:sz w:val="18"/>
                <w:szCs w:val="18"/>
              </w:rPr>
              <w:t>1 (1.6)</w:t>
            </w:r>
          </w:p>
        </w:tc>
        <w:tc>
          <w:tcPr>
            <w:tcW w:w="1440" w:type="dxa"/>
            <w:hideMark/>
          </w:tcPr>
          <w:p w14:paraId="51AEB72F" w14:textId="77777777" w:rsidR="0037437E" w:rsidRPr="003E19C7" w:rsidRDefault="0037437E" w:rsidP="008603FB">
            <w:pPr>
              <w:pStyle w:val="NormalWeb"/>
              <w:jc w:val="center"/>
              <w:rPr>
                <w:sz w:val="18"/>
                <w:szCs w:val="18"/>
              </w:rPr>
            </w:pPr>
            <w:r w:rsidRPr="003E19C7">
              <w:rPr>
                <w:sz w:val="18"/>
                <w:szCs w:val="18"/>
              </w:rPr>
              <w:t>0</w:t>
            </w:r>
          </w:p>
        </w:tc>
        <w:tc>
          <w:tcPr>
            <w:tcW w:w="1440" w:type="dxa"/>
            <w:hideMark/>
          </w:tcPr>
          <w:p w14:paraId="36B67425" w14:textId="77777777" w:rsidR="0037437E" w:rsidRPr="003E19C7" w:rsidRDefault="0037437E" w:rsidP="008603FB">
            <w:pPr>
              <w:pStyle w:val="NormalWeb"/>
              <w:jc w:val="center"/>
              <w:rPr>
                <w:sz w:val="18"/>
                <w:szCs w:val="18"/>
              </w:rPr>
            </w:pPr>
            <w:r w:rsidRPr="003E19C7">
              <w:rPr>
                <w:sz w:val="18"/>
                <w:szCs w:val="18"/>
              </w:rPr>
              <w:t>4 (6.0)</w:t>
            </w:r>
          </w:p>
        </w:tc>
        <w:tc>
          <w:tcPr>
            <w:tcW w:w="2700" w:type="dxa"/>
            <w:hideMark/>
          </w:tcPr>
          <w:p w14:paraId="109282C4" w14:textId="77777777" w:rsidR="0037437E" w:rsidRPr="003E19C7" w:rsidRDefault="0037437E" w:rsidP="008603FB">
            <w:pPr>
              <w:pStyle w:val="NormalWeb"/>
              <w:jc w:val="center"/>
              <w:rPr>
                <w:sz w:val="18"/>
                <w:szCs w:val="18"/>
              </w:rPr>
            </w:pPr>
            <w:r w:rsidRPr="003E19C7">
              <w:rPr>
                <w:sz w:val="18"/>
                <w:szCs w:val="18"/>
              </w:rPr>
              <w:t>2 (1.8)</w:t>
            </w:r>
          </w:p>
        </w:tc>
      </w:tr>
      <w:tr w:rsidR="0037437E" w:rsidRPr="003E19C7" w14:paraId="17FEE401" w14:textId="77777777" w:rsidTr="008603FB">
        <w:tblPrEx>
          <w:tblCellMar>
            <w:top w:w="57" w:type="dxa"/>
            <w:left w:w="57" w:type="dxa"/>
            <w:bottom w:w="57" w:type="dxa"/>
            <w:right w:w="57" w:type="dxa"/>
          </w:tblCellMar>
        </w:tblPrEx>
        <w:tc>
          <w:tcPr>
            <w:tcW w:w="7740" w:type="dxa"/>
            <w:hideMark/>
          </w:tcPr>
          <w:p w14:paraId="630681EA" w14:textId="77777777" w:rsidR="0037437E" w:rsidRPr="003E19C7" w:rsidRDefault="0037437E" w:rsidP="008603FB">
            <w:pPr>
              <w:pStyle w:val="NormalWeb"/>
              <w:rPr>
                <w:sz w:val="18"/>
                <w:szCs w:val="18"/>
              </w:rPr>
            </w:pPr>
            <w:r w:rsidRPr="003E19C7">
              <w:rPr>
                <w:sz w:val="18"/>
                <w:szCs w:val="18"/>
              </w:rPr>
              <w:t>Declined/missing/unknown</w:t>
            </w:r>
          </w:p>
        </w:tc>
        <w:tc>
          <w:tcPr>
            <w:tcW w:w="1620" w:type="dxa"/>
            <w:hideMark/>
          </w:tcPr>
          <w:p w14:paraId="0BB2E85F" w14:textId="77777777" w:rsidR="0037437E" w:rsidRPr="003E19C7" w:rsidRDefault="0037437E" w:rsidP="008603FB">
            <w:pPr>
              <w:pStyle w:val="NormalWeb"/>
              <w:jc w:val="center"/>
              <w:rPr>
                <w:sz w:val="18"/>
                <w:szCs w:val="18"/>
              </w:rPr>
            </w:pPr>
            <w:r w:rsidRPr="003E19C7">
              <w:rPr>
                <w:sz w:val="18"/>
                <w:szCs w:val="18"/>
              </w:rPr>
              <w:t>1 (1.6)</w:t>
            </w:r>
          </w:p>
        </w:tc>
        <w:tc>
          <w:tcPr>
            <w:tcW w:w="1440" w:type="dxa"/>
            <w:hideMark/>
          </w:tcPr>
          <w:p w14:paraId="69892960" w14:textId="77777777" w:rsidR="0037437E" w:rsidRPr="003E19C7" w:rsidRDefault="0037437E" w:rsidP="008603FB">
            <w:pPr>
              <w:pStyle w:val="NormalWeb"/>
              <w:jc w:val="center"/>
              <w:rPr>
                <w:sz w:val="18"/>
                <w:szCs w:val="18"/>
              </w:rPr>
            </w:pPr>
            <w:r w:rsidRPr="003E19C7">
              <w:rPr>
                <w:sz w:val="18"/>
                <w:szCs w:val="18"/>
              </w:rPr>
              <w:t>0</w:t>
            </w:r>
          </w:p>
        </w:tc>
        <w:tc>
          <w:tcPr>
            <w:tcW w:w="1440" w:type="dxa"/>
            <w:hideMark/>
          </w:tcPr>
          <w:p w14:paraId="4E052FCD" w14:textId="77777777" w:rsidR="0037437E" w:rsidRPr="003E19C7" w:rsidRDefault="0037437E" w:rsidP="008603FB">
            <w:pPr>
              <w:pStyle w:val="NormalWeb"/>
              <w:jc w:val="center"/>
              <w:rPr>
                <w:sz w:val="18"/>
                <w:szCs w:val="18"/>
              </w:rPr>
            </w:pPr>
            <w:r w:rsidRPr="003E19C7">
              <w:rPr>
                <w:sz w:val="18"/>
                <w:szCs w:val="18"/>
              </w:rPr>
              <w:t>1 (1.5)</w:t>
            </w:r>
          </w:p>
        </w:tc>
        <w:tc>
          <w:tcPr>
            <w:tcW w:w="2700" w:type="dxa"/>
            <w:hideMark/>
          </w:tcPr>
          <w:p w14:paraId="3807A2D7" w14:textId="77777777" w:rsidR="0037437E" w:rsidRPr="003E19C7" w:rsidRDefault="0037437E" w:rsidP="008603FB">
            <w:pPr>
              <w:pStyle w:val="NormalWeb"/>
              <w:jc w:val="center"/>
              <w:rPr>
                <w:sz w:val="18"/>
                <w:szCs w:val="18"/>
              </w:rPr>
            </w:pPr>
            <w:r w:rsidRPr="003E19C7">
              <w:rPr>
                <w:sz w:val="18"/>
                <w:szCs w:val="18"/>
              </w:rPr>
              <w:t>8 (7.0)</w:t>
            </w:r>
          </w:p>
        </w:tc>
      </w:tr>
    </w:tbl>
    <w:p w14:paraId="287DC24C" w14:textId="77777777" w:rsidR="0037437E" w:rsidRDefault="0037437E" w:rsidP="0037437E">
      <w:pPr>
        <w:pStyle w:val="CDIfootnotes"/>
        <w:rPr>
          <w:lang w:val="en-GB"/>
        </w:rPr>
      </w:pPr>
      <w:r>
        <w:rPr>
          <w:lang w:val="en-GB"/>
        </w:rPr>
        <w:t>a</w:t>
      </w:r>
      <w:r>
        <w:rPr>
          <w:lang w:val="en-GB"/>
        </w:rPr>
        <w:tab/>
        <w:t>Nuclear family: parents/carers and children only. The other category was “extended” family.</w:t>
      </w:r>
    </w:p>
    <w:p w14:paraId="7D3ACD78" w14:textId="436444A0" w:rsidR="008B5348" w:rsidRPr="0037437E" w:rsidRDefault="0037437E" w:rsidP="0037437E">
      <w:pPr>
        <w:pStyle w:val="CDIfootnotes"/>
        <w:rPr>
          <w:rStyle w:val="A10"/>
          <w:rFonts w:cstheme="minorBidi"/>
          <w:color w:val="auto"/>
          <w:sz w:val="18"/>
          <w:lang w:val="en-GB"/>
        </w:rPr>
      </w:pPr>
      <w:r>
        <w:rPr>
          <w:lang w:val="en-GB"/>
        </w:rPr>
        <w:t>b</w:t>
      </w:r>
      <w:r>
        <w:rPr>
          <w:lang w:val="en-GB"/>
        </w:rPr>
        <w:tab/>
        <w:t>Smart phone, as opposed to a basic phone lacking mobile applications capacity.</w:t>
      </w:r>
      <w:r w:rsidR="008B5348">
        <w:rPr>
          <w:rStyle w:val="A10"/>
        </w:rPr>
        <w:br w:type="page"/>
      </w:r>
    </w:p>
    <w:p w14:paraId="53E9788B" w14:textId="77777777" w:rsidR="008B5348" w:rsidRDefault="008B5348">
      <w:pPr>
        <w:rPr>
          <w:rStyle w:val="A10"/>
        </w:rPr>
        <w:sectPr w:rsidR="008B5348" w:rsidSect="004C247C">
          <w:pgSz w:w="16838" w:h="11906" w:orient="landscape"/>
          <w:pgMar w:top="720" w:right="720" w:bottom="720" w:left="1134" w:header="709" w:footer="284" w:gutter="0"/>
          <w:cols w:space="708"/>
          <w:titlePg/>
          <w:docGrid w:linePitch="360"/>
        </w:sectPr>
      </w:pPr>
    </w:p>
    <w:p w14:paraId="3EC24164"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D536B73"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44DF79D" w14:textId="77777777" w:rsidR="000A5F42" w:rsidRPr="000606CC" w:rsidRDefault="000A5F42" w:rsidP="000A5F42">
      <w:pPr>
        <w:pStyle w:val="NoSpacing"/>
        <w:rPr>
          <w:rStyle w:val="URI"/>
          <w:rFonts w:cstheme="minorHAnsi"/>
          <w:sz w:val="20"/>
          <w:szCs w:val="18"/>
        </w:rPr>
      </w:pPr>
    </w:p>
    <w:p w14:paraId="7E211DE5"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5784CE8E" w14:textId="77777777" w:rsidR="000A5F42" w:rsidRPr="000606CC" w:rsidRDefault="000A5F42" w:rsidP="000A5F42">
      <w:pPr>
        <w:pStyle w:val="NoSpacing"/>
        <w:rPr>
          <w:rStyle w:val="Strong"/>
          <w:rFonts w:cstheme="minorHAnsi"/>
          <w:sz w:val="20"/>
          <w:szCs w:val="18"/>
        </w:rPr>
      </w:pPr>
    </w:p>
    <w:p w14:paraId="1CF4FAE0" w14:textId="2D1D0D75"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47E42">
        <w:rPr>
          <w:rFonts w:cstheme="minorHAnsi"/>
          <w:sz w:val="20"/>
          <w:szCs w:val="18"/>
        </w:rPr>
        <w:t>Noel Lally</w:t>
      </w:r>
    </w:p>
    <w:p w14:paraId="7D491C5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8D0516C"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AD0A221"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60E8BC9B" w14:textId="77777777" w:rsidR="000A5F42" w:rsidRPr="000606CC" w:rsidRDefault="000A5F42" w:rsidP="000A5F42">
      <w:pPr>
        <w:pStyle w:val="NoSpacing"/>
        <w:rPr>
          <w:rStyle w:val="Strong"/>
          <w:rFonts w:cstheme="minorHAnsi"/>
          <w:sz w:val="20"/>
          <w:szCs w:val="18"/>
        </w:rPr>
      </w:pPr>
    </w:p>
    <w:p w14:paraId="5B986072" w14:textId="6483B84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FB8E2F5" w14:textId="77777777" w:rsidR="000A5F42" w:rsidRPr="000606CC" w:rsidRDefault="000A5F42" w:rsidP="000A5F42">
      <w:pPr>
        <w:pStyle w:val="NoSpacing"/>
        <w:rPr>
          <w:rStyle w:val="Strong"/>
          <w:rFonts w:cstheme="minorHAnsi"/>
          <w:sz w:val="20"/>
          <w:szCs w:val="18"/>
        </w:rPr>
      </w:pPr>
    </w:p>
    <w:p w14:paraId="72E7C045"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3FC80D3B" w14:textId="77777777" w:rsidR="000A5F42" w:rsidRPr="000606CC" w:rsidRDefault="000A5F42" w:rsidP="000A5F42">
      <w:pPr>
        <w:pStyle w:val="NoSpacing"/>
        <w:rPr>
          <w:rStyle w:val="Strong"/>
          <w:rFonts w:cstheme="minorHAnsi"/>
          <w:sz w:val="20"/>
          <w:szCs w:val="18"/>
        </w:rPr>
      </w:pPr>
    </w:p>
    <w:p w14:paraId="78B05524" w14:textId="4F24DE7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FBF3593" w14:textId="77777777" w:rsidR="000A5F42" w:rsidRPr="000606CC" w:rsidRDefault="000A5F42" w:rsidP="000A5F42">
      <w:pPr>
        <w:pStyle w:val="NoSpacing"/>
        <w:rPr>
          <w:rStyle w:val="Strong"/>
          <w:rFonts w:cstheme="minorHAnsi"/>
          <w:sz w:val="20"/>
          <w:szCs w:val="18"/>
        </w:rPr>
      </w:pPr>
    </w:p>
    <w:p w14:paraId="057706AC" w14:textId="77D68D4B"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247A5CA" w14:textId="438EE42B"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51AFFDCA" w14:textId="77777777" w:rsidR="000A5F42" w:rsidRPr="000606CC" w:rsidRDefault="000A5F42" w:rsidP="000A5F42">
      <w:pPr>
        <w:pStyle w:val="NoSpacing"/>
        <w:pBdr>
          <w:bottom w:val="single" w:sz="6" w:space="1" w:color="auto"/>
        </w:pBdr>
        <w:rPr>
          <w:rStyle w:val="Strong"/>
          <w:rFonts w:cstheme="minorHAnsi"/>
          <w:sz w:val="12"/>
          <w:szCs w:val="18"/>
        </w:rPr>
      </w:pPr>
    </w:p>
    <w:p w14:paraId="67A80C31" w14:textId="77777777" w:rsidR="000A5F42" w:rsidRPr="000606CC" w:rsidRDefault="000A5F42" w:rsidP="000A5F42">
      <w:pPr>
        <w:pStyle w:val="NoSpacing"/>
        <w:rPr>
          <w:rFonts w:cstheme="minorHAnsi"/>
          <w:sz w:val="20"/>
          <w:szCs w:val="18"/>
        </w:rPr>
      </w:pPr>
    </w:p>
    <w:p w14:paraId="34E89D87"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5AF002D5" w14:textId="77777777" w:rsidR="000A5F42" w:rsidRPr="000606CC" w:rsidRDefault="000A5F42" w:rsidP="000A5F42">
      <w:pPr>
        <w:pStyle w:val="NoSpacing"/>
        <w:rPr>
          <w:rFonts w:cstheme="minorHAnsi"/>
          <w:sz w:val="20"/>
          <w:szCs w:val="18"/>
        </w:rPr>
      </w:pPr>
    </w:p>
    <w:p w14:paraId="44A98776"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36BE8AC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663EA5">
        <w:rPr>
          <w:rFonts w:cstheme="minorHAnsi"/>
          <w:sz w:val="20"/>
          <w:szCs w:val="18"/>
        </w:rPr>
        <w:t>2</w:t>
      </w:r>
      <w:r w:rsidRPr="000606CC">
        <w:rPr>
          <w:rFonts w:cstheme="minorHAnsi"/>
          <w:sz w:val="20"/>
          <w:szCs w:val="18"/>
        </w:rPr>
        <w:t xml:space="preserve"> Commonwealth of Australia as represented by the Department of Health</w:t>
      </w:r>
    </w:p>
    <w:p w14:paraId="46DF47D1" w14:textId="28867282"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7ED2EDFF" w14:textId="77777777" w:rsidR="000A5F42" w:rsidRPr="000606CC" w:rsidRDefault="000A5F42" w:rsidP="000A5F42">
      <w:pPr>
        <w:pStyle w:val="NoSpacing"/>
        <w:rPr>
          <w:rFonts w:cstheme="minorHAnsi"/>
          <w:sz w:val="20"/>
          <w:szCs w:val="18"/>
        </w:rPr>
      </w:pPr>
    </w:p>
    <w:p w14:paraId="7D013E0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3B49BA2" w14:textId="28781D5C"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32C365A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0D1F7C4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0BF07E8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431B6E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241F9C2" w14:textId="77777777" w:rsidR="000A5F42" w:rsidRPr="000606CC" w:rsidRDefault="000A5F42" w:rsidP="000A5F42">
      <w:pPr>
        <w:pStyle w:val="NoSpacing"/>
        <w:rPr>
          <w:rStyle w:val="Strong"/>
          <w:rFonts w:cstheme="minorHAnsi"/>
          <w:sz w:val="20"/>
          <w:szCs w:val="18"/>
        </w:rPr>
      </w:pPr>
    </w:p>
    <w:p w14:paraId="58175267"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1C12BD6" w14:textId="77777777" w:rsidR="000A5F42" w:rsidRPr="000606CC" w:rsidRDefault="000A5F42" w:rsidP="000A5F42">
      <w:pPr>
        <w:pStyle w:val="NoSpacing"/>
        <w:rPr>
          <w:rStyle w:val="Strong"/>
          <w:rFonts w:cstheme="minorHAnsi"/>
          <w:sz w:val="20"/>
          <w:szCs w:val="18"/>
        </w:rPr>
      </w:pPr>
    </w:p>
    <w:p w14:paraId="3ABB723B" w14:textId="3D78A3F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Department of Health,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41A11D5" w14:textId="77777777" w:rsidR="000A5F42" w:rsidRPr="000606CC" w:rsidRDefault="000A5F42" w:rsidP="000A5F42">
      <w:pPr>
        <w:pStyle w:val="NoSpacing"/>
        <w:rPr>
          <w:rStyle w:val="URI"/>
          <w:rFonts w:cstheme="minorHAnsi"/>
          <w:sz w:val="20"/>
          <w:szCs w:val="18"/>
        </w:rPr>
      </w:pPr>
    </w:p>
    <w:p w14:paraId="372AEE66" w14:textId="6D28CE9B"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p w14:paraId="0508869D" w14:textId="77777777" w:rsidR="001B37B8" w:rsidRPr="00E92237" w:rsidRDefault="001B37B8" w:rsidP="001B37B8">
      <w:pPr>
        <w:rPr>
          <w:rFonts w:cs="Myriad Pro"/>
          <w:color w:val="211D1E"/>
          <w:sz w:val="20"/>
          <w:szCs w:val="20"/>
        </w:rPr>
      </w:pPr>
    </w:p>
    <w:sectPr w:rsidR="001B37B8" w:rsidRPr="00E92237" w:rsidSect="002B75A9">
      <w:headerReference w:type="default" r:id="rId22"/>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61DC7" w14:textId="77777777" w:rsidR="008603FB" w:rsidRDefault="008603FB" w:rsidP="00E54DBA">
      <w:r>
        <w:separator/>
      </w:r>
    </w:p>
    <w:p w14:paraId="4B311091" w14:textId="77777777" w:rsidR="008603FB" w:rsidRDefault="008603FB"/>
    <w:p w14:paraId="34556A23" w14:textId="77777777" w:rsidR="008603FB" w:rsidRDefault="008603FB" w:rsidP="008714B0"/>
  </w:endnote>
  <w:endnote w:type="continuationSeparator" w:id="0">
    <w:p w14:paraId="5932F250" w14:textId="77777777" w:rsidR="008603FB" w:rsidRDefault="008603FB" w:rsidP="00E54DBA">
      <w:r>
        <w:continuationSeparator/>
      </w:r>
    </w:p>
    <w:p w14:paraId="1286D164" w14:textId="77777777" w:rsidR="008603FB" w:rsidRDefault="008603FB"/>
    <w:p w14:paraId="591B9323" w14:textId="77777777" w:rsidR="008603FB" w:rsidRDefault="008603F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alibr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9AE46" w14:textId="58AFE12A" w:rsidR="008603FB" w:rsidRPr="0042435E" w:rsidRDefault="008603FB"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1042D7">
      <w:rPr>
        <w:i/>
        <w:sz w:val="18"/>
      </w:rPr>
      <w:t>Commun</w:t>
    </w:r>
    <w:proofErr w:type="spellEnd"/>
    <w:r w:rsidRPr="001042D7">
      <w:rPr>
        <w:i/>
        <w:sz w:val="18"/>
      </w:rPr>
      <w:t xml:space="preserve"> Dis </w:t>
    </w:r>
    <w:proofErr w:type="spellStart"/>
    <w:r w:rsidRPr="001042D7">
      <w:rPr>
        <w:i/>
        <w:sz w:val="18"/>
      </w:rPr>
      <w:t>Intell</w:t>
    </w:r>
    <w:proofErr w:type="spellEnd"/>
    <w:r w:rsidRPr="001042D7">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547E42">
      <w:rPr>
        <w:sz w:val="18"/>
      </w:rPr>
      <w:t>https://doi.org/10.33321/cdi.2022.46.15</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547E42">
      <w:rPr>
        <w:sz w:val="18"/>
      </w:rPr>
      <w:t>19/5/2022</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DE483" w14:textId="3F0C2445" w:rsidR="008603FB" w:rsidRPr="00BB5378" w:rsidRDefault="008603FB"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1042D7">
      <w:rPr>
        <w:i/>
        <w:sz w:val="18"/>
      </w:rPr>
      <w:t>Commun</w:t>
    </w:r>
    <w:proofErr w:type="spellEnd"/>
    <w:r w:rsidRPr="001042D7">
      <w:rPr>
        <w:i/>
        <w:sz w:val="18"/>
      </w:rPr>
      <w:t xml:space="preserve"> Dis </w:t>
    </w:r>
    <w:proofErr w:type="spellStart"/>
    <w:r w:rsidRPr="001042D7">
      <w:rPr>
        <w:i/>
        <w:sz w:val="18"/>
      </w:rPr>
      <w:t>Intell</w:t>
    </w:r>
    <w:proofErr w:type="spellEnd"/>
    <w:r w:rsidRPr="001042D7">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547E42">
      <w:rPr>
        <w:sz w:val="18"/>
      </w:rPr>
      <w:t>https://doi.org/10.33321/cdi.2022.46.15</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547E42">
      <w:rPr>
        <w:sz w:val="18"/>
      </w:rPr>
      <w:t>19/5/2022</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3BC5B" w14:textId="77777777" w:rsidR="008603FB" w:rsidRPr="00B91FB5" w:rsidRDefault="008603FB" w:rsidP="00B91FB5">
      <w:pPr>
        <w:spacing w:after="0" w:line="240" w:lineRule="auto"/>
        <w:rPr>
          <w:sz w:val="18"/>
          <w:szCs w:val="18"/>
        </w:rPr>
      </w:pPr>
      <w:r w:rsidRPr="00B91FB5">
        <w:rPr>
          <w:sz w:val="18"/>
          <w:szCs w:val="18"/>
        </w:rPr>
        <w:separator/>
      </w:r>
    </w:p>
  </w:footnote>
  <w:footnote w:type="continuationSeparator" w:id="0">
    <w:p w14:paraId="67AFFE9E" w14:textId="77777777" w:rsidR="008603FB" w:rsidRDefault="008603FB" w:rsidP="00E54DBA">
      <w:r>
        <w:continuationSeparator/>
      </w:r>
    </w:p>
  </w:footnote>
  <w:footnote w:type="continuationNotice" w:id="1">
    <w:p w14:paraId="4115E0EC" w14:textId="77777777" w:rsidR="008603FB" w:rsidRPr="00224EFF" w:rsidRDefault="008603FB"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D64B9" w14:textId="3735B5B7" w:rsidR="008603FB" w:rsidRPr="00A153B6" w:rsidRDefault="008676CC"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8603FB">
          <w:t>Original article</w:t>
        </w:r>
      </w:sdtContent>
    </w:sdt>
    <w:r w:rsidR="008603FB">
      <w:ptab w:relativeTo="margin" w:alignment="right" w:leader="none"/>
    </w:r>
    <w:r w:rsidR="008603FB"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ACFF3" w14:textId="77777777" w:rsidR="008603FB" w:rsidRPr="000A5F42" w:rsidRDefault="008603FB" w:rsidP="000A5F42">
    <w:pPr>
      <w:pStyle w:val="Header"/>
      <w:jc w:val="center"/>
      <w:rPr>
        <w:b/>
      </w:rPr>
    </w:pPr>
    <w:r w:rsidRPr="00E810C5">
      <w:rPr>
        <w:rFonts w:cs="Myriad Pro"/>
        <w:noProof/>
        <w:color w:val="211D1E"/>
        <w:sz w:val="16"/>
      </w:rPr>
      <w:drawing>
        <wp:inline distT="0" distB="0" distL="0" distR="0" wp14:anchorId="4B4AF01A" wp14:editId="14E9FCC6">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211F9"/>
    <w:multiLevelType w:val="hybridMultilevel"/>
    <w:tmpl w:val="4A46D8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CB45E5"/>
    <w:multiLevelType w:val="multilevel"/>
    <w:tmpl w:val="6CA68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427553"/>
    <w:multiLevelType w:val="hybridMultilevel"/>
    <w:tmpl w:val="82A0D5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03367E"/>
    <w:multiLevelType w:val="multilevel"/>
    <w:tmpl w:val="56A2E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4160EA"/>
    <w:multiLevelType w:val="hybridMultilevel"/>
    <w:tmpl w:val="9BC8D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256A25"/>
    <w:multiLevelType w:val="hybridMultilevel"/>
    <w:tmpl w:val="A77A93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9"/>
  </w:num>
  <w:num w:numId="6">
    <w:abstractNumId w:val="10"/>
  </w:num>
  <w:num w:numId="7">
    <w:abstractNumId w:val="7"/>
  </w:num>
  <w:num w:numId="8">
    <w:abstractNumId w:val="3"/>
  </w:num>
  <w:num w:numId="9">
    <w:abstractNumId w:val="11"/>
  </w:num>
  <w:num w:numId="10">
    <w:abstractNumId w:val="8"/>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noPunctuationKerning/>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D5"/>
    <w:rsid w:val="00000B5B"/>
    <w:rsid w:val="00001611"/>
    <w:rsid w:val="000104A8"/>
    <w:rsid w:val="0001246E"/>
    <w:rsid w:val="000124B1"/>
    <w:rsid w:val="00016FE6"/>
    <w:rsid w:val="00031064"/>
    <w:rsid w:val="00031692"/>
    <w:rsid w:val="00032531"/>
    <w:rsid w:val="000325A0"/>
    <w:rsid w:val="0004093E"/>
    <w:rsid w:val="000471BF"/>
    <w:rsid w:val="00047B68"/>
    <w:rsid w:val="00052600"/>
    <w:rsid w:val="0005643C"/>
    <w:rsid w:val="0006264A"/>
    <w:rsid w:val="00063A70"/>
    <w:rsid w:val="00073D77"/>
    <w:rsid w:val="00081655"/>
    <w:rsid w:val="000864E0"/>
    <w:rsid w:val="000969B3"/>
    <w:rsid w:val="000A5F42"/>
    <w:rsid w:val="000D4B4D"/>
    <w:rsid w:val="000F3A27"/>
    <w:rsid w:val="001042D7"/>
    <w:rsid w:val="00113D58"/>
    <w:rsid w:val="001200CB"/>
    <w:rsid w:val="00125873"/>
    <w:rsid w:val="001378A3"/>
    <w:rsid w:val="00155582"/>
    <w:rsid w:val="00161590"/>
    <w:rsid w:val="00171CC0"/>
    <w:rsid w:val="00173CDC"/>
    <w:rsid w:val="00175494"/>
    <w:rsid w:val="00175629"/>
    <w:rsid w:val="001830EC"/>
    <w:rsid w:val="00183534"/>
    <w:rsid w:val="001A0549"/>
    <w:rsid w:val="001A4A96"/>
    <w:rsid w:val="001A5D05"/>
    <w:rsid w:val="001A796C"/>
    <w:rsid w:val="001B2614"/>
    <w:rsid w:val="001B2ACF"/>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49E9"/>
    <w:rsid w:val="002A569F"/>
    <w:rsid w:val="002A7066"/>
    <w:rsid w:val="002B001E"/>
    <w:rsid w:val="002B09B7"/>
    <w:rsid w:val="002B75A9"/>
    <w:rsid w:val="002C21B0"/>
    <w:rsid w:val="002D09F9"/>
    <w:rsid w:val="002E2FB3"/>
    <w:rsid w:val="002F327B"/>
    <w:rsid w:val="00301626"/>
    <w:rsid w:val="003059EC"/>
    <w:rsid w:val="00316CCD"/>
    <w:rsid w:val="00324F7E"/>
    <w:rsid w:val="003323BC"/>
    <w:rsid w:val="00346D42"/>
    <w:rsid w:val="00346E11"/>
    <w:rsid w:val="003601C0"/>
    <w:rsid w:val="003635F5"/>
    <w:rsid w:val="00372A88"/>
    <w:rsid w:val="0037437E"/>
    <w:rsid w:val="00381A0F"/>
    <w:rsid w:val="003A1B3A"/>
    <w:rsid w:val="003A40F5"/>
    <w:rsid w:val="003B5B8C"/>
    <w:rsid w:val="003B5DE1"/>
    <w:rsid w:val="003D79B1"/>
    <w:rsid w:val="003E74EE"/>
    <w:rsid w:val="003F0552"/>
    <w:rsid w:val="003F3890"/>
    <w:rsid w:val="003F3BC2"/>
    <w:rsid w:val="00401ED1"/>
    <w:rsid w:val="0040224C"/>
    <w:rsid w:val="00413EE1"/>
    <w:rsid w:val="004164BB"/>
    <w:rsid w:val="0042000E"/>
    <w:rsid w:val="00421ECE"/>
    <w:rsid w:val="00422FEB"/>
    <w:rsid w:val="0042435E"/>
    <w:rsid w:val="004315F5"/>
    <w:rsid w:val="00433456"/>
    <w:rsid w:val="00433DFA"/>
    <w:rsid w:val="00435D67"/>
    <w:rsid w:val="00442B94"/>
    <w:rsid w:val="00456EC2"/>
    <w:rsid w:val="00464A58"/>
    <w:rsid w:val="00473D2D"/>
    <w:rsid w:val="004A2125"/>
    <w:rsid w:val="004A38F6"/>
    <w:rsid w:val="004B4EB6"/>
    <w:rsid w:val="004C083C"/>
    <w:rsid w:val="004C247C"/>
    <w:rsid w:val="004C67C6"/>
    <w:rsid w:val="004D29DE"/>
    <w:rsid w:val="004F22B9"/>
    <w:rsid w:val="00500C54"/>
    <w:rsid w:val="00510EAC"/>
    <w:rsid w:val="00542A57"/>
    <w:rsid w:val="00547E42"/>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07F58"/>
    <w:rsid w:val="00811708"/>
    <w:rsid w:val="00816B90"/>
    <w:rsid w:val="00817799"/>
    <w:rsid w:val="00822F5F"/>
    <w:rsid w:val="00824FD3"/>
    <w:rsid w:val="00826589"/>
    <w:rsid w:val="00834BCC"/>
    <w:rsid w:val="00850D54"/>
    <w:rsid w:val="008603FB"/>
    <w:rsid w:val="008714B0"/>
    <w:rsid w:val="00876331"/>
    <w:rsid w:val="00880726"/>
    <w:rsid w:val="008A3544"/>
    <w:rsid w:val="008B48B8"/>
    <w:rsid w:val="008B5348"/>
    <w:rsid w:val="008B58F8"/>
    <w:rsid w:val="008C0712"/>
    <w:rsid w:val="008C132E"/>
    <w:rsid w:val="008C4520"/>
    <w:rsid w:val="008C59A4"/>
    <w:rsid w:val="008C5F09"/>
    <w:rsid w:val="008D470F"/>
    <w:rsid w:val="008E1F8F"/>
    <w:rsid w:val="008E2BD2"/>
    <w:rsid w:val="008E4768"/>
    <w:rsid w:val="008E7454"/>
    <w:rsid w:val="008E761E"/>
    <w:rsid w:val="008F77B3"/>
    <w:rsid w:val="009008F5"/>
    <w:rsid w:val="00904CC1"/>
    <w:rsid w:val="009066AF"/>
    <w:rsid w:val="00912050"/>
    <w:rsid w:val="00912E48"/>
    <w:rsid w:val="0092746F"/>
    <w:rsid w:val="00935DC9"/>
    <w:rsid w:val="009446C0"/>
    <w:rsid w:val="00951A73"/>
    <w:rsid w:val="0096082E"/>
    <w:rsid w:val="00961347"/>
    <w:rsid w:val="00967410"/>
    <w:rsid w:val="00967D73"/>
    <w:rsid w:val="0098119A"/>
    <w:rsid w:val="00984AAF"/>
    <w:rsid w:val="00991B09"/>
    <w:rsid w:val="00993CB2"/>
    <w:rsid w:val="009A5166"/>
    <w:rsid w:val="009A76F8"/>
    <w:rsid w:val="009B2B83"/>
    <w:rsid w:val="009B37B9"/>
    <w:rsid w:val="009B61D4"/>
    <w:rsid w:val="009C49F8"/>
    <w:rsid w:val="009D77CC"/>
    <w:rsid w:val="009E2423"/>
    <w:rsid w:val="009E55D7"/>
    <w:rsid w:val="009F4150"/>
    <w:rsid w:val="009F5665"/>
    <w:rsid w:val="009F5DAD"/>
    <w:rsid w:val="009F74BB"/>
    <w:rsid w:val="00A01BCA"/>
    <w:rsid w:val="00A06C78"/>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3DCF"/>
    <w:rsid w:val="00AE4452"/>
    <w:rsid w:val="00AE5D29"/>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91FB5"/>
    <w:rsid w:val="00BA4697"/>
    <w:rsid w:val="00BB5378"/>
    <w:rsid w:val="00BC0BD3"/>
    <w:rsid w:val="00BC2C53"/>
    <w:rsid w:val="00BD0107"/>
    <w:rsid w:val="00BE0C33"/>
    <w:rsid w:val="00BE262C"/>
    <w:rsid w:val="00BE4C25"/>
    <w:rsid w:val="00BE6C3D"/>
    <w:rsid w:val="00C07606"/>
    <w:rsid w:val="00C12542"/>
    <w:rsid w:val="00C24725"/>
    <w:rsid w:val="00C30BA9"/>
    <w:rsid w:val="00C3541E"/>
    <w:rsid w:val="00C36A8F"/>
    <w:rsid w:val="00C42834"/>
    <w:rsid w:val="00C42FFA"/>
    <w:rsid w:val="00C507D8"/>
    <w:rsid w:val="00C62EAC"/>
    <w:rsid w:val="00C63F9F"/>
    <w:rsid w:val="00C72284"/>
    <w:rsid w:val="00C7723C"/>
    <w:rsid w:val="00C836D5"/>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76AC0"/>
    <w:rsid w:val="00D82D7B"/>
    <w:rsid w:val="00D92B14"/>
    <w:rsid w:val="00DA0E23"/>
    <w:rsid w:val="00DA6E56"/>
    <w:rsid w:val="00DC24E5"/>
    <w:rsid w:val="00DC6705"/>
    <w:rsid w:val="00DD2DE8"/>
    <w:rsid w:val="00DE38B4"/>
    <w:rsid w:val="00DE5D02"/>
    <w:rsid w:val="00E005A9"/>
    <w:rsid w:val="00E1166E"/>
    <w:rsid w:val="00E24DC0"/>
    <w:rsid w:val="00E2519C"/>
    <w:rsid w:val="00E25F2A"/>
    <w:rsid w:val="00E41455"/>
    <w:rsid w:val="00E42AD2"/>
    <w:rsid w:val="00E47B6F"/>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523C682"/>
  <w15:docId w15:val="{5EEE2D72-8737-4E0C-A264-EE3120BA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5</TotalTime>
  <Pages>19</Pages>
  <Words>6747</Words>
  <Characters>37662</Characters>
  <Application>Microsoft Office Word</Application>
  <DocSecurity>0</DocSecurity>
  <Lines>3138</Lines>
  <Paragraphs>2114</Paragraphs>
  <ScaleCrop>false</ScaleCrop>
  <HeadingPairs>
    <vt:vector size="2" baseType="variant">
      <vt:variant>
        <vt:lpstr>Title</vt:lpstr>
      </vt:variant>
      <vt:variant>
        <vt:i4>1</vt:i4>
      </vt:variant>
    </vt:vector>
  </HeadingPairs>
  <TitlesOfParts>
    <vt:vector size="1" baseType="lpstr">
      <vt:lpstr>Communicable Diseases Intelligence 2021 - SMS reminders to improve the uptake and timeliness of the primary immunisation series in infants: a multi-centre randomised controlled trial</vt:lpstr>
    </vt:vector>
  </TitlesOfParts>
  <Company>Australian Government, Department of Health</Company>
  <LinksUpToDate>false</LinksUpToDate>
  <CharactersWithSpaces>42295</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SMS reminders to improve the uptake and timeliness of the primary immunisation series in infants: a multi-centre randomised controlled trial</dc:title>
  <dc:subject>This paper reports the findings of a randomised controlled trial that aimed to determine if sms reminders with an educational message and, if necessary, accompanied by parent/carer support were more effective than simple SMS messages or no intervention at all in improving immunisation timeliness in infancy. The study included Indigenous and non-Indigenous infants in south-east Queensland followed to 7 months of age. The study found the sms reminders with the educational message were more effective at improving timeliness at 2 and 4 months of age however active support was required to achieve higher coverage at 6 months of age.</dc:subject>
  <dc:creator>Kerry-Ann F O’Grady; Michelle Kaus; Lee Jones; Gary Boddy; Sheree Rablin; Jack Roberts; Daniel Arnold; Sarah Parfitt; Renee Johnston; Kerry K Hall; Sallyanne Le Gros-Wilson; Kaley Butten; Maree Toombs; Stephen B Lambert</dc:creator>
  <cp:keywords>immunisation; timeliness; children; short messaging service; randomised controlled trial</cp:keywords>
  <dc:description>© Commonwealth of Australia CC BY-NC-ND ISSN: 2209-6051 (Online)</dc:description>
  <cp:lastModifiedBy>YOUSEFI, Kasra</cp:lastModifiedBy>
  <cp:revision>5</cp:revision>
  <cp:lastPrinted>2018-05-10T02:19:00Z</cp:lastPrinted>
  <dcterms:created xsi:type="dcterms:W3CDTF">2022-02-08T05:42:00Z</dcterms:created>
  <dcterms:modified xsi:type="dcterms:W3CDTF">2022-05-09T06:17:00Z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19/5/2022</vt:lpwstr>
  </property>
  <property fmtid="{D5CDD505-2E9C-101B-9397-08002B2CF9AE}" pid="5" name="DOI">
    <vt:lpwstr>https://doi.org/10.33321/cdi.2022.46.15</vt:lpwstr>
  </property>
</Properties>
</file>