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4BAC8" w14:textId="7B4CADEC" w:rsidR="00C22D7B" w:rsidRPr="00C22D7B" w:rsidRDefault="00C22D7B" w:rsidP="00C22D7B">
      <w:pPr>
        <w:pStyle w:val="CDIfootnotes"/>
        <w:ind w:left="0" w:firstLine="0"/>
      </w:pPr>
      <w:r w:rsidRPr="00C22D7B">
        <w:rPr>
          <w:highlight w:val="yellow"/>
        </w:rPr>
        <w:t>(Figure 4 of this article is in error due to truncation of one data series. Please refer to this report’s Erratum (</w:t>
      </w:r>
      <w:hyperlink r:id="rId9" w:history="1">
        <w:r w:rsidRPr="00C22D7B">
          <w:rPr>
            <w:rStyle w:val="Hyperlink"/>
            <w:highlight w:val="yellow"/>
          </w:rPr>
          <w:t>https://doi.org/10.33321/cdi.2022.46.50</w:t>
        </w:r>
      </w:hyperlink>
      <w:r w:rsidRPr="00C22D7B">
        <w:rPr>
          <w:highlight w:val="yellow"/>
        </w:rPr>
        <w:t>) to view the corrected Figure 4.)</w:t>
      </w:r>
    </w:p>
    <w:p w14:paraId="5016CA40" w14:textId="549F8383" w:rsidR="005B4B9F" w:rsidRPr="00C22D7B" w:rsidRDefault="005B4B9F" w:rsidP="005B4B9F">
      <w:pPr>
        <w:pStyle w:val="Title"/>
        <w:rPr>
          <w:rFonts w:eastAsia="Times New Roman"/>
          <w:sz w:val="38"/>
          <w:szCs w:val="38"/>
        </w:rPr>
      </w:pPr>
      <w:r w:rsidRPr="00C22D7B">
        <w:rPr>
          <w:rFonts w:eastAsia="Times New Roman"/>
          <w:sz w:val="38"/>
          <w:szCs w:val="38"/>
        </w:rPr>
        <w:t>Utilisation of antimicrobials used to treat bacterial pneumonia in principal referral hospitals during the COVID-19 pandemic, Australia, 2020</w:t>
      </w:r>
    </w:p>
    <w:p w14:paraId="1559DDCF" w14:textId="77777777" w:rsidR="005B4B9F" w:rsidRDefault="005B4B9F" w:rsidP="005B4B9F">
      <w:r>
        <w:t>Erin Connor, Kavita Rasiah, Nadine Hillock</w:t>
      </w:r>
    </w:p>
    <w:p w14:paraId="339EF889" w14:textId="77777777" w:rsidR="005B4B9F" w:rsidRPr="005B4B9F" w:rsidRDefault="005B4B9F" w:rsidP="005B4B9F">
      <w:pPr>
        <w:pStyle w:val="Heading1"/>
      </w:pPr>
      <w:r w:rsidRPr="005B4B9F">
        <w:t>Abstract</w:t>
      </w:r>
    </w:p>
    <w:p w14:paraId="74B16B4B" w14:textId="77777777" w:rsidR="005B4B9F" w:rsidRPr="005B4B9F" w:rsidRDefault="005B4B9F" w:rsidP="005B4B9F">
      <w:pPr>
        <w:pStyle w:val="Heading2"/>
      </w:pPr>
      <w:r w:rsidRPr="005B4B9F">
        <w:t>Background</w:t>
      </w:r>
    </w:p>
    <w:p w14:paraId="556E200B" w14:textId="77777777" w:rsidR="005B4B9F" w:rsidRDefault="005B4B9F" w:rsidP="005B4B9F">
      <w:r>
        <w:t>Concerns have been raised internationally, regarding possible increased antimicrobial use during the COVID-19 pandemic and the potential impact on antimicrobial resistance. This analysis aimed to investigate hospital usage rates of broad-spectrum antibacterial agents used to treat community-acquired pneumonia (CAP) and/or hospital-acquired pneumonia (HAP) in Australian principal referral hospitals during 2020. Secondly, usage rates in Victoria were compared with equivalent national rates.</w:t>
      </w:r>
    </w:p>
    <w:p w14:paraId="7CD03350" w14:textId="77777777" w:rsidR="005B4B9F" w:rsidRPr="005B4B9F" w:rsidRDefault="005B4B9F" w:rsidP="005B4B9F">
      <w:pPr>
        <w:pStyle w:val="Heading2"/>
      </w:pPr>
      <w:r w:rsidRPr="005B4B9F">
        <w:t>Methods</w:t>
      </w:r>
    </w:p>
    <w:p w14:paraId="5A4D84CA" w14:textId="77777777" w:rsidR="005B4B9F" w:rsidRDefault="005B4B9F" w:rsidP="005B4B9F">
      <w:r>
        <w:t>Monthly antimicrobial dispensing data for all 31 Australian principal referral hospitals were analysed for the period January 2019 to December 2020. Grams of antimicrobial agents used were converted into the World Health Organization (WHO) assigned metric ‘Defined Daily Dose’ (DDD). Using the hospital activity metric Occupied Bed Days (OBD), a standardised usage density rate was calculated (in units of DDD / 1,000 OBD).</w:t>
      </w:r>
    </w:p>
    <w:p w14:paraId="6AEC159E" w14:textId="77777777" w:rsidR="005B4B9F" w:rsidRPr="005B4B9F" w:rsidRDefault="005B4B9F" w:rsidP="005B4B9F">
      <w:pPr>
        <w:pStyle w:val="Heading2"/>
      </w:pPr>
      <w:r w:rsidRPr="005B4B9F">
        <w:t>Results</w:t>
      </w:r>
    </w:p>
    <w:p w14:paraId="7E063F3D" w14:textId="77777777" w:rsidR="005B4B9F" w:rsidRDefault="005B4B9F" w:rsidP="005B4B9F">
      <w:r>
        <w:t xml:space="preserve">The typical expected seasonal trend in aggregate usage rates, for </w:t>
      </w:r>
      <w:proofErr w:type="spellStart"/>
      <w:r>
        <w:t>antibacterials</w:t>
      </w:r>
      <w:proofErr w:type="spellEnd"/>
      <w:r>
        <w:t xml:space="preserve"> used in the treatment of CAP, was not evident in 2020. Overall usage of doxycycline, azithromycin, </w:t>
      </w:r>
      <w:proofErr w:type="gramStart"/>
      <w:r>
        <w:t>amoxicillin</w:t>
      </w:r>
      <w:proofErr w:type="gramEnd"/>
      <w:r>
        <w:t xml:space="preserve"> and cefuroxime decreased in principal referral hospitals compared to 2019. Aggregated monthly usage rates for broad-spectrum agents used to treat HAP increased nationally, on average, by 5.0% in 2020 compared to 2019. Victoria’s second COVID-19 wave (July–October 2020) coincided with higher usage rates of </w:t>
      </w:r>
      <w:proofErr w:type="spellStart"/>
      <w:r>
        <w:t>antibacterials</w:t>
      </w:r>
      <w:proofErr w:type="spellEnd"/>
      <w:r>
        <w:t xml:space="preserve"> used for CAP.</w:t>
      </w:r>
    </w:p>
    <w:p w14:paraId="50B4F647" w14:textId="77777777" w:rsidR="005B4B9F" w:rsidRPr="005B4B9F" w:rsidRDefault="005B4B9F" w:rsidP="005B4B9F">
      <w:pPr>
        <w:pStyle w:val="Heading2"/>
      </w:pPr>
      <w:r w:rsidRPr="005B4B9F">
        <w:t>Conclusion</w:t>
      </w:r>
    </w:p>
    <w:p w14:paraId="4958EA05" w14:textId="77777777" w:rsidR="005B4B9F" w:rsidRDefault="005B4B9F" w:rsidP="005B4B9F">
      <w:r>
        <w:t xml:space="preserve">Public health interventions introduced to limit the spread of SARS-CoV-2 infections may have had unintended benefits on other respiratory infection rates. The drop in hospital usage of </w:t>
      </w:r>
      <w:proofErr w:type="spellStart"/>
      <w:r>
        <w:t>antibacterials</w:t>
      </w:r>
      <w:proofErr w:type="spellEnd"/>
      <w:r>
        <w:t xml:space="preserve"> typically used to treat CAP suggests that the number of cases of pneumonia acquired in the community requiring hospitalisation was markedly reduced in 2020.</w:t>
      </w:r>
    </w:p>
    <w:p w14:paraId="73168EB1" w14:textId="77777777" w:rsidR="005B4B9F" w:rsidRDefault="005B4B9F" w:rsidP="005B4B9F">
      <w:r>
        <w:t>Keywords: AMS, surveillance, pneumonia, COVID-19, antimicrobial stewardship, antimicrobial resistance</w:t>
      </w:r>
    </w:p>
    <w:p w14:paraId="436D0414" w14:textId="77777777" w:rsidR="005B4B9F" w:rsidRPr="005B4B9F" w:rsidRDefault="005B4B9F" w:rsidP="005B4B9F">
      <w:pPr>
        <w:pStyle w:val="Heading1"/>
      </w:pPr>
      <w:r w:rsidRPr="005B4B9F">
        <w:t>Introduction</w:t>
      </w:r>
    </w:p>
    <w:p w14:paraId="48423CC5" w14:textId="449CD1AE" w:rsidR="005B4B9F" w:rsidRDefault="005B4B9F" w:rsidP="005B4B9F">
      <w:r>
        <w:t xml:space="preserve">A number of recently-published studies have reported a high proportion of severe acute respiratory syndrome coronavirus 2 (SARS-CoV-2)-positive patients being administered </w:t>
      </w:r>
      <w:proofErr w:type="spellStart"/>
      <w:r>
        <w:t>antibacterials</w:t>
      </w:r>
      <w:proofErr w:type="spellEnd"/>
      <w:r>
        <w:t xml:space="preserve"> despite low reported rates of bacterial co-infection.</w:t>
      </w:r>
      <w:r>
        <w:rPr>
          <w:vertAlign w:val="superscript"/>
        </w:rPr>
        <w:t>1–3</w:t>
      </w:r>
      <w:r>
        <w:t xml:space="preserve"> These reports have increased global concern that the coronavirus disease 2019 (COVID-19) pandemic may adversely affect ongoing efforts to reduce global antimicrobial consumption.</w:t>
      </w:r>
      <w:r>
        <w:rPr>
          <w:vertAlign w:val="superscript"/>
        </w:rPr>
        <w:t>4</w:t>
      </w:r>
      <w:r>
        <w:t xml:space="preserve"> Antibacterial use may be initiated as part of empiric therapy for bacterial infections while awaiting viral swab results, due to symptomatic similarities in patients presenting with COVID-19-compatible illnesses. Bacterial identification is also challenging both from the perspective of obtaining sputum and identifying a bacterial pathogen. Patients diagnosed with COVID-19 may be at increased risk of concomitant bacterial infections requiring antibacterial therapy, particularly associated </w:t>
      </w:r>
      <w:r>
        <w:lastRenderedPageBreak/>
        <w:t>with critical care and mechanical ventilation.</w:t>
      </w:r>
      <w:r>
        <w:rPr>
          <w:vertAlign w:val="superscript"/>
        </w:rPr>
        <w:t>5</w:t>
      </w:r>
      <w:r>
        <w:t xml:space="preserve"> Bacterial co-infection with multi-drug resistant pathogens has been reported in COVID-19 patients in India and other countries where the incidence of COVID-19 is high.</w:t>
      </w:r>
      <w:r>
        <w:rPr>
          <w:vertAlign w:val="superscript"/>
        </w:rPr>
        <w:t>6</w:t>
      </w:r>
      <w:r>
        <w:t xml:space="preserve"> </w:t>
      </w:r>
    </w:p>
    <w:p w14:paraId="302232AD" w14:textId="19FE695E" w:rsidR="005B4B9F" w:rsidRDefault="005B4B9F" w:rsidP="005B4B9F">
      <w:r>
        <w:t xml:space="preserve">Despite international concerns regarding increased antimicrobial use during the COVID-19 pandemic, the recently-published </w:t>
      </w:r>
      <w:r w:rsidRPr="009D6383">
        <w:rPr>
          <w:rStyle w:val="Emphasis"/>
          <w:b w:val="0"/>
          <w:bCs w:val="0"/>
        </w:rPr>
        <w:t>AURA 2021: Fourth Australian report on antimicrobial use and resistance in human health</w:t>
      </w:r>
      <w:r w:rsidR="00384F15" w:rsidRPr="00384F15">
        <w:rPr>
          <w:rStyle w:val="FootnoteReference"/>
          <w:spacing w:val="10"/>
        </w:rPr>
        <w:footnoteReference w:id="2"/>
      </w:r>
      <w:r w:rsidRPr="00384F15">
        <w:t xml:space="preserve"> </w:t>
      </w:r>
      <w:r>
        <w:t>reported a dramatic reduction in community Pharmaceutical Benefit Scheme (PBS) dispensing of antibiotics for upper respiratory tract infections in 2020.</w:t>
      </w:r>
      <w:r>
        <w:rPr>
          <w:vertAlign w:val="superscript"/>
        </w:rPr>
        <w:t>5</w:t>
      </w:r>
      <w:r>
        <w:t xml:space="preserve"> There was a reduction in the number of prescriptions for doxycycline, amoxicillin, amoxicillin-clavulanate, cefalexin and roxithromycin of 21–35% across all states and territories. Although the volume of prescriptions in the community fell during 2020, a high proportion of patients continued to be prescribed antimicrobials for which there is no evidence of benefit, for example acute bronchitis (81.5%) and acute sinusitis (80.1%).</w:t>
      </w:r>
      <w:r>
        <w:rPr>
          <w:vertAlign w:val="superscript"/>
        </w:rPr>
        <w:t>5</w:t>
      </w:r>
      <w:r>
        <w:t xml:space="preserve"> </w:t>
      </w:r>
    </w:p>
    <w:p w14:paraId="2AFED9E9" w14:textId="663FBF5D" w:rsidR="005B4B9F" w:rsidRDefault="005B4B9F" w:rsidP="005B4B9F">
      <w:r>
        <w:t>The objective of this paper is to investigate the impact of the COVID-19 pandemic on the usage rates of broad-spectrum antibacterial agents commonly used to treat community and/or hospital-acquired pneumonia</w:t>
      </w:r>
      <w:r w:rsidR="00384F15">
        <w:rPr>
          <w:rStyle w:val="FootnoteReference"/>
        </w:rPr>
        <w:footnoteReference w:id="3"/>
      </w:r>
      <w:r>
        <w:t xml:space="preserve"> in Australian principal referral hospitals. Larger tertiary hospitals that are classified as principal referral hospitals by the Australian Institute of Health and Welfare (AIHW) </w:t>
      </w:r>
      <w:r>
        <w:rPr>
          <w:vertAlign w:val="superscript"/>
        </w:rPr>
        <w:t>7</w:t>
      </w:r>
      <w:r>
        <w:t xml:space="preserve"> have been the main custodians of care for patients diagnosed with COVID-19 in Australia. A secondary aim was to compare usage rates in the state of Victoria with usage in other Australian principal referral hospitals. Victoria experienced a protracted second wave of COVID-19 cases in the latter half of 2020 while cases elsewhere in Australia were minimal.</w:t>
      </w:r>
    </w:p>
    <w:p w14:paraId="0DFA88EE" w14:textId="77777777" w:rsidR="005B4B9F" w:rsidRPr="005B4B9F" w:rsidRDefault="005B4B9F" w:rsidP="005B4B9F">
      <w:pPr>
        <w:pStyle w:val="Heading1"/>
      </w:pPr>
      <w:r w:rsidRPr="005B4B9F">
        <w:t>Method</w:t>
      </w:r>
    </w:p>
    <w:p w14:paraId="5F63B84C" w14:textId="77777777" w:rsidR="005B4B9F" w:rsidRDefault="005B4B9F" w:rsidP="005B4B9F">
      <w:r>
        <w:t xml:space="preserve">Monthly antibacterial dispensing and distribution data for all 31 Australian principal referral hospitals were collected and analysed for the period January 2019 to December 2020. Antibacterial usage was aggregated into the total number of grams used each month for each individual </w:t>
      </w:r>
      <w:proofErr w:type="gramStart"/>
      <w:r>
        <w:t>antibacterial, and</w:t>
      </w:r>
      <w:proofErr w:type="gramEnd"/>
      <w:r>
        <w:t xml:space="preserve"> converted from total grams into the Defined Daily Dose (DDD) metric assigned by the World Health Organization (WHO). </w:t>
      </w:r>
      <w:r>
        <w:rPr>
          <w:vertAlign w:val="superscript"/>
        </w:rPr>
        <w:t>8</w:t>
      </w:r>
      <w:r>
        <w:t xml:space="preserve"> The DDD values are assigned by the WHO based on “the assumed average maintenance dose per day for the main indication in adults”. </w:t>
      </w:r>
      <w:r>
        <w:rPr>
          <w:vertAlign w:val="superscript"/>
        </w:rPr>
        <w:t>8</w:t>
      </w:r>
      <w:r>
        <w:t xml:space="preserve"> The usage was converted to a standardised usage density rate using occupied bed days (OBDs) as the </w:t>
      </w:r>
      <w:proofErr w:type="gramStart"/>
      <w:r>
        <w:t>denominator, and</w:t>
      </w:r>
      <w:proofErr w:type="gramEnd"/>
      <w:r>
        <w:t xml:space="preserve"> reported as DDDs per 1,000 OBDs. Usage rates for </w:t>
      </w:r>
      <w:proofErr w:type="spellStart"/>
      <w:r>
        <w:t>antibacterials</w:t>
      </w:r>
      <w:proofErr w:type="spellEnd"/>
      <w:r>
        <w:t xml:space="preserve"> commonly included in prescribing guidelines used to treat bacterial pneumonia were compared for principal referral hospitals between 2020 and the corresponding months in 2019.</w:t>
      </w:r>
    </w:p>
    <w:p w14:paraId="0FA23166" w14:textId="77777777" w:rsidR="005B4B9F" w:rsidRDefault="005B4B9F" w:rsidP="005B4B9F">
      <w:r>
        <w:t xml:space="preserve">Data included in this study, routinely collected as part of the National Antimicrobial Usage Surveillance Program (NAUSP), are non-identifiable, aggregated hospital data representing negligible risk. The authors deemed this study exempt from ethical review in accordance with the National Statement. </w:t>
      </w:r>
      <w:r>
        <w:rPr>
          <w:vertAlign w:val="superscript"/>
        </w:rPr>
        <w:t>9</w:t>
      </w:r>
      <w:r>
        <w:t xml:space="preserve"> </w:t>
      </w:r>
    </w:p>
    <w:p w14:paraId="5C4DDE36" w14:textId="77777777" w:rsidR="005B4B9F" w:rsidRPr="005B4B9F" w:rsidRDefault="005B4B9F" w:rsidP="005B4B9F">
      <w:pPr>
        <w:pStyle w:val="Heading1"/>
      </w:pPr>
      <w:r w:rsidRPr="005B4B9F">
        <w:t>Results</w:t>
      </w:r>
    </w:p>
    <w:p w14:paraId="32529463" w14:textId="77777777" w:rsidR="005B4B9F" w:rsidRDefault="005B4B9F" w:rsidP="005B4B9F">
      <w:r>
        <w:t xml:space="preserve">Utilisation rates for </w:t>
      </w:r>
      <w:proofErr w:type="spellStart"/>
      <w:r>
        <w:t>antibacterials</w:t>
      </w:r>
      <w:proofErr w:type="spellEnd"/>
      <w:r>
        <w:t xml:space="preserve"> used to treat community-acquired pneumonia (CAP) typically follow a seasonal trend, with higher usage in the winter months. In 2020, the usual seasonal peak in winter was not apparent. Figure 1 illustrates the usual seasonal trend as observed in principal referral hospitals nationally in 2019 and shows the deviation from the usual trend in 2020, with usage reducing from May 2020. Doxycycline usage rates in 2019 were </w:t>
      </w:r>
      <w:r>
        <w:lastRenderedPageBreak/>
        <w:t xml:space="preserve">77.3, 79.9 and 79.5 DDD / 1,000 OBD in June, </w:t>
      </w:r>
      <w:proofErr w:type="gramStart"/>
      <w:r>
        <w:t>July</w:t>
      </w:r>
      <w:proofErr w:type="gramEnd"/>
      <w:r>
        <w:t xml:space="preserve"> and August respectively. In 2020, rates in these months fell to 55.0 DDD / 1,000 OBD in June 2020 (-28.8%), 56.3 DDD / 1,000 OBD in July 2020 (-29.5%) and 57.3 DDD / 1,000 OBD in August (-28.0%). In the non-critical-care setting, usage of oral amoxicillin and of oral azithromycin for the July to December period fell, on average, by 21.1% and 23.7% respectively between 2019 and 2020. Total acute inpatient use of cefuroxime in principal referral hospitals was 6.4 DDD / 1,000 OBD in June 2020, a decrease of 34.1% from June 2019. Usage rates for cefuroxime for the period July-December were on average 25.9% lower in 2020 compared to the same period in 2019. Combined oral and parenteral moxifloxacin usage in principal referral hospitals averaged 4.3 DDD / 1,000 OBD during July–December 2020, a decrease of 15.6% on the same six months in 2019.</w:t>
      </w:r>
    </w:p>
    <w:p w14:paraId="632D5727" w14:textId="77777777" w:rsidR="008962D3" w:rsidRPr="00D564FF" w:rsidRDefault="008962D3" w:rsidP="008962D3">
      <w:pPr>
        <w:pStyle w:val="CDIFigures"/>
      </w:pPr>
      <w:r w:rsidRPr="00D564FF">
        <w:rPr>
          <w:rStyle w:val="Strong"/>
          <w:b/>
          <w:bCs w:val="0"/>
        </w:rPr>
        <w:t xml:space="preserve">Figure 1: National principal referral total-hospital usage rates for </w:t>
      </w:r>
      <w:proofErr w:type="spellStart"/>
      <w:r w:rsidRPr="00D564FF">
        <w:rPr>
          <w:rStyle w:val="Strong"/>
          <w:b/>
          <w:bCs w:val="0"/>
        </w:rPr>
        <w:t>antibacterials</w:t>
      </w:r>
      <w:proofErr w:type="spellEnd"/>
      <w:r w:rsidRPr="00D564FF">
        <w:rPr>
          <w:rStyle w:val="Strong"/>
          <w:b/>
          <w:bCs w:val="0"/>
        </w:rPr>
        <w:t xml:space="preserve"> used to treat community-acquired pneumonia (oral and parenteral), January 2019 – December 2020</w:t>
      </w:r>
    </w:p>
    <w:p w14:paraId="42ADF560" w14:textId="7E8FA752" w:rsidR="0035059E" w:rsidRPr="00BB3CF9" w:rsidRDefault="008962D3" w:rsidP="005B4B9F">
      <w:pPr>
        <w:rPr>
          <w:rFonts w:eastAsia="Times New Roman"/>
          <w:lang w:val="en-GB"/>
        </w:rPr>
      </w:pPr>
      <w:r>
        <w:rPr>
          <w:rFonts w:eastAsia="Times New Roman"/>
          <w:noProof/>
          <w:lang w:val="en-GB"/>
        </w:rPr>
        <w:drawing>
          <wp:inline distT="0" distB="0" distL="0" distR="0" wp14:anchorId="7B1794DD" wp14:editId="79871D25">
            <wp:extent cx="6618421" cy="3635734"/>
            <wp:effectExtent l="0" t="0" r="0" b="3175"/>
            <wp:docPr id="8" name="Picture 8" descr="This is a stacked bar chart depicting aggregate total-hospital monthly usage rates Australian Principal Referral hospitals. The antibacterial agents displayed are commonly used in the treatment of Community Acquired Pneumonia (CAP). They are: doxycycline, ceftriaxone, amoxicillin, azithromycin, benzylpenicillin, cefuroxime, and moxifloxacin. Both oral and parenteral routes are included. Seasonal trends observed in 2019 are not apparent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stacked bar chart depicting aggregate total-hospital monthly usage rates Australian Principal Referral hospitals. The antibacterial agents displayed are commonly used in the treatment of Community Acquired Pneumonia (CAP). They are: doxycycline, ceftriaxone, amoxicillin, azithromycin, benzylpenicillin, cefuroxime, and moxifloxacin. Both oral and parenteral routes are included. Seasonal trends observed in 2019 are not apparent in 202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077"/>
                    <a:stretch>
                      <a:fillRect/>
                    </a:stretch>
                  </pic:blipFill>
                  <pic:spPr bwMode="auto">
                    <a:xfrm>
                      <a:off x="0" y="0"/>
                      <a:ext cx="6632476" cy="3643455"/>
                    </a:xfrm>
                    <a:prstGeom prst="rect">
                      <a:avLst/>
                    </a:prstGeom>
                    <a:ln>
                      <a:noFill/>
                    </a:ln>
                    <a:extLst>
                      <a:ext uri="{53640926-AAD7-44D8-BBD7-CCE9431645EC}">
                        <a14:shadowObscured xmlns:a14="http://schemas.microsoft.com/office/drawing/2010/main"/>
                      </a:ext>
                    </a:extLst>
                  </pic:spPr>
                </pic:pic>
              </a:graphicData>
            </a:graphic>
          </wp:inline>
        </w:drawing>
      </w:r>
    </w:p>
    <w:p w14:paraId="25135A7B" w14:textId="0E1B26D8" w:rsidR="005B4B9F" w:rsidRDefault="005B4B9F" w:rsidP="005B4B9F">
      <w:r>
        <w:t xml:space="preserve">For broad-spectrum </w:t>
      </w:r>
      <w:proofErr w:type="spellStart"/>
      <w:r>
        <w:t>antibacterials</w:t>
      </w:r>
      <w:proofErr w:type="spellEnd"/>
      <w:r>
        <w:t xml:space="preserve"> used to treat hospital-acquired pneumonia (HAP), there was an overall increase in monthly total acute hospital usage rates (Figure 3a). When aggregating the total-hospital monthly usage of parenteral ceftriaxone, piperacillin-tazobactam, amoxicillin-clavulanate, cefepime, gentamicin and metronidazole, monthly usage in principal referral hospitals nationally was on average 5.0% higher in 2020 than in 2019.</w:t>
      </w:r>
    </w:p>
    <w:p w14:paraId="7282E338" w14:textId="77777777" w:rsidR="005B4B9F" w:rsidRDefault="005B4B9F" w:rsidP="005B4B9F">
      <w:r>
        <w:t xml:space="preserve">Table 1 provides the aggregated annual usage rates for parenteral broad-spectrum </w:t>
      </w:r>
      <w:proofErr w:type="spellStart"/>
      <w:r>
        <w:t>antibacterials</w:t>
      </w:r>
      <w:proofErr w:type="spellEnd"/>
      <w:r>
        <w:t xml:space="preserve"> in all 31 principal referral hospitals for 2019 to 2020 and illustrates the variation in usage rates across the reported periods. There was a decrease in the annual usage rates between 2019 and 2020 for benzylpenicillin, azithromycin, moxifloxacin, metronidazole and piperacillin-tazobactam; however, these changes were not statistically significant. Annual usage of intravenous amoxicillin-clavulanic increased from 18.6 to 23.8 DDD / 1,000 OBD, an increase of 27.8% </w:t>
      </w:r>
      <w:proofErr w:type="gramStart"/>
      <w:r>
        <w:t xml:space="preserve">( </w:t>
      </w:r>
      <w:r w:rsidRPr="009D6383">
        <w:rPr>
          <w:rStyle w:val="Emphasis"/>
          <w:b w:val="0"/>
          <w:bCs w:val="0"/>
        </w:rPr>
        <w:t>p</w:t>
      </w:r>
      <w:proofErr w:type="gramEnd"/>
      <w:r>
        <w:t xml:space="preserve"> = 0.000). The increase in cefepime use was also statistically significant </w:t>
      </w:r>
      <w:proofErr w:type="gramStart"/>
      <w:r>
        <w:t xml:space="preserve">( </w:t>
      </w:r>
      <w:r w:rsidRPr="009D6383">
        <w:rPr>
          <w:rStyle w:val="Emphasis"/>
          <w:b w:val="0"/>
          <w:bCs w:val="0"/>
        </w:rPr>
        <w:t>p</w:t>
      </w:r>
      <w:proofErr w:type="gramEnd"/>
      <w:r>
        <w:t xml:space="preserve"> = 0002). Other </w:t>
      </w:r>
      <w:proofErr w:type="spellStart"/>
      <w:r>
        <w:t>antibacterials</w:t>
      </w:r>
      <w:proofErr w:type="spellEnd"/>
      <w:r>
        <w:t xml:space="preserve"> used for HAP or CAP also increased between 2019 and 2020; however, these changes were not statistically significant (Table 1).</w:t>
      </w:r>
    </w:p>
    <w:p w14:paraId="685147FD" w14:textId="77777777" w:rsidR="00DE56AE" w:rsidRDefault="00DE56AE">
      <w:r>
        <w:br w:type="page"/>
      </w:r>
    </w:p>
    <w:p w14:paraId="114395F2" w14:textId="77777777" w:rsidR="00DE56AE" w:rsidRPr="00D564FF" w:rsidRDefault="00DE56AE" w:rsidP="00DE56AE">
      <w:pPr>
        <w:pStyle w:val="CDIFigures"/>
      </w:pPr>
      <w:r w:rsidRPr="00D564FF">
        <w:rPr>
          <w:rStyle w:val="Strong"/>
          <w:b/>
          <w:bCs w:val="0"/>
        </w:rPr>
        <w:lastRenderedPageBreak/>
        <w:t xml:space="preserve">Table 1: Change in acute hospital usage of parenteral broad-spectrum </w:t>
      </w:r>
      <w:proofErr w:type="spellStart"/>
      <w:r w:rsidRPr="00D564FF">
        <w:rPr>
          <w:rStyle w:val="Strong"/>
          <w:b/>
          <w:bCs w:val="0"/>
        </w:rPr>
        <w:t>antibacterials</w:t>
      </w:r>
      <w:proofErr w:type="spellEnd"/>
      <w:r w:rsidRPr="00D564FF">
        <w:rPr>
          <w:rStyle w:val="Strong"/>
          <w:b/>
          <w:bCs w:val="0"/>
        </w:rPr>
        <w:t xml:space="preserve"> used in all Australian principal referral hospitals, 2019–2020</w:t>
      </w:r>
      <w:r w:rsidRPr="00D564FF">
        <w:t xml:space="preserve"> </w:t>
      </w:r>
    </w:p>
    <w:tbl>
      <w:tblPr>
        <w:tblStyle w:val="CDI-StandardTable"/>
        <w:tblW w:w="0" w:type="auto"/>
        <w:tblLook w:val="04A0" w:firstRow="1" w:lastRow="0" w:firstColumn="1" w:lastColumn="0" w:noHBand="0" w:noVBand="1"/>
        <w:tblDescription w:val="This table shows the percentage change in usage rates of broad-spectrum parenteral antibacterials in Australian Principal Referral hospitals between 2019 and 2020. The antibacterial agents displayed are amoxicillin, amoxicillin-clavulanate, azithromycin, benzylpenicillin, cefepime, ceftriaxone, gentamicin, and metronidazole. Two statistical tests are included for each agent; t-stat and p-test."/>
      </w:tblPr>
      <w:tblGrid>
        <w:gridCol w:w="2659"/>
        <w:gridCol w:w="885"/>
        <w:gridCol w:w="1134"/>
        <w:gridCol w:w="1701"/>
        <w:gridCol w:w="2504"/>
        <w:gridCol w:w="1557"/>
      </w:tblGrid>
      <w:tr w:rsidR="00DE56AE" w:rsidRPr="00D564FF" w14:paraId="6368FBC6" w14:textId="77777777" w:rsidTr="00881C58">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vAlign w:val="center"/>
            <w:hideMark/>
          </w:tcPr>
          <w:p w14:paraId="68DC2101" w14:textId="77777777" w:rsidR="00DE56AE" w:rsidRPr="00D564FF" w:rsidRDefault="00DE56AE" w:rsidP="0088084B">
            <w:pPr>
              <w:jc w:val="center"/>
              <w:rPr>
                <w:color w:val="FFFFFF" w:themeColor="background1"/>
                <w:lang w:val="en-GB"/>
              </w:rPr>
            </w:pPr>
          </w:p>
        </w:tc>
        <w:tc>
          <w:tcPr>
            <w:tcW w:w="885" w:type="dxa"/>
            <w:tcBorders>
              <w:left w:val="single" w:sz="2" w:space="0" w:color="FFFFFF" w:themeColor="background1"/>
              <w:right w:val="single" w:sz="2" w:space="0" w:color="FFFFFF" w:themeColor="background1"/>
            </w:tcBorders>
            <w:vAlign w:val="center"/>
            <w:hideMark/>
          </w:tcPr>
          <w:p w14:paraId="5FEB1720" w14:textId="77777777" w:rsidR="00DE56AE" w:rsidRPr="00D564FF" w:rsidRDefault="00DE56AE" w:rsidP="0088084B">
            <w:pPr>
              <w:pStyle w:val="NormalWeb"/>
              <w:jc w:val="center"/>
              <w:rPr>
                <w:color w:val="FFFFFF" w:themeColor="background1"/>
                <w:sz w:val="24"/>
                <w:szCs w:val="24"/>
              </w:rPr>
            </w:pPr>
            <w:r w:rsidRPr="00D564FF">
              <w:rPr>
                <w:color w:val="FFFFFF" w:themeColor="background1"/>
              </w:rPr>
              <w:t>2019</w:t>
            </w:r>
          </w:p>
        </w:tc>
        <w:tc>
          <w:tcPr>
            <w:tcW w:w="1134" w:type="dxa"/>
            <w:tcBorders>
              <w:left w:val="single" w:sz="2" w:space="0" w:color="FFFFFF" w:themeColor="background1"/>
              <w:right w:val="single" w:sz="2" w:space="0" w:color="FFFFFF" w:themeColor="background1"/>
            </w:tcBorders>
            <w:vAlign w:val="center"/>
            <w:hideMark/>
          </w:tcPr>
          <w:p w14:paraId="58E318D1" w14:textId="77777777" w:rsidR="00DE56AE" w:rsidRPr="00D564FF" w:rsidRDefault="00DE56AE" w:rsidP="0088084B">
            <w:pPr>
              <w:pStyle w:val="NormalWeb"/>
              <w:jc w:val="center"/>
              <w:rPr>
                <w:color w:val="FFFFFF" w:themeColor="background1"/>
              </w:rPr>
            </w:pPr>
            <w:r w:rsidRPr="00D564FF">
              <w:rPr>
                <w:color w:val="FFFFFF" w:themeColor="background1"/>
              </w:rPr>
              <w:t>2020</w:t>
            </w:r>
          </w:p>
        </w:tc>
        <w:tc>
          <w:tcPr>
            <w:tcW w:w="1701" w:type="dxa"/>
            <w:tcBorders>
              <w:left w:val="single" w:sz="2" w:space="0" w:color="FFFFFF" w:themeColor="background1"/>
              <w:right w:val="single" w:sz="2" w:space="0" w:color="FFFFFF" w:themeColor="background1"/>
            </w:tcBorders>
            <w:vAlign w:val="center"/>
            <w:hideMark/>
          </w:tcPr>
          <w:p w14:paraId="1B3BDCE0" w14:textId="77777777" w:rsidR="00DE56AE" w:rsidRPr="00D564FF" w:rsidRDefault="00DE56AE" w:rsidP="0088084B">
            <w:pPr>
              <w:pStyle w:val="NormalWeb"/>
              <w:jc w:val="center"/>
              <w:rPr>
                <w:color w:val="FFFFFF" w:themeColor="background1"/>
              </w:rPr>
            </w:pPr>
            <w:r w:rsidRPr="00D564FF">
              <w:rPr>
                <w:color w:val="FFFFFF" w:themeColor="background1"/>
              </w:rPr>
              <w:t>% change</w:t>
            </w:r>
            <w:r>
              <w:rPr>
                <w:color w:val="FFFFFF" w:themeColor="background1"/>
              </w:rPr>
              <w:br/>
            </w:r>
            <w:r w:rsidRPr="00D564FF">
              <w:rPr>
                <w:color w:val="FFFFFF" w:themeColor="background1"/>
              </w:rPr>
              <w:t>2019 to 2020</w:t>
            </w:r>
          </w:p>
        </w:tc>
        <w:tc>
          <w:tcPr>
            <w:tcW w:w="2504" w:type="dxa"/>
            <w:tcBorders>
              <w:left w:val="single" w:sz="2" w:space="0" w:color="FFFFFF" w:themeColor="background1"/>
              <w:right w:val="single" w:sz="2" w:space="0" w:color="FFFFFF" w:themeColor="background1"/>
            </w:tcBorders>
            <w:vAlign w:val="center"/>
            <w:hideMark/>
          </w:tcPr>
          <w:p w14:paraId="629533C5" w14:textId="77777777" w:rsidR="00DE56AE" w:rsidRPr="00D564FF" w:rsidRDefault="00DE56AE" w:rsidP="0088084B">
            <w:pPr>
              <w:pStyle w:val="NormalWeb"/>
              <w:jc w:val="center"/>
              <w:rPr>
                <w:color w:val="FFFFFF" w:themeColor="background1"/>
              </w:rPr>
            </w:pPr>
            <w:r w:rsidRPr="00D564FF">
              <w:rPr>
                <w:color w:val="FFFFFF" w:themeColor="background1"/>
              </w:rPr>
              <w:t>t-stat</w:t>
            </w:r>
            <w:r w:rsidRPr="00D564FF">
              <w:rPr>
                <w:color w:val="FFFFFF" w:themeColor="background1"/>
              </w:rPr>
              <w:br/>
              <w:t>(11 degrees of freedom)</w:t>
            </w:r>
          </w:p>
        </w:tc>
        <w:tc>
          <w:tcPr>
            <w:tcW w:w="1557" w:type="dxa"/>
            <w:tcBorders>
              <w:left w:val="single" w:sz="2" w:space="0" w:color="FFFFFF" w:themeColor="background1"/>
            </w:tcBorders>
            <w:vAlign w:val="center"/>
            <w:hideMark/>
          </w:tcPr>
          <w:p w14:paraId="10F007D4" w14:textId="77777777" w:rsidR="00DE56AE" w:rsidRPr="00D564FF" w:rsidRDefault="00DE56AE" w:rsidP="0088084B">
            <w:pPr>
              <w:pStyle w:val="NormalWeb"/>
              <w:jc w:val="center"/>
              <w:rPr>
                <w:color w:val="FFFFFF" w:themeColor="background1"/>
              </w:rPr>
            </w:pPr>
            <w:r w:rsidRPr="00C16B02">
              <w:rPr>
                <w:i/>
                <w:iCs/>
                <w:color w:val="FFFFFF" w:themeColor="background1"/>
              </w:rPr>
              <w:t>p</w:t>
            </w:r>
            <w:r w:rsidRPr="00D564FF">
              <w:rPr>
                <w:color w:val="FFFFFF" w:themeColor="background1"/>
              </w:rPr>
              <w:t xml:space="preserve"> (2-tailed)</w:t>
            </w:r>
          </w:p>
        </w:tc>
      </w:tr>
      <w:tr w:rsidR="00DE56AE" w14:paraId="2352C5AA" w14:textId="77777777" w:rsidTr="00881C58">
        <w:tblPrEx>
          <w:tblCellMar>
            <w:top w:w="57" w:type="dxa"/>
            <w:left w:w="57" w:type="dxa"/>
            <w:bottom w:w="57" w:type="dxa"/>
            <w:right w:w="57" w:type="dxa"/>
          </w:tblCellMar>
        </w:tblPrEx>
        <w:tc>
          <w:tcPr>
            <w:tcW w:w="0" w:type="auto"/>
            <w:hideMark/>
          </w:tcPr>
          <w:p w14:paraId="4D8FB7C4" w14:textId="77777777" w:rsidR="00DE56AE" w:rsidRDefault="00DE56AE" w:rsidP="0088084B">
            <w:pPr>
              <w:pStyle w:val="NormalWeb"/>
            </w:pPr>
            <w:r>
              <w:t>Amoxicillin</w:t>
            </w:r>
          </w:p>
        </w:tc>
        <w:tc>
          <w:tcPr>
            <w:tcW w:w="885" w:type="dxa"/>
            <w:hideMark/>
          </w:tcPr>
          <w:p w14:paraId="1D89B611" w14:textId="77777777" w:rsidR="00DE56AE" w:rsidRDefault="00DE56AE" w:rsidP="0088084B">
            <w:pPr>
              <w:pStyle w:val="NormalWeb"/>
              <w:jc w:val="center"/>
            </w:pPr>
            <w:r>
              <w:t>7.72</w:t>
            </w:r>
          </w:p>
        </w:tc>
        <w:tc>
          <w:tcPr>
            <w:tcW w:w="1134" w:type="dxa"/>
            <w:hideMark/>
          </w:tcPr>
          <w:p w14:paraId="471A782D" w14:textId="77777777" w:rsidR="00DE56AE" w:rsidRDefault="00DE56AE" w:rsidP="0088084B">
            <w:pPr>
              <w:pStyle w:val="NormalWeb"/>
              <w:jc w:val="center"/>
            </w:pPr>
            <w:r>
              <w:t>8.28</w:t>
            </w:r>
          </w:p>
        </w:tc>
        <w:tc>
          <w:tcPr>
            <w:tcW w:w="1701" w:type="dxa"/>
            <w:hideMark/>
          </w:tcPr>
          <w:p w14:paraId="5D81338F" w14:textId="77777777" w:rsidR="00DE56AE" w:rsidRDefault="00DE56AE" w:rsidP="0088084B">
            <w:pPr>
              <w:pStyle w:val="NormalWeb"/>
              <w:jc w:val="center"/>
            </w:pPr>
            <w:r>
              <w:t>7.3%</w:t>
            </w:r>
          </w:p>
        </w:tc>
        <w:tc>
          <w:tcPr>
            <w:tcW w:w="2504" w:type="dxa"/>
            <w:hideMark/>
          </w:tcPr>
          <w:p w14:paraId="40A3CD4A" w14:textId="77777777" w:rsidR="00DE56AE" w:rsidRDefault="00DE56AE" w:rsidP="0088084B">
            <w:pPr>
              <w:pStyle w:val="NormalWeb"/>
              <w:jc w:val="center"/>
            </w:pPr>
            <w:r>
              <w:t>1.79</w:t>
            </w:r>
          </w:p>
        </w:tc>
        <w:tc>
          <w:tcPr>
            <w:tcW w:w="1557" w:type="dxa"/>
            <w:hideMark/>
          </w:tcPr>
          <w:p w14:paraId="67076FA4" w14:textId="77777777" w:rsidR="00DE56AE" w:rsidRDefault="00DE56AE" w:rsidP="0088084B">
            <w:pPr>
              <w:pStyle w:val="NormalWeb"/>
              <w:jc w:val="center"/>
            </w:pPr>
            <w:r>
              <w:t>0.101</w:t>
            </w:r>
          </w:p>
        </w:tc>
      </w:tr>
      <w:tr w:rsidR="00DE56AE" w14:paraId="2E7CE435" w14:textId="77777777" w:rsidTr="00881C5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975D17E" w14:textId="77777777" w:rsidR="00DE56AE" w:rsidRDefault="00DE56AE" w:rsidP="0088084B">
            <w:pPr>
              <w:pStyle w:val="NormalWeb"/>
            </w:pPr>
            <w:r>
              <w:t xml:space="preserve">Amoxicillin – clavulanic </w:t>
            </w:r>
            <w:proofErr w:type="spellStart"/>
            <w:r>
              <w:t>acid</w:t>
            </w:r>
            <w:r w:rsidRPr="00987427">
              <w:rPr>
                <w:vertAlign w:val="superscript"/>
              </w:rPr>
              <w:t>a</w:t>
            </w:r>
            <w:proofErr w:type="spellEnd"/>
          </w:p>
        </w:tc>
        <w:tc>
          <w:tcPr>
            <w:tcW w:w="885" w:type="dxa"/>
            <w:hideMark/>
          </w:tcPr>
          <w:p w14:paraId="77F2943B" w14:textId="77777777" w:rsidR="00DE56AE" w:rsidRDefault="00DE56AE" w:rsidP="0088084B">
            <w:pPr>
              <w:pStyle w:val="NormalWeb"/>
              <w:jc w:val="center"/>
            </w:pPr>
            <w:r>
              <w:t>18.6</w:t>
            </w:r>
          </w:p>
        </w:tc>
        <w:tc>
          <w:tcPr>
            <w:tcW w:w="1134" w:type="dxa"/>
            <w:hideMark/>
          </w:tcPr>
          <w:p w14:paraId="302D83E3" w14:textId="77777777" w:rsidR="00DE56AE" w:rsidRDefault="00DE56AE" w:rsidP="0088084B">
            <w:pPr>
              <w:pStyle w:val="NormalWeb"/>
              <w:jc w:val="center"/>
            </w:pPr>
            <w:r>
              <w:t>23.8</w:t>
            </w:r>
          </w:p>
        </w:tc>
        <w:tc>
          <w:tcPr>
            <w:tcW w:w="1701" w:type="dxa"/>
            <w:hideMark/>
          </w:tcPr>
          <w:p w14:paraId="5D295708" w14:textId="77777777" w:rsidR="00DE56AE" w:rsidRDefault="00DE56AE" w:rsidP="0088084B">
            <w:pPr>
              <w:pStyle w:val="NormalWeb"/>
              <w:jc w:val="center"/>
            </w:pPr>
            <w:r>
              <w:t>27.8%</w:t>
            </w:r>
          </w:p>
        </w:tc>
        <w:tc>
          <w:tcPr>
            <w:tcW w:w="2504" w:type="dxa"/>
            <w:hideMark/>
          </w:tcPr>
          <w:p w14:paraId="15FCB742" w14:textId="77777777" w:rsidR="00DE56AE" w:rsidRDefault="00DE56AE" w:rsidP="0088084B">
            <w:pPr>
              <w:pStyle w:val="NormalWeb"/>
              <w:jc w:val="center"/>
            </w:pPr>
            <w:r>
              <w:t>6.96</w:t>
            </w:r>
          </w:p>
        </w:tc>
        <w:tc>
          <w:tcPr>
            <w:tcW w:w="1557" w:type="dxa"/>
            <w:hideMark/>
          </w:tcPr>
          <w:p w14:paraId="1B0F214A" w14:textId="77777777" w:rsidR="00DE56AE" w:rsidRDefault="00DE56AE" w:rsidP="0088084B">
            <w:pPr>
              <w:pStyle w:val="NormalWeb"/>
              <w:jc w:val="center"/>
            </w:pPr>
            <w:r>
              <w:t>0.000</w:t>
            </w:r>
          </w:p>
        </w:tc>
      </w:tr>
      <w:tr w:rsidR="00DE56AE" w14:paraId="7847DB37" w14:textId="77777777" w:rsidTr="00881C58">
        <w:tblPrEx>
          <w:tblCellMar>
            <w:top w:w="57" w:type="dxa"/>
            <w:left w:w="57" w:type="dxa"/>
            <w:bottom w:w="57" w:type="dxa"/>
            <w:right w:w="57" w:type="dxa"/>
          </w:tblCellMar>
        </w:tblPrEx>
        <w:tc>
          <w:tcPr>
            <w:tcW w:w="0" w:type="auto"/>
            <w:hideMark/>
          </w:tcPr>
          <w:p w14:paraId="084B944F" w14:textId="77777777" w:rsidR="00DE56AE" w:rsidRDefault="00DE56AE" w:rsidP="0088084B">
            <w:pPr>
              <w:pStyle w:val="NormalWeb"/>
            </w:pPr>
            <w:r>
              <w:t>Azithromycin</w:t>
            </w:r>
          </w:p>
        </w:tc>
        <w:tc>
          <w:tcPr>
            <w:tcW w:w="885" w:type="dxa"/>
            <w:hideMark/>
          </w:tcPr>
          <w:p w14:paraId="56854003" w14:textId="77777777" w:rsidR="00DE56AE" w:rsidRDefault="00DE56AE" w:rsidP="0088084B">
            <w:pPr>
              <w:pStyle w:val="NormalWeb"/>
              <w:jc w:val="center"/>
            </w:pPr>
            <w:r>
              <w:t>9.87</w:t>
            </w:r>
          </w:p>
        </w:tc>
        <w:tc>
          <w:tcPr>
            <w:tcW w:w="1134" w:type="dxa"/>
            <w:hideMark/>
          </w:tcPr>
          <w:p w14:paraId="50F59E76" w14:textId="77777777" w:rsidR="00DE56AE" w:rsidRDefault="00DE56AE" w:rsidP="0088084B">
            <w:pPr>
              <w:pStyle w:val="NormalWeb"/>
              <w:jc w:val="center"/>
            </w:pPr>
            <w:r>
              <w:t>9.72</w:t>
            </w:r>
          </w:p>
        </w:tc>
        <w:tc>
          <w:tcPr>
            <w:tcW w:w="1701" w:type="dxa"/>
            <w:hideMark/>
          </w:tcPr>
          <w:p w14:paraId="79CCF9DE" w14:textId="77777777" w:rsidR="00DE56AE" w:rsidRDefault="00DE56AE" w:rsidP="0088084B">
            <w:pPr>
              <w:pStyle w:val="NormalWeb"/>
              <w:jc w:val="center"/>
            </w:pPr>
            <w:r>
              <w:t>-1.5%</w:t>
            </w:r>
          </w:p>
        </w:tc>
        <w:tc>
          <w:tcPr>
            <w:tcW w:w="2504" w:type="dxa"/>
            <w:hideMark/>
          </w:tcPr>
          <w:p w14:paraId="479AB428" w14:textId="77777777" w:rsidR="00DE56AE" w:rsidRDefault="00DE56AE" w:rsidP="0088084B">
            <w:pPr>
              <w:pStyle w:val="NormalWeb"/>
              <w:jc w:val="center"/>
            </w:pPr>
            <w:r>
              <w:t>0.19</w:t>
            </w:r>
          </w:p>
        </w:tc>
        <w:tc>
          <w:tcPr>
            <w:tcW w:w="1557" w:type="dxa"/>
            <w:hideMark/>
          </w:tcPr>
          <w:p w14:paraId="14FE3BC6" w14:textId="77777777" w:rsidR="00DE56AE" w:rsidRDefault="00DE56AE" w:rsidP="0088084B">
            <w:pPr>
              <w:pStyle w:val="NormalWeb"/>
              <w:jc w:val="center"/>
            </w:pPr>
            <w:r>
              <w:t>0.855</w:t>
            </w:r>
          </w:p>
        </w:tc>
      </w:tr>
      <w:tr w:rsidR="00DE56AE" w14:paraId="20988A29" w14:textId="77777777" w:rsidTr="00881C5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7B1C756" w14:textId="77777777" w:rsidR="00DE56AE" w:rsidRDefault="00DE56AE" w:rsidP="0088084B">
            <w:pPr>
              <w:pStyle w:val="NormalWeb"/>
            </w:pPr>
            <w:r>
              <w:t>Benzylpenicillin</w:t>
            </w:r>
          </w:p>
        </w:tc>
        <w:tc>
          <w:tcPr>
            <w:tcW w:w="885" w:type="dxa"/>
            <w:hideMark/>
          </w:tcPr>
          <w:p w14:paraId="7A391FE8" w14:textId="77777777" w:rsidR="00DE56AE" w:rsidRDefault="00DE56AE" w:rsidP="0088084B">
            <w:pPr>
              <w:pStyle w:val="NormalWeb"/>
              <w:jc w:val="center"/>
            </w:pPr>
            <w:r>
              <w:t>28.6</w:t>
            </w:r>
          </w:p>
        </w:tc>
        <w:tc>
          <w:tcPr>
            <w:tcW w:w="1134" w:type="dxa"/>
            <w:hideMark/>
          </w:tcPr>
          <w:p w14:paraId="7C89F63F" w14:textId="77777777" w:rsidR="00DE56AE" w:rsidRDefault="00DE56AE" w:rsidP="0088084B">
            <w:pPr>
              <w:pStyle w:val="NormalWeb"/>
              <w:jc w:val="center"/>
            </w:pPr>
            <w:r>
              <w:t>26.2</w:t>
            </w:r>
          </w:p>
        </w:tc>
        <w:tc>
          <w:tcPr>
            <w:tcW w:w="1701" w:type="dxa"/>
            <w:hideMark/>
          </w:tcPr>
          <w:p w14:paraId="53B8CF8A" w14:textId="77777777" w:rsidR="00DE56AE" w:rsidRDefault="00DE56AE" w:rsidP="0088084B">
            <w:pPr>
              <w:pStyle w:val="NormalWeb"/>
              <w:jc w:val="center"/>
            </w:pPr>
            <w:r>
              <w:t>-8.1%</w:t>
            </w:r>
          </w:p>
        </w:tc>
        <w:tc>
          <w:tcPr>
            <w:tcW w:w="2504" w:type="dxa"/>
            <w:hideMark/>
          </w:tcPr>
          <w:p w14:paraId="73FEB653" w14:textId="77777777" w:rsidR="00DE56AE" w:rsidRDefault="00DE56AE" w:rsidP="0088084B">
            <w:pPr>
              <w:pStyle w:val="NormalWeb"/>
              <w:jc w:val="center"/>
            </w:pPr>
            <w:r>
              <w:t>1.54</w:t>
            </w:r>
          </w:p>
        </w:tc>
        <w:tc>
          <w:tcPr>
            <w:tcW w:w="1557" w:type="dxa"/>
            <w:hideMark/>
          </w:tcPr>
          <w:p w14:paraId="0DA57C27" w14:textId="77777777" w:rsidR="00DE56AE" w:rsidRDefault="00DE56AE" w:rsidP="0088084B">
            <w:pPr>
              <w:pStyle w:val="NormalWeb"/>
              <w:jc w:val="center"/>
            </w:pPr>
            <w:r>
              <w:t>0.152</w:t>
            </w:r>
          </w:p>
        </w:tc>
      </w:tr>
      <w:tr w:rsidR="00DE56AE" w14:paraId="15BAF2C9" w14:textId="77777777" w:rsidTr="00881C58">
        <w:tblPrEx>
          <w:tblCellMar>
            <w:top w:w="57" w:type="dxa"/>
            <w:left w:w="57" w:type="dxa"/>
            <w:bottom w:w="57" w:type="dxa"/>
            <w:right w:w="57" w:type="dxa"/>
          </w:tblCellMar>
        </w:tblPrEx>
        <w:tc>
          <w:tcPr>
            <w:tcW w:w="0" w:type="auto"/>
            <w:hideMark/>
          </w:tcPr>
          <w:p w14:paraId="16F8FDE5" w14:textId="77777777" w:rsidR="00DE56AE" w:rsidRDefault="00DE56AE" w:rsidP="0088084B">
            <w:pPr>
              <w:pStyle w:val="NormalWeb"/>
            </w:pPr>
            <w:r>
              <w:t>Cefepime</w:t>
            </w:r>
          </w:p>
        </w:tc>
        <w:tc>
          <w:tcPr>
            <w:tcW w:w="885" w:type="dxa"/>
            <w:hideMark/>
          </w:tcPr>
          <w:p w14:paraId="6930FA1A" w14:textId="77777777" w:rsidR="00DE56AE" w:rsidRDefault="00DE56AE" w:rsidP="0088084B">
            <w:pPr>
              <w:pStyle w:val="NormalWeb"/>
              <w:jc w:val="center"/>
            </w:pPr>
            <w:r>
              <w:t>7.31</w:t>
            </w:r>
          </w:p>
        </w:tc>
        <w:tc>
          <w:tcPr>
            <w:tcW w:w="1134" w:type="dxa"/>
            <w:hideMark/>
          </w:tcPr>
          <w:p w14:paraId="16F7B554" w14:textId="77777777" w:rsidR="00DE56AE" w:rsidRDefault="00DE56AE" w:rsidP="0088084B">
            <w:pPr>
              <w:pStyle w:val="NormalWeb"/>
              <w:jc w:val="center"/>
            </w:pPr>
            <w:r>
              <w:t>8.38</w:t>
            </w:r>
          </w:p>
        </w:tc>
        <w:tc>
          <w:tcPr>
            <w:tcW w:w="1701" w:type="dxa"/>
            <w:hideMark/>
          </w:tcPr>
          <w:p w14:paraId="37F410FD" w14:textId="77777777" w:rsidR="00DE56AE" w:rsidRDefault="00DE56AE" w:rsidP="0088084B">
            <w:pPr>
              <w:pStyle w:val="NormalWeb"/>
              <w:jc w:val="center"/>
            </w:pPr>
            <w:r>
              <w:t>14.6%</w:t>
            </w:r>
          </w:p>
        </w:tc>
        <w:tc>
          <w:tcPr>
            <w:tcW w:w="2504" w:type="dxa"/>
            <w:hideMark/>
          </w:tcPr>
          <w:p w14:paraId="293C799A" w14:textId="77777777" w:rsidR="00DE56AE" w:rsidRDefault="00DE56AE" w:rsidP="0088084B">
            <w:pPr>
              <w:pStyle w:val="NormalWeb"/>
              <w:jc w:val="center"/>
            </w:pPr>
            <w:r>
              <w:t>3.93</w:t>
            </w:r>
          </w:p>
        </w:tc>
        <w:tc>
          <w:tcPr>
            <w:tcW w:w="1557" w:type="dxa"/>
            <w:hideMark/>
          </w:tcPr>
          <w:p w14:paraId="1011CB8F" w14:textId="77777777" w:rsidR="00DE56AE" w:rsidRDefault="00DE56AE" w:rsidP="0088084B">
            <w:pPr>
              <w:pStyle w:val="NormalWeb"/>
              <w:jc w:val="center"/>
            </w:pPr>
            <w:r>
              <w:t>0.002</w:t>
            </w:r>
          </w:p>
        </w:tc>
      </w:tr>
      <w:tr w:rsidR="00DE56AE" w14:paraId="545E302C" w14:textId="77777777" w:rsidTr="00881C5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000C796" w14:textId="77777777" w:rsidR="00DE56AE" w:rsidRDefault="00DE56AE" w:rsidP="0088084B">
            <w:pPr>
              <w:pStyle w:val="NormalWeb"/>
            </w:pPr>
            <w:r>
              <w:t>Ceftriaxone</w:t>
            </w:r>
          </w:p>
        </w:tc>
        <w:tc>
          <w:tcPr>
            <w:tcW w:w="885" w:type="dxa"/>
            <w:hideMark/>
          </w:tcPr>
          <w:p w14:paraId="78F592AA" w14:textId="77777777" w:rsidR="00DE56AE" w:rsidRDefault="00DE56AE" w:rsidP="0088084B">
            <w:pPr>
              <w:pStyle w:val="NormalWeb"/>
              <w:jc w:val="center"/>
            </w:pPr>
            <w:r>
              <w:t>52.5</w:t>
            </w:r>
          </w:p>
        </w:tc>
        <w:tc>
          <w:tcPr>
            <w:tcW w:w="1134" w:type="dxa"/>
            <w:hideMark/>
          </w:tcPr>
          <w:p w14:paraId="00088769" w14:textId="77777777" w:rsidR="00DE56AE" w:rsidRDefault="00DE56AE" w:rsidP="0088084B">
            <w:pPr>
              <w:pStyle w:val="NormalWeb"/>
              <w:jc w:val="center"/>
            </w:pPr>
            <w:r>
              <w:t>54.9</w:t>
            </w:r>
          </w:p>
        </w:tc>
        <w:tc>
          <w:tcPr>
            <w:tcW w:w="1701" w:type="dxa"/>
            <w:hideMark/>
          </w:tcPr>
          <w:p w14:paraId="623F802A" w14:textId="77777777" w:rsidR="00DE56AE" w:rsidRDefault="00DE56AE" w:rsidP="0088084B">
            <w:pPr>
              <w:pStyle w:val="NormalWeb"/>
              <w:jc w:val="center"/>
            </w:pPr>
            <w:r>
              <w:t>4.6%</w:t>
            </w:r>
          </w:p>
        </w:tc>
        <w:tc>
          <w:tcPr>
            <w:tcW w:w="2504" w:type="dxa"/>
            <w:hideMark/>
          </w:tcPr>
          <w:p w14:paraId="3924ADDE" w14:textId="77777777" w:rsidR="00DE56AE" w:rsidRDefault="00DE56AE" w:rsidP="0088084B">
            <w:pPr>
              <w:pStyle w:val="NormalWeb"/>
              <w:jc w:val="center"/>
            </w:pPr>
            <w:r>
              <w:t>1.72</w:t>
            </w:r>
          </w:p>
        </w:tc>
        <w:tc>
          <w:tcPr>
            <w:tcW w:w="1557" w:type="dxa"/>
            <w:hideMark/>
          </w:tcPr>
          <w:p w14:paraId="4F2EE042" w14:textId="77777777" w:rsidR="00DE56AE" w:rsidRDefault="00DE56AE" w:rsidP="0088084B">
            <w:pPr>
              <w:pStyle w:val="NormalWeb"/>
              <w:jc w:val="center"/>
            </w:pPr>
            <w:r>
              <w:t>0.114</w:t>
            </w:r>
          </w:p>
        </w:tc>
      </w:tr>
      <w:tr w:rsidR="00DE56AE" w14:paraId="0BA8ECEB" w14:textId="77777777" w:rsidTr="00881C58">
        <w:tblPrEx>
          <w:tblCellMar>
            <w:top w:w="57" w:type="dxa"/>
            <w:left w:w="57" w:type="dxa"/>
            <w:bottom w:w="57" w:type="dxa"/>
            <w:right w:w="57" w:type="dxa"/>
          </w:tblCellMar>
        </w:tblPrEx>
        <w:tc>
          <w:tcPr>
            <w:tcW w:w="0" w:type="auto"/>
            <w:hideMark/>
          </w:tcPr>
          <w:p w14:paraId="3C6AECEA" w14:textId="77777777" w:rsidR="00DE56AE" w:rsidRDefault="00DE56AE" w:rsidP="0088084B">
            <w:pPr>
              <w:pStyle w:val="NormalWeb"/>
            </w:pPr>
            <w:r>
              <w:t>Gentamicin</w:t>
            </w:r>
          </w:p>
        </w:tc>
        <w:tc>
          <w:tcPr>
            <w:tcW w:w="885" w:type="dxa"/>
            <w:hideMark/>
          </w:tcPr>
          <w:p w14:paraId="6D0F9A2E" w14:textId="77777777" w:rsidR="00DE56AE" w:rsidRDefault="00DE56AE" w:rsidP="0088084B">
            <w:pPr>
              <w:pStyle w:val="NormalWeb"/>
              <w:jc w:val="center"/>
            </w:pPr>
            <w:r>
              <w:t>23.1</w:t>
            </w:r>
          </w:p>
        </w:tc>
        <w:tc>
          <w:tcPr>
            <w:tcW w:w="1134" w:type="dxa"/>
            <w:hideMark/>
          </w:tcPr>
          <w:p w14:paraId="0A9ADA5D" w14:textId="77777777" w:rsidR="00DE56AE" w:rsidRDefault="00DE56AE" w:rsidP="0088084B">
            <w:pPr>
              <w:pStyle w:val="NormalWeb"/>
              <w:jc w:val="center"/>
            </w:pPr>
            <w:r>
              <w:t>23.5</w:t>
            </w:r>
          </w:p>
        </w:tc>
        <w:tc>
          <w:tcPr>
            <w:tcW w:w="1701" w:type="dxa"/>
            <w:hideMark/>
          </w:tcPr>
          <w:p w14:paraId="71B7DACE" w14:textId="77777777" w:rsidR="00DE56AE" w:rsidRDefault="00DE56AE" w:rsidP="0088084B">
            <w:pPr>
              <w:pStyle w:val="NormalWeb"/>
              <w:jc w:val="center"/>
            </w:pPr>
            <w:r>
              <w:t>1.9%</w:t>
            </w:r>
          </w:p>
        </w:tc>
        <w:tc>
          <w:tcPr>
            <w:tcW w:w="2504" w:type="dxa"/>
            <w:hideMark/>
          </w:tcPr>
          <w:p w14:paraId="3551F371" w14:textId="77777777" w:rsidR="00DE56AE" w:rsidRDefault="00DE56AE" w:rsidP="0088084B">
            <w:pPr>
              <w:pStyle w:val="NormalWeb"/>
              <w:jc w:val="center"/>
            </w:pPr>
            <w:r>
              <w:t>0.78</w:t>
            </w:r>
          </w:p>
        </w:tc>
        <w:tc>
          <w:tcPr>
            <w:tcW w:w="1557" w:type="dxa"/>
            <w:hideMark/>
          </w:tcPr>
          <w:p w14:paraId="23F51164" w14:textId="77777777" w:rsidR="00DE56AE" w:rsidRDefault="00DE56AE" w:rsidP="0088084B">
            <w:pPr>
              <w:pStyle w:val="NormalWeb"/>
              <w:jc w:val="center"/>
            </w:pPr>
            <w:r>
              <w:t>0.452</w:t>
            </w:r>
          </w:p>
        </w:tc>
      </w:tr>
      <w:tr w:rsidR="00DE56AE" w14:paraId="5A1AF6A4" w14:textId="77777777" w:rsidTr="00881C5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A95A0B3" w14:textId="77777777" w:rsidR="00DE56AE" w:rsidRDefault="00DE56AE" w:rsidP="0088084B">
            <w:pPr>
              <w:pStyle w:val="NormalWeb"/>
            </w:pPr>
            <w:r>
              <w:t>Metronidazole</w:t>
            </w:r>
          </w:p>
        </w:tc>
        <w:tc>
          <w:tcPr>
            <w:tcW w:w="885" w:type="dxa"/>
            <w:hideMark/>
          </w:tcPr>
          <w:p w14:paraId="0942EF1D" w14:textId="77777777" w:rsidR="00DE56AE" w:rsidRDefault="00DE56AE" w:rsidP="0088084B">
            <w:pPr>
              <w:pStyle w:val="NormalWeb"/>
              <w:jc w:val="center"/>
            </w:pPr>
            <w:r>
              <w:t>23.2</w:t>
            </w:r>
          </w:p>
        </w:tc>
        <w:tc>
          <w:tcPr>
            <w:tcW w:w="1134" w:type="dxa"/>
            <w:hideMark/>
          </w:tcPr>
          <w:p w14:paraId="67DBD737" w14:textId="77777777" w:rsidR="00DE56AE" w:rsidRDefault="00DE56AE" w:rsidP="0088084B">
            <w:pPr>
              <w:pStyle w:val="NormalWeb"/>
              <w:jc w:val="center"/>
            </w:pPr>
            <w:r>
              <w:t>23.1</w:t>
            </w:r>
          </w:p>
        </w:tc>
        <w:tc>
          <w:tcPr>
            <w:tcW w:w="1701" w:type="dxa"/>
            <w:hideMark/>
          </w:tcPr>
          <w:p w14:paraId="77DC5535" w14:textId="77777777" w:rsidR="00DE56AE" w:rsidRDefault="00DE56AE" w:rsidP="0088084B">
            <w:pPr>
              <w:pStyle w:val="NormalWeb"/>
              <w:jc w:val="center"/>
            </w:pPr>
            <w:r>
              <w:t>-0.8%</w:t>
            </w:r>
          </w:p>
        </w:tc>
        <w:tc>
          <w:tcPr>
            <w:tcW w:w="2504" w:type="dxa"/>
            <w:hideMark/>
          </w:tcPr>
          <w:p w14:paraId="5ABDD899" w14:textId="77777777" w:rsidR="00DE56AE" w:rsidRDefault="00DE56AE" w:rsidP="0088084B">
            <w:pPr>
              <w:pStyle w:val="NormalWeb"/>
              <w:jc w:val="center"/>
            </w:pPr>
            <w:r>
              <w:t>0.30</w:t>
            </w:r>
          </w:p>
        </w:tc>
        <w:tc>
          <w:tcPr>
            <w:tcW w:w="1557" w:type="dxa"/>
            <w:hideMark/>
          </w:tcPr>
          <w:p w14:paraId="402B59A5" w14:textId="77777777" w:rsidR="00DE56AE" w:rsidRDefault="00DE56AE" w:rsidP="0088084B">
            <w:pPr>
              <w:pStyle w:val="NormalWeb"/>
              <w:jc w:val="center"/>
            </w:pPr>
            <w:r>
              <w:t>0.772</w:t>
            </w:r>
          </w:p>
        </w:tc>
      </w:tr>
      <w:tr w:rsidR="00DE56AE" w14:paraId="364EF496" w14:textId="77777777" w:rsidTr="00881C58">
        <w:tblPrEx>
          <w:tblCellMar>
            <w:top w:w="57" w:type="dxa"/>
            <w:left w:w="57" w:type="dxa"/>
            <w:bottom w:w="57" w:type="dxa"/>
            <w:right w:w="57" w:type="dxa"/>
          </w:tblCellMar>
        </w:tblPrEx>
        <w:tc>
          <w:tcPr>
            <w:tcW w:w="0" w:type="auto"/>
            <w:hideMark/>
          </w:tcPr>
          <w:p w14:paraId="5774DA67" w14:textId="77777777" w:rsidR="00DE56AE" w:rsidRDefault="00DE56AE" w:rsidP="0088084B">
            <w:pPr>
              <w:pStyle w:val="NormalWeb"/>
            </w:pPr>
            <w:r>
              <w:t>Moxifloxacin</w:t>
            </w:r>
          </w:p>
        </w:tc>
        <w:tc>
          <w:tcPr>
            <w:tcW w:w="885" w:type="dxa"/>
            <w:hideMark/>
          </w:tcPr>
          <w:p w14:paraId="38EB7FAE" w14:textId="77777777" w:rsidR="00DE56AE" w:rsidRDefault="00DE56AE" w:rsidP="0088084B">
            <w:pPr>
              <w:pStyle w:val="NormalWeb"/>
              <w:jc w:val="center"/>
            </w:pPr>
            <w:r>
              <w:t>1.01</w:t>
            </w:r>
          </w:p>
        </w:tc>
        <w:tc>
          <w:tcPr>
            <w:tcW w:w="1134" w:type="dxa"/>
            <w:hideMark/>
          </w:tcPr>
          <w:p w14:paraId="3D8DFD05" w14:textId="77777777" w:rsidR="00DE56AE" w:rsidRDefault="00DE56AE" w:rsidP="0088084B">
            <w:pPr>
              <w:pStyle w:val="NormalWeb"/>
              <w:jc w:val="center"/>
            </w:pPr>
            <w:r>
              <w:t>0.96</w:t>
            </w:r>
          </w:p>
        </w:tc>
        <w:tc>
          <w:tcPr>
            <w:tcW w:w="1701" w:type="dxa"/>
            <w:hideMark/>
          </w:tcPr>
          <w:p w14:paraId="0B30753F" w14:textId="77777777" w:rsidR="00DE56AE" w:rsidRDefault="00DE56AE" w:rsidP="0088084B">
            <w:pPr>
              <w:pStyle w:val="NormalWeb"/>
              <w:jc w:val="center"/>
            </w:pPr>
            <w:r>
              <w:t>-5.0%</w:t>
            </w:r>
          </w:p>
        </w:tc>
        <w:tc>
          <w:tcPr>
            <w:tcW w:w="2504" w:type="dxa"/>
            <w:hideMark/>
          </w:tcPr>
          <w:p w14:paraId="5D0EAFDA" w14:textId="77777777" w:rsidR="00DE56AE" w:rsidRDefault="00DE56AE" w:rsidP="0088084B">
            <w:pPr>
              <w:pStyle w:val="NormalWeb"/>
              <w:jc w:val="center"/>
            </w:pPr>
            <w:r>
              <w:t>0.53</w:t>
            </w:r>
          </w:p>
        </w:tc>
        <w:tc>
          <w:tcPr>
            <w:tcW w:w="1557" w:type="dxa"/>
            <w:hideMark/>
          </w:tcPr>
          <w:p w14:paraId="177D205B" w14:textId="77777777" w:rsidR="00DE56AE" w:rsidRDefault="00DE56AE" w:rsidP="0088084B">
            <w:pPr>
              <w:pStyle w:val="NormalWeb"/>
              <w:jc w:val="center"/>
            </w:pPr>
            <w:r>
              <w:t>0.605</w:t>
            </w:r>
          </w:p>
        </w:tc>
      </w:tr>
      <w:tr w:rsidR="00DE56AE" w14:paraId="42671DA5" w14:textId="77777777" w:rsidTr="00881C5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E09FACF" w14:textId="77777777" w:rsidR="00DE56AE" w:rsidRDefault="00DE56AE" w:rsidP="0088084B">
            <w:pPr>
              <w:pStyle w:val="NormalWeb"/>
            </w:pPr>
            <w:r>
              <w:t>Piperacillin – tazobactam</w:t>
            </w:r>
          </w:p>
        </w:tc>
        <w:tc>
          <w:tcPr>
            <w:tcW w:w="885" w:type="dxa"/>
            <w:hideMark/>
          </w:tcPr>
          <w:p w14:paraId="2FE78249" w14:textId="77777777" w:rsidR="00DE56AE" w:rsidRDefault="00DE56AE" w:rsidP="0088084B">
            <w:pPr>
              <w:pStyle w:val="NormalWeb"/>
              <w:jc w:val="center"/>
            </w:pPr>
            <w:r>
              <w:t>54.8</w:t>
            </w:r>
          </w:p>
        </w:tc>
        <w:tc>
          <w:tcPr>
            <w:tcW w:w="1134" w:type="dxa"/>
            <w:hideMark/>
          </w:tcPr>
          <w:p w14:paraId="5F7DEF01" w14:textId="77777777" w:rsidR="00DE56AE" w:rsidRDefault="00DE56AE" w:rsidP="0088084B">
            <w:pPr>
              <w:pStyle w:val="NormalWeb"/>
              <w:jc w:val="center"/>
            </w:pPr>
            <w:r>
              <w:t>54.4</w:t>
            </w:r>
          </w:p>
        </w:tc>
        <w:tc>
          <w:tcPr>
            <w:tcW w:w="1701" w:type="dxa"/>
            <w:hideMark/>
          </w:tcPr>
          <w:p w14:paraId="7D46D3F3" w14:textId="77777777" w:rsidR="00DE56AE" w:rsidRDefault="00DE56AE" w:rsidP="0088084B">
            <w:pPr>
              <w:pStyle w:val="NormalWeb"/>
              <w:jc w:val="center"/>
            </w:pPr>
            <w:r>
              <w:t>-0.9%</w:t>
            </w:r>
          </w:p>
        </w:tc>
        <w:tc>
          <w:tcPr>
            <w:tcW w:w="2504" w:type="dxa"/>
            <w:hideMark/>
          </w:tcPr>
          <w:p w14:paraId="213E0245" w14:textId="77777777" w:rsidR="00DE56AE" w:rsidRDefault="00DE56AE" w:rsidP="0088084B">
            <w:pPr>
              <w:pStyle w:val="NormalWeb"/>
              <w:jc w:val="center"/>
            </w:pPr>
            <w:r>
              <w:t>0.68</w:t>
            </w:r>
          </w:p>
        </w:tc>
        <w:tc>
          <w:tcPr>
            <w:tcW w:w="1557" w:type="dxa"/>
            <w:hideMark/>
          </w:tcPr>
          <w:p w14:paraId="62E9E79B" w14:textId="77777777" w:rsidR="00DE56AE" w:rsidRDefault="00DE56AE" w:rsidP="0088084B">
            <w:pPr>
              <w:pStyle w:val="NormalWeb"/>
              <w:jc w:val="center"/>
            </w:pPr>
            <w:r>
              <w:t>0.508</w:t>
            </w:r>
          </w:p>
        </w:tc>
      </w:tr>
    </w:tbl>
    <w:p w14:paraId="51B557F4" w14:textId="297CD0DA" w:rsidR="00F41BD2" w:rsidRPr="00F41BD2" w:rsidRDefault="00DE56AE" w:rsidP="00F41BD2">
      <w:pPr>
        <w:pStyle w:val="CDIfootnotes"/>
        <w:rPr>
          <w:lang w:val="en-GB"/>
        </w:rPr>
      </w:pPr>
      <w:r>
        <w:rPr>
          <w:lang w:val="en-GB"/>
        </w:rPr>
        <w:t>a</w:t>
      </w:r>
      <w:r>
        <w:rPr>
          <w:lang w:val="en-GB"/>
        </w:rPr>
        <w:tab/>
        <w:t>Parenteral amoxicillin-clavulanate was registered in Australia in 2017.</w:t>
      </w:r>
    </w:p>
    <w:p w14:paraId="2253C093" w14:textId="7E16F4AC" w:rsidR="005B4B9F" w:rsidRDefault="005B4B9F" w:rsidP="005B4B9F">
      <w:r>
        <w:t xml:space="preserve">The annual increase in cefepime usage from 2019 to 2020 was driven by an increase in usage in the critical care setting. Cefepime distributions increased significantly between March and </w:t>
      </w:r>
      <w:proofErr w:type="gramStart"/>
      <w:r>
        <w:t>May 2020, and</w:t>
      </w:r>
      <w:proofErr w:type="gramEnd"/>
      <w:r>
        <w:t xml:space="preserve"> dropped off during the middle of the year before rising again in November (Figure 2). Aggregated usage of intravenous broad-spectrum agents used in critical care are shown in Figure 3b.</w:t>
      </w:r>
    </w:p>
    <w:p w14:paraId="020F8A2B" w14:textId="0831A176" w:rsidR="005B4B9F" w:rsidRDefault="005B4B9F" w:rsidP="005B4B9F">
      <w:r>
        <w:t>Victorian COVID-19 case numbers peaked in the first week of August 2020, with 6</w:t>
      </w:r>
      <w:r w:rsidR="003777D7">
        <w:t>,</w:t>
      </w:r>
      <w:r>
        <w:t xml:space="preserve">768 active cases reported on 7 August. </w:t>
      </w:r>
      <w:r>
        <w:rPr>
          <w:vertAlign w:val="superscript"/>
        </w:rPr>
        <w:t>10</w:t>
      </w:r>
      <w:r>
        <w:t xml:space="preserve"> Aggregate usage of CAP and HAP </w:t>
      </w:r>
      <w:proofErr w:type="spellStart"/>
      <w:r>
        <w:t>antibacterials</w:t>
      </w:r>
      <w:proofErr w:type="spellEnd"/>
      <w:r>
        <w:t xml:space="preserve"> is illustrated in Figure 4, comparing usage in Victorian principal referral hospitals with the national principal referral rate.</w:t>
      </w:r>
    </w:p>
    <w:p w14:paraId="29344108" w14:textId="7DD6E0C3" w:rsidR="005B4B9F" w:rsidRDefault="005B4B9F" w:rsidP="005B4B9F">
      <w:r>
        <w:t xml:space="preserve">Table </w:t>
      </w:r>
      <w:r w:rsidR="00C16B02">
        <w:t>2</w:t>
      </w:r>
      <w:r>
        <w:t xml:space="preserve"> shows the percentage change in acute-care OBDs for Victorian principal referral hospitals between 2019 and 2020 across critical care and non-critical care areas. There was a marked reduction in acute inpatient hospital activity between March and October 2020, which is reflected in the reduction in OBDs when compared to the same months in 2019. Total acute OBDs in Victorian principal referral hospitals (critical care and non-critical care combined) fell from 70,675 OBDs in April 2019 to 50,045 OBDs in April 2020, a reduction of 29.1%. Occupied bed days in the critical care setting fell between March and June, with the largest proportional reduction in April when OBDs were down 16.4% compared to the same month in 2019.</w:t>
      </w:r>
    </w:p>
    <w:p w14:paraId="54AF863B" w14:textId="77777777" w:rsidR="005B4B9F" w:rsidRDefault="005B4B9F" w:rsidP="005B4B9F">
      <w:r>
        <w:t xml:space="preserve">The fluctuations in hospital activity were most substantial in Victoria between April and September, when COVID-19 case numbers were highest. Figure 5 illustrates the variation in median monthly OBDs in principal referral hospitals nationally compared to principal referral hospitals in Victoria. Nationally, a similar reduction in acute OBDs was seen in April and May of 2020, with drops of 26.5% and 16.2% observed respectively when compared to 2019. </w:t>
      </w:r>
    </w:p>
    <w:p w14:paraId="3914C18F" w14:textId="77777777" w:rsidR="00E851D8" w:rsidRDefault="00E851D8">
      <w:pPr>
        <w:rPr>
          <w:rFonts w:asciiTheme="majorHAnsi" w:eastAsiaTheme="majorEastAsia" w:hAnsiTheme="majorHAnsi" w:cstheme="majorBidi"/>
          <w:b/>
          <w:bCs/>
          <w:sz w:val="32"/>
          <w:szCs w:val="28"/>
        </w:rPr>
      </w:pPr>
      <w:r>
        <w:br w:type="page"/>
      </w:r>
    </w:p>
    <w:p w14:paraId="6C5254E7" w14:textId="77777777" w:rsidR="00E851D8" w:rsidRPr="009E67E5" w:rsidRDefault="00E851D8" w:rsidP="00E851D8">
      <w:pPr>
        <w:pStyle w:val="CDIFigures"/>
      </w:pPr>
      <w:r w:rsidRPr="009E67E5">
        <w:rPr>
          <w:rStyle w:val="Strong"/>
          <w:b/>
          <w:bCs w:val="0"/>
        </w:rPr>
        <w:lastRenderedPageBreak/>
        <w:t>Figure 2: Cefepime use in principal referral critical care, 2019 versus 2020</w:t>
      </w:r>
    </w:p>
    <w:p w14:paraId="7198CEB2" w14:textId="2428A205" w:rsidR="005B4878" w:rsidRPr="00357F9B" w:rsidRDefault="00E851D8" w:rsidP="00357F9B">
      <w:pPr>
        <w:rPr>
          <w:rFonts w:eastAsia="Times New Roman"/>
          <w:lang w:val="en-GB"/>
        </w:rPr>
      </w:pPr>
      <w:r>
        <w:rPr>
          <w:rFonts w:eastAsia="Times New Roman"/>
          <w:noProof/>
          <w:lang w:val="en-GB"/>
        </w:rPr>
        <w:drawing>
          <wp:inline distT="0" distB="0" distL="0" distR="0" wp14:anchorId="095520CF" wp14:editId="4F76141E">
            <wp:extent cx="6563337" cy="4005470"/>
            <wp:effectExtent l="0" t="0" r="0" b="0"/>
            <wp:docPr id="2" name="Picture 2" descr="This is a line chart depicting the use of cefepime (as DDDs per 1,000 DDDs) by month (January to December) in the Critical Care setting of Australian Principal Referral hospitals for 2019 and for 2020. Percentage change between the two years is also shown for each month along the x-axis. Cefepime usage rates were higher in the first half of 2020 than in the same period of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line chart depicting the use of cefepime (as DDDs per 1,000 DDDs) by month (January to December) in the Critical Care setting of Australian Principal Referral hospitals for 2019 and for 2020. Percentage change between the two years is also shown for each month along the x-axis. Cefepime usage rates were higher in the first half of 2020 than in the same period of 20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79638" cy="4015418"/>
                    </a:xfrm>
                    <a:prstGeom prst="rect">
                      <a:avLst/>
                    </a:prstGeom>
                  </pic:spPr>
                </pic:pic>
              </a:graphicData>
            </a:graphic>
          </wp:inline>
        </w:drawing>
      </w:r>
      <w:r w:rsidR="005B4878" w:rsidRPr="009E67E5">
        <w:rPr>
          <w:rStyle w:val="Strong"/>
          <w:bCs w:val="0"/>
        </w:rPr>
        <w:t xml:space="preserve">Figure 3: National principal referral total-hospital usage rates for parenteral </w:t>
      </w:r>
      <w:proofErr w:type="spellStart"/>
      <w:r w:rsidR="005B4878" w:rsidRPr="009E67E5">
        <w:rPr>
          <w:rStyle w:val="Strong"/>
          <w:bCs w:val="0"/>
        </w:rPr>
        <w:t>antibacterials</w:t>
      </w:r>
      <w:proofErr w:type="spellEnd"/>
      <w:r w:rsidR="005B4878" w:rsidRPr="009E67E5">
        <w:rPr>
          <w:rStyle w:val="Strong"/>
          <w:bCs w:val="0"/>
        </w:rPr>
        <w:t xml:space="preserve"> used to treat hospital-acquired pneumonia January 2019 – December 2020</w:t>
      </w:r>
      <w:r w:rsidR="005B4878" w:rsidRPr="009E67E5">
        <w:rPr>
          <w:rStyle w:val="Strong"/>
          <w:bCs w:val="0"/>
          <w:vertAlign w:val="superscript"/>
        </w:rPr>
        <w:t>a</w:t>
      </w:r>
    </w:p>
    <w:p w14:paraId="0E3E83EB" w14:textId="77777777" w:rsidR="005B4878" w:rsidRPr="005B4878" w:rsidRDefault="005B4878" w:rsidP="005B4878">
      <w:pPr>
        <w:rPr>
          <w:b/>
          <w:bCs/>
          <w:lang w:val="en-GB"/>
        </w:rPr>
      </w:pPr>
      <w:r w:rsidRPr="005B4878">
        <w:rPr>
          <w:b/>
          <w:bCs/>
          <w:lang w:val="en-GB"/>
        </w:rPr>
        <w:t>(a)</w:t>
      </w:r>
      <w:r w:rsidRPr="005B4878">
        <w:rPr>
          <w:b/>
          <w:bCs/>
          <w:lang w:val="en-GB"/>
        </w:rPr>
        <w:tab/>
        <w:t>Total hospital</w:t>
      </w:r>
    </w:p>
    <w:p w14:paraId="0F578E97" w14:textId="77777777" w:rsidR="005B4878" w:rsidRDefault="005B4878" w:rsidP="005B4878">
      <w:pPr>
        <w:pStyle w:val="NormalWeb"/>
        <w:rPr>
          <w:lang w:val="en-GB"/>
        </w:rPr>
      </w:pPr>
      <w:r>
        <w:rPr>
          <w:noProof/>
          <w:lang w:val="en-GB"/>
        </w:rPr>
        <w:drawing>
          <wp:inline distT="0" distB="0" distL="0" distR="0" wp14:anchorId="62DC8F4F" wp14:editId="7FEEB084">
            <wp:extent cx="6555618" cy="3638247"/>
            <wp:effectExtent l="0" t="0" r="0" b="635"/>
            <wp:docPr id="3" name="Picture 3" descr="Figure 3a: This is a stacked bar chart depicting aggregate total-hospital monthly usage rates in Australian Principal Referral hospitals from January 2019 to December 2020. The antibacterial agents displayed are commonly used in the treatment of Hospital Acquired Pneumonia. They are: ceftriaxone, piperacillin-tazobactam, metronidazole, gentamicin, amoxicillin-clavulanate, and cefepime. Only parenteral routes are included. Rates in 2020 are slightly higher than in 2019, with a notable peak in April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a: This is a stacked bar chart depicting aggregate total-hospital monthly usage rates in Australian Principal Referral hospitals from January 2019 to December 2020. The antibacterial agents displayed are commonly used in the treatment of Hospital Acquired Pneumonia. They are: ceftriaxone, piperacillin-tazobactam, metronidazole, gentamicin, amoxicillin-clavulanate, and cefepime. Only parenteral routes are included. Rates in 2020 are slightly higher than in 2019, with a notable peak in April 202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954"/>
                    <a:stretch>
                      <a:fillRect/>
                    </a:stretch>
                  </pic:blipFill>
                  <pic:spPr bwMode="auto">
                    <a:xfrm>
                      <a:off x="0" y="0"/>
                      <a:ext cx="6570311" cy="3646401"/>
                    </a:xfrm>
                    <a:prstGeom prst="rect">
                      <a:avLst/>
                    </a:prstGeom>
                    <a:ln>
                      <a:noFill/>
                    </a:ln>
                    <a:extLst>
                      <a:ext uri="{53640926-AAD7-44D8-BBD7-CCE9431645EC}">
                        <a14:shadowObscured xmlns:a14="http://schemas.microsoft.com/office/drawing/2010/main"/>
                      </a:ext>
                    </a:extLst>
                  </pic:spPr>
                </pic:pic>
              </a:graphicData>
            </a:graphic>
          </wp:inline>
        </w:drawing>
      </w:r>
    </w:p>
    <w:p w14:paraId="2D05DD85" w14:textId="77777777" w:rsidR="005B4878" w:rsidRPr="005B4878" w:rsidRDefault="005B4878" w:rsidP="005B4878">
      <w:pPr>
        <w:rPr>
          <w:b/>
          <w:bCs/>
          <w:lang w:val="en-GB"/>
        </w:rPr>
      </w:pPr>
      <w:r w:rsidRPr="005B4878">
        <w:rPr>
          <w:b/>
          <w:bCs/>
          <w:lang w:val="en-GB"/>
        </w:rPr>
        <w:lastRenderedPageBreak/>
        <w:t>(b)</w:t>
      </w:r>
      <w:r w:rsidRPr="005B4878">
        <w:rPr>
          <w:b/>
          <w:bCs/>
          <w:lang w:val="en-GB"/>
        </w:rPr>
        <w:tab/>
        <w:t>Critical care</w:t>
      </w:r>
    </w:p>
    <w:p w14:paraId="551006AA" w14:textId="6FCA5CA7" w:rsidR="005B4878" w:rsidRPr="005B4878" w:rsidRDefault="005B4878" w:rsidP="005B4878">
      <w:pPr>
        <w:rPr>
          <w:rStyle w:val="CDIfootnotesChar"/>
        </w:rPr>
      </w:pPr>
      <w:r>
        <w:rPr>
          <w:rFonts w:eastAsia="Times New Roman"/>
          <w:noProof/>
          <w:lang w:val="en-GB"/>
        </w:rPr>
        <w:drawing>
          <wp:inline distT="0" distB="0" distL="0" distR="0" wp14:anchorId="4320F4FF" wp14:editId="02F6AE32">
            <wp:extent cx="6628130" cy="3601941"/>
            <wp:effectExtent l="0" t="0" r="1270" b="0"/>
            <wp:docPr id="4" name="Picture 4" descr="Figure 3b: This is a stacked bar chart depicting aggregate monthly usage rates in Australian Principal Referral hospitals in the Critical Care setting. The antibacterial agents displayed are commonly used in the treatment of Hospital Acquired Pneumonia. They are: ceftriaxone, piperacillin-tazobactam, metronidazole, gentamicin, amoxicillin-clavulanate, and cefepime. Only parenteral routes are included. Rates are higher in the first half of 2020 and drop off throughout the second half of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b: This is a stacked bar chart depicting aggregate monthly usage rates in Australian Principal Referral hospitals in the Critical Care setting. The antibacterial agents displayed are commonly used in the treatment of Hospital Acquired Pneumonia. They are: ceftriaxone, piperacillin-tazobactam, metronidazole, gentamicin, amoxicillin-clavulanate, and cefepime. Only parenteral routes are included. Rates are higher in the first half of 2020 and drop off throughout the second half of the yea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326" b="4112"/>
                    <a:stretch>
                      <a:fillRect/>
                    </a:stretch>
                  </pic:blipFill>
                  <pic:spPr bwMode="auto">
                    <a:xfrm>
                      <a:off x="0" y="0"/>
                      <a:ext cx="6632740" cy="3604446"/>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lang w:val="en-GB"/>
        </w:rPr>
        <w:br/>
      </w:r>
      <w:r w:rsidRPr="005B4878">
        <w:rPr>
          <w:rStyle w:val="CDIfootnotesChar"/>
        </w:rPr>
        <w:t>a</w:t>
      </w:r>
      <w:r>
        <w:rPr>
          <w:rStyle w:val="CDIfootnotesChar"/>
        </w:rPr>
        <w:tab/>
      </w:r>
      <w:r w:rsidRPr="005B4878">
        <w:rPr>
          <w:rStyle w:val="CDIfootnotesChar"/>
        </w:rPr>
        <w:t>Parenteral moxifloxacin not included with HAP agents although may be used in penicillin-allergic patients.</w:t>
      </w:r>
    </w:p>
    <w:p w14:paraId="686C8C08" w14:textId="77777777" w:rsidR="00477A15" w:rsidRPr="009E67E5" w:rsidRDefault="00477A15" w:rsidP="00477A15">
      <w:pPr>
        <w:pStyle w:val="CDIFigures"/>
      </w:pPr>
      <w:r w:rsidRPr="009E67E5">
        <w:rPr>
          <w:rStyle w:val="Strong"/>
          <w:b/>
          <w:bCs w:val="0"/>
        </w:rPr>
        <w:t xml:space="preserve">Figure 4: Aggregate usage of CAP and HAP </w:t>
      </w:r>
      <w:proofErr w:type="spellStart"/>
      <w:r w:rsidRPr="009E67E5">
        <w:rPr>
          <w:rStyle w:val="Strong"/>
          <w:b/>
          <w:bCs w:val="0"/>
        </w:rPr>
        <w:t>antibacterials</w:t>
      </w:r>
      <w:proofErr w:type="spellEnd"/>
      <w:r w:rsidRPr="009E67E5">
        <w:rPr>
          <w:rStyle w:val="Strong"/>
          <w:b/>
          <w:bCs w:val="0"/>
        </w:rPr>
        <w:t xml:space="preserve"> (oral and parenteral combined</w:t>
      </w:r>
      <w:proofErr w:type="gramStart"/>
      <w:r w:rsidRPr="009E67E5">
        <w:rPr>
          <w:rStyle w:val="Strong"/>
          <w:b/>
          <w:bCs w:val="0"/>
        </w:rPr>
        <w:t>),</w:t>
      </w:r>
      <w:proofErr w:type="spellStart"/>
      <w:r w:rsidRPr="009E67E5">
        <w:rPr>
          <w:rStyle w:val="Strong"/>
          <w:b/>
          <w:bCs w:val="0"/>
          <w:vertAlign w:val="superscript"/>
        </w:rPr>
        <w:t>a</w:t>
      </w:r>
      <w:proofErr w:type="gramEnd"/>
      <w:r w:rsidRPr="009E67E5">
        <w:rPr>
          <w:rStyle w:val="Strong"/>
          <w:b/>
          <w:bCs w:val="0"/>
          <w:vertAlign w:val="superscript"/>
        </w:rPr>
        <w:t>,b</w:t>
      </w:r>
      <w:proofErr w:type="spellEnd"/>
      <w:r w:rsidRPr="009E67E5">
        <w:rPr>
          <w:rStyle w:val="Strong"/>
          <w:b/>
          <w:bCs w:val="0"/>
        </w:rPr>
        <w:t xml:space="preserve"> Victorian and national principal referral hospitals, 2019-2020, and active COVID-19 cases in Victoria</w:t>
      </w:r>
    </w:p>
    <w:p w14:paraId="2744FAE1" w14:textId="77777777" w:rsidR="00477A15" w:rsidRDefault="00477A15" w:rsidP="00477A15">
      <w:pPr>
        <w:pStyle w:val="NormalWeb"/>
        <w:rPr>
          <w:lang w:val="en-GB"/>
        </w:rPr>
      </w:pPr>
      <w:r>
        <w:rPr>
          <w:noProof/>
          <w:lang w:val="en-GB"/>
        </w:rPr>
        <w:drawing>
          <wp:inline distT="0" distB="0" distL="0" distR="0" wp14:anchorId="57EBD066" wp14:editId="4C85598E">
            <wp:extent cx="6630785" cy="3228230"/>
            <wp:effectExtent l="0" t="0" r="0" b="0"/>
            <wp:docPr id="5" name="Picture 5" descr="This line chart shows the monthly Victorian usage rates for antibacterials used for community- and hospital-acquired pneumonia, with the corresponding national rates, between January 2019 and December 2020. It is overlayed with the active cases reported by Victoria for the same time period, peaking in July and August of 2020. Usage rates in Victoria are higher than the national aggregate rate throughout this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line chart shows the monthly Victorian usage rates for antibacterials used for community- and hospital-acquired pneumonia, with the corresponding national rates, between January 2019 and December 2020. It is overlayed with the active cases reported by Victoria for the same time period, peaking in July and August of 2020. Usage rates in Victoria are higher than the national aggregate rate throughout this perio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643629" cy="3234483"/>
                    </a:xfrm>
                    <a:prstGeom prst="rect">
                      <a:avLst/>
                    </a:prstGeom>
                  </pic:spPr>
                </pic:pic>
              </a:graphicData>
            </a:graphic>
          </wp:inline>
        </w:drawing>
      </w:r>
    </w:p>
    <w:p w14:paraId="1C5959C4" w14:textId="77777777" w:rsidR="00477A15" w:rsidRDefault="00477A15" w:rsidP="00477A15">
      <w:pPr>
        <w:pStyle w:val="CDIfootnotes"/>
        <w:rPr>
          <w:lang w:val="en-GB"/>
        </w:rPr>
      </w:pPr>
      <w:r>
        <w:rPr>
          <w:lang w:val="en-GB"/>
        </w:rPr>
        <w:t>a</w:t>
      </w:r>
      <w:r>
        <w:rPr>
          <w:lang w:val="en-GB"/>
        </w:rPr>
        <w:tab/>
        <w:t xml:space="preserve">CAP </w:t>
      </w:r>
      <w:proofErr w:type="spellStart"/>
      <w:r>
        <w:rPr>
          <w:lang w:val="en-GB"/>
        </w:rPr>
        <w:t>antibacterials</w:t>
      </w:r>
      <w:proofErr w:type="spellEnd"/>
      <w:r>
        <w:rPr>
          <w:lang w:val="en-GB"/>
        </w:rPr>
        <w:t xml:space="preserve"> (parenteral and oral): doxycycline, ceftriaxone, amoxicillin), azithromycin, benzylpenicillin, cefuroxime, moxifloxacin.</w:t>
      </w:r>
    </w:p>
    <w:p w14:paraId="5FFC2D8E" w14:textId="73D7E29F" w:rsidR="00477A15" w:rsidRPr="00477A15" w:rsidRDefault="00477A15" w:rsidP="00477A15">
      <w:pPr>
        <w:pStyle w:val="CDIfootnotes"/>
        <w:rPr>
          <w:lang w:val="en-GB"/>
        </w:rPr>
      </w:pPr>
      <w:r>
        <w:rPr>
          <w:lang w:val="en-GB"/>
        </w:rPr>
        <w:t>b</w:t>
      </w:r>
      <w:r>
        <w:rPr>
          <w:lang w:val="en-GB"/>
        </w:rPr>
        <w:tab/>
        <w:t xml:space="preserve">HAP </w:t>
      </w:r>
      <w:proofErr w:type="spellStart"/>
      <w:r>
        <w:rPr>
          <w:lang w:val="en-GB"/>
        </w:rPr>
        <w:t>antibacterials</w:t>
      </w:r>
      <w:proofErr w:type="spellEnd"/>
      <w:r>
        <w:rPr>
          <w:lang w:val="en-GB"/>
        </w:rPr>
        <w:t xml:space="preserve"> (parenteral): ceftriaxone, piperacillin-tazobactam, metronidazole, gentamicin, amoxicillin-clavulanate, cefepime.</w:t>
      </w:r>
    </w:p>
    <w:p w14:paraId="2E6332F4" w14:textId="05EF02DE" w:rsidR="004244E4" w:rsidRDefault="004244E4" w:rsidP="004244E4">
      <w:pPr>
        <w:pStyle w:val="NormalWeb"/>
        <w:rPr>
          <w:lang w:val="en-GB"/>
        </w:rPr>
      </w:pPr>
      <w:r>
        <w:rPr>
          <w:rStyle w:val="Strong"/>
          <w:lang w:val="en-GB"/>
        </w:rPr>
        <w:lastRenderedPageBreak/>
        <w:t xml:space="preserve">Table </w:t>
      </w:r>
      <w:r w:rsidR="00C16B02">
        <w:rPr>
          <w:rStyle w:val="Strong"/>
          <w:lang w:val="en-GB"/>
        </w:rPr>
        <w:t>2</w:t>
      </w:r>
      <w:r>
        <w:rPr>
          <w:rStyle w:val="Strong"/>
          <w:lang w:val="en-GB"/>
        </w:rPr>
        <w:t>: Total acute occupied bed days (OBD) for Victorian principal referral hospitals, 2019 and 2020 (n</w:t>
      </w:r>
      <w:r w:rsidR="00D92CFB">
        <w:rPr>
          <w:rStyle w:val="Strong"/>
          <w:lang w:val="en-GB"/>
        </w:rPr>
        <w:t> </w:t>
      </w:r>
      <w:r>
        <w:rPr>
          <w:rStyle w:val="Strong"/>
          <w:lang w:val="en-GB"/>
        </w:rPr>
        <w:t>=</w:t>
      </w:r>
      <w:r w:rsidR="00D92CFB">
        <w:rPr>
          <w:rStyle w:val="Strong"/>
          <w:lang w:val="en-GB"/>
        </w:rPr>
        <w:t> </w:t>
      </w:r>
      <w:r>
        <w:rPr>
          <w:rStyle w:val="Strong"/>
          <w:lang w:val="en-GB"/>
        </w:rPr>
        <w:t>6</w:t>
      </w:r>
      <w:r w:rsidR="00D92CFB">
        <w:rPr>
          <w:rStyle w:val="Strong"/>
          <w:lang w:val="en-GB"/>
        </w:rPr>
        <w:t> </w:t>
      </w:r>
      <w:r>
        <w:rPr>
          <w:rStyle w:val="Strong"/>
          <w:lang w:val="en-GB"/>
        </w:rPr>
        <w:t>hospitals)</w:t>
      </w:r>
    </w:p>
    <w:tbl>
      <w:tblPr>
        <w:tblStyle w:val="CDI-StandardTable"/>
        <w:tblW w:w="0" w:type="auto"/>
        <w:tblLook w:val="04A0" w:firstRow="1" w:lastRow="0" w:firstColumn="1" w:lastColumn="0" w:noHBand="0" w:noVBand="1"/>
        <w:tblDescription w:val=": This table shows the number of acute occupied bed days as a measure of Principal Referral hospital activity in Victoria by month for 2019 and 2020. There are columns for Critical Care and non-Critical Care. The change for each month between 2019 and 2020 is shown as a percentage. Occupancy dropped in both Critical Care and non-Critical Care settings from March 2020. Critical Care occupancy increased slightly during the peak of COVID-19.&#10;"/>
      </w:tblPr>
      <w:tblGrid>
        <w:gridCol w:w="2410"/>
        <w:gridCol w:w="851"/>
        <w:gridCol w:w="850"/>
        <w:gridCol w:w="2398"/>
        <w:gridCol w:w="727"/>
        <w:gridCol w:w="850"/>
        <w:gridCol w:w="2380"/>
      </w:tblGrid>
      <w:tr w:rsidR="004244E4" w:rsidRPr="00CD4531" w14:paraId="37F24614" w14:textId="77777777" w:rsidTr="004244E4">
        <w:trPr>
          <w:cnfStyle w:val="100000000000" w:firstRow="1" w:lastRow="0" w:firstColumn="0" w:lastColumn="0" w:oddVBand="0" w:evenVBand="0" w:oddHBand="0" w:evenHBand="0" w:firstRowFirstColumn="0" w:firstRowLastColumn="0" w:lastRowFirstColumn="0" w:lastRowLastColumn="0"/>
          <w:tblHeader/>
        </w:trPr>
        <w:tc>
          <w:tcPr>
            <w:tcW w:w="2410" w:type="dxa"/>
            <w:tcBorders>
              <w:bottom w:val="single" w:sz="2" w:space="0" w:color="FFFFFF" w:themeColor="background1"/>
              <w:right w:val="single" w:sz="2" w:space="0" w:color="FFFFFF" w:themeColor="background1"/>
            </w:tcBorders>
            <w:hideMark/>
          </w:tcPr>
          <w:p w14:paraId="2EA67B61" w14:textId="77777777" w:rsidR="004244E4" w:rsidRPr="00CD4531" w:rsidRDefault="004244E4" w:rsidP="0088084B">
            <w:pPr>
              <w:rPr>
                <w:color w:val="FFFFFF" w:themeColor="background1"/>
                <w:lang w:val="en-GB"/>
              </w:rPr>
            </w:pPr>
          </w:p>
        </w:tc>
        <w:tc>
          <w:tcPr>
            <w:tcW w:w="4099" w:type="dxa"/>
            <w:gridSpan w:val="3"/>
            <w:tcBorders>
              <w:left w:val="single" w:sz="2" w:space="0" w:color="FFFFFF" w:themeColor="background1"/>
              <w:bottom w:val="single" w:sz="2" w:space="0" w:color="FFFFFF" w:themeColor="background1"/>
              <w:right w:val="single" w:sz="2" w:space="0" w:color="FFFFFF" w:themeColor="background1"/>
            </w:tcBorders>
            <w:hideMark/>
          </w:tcPr>
          <w:p w14:paraId="43D80FAE" w14:textId="77777777" w:rsidR="004244E4" w:rsidRPr="00CD4531" w:rsidRDefault="004244E4" w:rsidP="0088084B">
            <w:pPr>
              <w:pStyle w:val="NormalWeb"/>
              <w:jc w:val="center"/>
              <w:rPr>
                <w:color w:val="FFFFFF" w:themeColor="background1"/>
                <w:sz w:val="24"/>
                <w:szCs w:val="24"/>
              </w:rPr>
            </w:pPr>
            <w:r w:rsidRPr="00CD4531">
              <w:rPr>
                <w:color w:val="FFFFFF" w:themeColor="background1"/>
              </w:rPr>
              <w:t>Critical care</w:t>
            </w:r>
          </w:p>
        </w:tc>
        <w:tc>
          <w:tcPr>
            <w:tcW w:w="3957" w:type="dxa"/>
            <w:gridSpan w:val="3"/>
            <w:tcBorders>
              <w:left w:val="single" w:sz="2" w:space="0" w:color="FFFFFF" w:themeColor="background1"/>
              <w:bottom w:val="single" w:sz="2" w:space="0" w:color="FFFFFF" w:themeColor="background1"/>
            </w:tcBorders>
            <w:hideMark/>
          </w:tcPr>
          <w:p w14:paraId="52DE5F13" w14:textId="77777777" w:rsidR="004244E4" w:rsidRPr="00CD4531" w:rsidRDefault="004244E4" w:rsidP="0088084B">
            <w:pPr>
              <w:pStyle w:val="NormalWeb"/>
              <w:jc w:val="center"/>
              <w:rPr>
                <w:color w:val="FFFFFF" w:themeColor="background1"/>
              </w:rPr>
            </w:pPr>
            <w:r w:rsidRPr="00CD4531">
              <w:rPr>
                <w:color w:val="FFFFFF" w:themeColor="background1"/>
              </w:rPr>
              <w:t>Non-critical care</w:t>
            </w:r>
          </w:p>
        </w:tc>
      </w:tr>
      <w:tr w:rsidR="004244E4" w:rsidRPr="00CD4531" w14:paraId="6AE370B6" w14:textId="77777777" w:rsidTr="004244E4">
        <w:trPr>
          <w:cnfStyle w:val="100000000000" w:firstRow="1" w:lastRow="0" w:firstColumn="0" w:lastColumn="0" w:oddVBand="0" w:evenVBand="0" w:oddHBand="0" w:evenHBand="0" w:firstRowFirstColumn="0" w:firstRowLastColumn="0" w:lastRowFirstColumn="0" w:lastRowLastColumn="0"/>
          <w:tblHeader/>
        </w:trPr>
        <w:tc>
          <w:tcPr>
            <w:tcW w:w="2410" w:type="dxa"/>
            <w:tcBorders>
              <w:top w:val="single" w:sz="2" w:space="0" w:color="FFFFFF" w:themeColor="background1"/>
              <w:right w:val="single" w:sz="2" w:space="0" w:color="FFFFFF" w:themeColor="background1"/>
            </w:tcBorders>
            <w:hideMark/>
          </w:tcPr>
          <w:p w14:paraId="64772F80" w14:textId="77777777" w:rsidR="004244E4" w:rsidRPr="00CD4531" w:rsidRDefault="004244E4" w:rsidP="0088084B">
            <w:pPr>
              <w:pStyle w:val="NormalWeb"/>
              <w:rPr>
                <w:color w:val="FFFFFF" w:themeColor="background1"/>
              </w:rPr>
            </w:pPr>
            <w:r w:rsidRPr="00CD4531">
              <w:rPr>
                <w:color w:val="FFFFFF" w:themeColor="background1"/>
              </w:rPr>
              <w:t>Month</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4B663138" w14:textId="77777777" w:rsidR="004244E4" w:rsidRPr="00CD4531" w:rsidRDefault="004244E4" w:rsidP="0088084B">
            <w:pPr>
              <w:pStyle w:val="NormalWeb"/>
              <w:jc w:val="center"/>
              <w:rPr>
                <w:color w:val="FFFFFF" w:themeColor="background1"/>
              </w:rPr>
            </w:pPr>
            <w:r w:rsidRPr="00CD4531">
              <w:rPr>
                <w:color w:val="FFFFFF" w:themeColor="background1"/>
              </w:rPr>
              <w:t>2019</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2A7B0484" w14:textId="77777777" w:rsidR="004244E4" w:rsidRPr="00CD4531" w:rsidRDefault="004244E4" w:rsidP="0088084B">
            <w:pPr>
              <w:pStyle w:val="NormalWeb"/>
              <w:jc w:val="center"/>
              <w:rPr>
                <w:color w:val="FFFFFF" w:themeColor="background1"/>
              </w:rPr>
            </w:pPr>
            <w:r w:rsidRPr="00CD4531">
              <w:rPr>
                <w:color w:val="FFFFFF" w:themeColor="background1"/>
              </w:rPr>
              <w:t>2020</w:t>
            </w:r>
          </w:p>
        </w:tc>
        <w:tc>
          <w:tcPr>
            <w:tcW w:w="2398" w:type="dxa"/>
            <w:tcBorders>
              <w:top w:val="single" w:sz="2" w:space="0" w:color="FFFFFF" w:themeColor="background1"/>
              <w:left w:val="single" w:sz="2" w:space="0" w:color="FFFFFF" w:themeColor="background1"/>
              <w:right w:val="single" w:sz="2" w:space="0" w:color="FFFFFF" w:themeColor="background1"/>
            </w:tcBorders>
            <w:hideMark/>
          </w:tcPr>
          <w:p w14:paraId="4C690741" w14:textId="77777777" w:rsidR="004244E4" w:rsidRPr="00CD4531" w:rsidRDefault="004244E4" w:rsidP="0088084B">
            <w:pPr>
              <w:pStyle w:val="NormalWeb"/>
              <w:jc w:val="center"/>
              <w:rPr>
                <w:color w:val="FFFFFF" w:themeColor="background1"/>
              </w:rPr>
            </w:pPr>
            <w:r w:rsidRPr="00CD4531">
              <w:rPr>
                <w:color w:val="FFFFFF" w:themeColor="background1"/>
              </w:rPr>
              <w:t>% change 2019 to 2020</w:t>
            </w:r>
          </w:p>
        </w:tc>
        <w:tc>
          <w:tcPr>
            <w:tcW w:w="727" w:type="dxa"/>
            <w:tcBorders>
              <w:top w:val="single" w:sz="2" w:space="0" w:color="FFFFFF" w:themeColor="background1"/>
              <w:left w:val="single" w:sz="2" w:space="0" w:color="FFFFFF" w:themeColor="background1"/>
              <w:right w:val="single" w:sz="2" w:space="0" w:color="FFFFFF" w:themeColor="background1"/>
            </w:tcBorders>
            <w:hideMark/>
          </w:tcPr>
          <w:p w14:paraId="74483781" w14:textId="77777777" w:rsidR="004244E4" w:rsidRPr="00CD4531" w:rsidRDefault="004244E4" w:rsidP="0088084B">
            <w:pPr>
              <w:pStyle w:val="NormalWeb"/>
              <w:jc w:val="center"/>
              <w:rPr>
                <w:color w:val="FFFFFF" w:themeColor="background1"/>
              </w:rPr>
            </w:pPr>
            <w:r w:rsidRPr="00CD4531">
              <w:rPr>
                <w:color w:val="FFFFFF" w:themeColor="background1"/>
              </w:rPr>
              <w:t>2019</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1186497A" w14:textId="77777777" w:rsidR="004244E4" w:rsidRPr="00CD4531" w:rsidRDefault="004244E4" w:rsidP="0088084B">
            <w:pPr>
              <w:pStyle w:val="NormalWeb"/>
              <w:jc w:val="center"/>
              <w:rPr>
                <w:color w:val="FFFFFF" w:themeColor="background1"/>
              </w:rPr>
            </w:pPr>
            <w:r w:rsidRPr="00CD4531">
              <w:rPr>
                <w:color w:val="FFFFFF" w:themeColor="background1"/>
              </w:rPr>
              <w:t>2020</w:t>
            </w:r>
          </w:p>
        </w:tc>
        <w:tc>
          <w:tcPr>
            <w:tcW w:w="2380" w:type="dxa"/>
            <w:tcBorders>
              <w:top w:val="single" w:sz="2" w:space="0" w:color="FFFFFF" w:themeColor="background1"/>
              <w:left w:val="single" w:sz="2" w:space="0" w:color="FFFFFF" w:themeColor="background1"/>
            </w:tcBorders>
            <w:hideMark/>
          </w:tcPr>
          <w:p w14:paraId="67BD794D" w14:textId="77777777" w:rsidR="004244E4" w:rsidRPr="00CD4531" w:rsidRDefault="004244E4" w:rsidP="0088084B">
            <w:pPr>
              <w:pStyle w:val="NormalWeb"/>
              <w:jc w:val="center"/>
              <w:rPr>
                <w:color w:val="FFFFFF" w:themeColor="background1"/>
              </w:rPr>
            </w:pPr>
            <w:r w:rsidRPr="00CD4531">
              <w:rPr>
                <w:color w:val="FFFFFF" w:themeColor="background1"/>
              </w:rPr>
              <w:t>% change 2019 to 2020</w:t>
            </w:r>
          </w:p>
        </w:tc>
      </w:tr>
      <w:tr w:rsidR="004244E4" w14:paraId="611C38E6" w14:textId="77777777" w:rsidTr="004244E4">
        <w:tblPrEx>
          <w:tblCellMar>
            <w:top w:w="57" w:type="dxa"/>
            <w:left w:w="57" w:type="dxa"/>
            <w:bottom w:w="57" w:type="dxa"/>
            <w:right w:w="57" w:type="dxa"/>
          </w:tblCellMar>
        </w:tblPrEx>
        <w:tc>
          <w:tcPr>
            <w:tcW w:w="2410" w:type="dxa"/>
            <w:hideMark/>
          </w:tcPr>
          <w:p w14:paraId="3267EBFB" w14:textId="77777777" w:rsidR="004244E4" w:rsidRDefault="004244E4" w:rsidP="0088084B">
            <w:pPr>
              <w:pStyle w:val="NormalWeb"/>
            </w:pPr>
            <w:r>
              <w:t>January</w:t>
            </w:r>
          </w:p>
        </w:tc>
        <w:tc>
          <w:tcPr>
            <w:tcW w:w="851" w:type="dxa"/>
            <w:hideMark/>
          </w:tcPr>
          <w:p w14:paraId="57D4CB62" w14:textId="77777777" w:rsidR="004244E4" w:rsidRDefault="004244E4" w:rsidP="0088084B">
            <w:pPr>
              <w:pStyle w:val="NormalWeb"/>
              <w:jc w:val="center"/>
            </w:pPr>
            <w:r>
              <w:t>3,945</w:t>
            </w:r>
          </w:p>
        </w:tc>
        <w:tc>
          <w:tcPr>
            <w:tcW w:w="850" w:type="dxa"/>
            <w:hideMark/>
          </w:tcPr>
          <w:p w14:paraId="198B4838" w14:textId="77777777" w:rsidR="004244E4" w:rsidRDefault="004244E4" w:rsidP="0088084B">
            <w:pPr>
              <w:pStyle w:val="NormalWeb"/>
              <w:jc w:val="center"/>
            </w:pPr>
            <w:r>
              <w:t>4,264</w:t>
            </w:r>
          </w:p>
        </w:tc>
        <w:tc>
          <w:tcPr>
            <w:tcW w:w="2398" w:type="dxa"/>
            <w:hideMark/>
          </w:tcPr>
          <w:p w14:paraId="0F5E491D" w14:textId="77777777" w:rsidR="004244E4" w:rsidRDefault="004244E4" w:rsidP="0088084B">
            <w:pPr>
              <w:pStyle w:val="NormalWeb"/>
              <w:jc w:val="center"/>
            </w:pPr>
            <w:r>
              <w:t>8.1</w:t>
            </w:r>
          </w:p>
        </w:tc>
        <w:tc>
          <w:tcPr>
            <w:tcW w:w="727" w:type="dxa"/>
            <w:hideMark/>
          </w:tcPr>
          <w:p w14:paraId="2F279CED" w14:textId="77777777" w:rsidR="004244E4" w:rsidRDefault="004244E4" w:rsidP="0088084B">
            <w:pPr>
              <w:pStyle w:val="NormalWeb"/>
              <w:jc w:val="center"/>
            </w:pPr>
            <w:r>
              <w:t>64,734</w:t>
            </w:r>
          </w:p>
        </w:tc>
        <w:tc>
          <w:tcPr>
            <w:tcW w:w="850" w:type="dxa"/>
            <w:hideMark/>
          </w:tcPr>
          <w:p w14:paraId="1DBBFD34" w14:textId="77777777" w:rsidR="004244E4" w:rsidRDefault="004244E4" w:rsidP="0088084B">
            <w:pPr>
              <w:pStyle w:val="NormalWeb"/>
              <w:jc w:val="center"/>
            </w:pPr>
            <w:r>
              <w:t>65,572</w:t>
            </w:r>
          </w:p>
        </w:tc>
        <w:tc>
          <w:tcPr>
            <w:tcW w:w="2380" w:type="dxa"/>
            <w:hideMark/>
          </w:tcPr>
          <w:p w14:paraId="4FED63D8" w14:textId="77777777" w:rsidR="004244E4" w:rsidRDefault="004244E4" w:rsidP="0088084B">
            <w:pPr>
              <w:pStyle w:val="NormalWeb"/>
              <w:jc w:val="center"/>
            </w:pPr>
            <w:r>
              <w:t>1.3</w:t>
            </w:r>
          </w:p>
        </w:tc>
      </w:tr>
      <w:tr w:rsidR="004244E4" w14:paraId="7A99133A" w14:textId="77777777" w:rsidTr="004244E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410" w:type="dxa"/>
            <w:hideMark/>
          </w:tcPr>
          <w:p w14:paraId="12BFAAD2" w14:textId="77777777" w:rsidR="004244E4" w:rsidRDefault="004244E4" w:rsidP="0088084B">
            <w:pPr>
              <w:pStyle w:val="NormalWeb"/>
            </w:pPr>
            <w:r>
              <w:t>February</w:t>
            </w:r>
          </w:p>
        </w:tc>
        <w:tc>
          <w:tcPr>
            <w:tcW w:w="851" w:type="dxa"/>
            <w:hideMark/>
          </w:tcPr>
          <w:p w14:paraId="5E08F6E8" w14:textId="77777777" w:rsidR="004244E4" w:rsidRDefault="004244E4" w:rsidP="0088084B">
            <w:pPr>
              <w:pStyle w:val="NormalWeb"/>
              <w:jc w:val="center"/>
            </w:pPr>
            <w:r>
              <w:t>3,736</w:t>
            </w:r>
          </w:p>
        </w:tc>
        <w:tc>
          <w:tcPr>
            <w:tcW w:w="850" w:type="dxa"/>
            <w:hideMark/>
          </w:tcPr>
          <w:p w14:paraId="18F4FA1A" w14:textId="77777777" w:rsidR="004244E4" w:rsidRDefault="004244E4" w:rsidP="0088084B">
            <w:pPr>
              <w:pStyle w:val="NormalWeb"/>
              <w:jc w:val="center"/>
            </w:pPr>
            <w:r>
              <w:t>4,044</w:t>
            </w:r>
          </w:p>
        </w:tc>
        <w:tc>
          <w:tcPr>
            <w:tcW w:w="2398" w:type="dxa"/>
            <w:hideMark/>
          </w:tcPr>
          <w:p w14:paraId="092B666E" w14:textId="77777777" w:rsidR="004244E4" w:rsidRDefault="004244E4" w:rsidP="0088084B">
            <w:pPr>
              <w:pStyle w:val="NormalWeb"/>
              <w:jc w:val="center"/>
            </w:pPr>
            <w:r>
              <w:t>8.2</w:t>
            </w:r>
          </w:p>
        </w:tc>
        <w:tc>
          <w:tcPr>
            <w:tcW w:w="727" w:type="dxa"/>
            <w:hideMark/>
          </w:tcPr>
          <w:p w14:paraId="6105392A" w14:textId="77777777" w:rsidR="004244E4" w:rsidRDefault="004244E4" w:rsidP="0088084B">
            <w:pPr>
              <w:pStyle w:val="NormalWeb"/>
              <w:jc w:val="center"/>
            </w:pPr>
            <w:r>
              <w:t>60,678</w:t>
            </w:r>
          </w:p>
        </w:tc>
        <w:tc>
          <w:tcPr>
            <w:tcW w:w="850" w:type="dxa"/>
            <w:hideMark/>
          </w:tcPr>
          <w:p w14:paraId="206EEABC" w14:textId="77777777" w:rsidR="004244E4" w:rsidRDefault="004244E4" w:rsidP="0088084B">
            <w:pPr>
              <w:pStyle w:val="NormalWeb"/>
              <w:jc w:val="center"/>
            </w:pPr>
            <w:r>
              <w:t>65,012</w:t>
            </w:r>
          </w:p>
        </w:tc>
        <w:tc>
          <w:tcPr>
            <w:tcW w:w="2380" w:type="dxa"/>
            <w:hideMark/>
          </w:tcPr>
          <w:p w14:paraId="5A2FE60B" w14:textId="77777777" w:rsidR="004244E4" w:rsidRDefault="004244E4" w:rsidP="0088084B">
            <w:pPr>
              <w:pStyle w:val="NormalWeb"/>
              <w:jc w:val="center"/>
            </w:pPr>
            <w:r>
              <w:t>7.1</w:t>
            </w:r>
          </w:p>
        </w:tc>
      </w:tr>
      <w:tr w:rsidR="004244E4" w14:paraId="35A929C4" w14:textId="77777777" w:rsidTr="004244E4">
        <w:tblPrEx>
          <w:tblCellMar>
            <w:top w:w="57" w:type="dxa"/>
            <w:left w:w="57" w:type="dxa"/>
            <w:bottom w:w="57" w:type="dxa"/>
            <w:right w:w="57" w:type="dxa"/>
          </w:tblCellMar>
        </w:tblPrEx>
        <w:tc>
          <w:tcPr>
            <w:tcW w:w="2410" w:type="dxa"/>
            <w:hideMark/>
          </w:tcPr>
          <w:p w14:paraId="5D83931A" w14:textId="77777777" w:rsidR="004244E4" w:rsidRDefault="004244E4" w:rsidP="0088084B">
            <w:pPr>
              <w:pStyle w:val="NormalWeb"/>
            </w:pPr>
            <w:r>
              <w:t>March</w:t>
            </w:r>
          </w:p>
        </w:tc>
        <w:tc>
          <w:tcPr>
            <w:tcW w:w="851" w:type="dxa"/>
            <w:hideMark/>
          </w:tcPr>
          <w:p w14:paraId="1BAF302D" w14:textId="77777777" w:rsidR="004244E4" w:rsidRDefault="004244E4" w:rsidP="0088084B">
            <w:pPr>
              <w:pStyle w:val="NormalWeb"/>
              <w:jc w:val="center"/>
            </w:pPr>
            <w:r>
              <w:t>4,109</w:t>
            </w:r>
          </w:p>
        </w:tc>
        <w:tc>
          <w:tcPr>
            <w:tcW w:w="850" w:type="dxa"/>
            <w:hideMark/>
          </w:tcPr>
          <w:p w14:paraId="2AD7FF1F" w14:textId="77777777" w:rsidR="004244E4" w:rsidRDefault="004244E4" w:rsidP="0088084B">
            <w:pPr>
              <w:pStyle w:val="NormalWeb"/>
              <w:jc w:val="center"/>
            </w:pPr>
            <w:r>
              <w:t>3,994</w:t>
            </w:r>
          </w:p>
        </w:tc>
        <w:tc>
          <w:tcPr>
            <w:tcW w:w="2398" w:type="dxa"/>
            <w:hideMark/>
          </w:tcPr>
          <w:p w14:paraId="3B631AC2" w14:textId="77777777" w:rsidR="004244E4" w:rsidRDefault="004244E4" w:rsidP="0088084B">
            <w:pPr>
              <w:pStyle w:val="NormalWeb"/>
              <w:jc w:val="center"/>
            </w:pPr>
            <w:r>
              <w:t>-2.8</w:t>
            </w:r>
          </w:p>
        </w:tc>
        <w:tc>
          <w:tcPr>
            <w:tcW w:w="727" w:type="dxa"/>
            <w:hideMark/>
          </w:tcPr>
          <w:p w14:paraId="64065DCA" w14:textId="77777777" w:rsidR="004244E4" w:rsidRDefault="004244E4" w:rsidP="0088084B">
            <w:pPr>
              <w:pStyle w:val="NormalWeb"/>
              <w:jc w:val="center"/>
            </w:pPr>
            <w:r>
              <w:t>67,504</w:t>
            </w:r>
          </w:p>
        </w:tc>
        <w:tc>
          <w:tcPr>
            <w:tcW w:w="850" w:type="dxa"/>
            <w:hideMark/>
          </w:tcPr>
          <w:p w14:paraId="6348FC00" w14:textId="77777777" w:rsidR="004244E4" w:rsidRDefault="004244E4" w:rsidP="0088084B">
            <w:pPr>
              <w:pStyle w:val="NormalWeb"/>
              <w:jc w:val="center"/>
            </w:pPr>
            <w:r>
              <w:t>61,201</w:t>
            </w:r>
          </w:p>
        </w:tc>
        <w:tc>
          <w:tcPr>
            <w:tcW w:w="2380" w:type="dxa"/>
            <w:hideMark/>
          </w:tcPr>
          <w:p w14:paraId="01F8823E" w14:textId="77777777" w:rsidR="004244E4" w:rsidRDefault="004244E4" w:rsidP="0088084B">
            <w:pPr>
              <w:pStyle w:val="NormalWeb"/>
              <w:jc w:val="center"/>
            </w:pPr>
            <w:r>
              <w:t>-9.3</w:t>
            </w:r>
          </w:p>
        </w:tc>
      </w:tr>
      <w:tr w:rsidR="004244E4" w14:paraId="71A6DE41" w14:textId="77777777" w:rsidTr="004244E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410" w:type="dxa"/>
            <w:hideMark/>
          </w:tcPr>
          <w:p w14:paraId="35B4023F" w14:textId="77777777" w:rsidR="004244E4" w:rsidRDefault="004244E4" w:rsidP="0088084B">
            <w:pPr>
              <w:pStyle w:val="NormalWeb"/>
            </w:pPr>
            <w:r>
              <w:t>April</w:t>
            </w:r>
          </w:p>
        </w:tc>
        <w:tc>
          <w:tcPr>
            <w:tcW w:w="851" w:type="dxa"/>
            <w:hideMark/>
          </w:tcPr>
          <w:p w14:paraId="55C704A6" w14:textId="77777777" w:rsidR="004244E4" w:rsidRDefault="004244E4" w:rsidP="0088084B">
            <w:pPr>
              <w:pStyle w:val="NormalWeb"/>
              <w:jc w:val="center"/>
            </w:pPr>
            <w:r>
              <w:t>3,957</w:t>
            </w:r>
          </w:p>
        </w:tc>
        <w:tc>
          <w:tcPr>
            <w:tcW w:w="850" w:type="dxa"/>
            <w:hideMark/>
          </w:tcPr>
          <w:p w14:paraId="4F0A455F" w14:textId="77777777" w:rsidR="004244E4" w:rsidRDefault="004244E4" w:rsidP="0088084B">
            <w:pPr>
              <w:pStyle w:val="NormalWeb"/>
              <w:jc w:val="center"/>
            </w:pPr>
            <w:r>
              <w:t>3,309</w:t>
            </w:r>
          </w:p>
        </w:tc>
        <w:tc>
          <w:tcPr>
            <w:tcW w:w="2398" w:type="dxa"/>
            <w:hideMark/>
          </w:tcPr>
          <w:p w14:paraId="58142B05" w14:textId="77777777" w:rsidR="004244E4" w:rsidRDefault="004244E4" w:rsidP="0088084B">
            <w:pPr>
              <w:pStyle w:val="NormalWeb"/>
              <w:jc w:val="center"/>
            </w:pPr>
            <w:r>
              <w:t>-16.4</w:t>
            </w:r>
          </w:p>
        </w:tc>
        <w:tc>
          <w:tcPr>
            <w:tcW w:w="727" w:type="dxa"/>
            <w:hideMark/>
          </w:tcPr>
          <w:p w14:paraId="18C35308" w14:textId="77777777" w:rsidR="004244E4" w:rsidRDefault="004244E4" w:rsidP="0088084B">
            <w:pPr>
              <w:pStyle w:val="NormalWeb"/>
              <w:jc w:val="center"/>
            </w:pPr>
            <w:r>
              <w:t>66,718</w:t>
            </w:r>
          </w:p>
        </w:tc>
        <w:tc>
          <w:tcPr>
            <w:tcW w:w="850" w:type="dxa"/>
            <w:hideMark/>
          </w:tcPr>
          <w:p w14:paraId="1855292F" w14:textId="77777777" w:rsidR="004244E4" w:rsidRDefault="004244E4" w:rsidP="0088084B">
            <w:pPr>
              <w:pStyle w:val="NormalWeb"/>
              <w:jc w:val="center"/>
            </w:pPr>
            <w:r>
              <w:t>46,736</w:t>
            </w:r>
          </w:p>
        </w:tc>
        <w:tc>
          <w:tcPr>
            <w:tcW w:w="2380" w:type="dxa"/>
            <w:hideMark/>
          </w:tcPr>
          <w:p w14:paraId="1619AA4C" w14:textId="77777777" w:rsidR="004244E4" w:rsidRDefault="004244E4" w:rsidP="0088084B">
            <w:pPr>
              <w:pStyle w:val="NormalWeb"/>
              <w:jc w:val="center"/>
            </w:pPr>
            <w:r>
              <w:t>-29.9</w:t>
            </w:r>
          </w:p>
        </w:tc>
      </w:tr>
      <w:tr w:rsidR="004244E4" w14:paraId="601072A2" w14:textId="77777777" w:rsidTr="004244E4">
        <w:tblPrEx>
          <w:tblCellMar>
            <w:top w:w="57" w:type="dxa"/>
            <w:left w:w="57" w:type="dxa"/>
            <w:bottom w:w="57" w:type="dxa"/>
            <w:right w:w="57" w:type="dxa"/>
          </w:tblCellMar>
        </w:tblPrEx>
        <w:tc>
          <w:tcPr>
            <w:tcW w:w="2410" w:type="dxa"/>
            <w:hideMark/>
          </w:tcPr>
          <w:p w14:paraId="29A949BE" w14:textId="77777777" w:rsidR="004244E4" w:rsidRDefault="004244E4" w:rsidP="0088084B">
            <w:pPr>
              <w:pStyle w:val="NormalWeb"/>
            </w:pPr>
            <w:r>
              <w:t>May</w:t>
            </w:r>
          </w:p>
        </w:tc>
        <w:tc>
          <w:tcPr>
            <w:tcW w:w="851" w:type="dxa"/>
            <w:hideMark/>
          </w:tcPr>
          <w:p w14:paraId="5E7EC7AD" w14:textId="77777777" w:rsidR="004244E4" w:rsidRDefault="004244E4" w:rsidP="0088084B">
            <w:pPr>
              <w:pStyle w:val="NormalWeb"/>
              <w:jc w:val="center"/>
            </w:pPr>
            <w:r>
              <w:t>4,272</w:t>
            </w:r>
          </w:p>
        </w:tc>
        <w:tc>
          <w:tcPr>
            <w:tcW w:w="850" w:type="dxa"/>
            <w:hideMark/>
          </w:tcPr>
          <w:p w14:paraId="40BF26E4" w14:textId="77777777" w:rsidR="004244E4" w:rsidRDefault="004244E4" w:rsidP="0088084B">
            <w:pPr>
              <w:pStyle w:val="NormalWeb"/>
              <w:jc w:val="center"/>
            </w:pPr>
            <w:r>
              <w:t>3,742</w:t>
            </w:r>
          </w:p>
        </w:tc>
        <w:tc>
          <w:tcPr>
            <w:tcW w:w="2398" w:type="dxa"/>
            <w:hideMark/>
          </w:tcPr>
          <w:p w14:paraId="0043DA04" w14:textId="77777777" w:rsidR="004244E4" w:rsidRDefault="004244E4" w:rsidP="0088084B">
            <w:pPr>
              <w:pStyle w:val="NormalWeb"/>
              <w:jc w:val="center"/>
            </w:pPr>
            <w:r>
              <w:t>-12.4</w:t>
            </w:r>
          </w:p>
        </w:tc>
        <w:tc>
          <w:tcPr>
            <w:tcW w:w="727" w:type="dxa"/>
            <w:hideMark/>
          </w:tcPr>
          <w:p w14:paraId="460F6F1E" w14:textId="77777777" w:rsidR="004244E4" w:rsidRDefault="004244E4" w:rsidP="0088084B">
            <w:pPr>
              <w:pStyle w:val="NormalWeb"/>
              <w:jc w:val="center"/>
            </w:pPr>
            <w:r>
              <w:t>70,887</w:t>
            </w:r>
          </w:p>
        </w:tc>
        <w:tc>
          <w:tcPr>
            <w:tcW w:w="850" w:type="dxa"/>
            <w:hideMark/>
          </w:tcPr>
          <w:p w14:paraId="5926BD6C" w14:textId="77777777" w:rsidR="004244E4" w:rsidRDefault="004244E4" w:rsidP="0088084B">
            <w:pPr>
              <w:pStyle w:val="NormalWeb"/>
              <w:jc w:val="center"/>
            </w:pPr>
            <w:r>
              <w:t>57,593</w:t>
            </w:r>
          </w:p>
        </w:tc>
        <w:tc>
          <w:tcPr>
            <w:tcW w:w="2380" w:type="dxa"/>
            <w:hideMark/>
          </w:tcPr>
          <w:p w14:paraId="3E3DB333" w14:textId="77777777" w:rsidR="004244E4" w:rsidRDefault="004244E4" w:rsidP="0088084B">
            <w:pPr>
              <w:pStyle w:val="NormalWeb"/>
              <w:jc w:val="center"/>
            </w:pPr>
            <w:r>
              <w:t>-18.8</w:t>
            </w:r>
          </w:p>
        </w:tc>
      </w:tr>
      <w:tr w:rsidR="004244E4" w14:paraId="0651CE12" w14:textId="77777777" w:rsidTr="004244E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410" w:type="dxa"/>
            <w:hideMark/>
          </w:tcPr>
          <w:p w14:paraId="720A9926" w14:textId="77777777" w:rsidR="004244E4" w:rsidRDefault="004244E4" w:rsidP="0088084B">
            <w:pPr>
              <w:pStyle w:val="NormalWeb"/>
            </w:pPr>
            <w:r>
              <w:t>June</w:t>
            </w:r>
          </w:p>
        </w:tc>
        <w:tc>
          <w:tcPr>
            <w:tcW w:w="851" w:type="dxa"/>
            <w:hideMark/>
          </w:tcPr>
          <w:p w14:paraId="1BA24104" w14:textId="77777777" w:rsidR="004244E4" w:rsidRDefault="004244E4" w:rsidP="0088084B">
            <w:pPr>
              <w:pStyle w:val="NormalWeb"/>
              <w:jc w:val="center"/>
            </w:pPr>
            <w:r>
              <w:t>4,076</w:t>
            </w:r>
          </w:p>
        </w:tc>
        <w:tc>
          <w:tcPr>
            <w:tcW w:w="850" w:type="dxa"/>
            <w:hideMark/>
          </w:tcPr>
          <w:p w14:paraId="3AA4F3D2" w14:textId="77777777" w:rsidR="004244E4" w:rsidRDefault="004244E4" w:rsidP="0088084B">
            <w:pPr>
              <w:pStyle w:val="NormalWeb"/>
              <w:jc w:val="center"/>
            </w:pPr>
            <w:r>
              <w:t>3,765</w:t>
            </w:r>
          </w:p>
        </w:tc>
        <w:tc>
          <w:tcPr>
            <w:tcW w:w="2398" w:type="dxa"/>
            <w:hideMark/>
          </w:tcPr>
          <w:p w14:paraId="652A900F" w14:textId="77777777" w:rsidR="004244E4" w:rsidRDefault="004244E4" w:rsidP="0088084B">
            <w:pPr>
              <w:pStyle w:val="NormalWeb"/>
              <w:jc w:val="center"/>
            </w:pPr>
            <w:r>
              <w:t>-7.6</w:t>
            </w:r>
          </w:p>
        </w:tc>
        <w:tc>
          <w:tcPr>
            <w:tcW w:w="727" w:type="dxa"/>
            <w:hideMark/>
          </w:tcPr>
          <w:p w14:paraId="2CE5884F" w14:textId="77777777" w:rsidR="004244E4" w:rsidRDefault="004244E4" w:rsidP="0088084B">
            <w:pPr>
              <w:pStyle w:val="NormalWeb"/>
              <w:jc w:val="center"/>
            </w:pPr>
            <w:r>
              <w:t>67,430</w:t>
            </w:r>
          </w:p>
        </w:tc>
        <w:tc>
          <w:tcPr>
            <w:tcW w:w="850" w:type="dxa"/>
            <w:hideMark/>
          </w:tcPr>
          <w:p w14:paraId="7CAB1803" w14:textId="77777777" w:rsidR="004244E4" w:rsidRDefault="004244E4" w:rsidP="0088084B">
            <w:pPr>
              <w:pStyle w:val="NormalWeb"/>
              <w:jc w:val="center"/>
            </w:pPr>
            <w:r>
              <w:t>61,787</w:t>
            </w:r>
          </w:p>
        </w:tc>
        <w:tc>
          <w:tcPr>
            <w:tcW w:w="2380" w:type="dxa"/>
            <w:hideMark/>
          </w:tcPr>
          <w:p w14:paraId="4AC518B6" w14:textId="77777777" w:rsidR="004244E4" w:rsidRDefault="004244E4" w:rsidP="0088084B">
            <w:pPr>
              <w:pStyle w:val="NormalWeb"/>
              <w:jc w:val="center"/>
            </w:pPr>
            <w:r>
              <w:t>-8.4</w:t>
            </w:r>
          </w:p>
        </w:tc>
      </w:tr>
      <w:tr w:rsidR="004244E4" w14:paraId="2503B011" w14:textId="77777777" w:rsidTr="004244E4">
        <w:tblPrEx>
          <w:tblCellMar>
            <w:top w:w="57" w:type="dxa"/>
            <w:left w:w="57" w:type="dxa"/>
            <w:bottom w:w="57" w:type="dxa"/>
            <w:right w:w="57" w:type="dxa"/>
          </w:tblCellMar>
        </w:tblPrEx>
        <w:tc>
          <w:tcPr>
            <w:tcW w:w="2410" w:type="dxa"/>
            <w:hideMark/>
          </w:tcPr>
          <w:p w14:paraId="0B5B34C0" w14:textId="77777777" w:rsidR="004244E4" w:rsidRDefault="004244E4" w:rsidP="0088084B">
            <w:pPr>
              <w:pStyle w:val="NormalWeb"/>
            </w:pPr>
            <w:r>
              <w:t>July</w:t>
            </w:r>
          </w:p>
        </w:tc>
        <w:tc>
          <w:tcPr>
            <w:tcW w:w="851" w:type="dxa"/>
            <w:hideMark/>
          </w:tcPr>
          <w:p w14:paraId="450363AB" w14:textId="77777777" w:rsidR="004244E4" w:rsidRDefault="004244E4" w:rsidP="0088084B">
            <w:pPr>
              <w:pStyle w:val="NormalWeb"/>
              <w:jc w:val="center"/>
            </w:pPr>
            <w:r>
              <w:t>4,179</w:t>
            </w:r>
          </w:p>
        </w:tc>
        <w:tc>
          <w:tcPr>
            <w:tcW w:w="850" w:type="dxa"/>
            <w:hideMark/>
          </w:tcPr>
          <w:p w14:paraId="2E13809F" w14:textId="77777777" w:rsidR="004244E4" w:rsidRDefault="004244E4" w:rsidP="0088084B">
            <w:pPr>
              <w:pStyle w:val="NormalWeb"/>
              <w:jc w:val="center"/>
            </w:pPr>
            <w:r>
              <w:t>4,251</w:t>
            </w:r>
          </w:p>
        </w:tc>
        <w:tc>
          <w:tcPr>
            <w:tcW w:w="2398" w:type="dxa"/>
            <w:hideMark/>
          </w:tcPr>
          <w:p w14:paraId="3D3A2403" w14:textId="77777777" w:rsidR="004244E4" w:rsidRDefault="004244E4" w:rsidP="0088084B">
            <w:pPr>
              <w:pStyle w:val="NormalWeb"/>
              <w:jc w:val="center"/>
            </w:pPr>
            <w:r>
              <w:t>1.7</w:t>
            </w:r>
          </w:p>
        </w:tc>
        <w:tc>
          <w:tcPr>
            <w:tcW w:w="727" w:type="dxa"/>
            <w:hideMark/>
          </w:tcPr>
          <w:p w14:paraId="7A844F2B" w14:textId="77777777" w:rsidR="004244E4" w:rsidRDefault="004244E4" w:rsidP="0088084B">
            <w:pPr>
              <w:pStyle w:val="NormalWeb"/>
              <w:jc w:val="center"/>
            </w:pPr>
            <w:r>
              <w:t>70,554</w:t>
            </w:r>
          </w:p>
        </w:tc>
        <w:tc>
          <w:tcPr>
            <w:tcW w:w="850" w:type="dxa"/>
            <w:hideMark/>
          </w:tcPr>
          <w:p w14:paraId="40DE1AC9" w14:textId="77777777" w:rsidR="004244E4" w:rsidRDefault="004244E4" w:rsidP="0088084B">
            <w:pPr>
              <w:pStyle w:val="NormalWeb"/>
              <w:jc w:val="center"/>
            </w:pPr>
            <w:r>
              <w:t>62,203</w:t>
            </w:r>
          </w:p>
        </w:tc>
        <w:tc>
          <w:tcPr>
            <w:tcW w:w="2380" w:type="dxa"/>
            <w:hideMark/>
          </w:tcPr>
          <w:p w14:paraId="23B655BB" w14:textId="77777777" w:rsidR="004244E4" w:rsidRDefault="004244E4" w:rsidP="0088084B">
            <w:pPr>
              <w:pStyle w:val="NormalWeb"/>
              <w:jc w:val="center"/>
            </w:pPr>
            <w:r>
              <w:t>-11.8</w:t>
            </w:r>
          </w:p>
        </w:tc>
      </w:tr>
      <w:tr w:rsidR="004244E4" w14:paraId="25F7E409" w14:textId="77777777" w:rsidTr="004244E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410" w:type="dxa"/>
            <w:hideMark/>
          </w:tcPr>
          <w:p w14:paraId="19863A72" w14:textId="77777777" w:rsidR="004244E4" w:rsidRDefault="004244E4" w:rsidP="0088084B">
            <w:pPr>
              <w:pStyle w:val="NormalWeb"/>
            </w:pPr>
            <w:r>
              <w:t>August</w:t>
            </w:r>
          </w:p>
        </w:tc>
        <w:tc>
          <w:tcPr>
            <w:tcW w:w="851" w:type="dxa"/>
            <w:hideMark/>
          </w:tcPr>
          <w:p w14:paraId="4D7CD8B7" w14:textId="77777777" w:rsidR="004244E4" w:rsidRDefault="004244E4" w:rsidP="0088084B">
            <w:pPr>
              <w:pStyle w:val="NormalWeb"/>
              <w:jc w:val="center"/>
            </w:pPr>
            <w:r>
              <w:t>4,144</w:t>
            </w:r>
          </w:p>
        </w:tc>
        <w:tc>
          <w:tcPr>
            <w:tcW w:w="850" w:type="dxa"/>
            <w:hideMark/>
          </w:tcPr>
          <w:p w14:paraId="4992D240" w14:textId="77777777" w:rsidR="004244E4" w:rsidRDefault="004244E4" w:rsidP="0088084B">
            <w:pPr>
              <w:pStyle w:val="NormalWeb"/>
              <w:jc w:val="center"/>
            </w:pPr>
            <w:r>
              <w:t>4,207</w:t>
            </w:r>
          </w:p>
        </w:tc>
        <w:tc>
          <w:tcPr>
            <w:tcW w:w="2398" w:type="dxa"/>
            <w:hideMark/>
          </w:tcPr>
          <w:p w14:paraId="2098BF10" w14:textId="77777777" w:rsidR="004244E4" w:rsidRDefault="004244E4" w:rsidP="0088084B">
            <w:pPr>
              <w:pStyle w:val="NormalWeb"/>
              <w:jc w:val="center"/>
            </w:pPr>
            <w:r>
              <w:t>1.5</w:t>
            </w:r>
          </w:p>
        </w:tc>
        <w:tc>
          <w:tcPr>
            <w:tcW w:w="727" w:type="dxa"/>
            <w:hideMark/>
          </w:tcPr>
          <w:p w14:paraId="1EE68C2D" w14:textId="77777777" w:rsidR="004244E4" w:rsidRDefault="004244E4" w:rsidP="0088084B">
            <w:pPr>
              <w:pStyle w:val="NormalWeb"/>
              <w:jc w:val="center"/>
            </w:pPr>
            <w:r>
              <w:t>69,747</w:t>
            </w:r>
          </w:p>
        </w:tc>
        <w:tc>
          <w:tcPr>
            <w:tcW w:w="850" w:type="dxa"/>
            <w:hideMark/>
          </w:tcPr>
          <w:p w14:paraId="0D9C5924" w14:textId="77777777" w:rsidR="004244E4" w:rsidRDefault="004244E4" w:rsidP="0088084B">
            <w:pPr>
              <w:pStyle w:val="NormalWeb"/>
              <w:jc w:val="center"/>
            </w:pPr>
            <w:r>
              <w:t>59,730</w:t>
            </w:r>
          </w:p>
        </w:tc>
        <w:tc>
          <w:tcPr>
            <w:tcW w:w="2380" w:type="dxa"/>
            <w:hideMark/>
          </w:tcPr>
          <w:p w14:paraId="421475CC" w14:textId="77777777" w:rsidR="004244E4" w:rsidRDefault="004244E4" w:rsidP="0088084B">
            <w:pPr>
              <w:pStyle w:val="NormalWeb"/>
              <w:jc w:val="center"/>
            </w:pPr>
            <w:r>
              <w:t>-14.4</w:t>
            </w:r>
          </w:p>
        </w:tc>
      </w:tr>
      <w:tr w:rsidR="004244E4" w14:paraId="031D26E2" w14:textId="77777777" w:rsidTr="004244E4">
        <w:tblPrEx>
          <w:tblCellMar>
            <w:top w:w="57" w:type="dxa"/>
            <w:left w:w="57" w:type="dxa"/>
            <w:bottom w:w="57" w:type="dxa"/>
            <w:right w:w="57" w:type="dxa"/>
          </w:tblCellMar>
        </w:tblPrEx>
        <w:tc>
          <w:tcPr>
            <w:tcW w:w="2410" w:type="dxa"/>
            <w:hideMark/>
          </w:tcPr>
          <w:p w14:paraId="31F3E757" w14:textId="77777777" w:rsidR="004244E4" w:rsidRDefault="004244E4" w:rsidP="0088084B">
            <w:pPr>
              <w:pStyle w:val="NormalWeb"/>
            </w:pPr>
            <w:r>
              <w:t>September</w:t>
            </w:r>
          </w:p>
        </w:tc>
        <w:tc>
          <w:tcPr>
            <w:tcW w:w="851" w:type="dxa"/>
            <w:hideMark/>
          </w:tcPr>
          <w:p w14:paraId="74FEC5AD" w14:textId="77777777" w:rsidR="004244E4" w:rsidRDefault="004244E4" w:rsidP="0088084B">
            <w:pPr>
              <w:pStyle w:val="NormalWeb"/>
              <w:jc w:val="center"/>
            </w:pPr>
            <w:r>
              <w:t>4,126</w:t>
            </w:r>
          </w:p>
        </w:tc>
        <w:tc>
          <w:tcPr>
            <w:tcW w:w="850" w:type="dxa"/>
            <w:hideMark/>
          </w:tcPr>
          <w:p w14:paraId="6CF26C37" w14:textId="77777777" w:rsidR="004244E4" w:rsidRDefault="004244E4" w:rsidP="0088084B">
            <w:pPr>
              <w:pStyle w:val="NormalWeb"/>
              <w:jc w:val="center"/>
            </w:pPr>
            <w:r>
              <w:t>4,169</w:t>
            </w:r>
          </w:p>
        </w:tc>
        <w:tc>
          <w:tcPr>
            <w:tcW w:w="2398" w:type="dxa"/>
            <w:hideMark/>
          </w:tcPr>
          <w:p w14:paraId="2B2E6940" w14:textId="77777777" w:rsidR="004244E4" w:rsidRDefault="004244E4" w:rsidP="0088084B">
            <w:pPr>
              <w:pStyle w:val="NormalWeb"/>
              <w:jc w:val="center"/>
            </w:pPr>
            <w:r>
              <w:t>1.0</w:t>
            </w:r>
          </w:p>
        </w:tc>
        <w:tc>
          <w:tcPr>
            <w:tcW w:w="727" w:type="dxa"/>
            <w:hideMark/>
          </w:tcPr>
          <w:p w14:paraId="2E888C0D" w14:textId="77777777" w:rsidR="004244E4" w:rsidRDefault="004244E4" w:rsidP="0088084B">
            <w:pPr>
              <w:pStyle w:val="NormalWeb"/>
              <w:jc w:val="center"/>
            </w:pPr>
            <w:r>
              <w:t>67,072</w:t>
            </w:r>
          </w:p>
        </w:tc>
        <w:tc>
          <w:tcPr>
            <w:tcW w:w="850" w:type="dxa"/>
            <w:hideMark/>
          </w:tcPr>
          <w:p w14:paraId="4771935B" w14:textId="77777777" w:rsidR="004244E4" w:rsidRDefault="004244E4" w:rsidP="0088084B">
            <w:pPr>
              <w:pStyle w:val="NormalWeb"/>
              <w:jc w:val="center"/>
            </w:pPr>
            <w:r>
              <w:t>61,057</w:t>
            </w:r>
          </w:p>
        </w:tc>
        <w:tc>
          <w:tcPr>
            <w:tcW w:w="2380" w:type="dxa"/>
            <w:hideMark/>
          </w:tcPr>
          <w:p w14:paraId="6B2EF295" w14:textId="77777777" w:rsidR="004244E4" w:rsidRDefault="004244E4" w:rsidP="0088084B">
            <w:pPr>
              <w:pStyle w:val="NormalWeb"/>
              <w:jc w:val="center"/>
            </w:pPr>
            <w:r>
              <w:t>-9.0</w:t>
            </w:r>
          </w:p>
        </w:tc>
      </w:tr>
      <w:tr w:rsidR="004244E4" w14:paraId="29125F3B" w14:textId="77777777" w:rsidTr="004244E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410" w:type="dxa"/>
            <w:hideMark/>
          </w:tcPr>
          <w:p w14:paraId="10695D2F" w14:textId="77777777" w:rsidR="004244E4" w:rsidRDefault="004244E4" w:rsidP="0088084B">
            <w:pPr>
              <w:pStyle w:val="NormalWeb"/>
            </w:pPr>
            <w:r>
              <w:t>October</w:t>
            </w:r>
          </w:p>
        </w:tc>
        <w:tc>
          <w:tcPr>
            <w:tcW w:w="851" w:type="dxa"/>
            <w:hideMark/>
          </w:tcPr>
          <w:p w14:paraId="35288694" w14:textId="77777777" w:rsidR="004244E4" w:rsidRDefault="004244E4" w:rsidP="0088084B">
            <w:pPr>
              <w:pStyle w:val="NormalWeb"/>
              <w:jc w:val="center"/>
            </w:pPr>
            <w:r>
              <w:t>4,323</w:t>
            </w:r>
          </w:p>
        </w:tc>
        <w:tc>
          <w:tcPr>
            <w:tcW w:w="850" w:type="dxa"/>
            <w:hideMark/>
          </w:tcPr>
          <w:p w14:paraId="6EBFB694" w14:textId="77777777" w:rsidR="004244E4" w:rsidRDefault="004244E4" w:rsidP="0088084B">
            <w:pPr>
              <w:pStyle w:val="NormalWeb"/>
              <w:jc w:val="center"/>
            </w:pPr>
            <w:r>
              <w:t>4,142</w:t>
            </w:r>
          </w:p>
        </w:tc>
        <w:tc>
          <w:tcPr>
            <w:tcW w:w="2398" w:type="dxa"/>
            <w:hideMark/>
          </w:tcPr>
          <w:p w14:paraId="4BCC2B4C" w14:textId="77777777" w:rsidR="004244E4" w:rsidRDefault="004244E4" w:rsidP="0088084B">
            <w:pPr>
              <w:pStyle w:val="NormalWeb"/>
              <w:jc w:val="center"/>
            </w:pPr>
            <w:r>
              <w:t>-4.2</w:t>
            </w:r>
          </w:p>
        </w:tc>
        <w:tc>
          <w:tcPr>
            <w:tcW w:w="727" w:type="dxa"/>
            <w:hideMark/>
          </w:tcPr>
          <w:p w14:paraId="72A5F339" w14:textId="77777777" w:rsidR="004244E4" w:rsidRDefault="004244E4" w:rsidP="0088084B">
            <w:pPr>
              <w:pStyle w:val="NormalWeb"/>
              <w:jc w:val="center"/>
            </w:pPr>
            <w:r>
              <w:t>69,306</w:t>
            </w:r>
          </w:p>
        </w:tc>
        <w:tc>
          <w:tcPr>
            <w:tcW w:w="850" w:type="dxa"/>
            <w:hideMark/>
          </w:tcPr>
          <w:p w14:paraId="6370D222" w14:textId="77777777" w:rsidR="004244E4" w:rsidRDefault="004244E4" w:rsidP="0088084B">
            <w:pPr>
              <w:pStyle w:val="NormalWeb"/>
              <w:jc w:val="center"/>
            </w:pPr>
            <w:r>
              <w:t>65,935</w:t>
            </w:r>
          </w:p>
        </w:tc>
        <w:tc>
          <w:tcPr>
            <w:tcW w:w="2380" w:type="dxa"/>
            <w:hideMark/>
          </w:tcPr>
          <w:p w14:paraId="7A3A4913" w14:textId="77777777" w:rsidR="004244E4" w:rsidRDefault="004244E4" w:rsidP="0088084B">
            <w:pPr>
              <w:pStyle w:val="NormalWeb"/>
              <w:jc w:val="center"/>
            </w:pPr>
            <w:r>
              <w:t>-4.9</w:t>
            </w:r>
          </w:p>
        </w:tc>
      </w:tr>
      <w:tr w:rsidR="004244E4" w14:paraId="41F84BF6" w14:textId="77777777" w:rsidTr="004244E4">
        <w:tblPrEx>
          <w:tblCellMar>
            <w:top w:w="57" w:type="dxa"/>
            <w:left w:w="57" w:type="dxa"/>
            <w:bottom w:w="57" w:type="dxa"/>
            <w:right w:w="57" w:type="dxa"/>
          </w:tblCellMar>
        </w:tblPrEx>
        <w:tc>
          <w:tcPr>
            <w:tcW w:w="2410" w:type="dxa"/>
            <w:hideMark/>
          </w:tcPr>
          <w:p w14:paraId="40DC21B1" w14:textId="77777777" w:rsidR="004244E4" w:rsidRDefault="004244E4" w:rsidP="0088084B">
            <w:pPr>
              <w:pStyle w:val="NormalWeb"/>
            </w:pPr>
            <w:r>
              <w:t>November</w:t>
            </w:r>
          </w:p>
        </w:tc>
        <w:tc>
          <w:tcPr>
            <w:tcW w:w="851" w:type="dxa"/>
            <w:hideMark/>
          </w:tcPr>
          <w:p w14:paraId="5805532C" w14:textId="77777777" w:rsidR="004244E4" w:rsidRDefault="004244E4" w:rsidP="0088084B">
            <w:pPr>
              <w:pStyle w:val="NormalWeb"/>
              <w:jc w:val="center"/>
            </w:pPr>
            <w:r>
              <w:t>4,118</w:t>
            </w:r>
          </w:p>
        </w:tc>
        <w:tc>
          <w:tcPr>
            <w:tcW w:w="850" w:type="dxa"/>
            <w:hideMark/>
          </w:tcPr>
          <w:p w14:paraId="5F54B0F3" w14:textId="77777777" w:rsidR="004244E4" w:rsidRDefault="004244E4" w:rsidP="0088084B">
            <w:pPr>
              <w:pStyle w:val="NormalWeb"/>
              <w:jc w:val="center"/>
            </w:pPr>
            <w:r>
              <w:t>4,105</w:t>
            </w:r>
          </w:p>
        </w:tc>
        <w:tc>
          <w:tcPr>
            <w:tcW w:w="2398" w:type="dxa"/>
            <w:hideMark/>
          </w:tcPr>
          <w:p w14:paraId="4F153EAE" w14:textId="77777777" w:rsidR="004244E4" w:rsidRDefault="004244E4" w:rsidP="0088084B">
            <w:pPr>
              <w:pStyle w:val="NormalWeb"/>
              <w:jc w:val="center"/>
            </w:pPr>
            <w:r>
              <w:t>-0.3</w:t>
            </w:r>
          </w:p>
        </w:tc>
        <w:tc>
          <w:tcPr>
            <w:tcW w:w="727" w:type="dxa"/>
            <w:hideMark/>
          </w:tcPr>
          <w:p w14:paraId="7D128255" w14:textId="77777777" w:rsidR="004244E4" w:rsidRDefault="004244E4" w:rsidP="0088084B">
            <w:pPr>
              <w:pStyle w:val="NormalWeb"/>
              <w:jc w:val="center"/>
            </w:pPr>
            <w:r>
              <w:t>65,789</w:t>
            </w:r>
          </w:p>
        </w:tc>
        <w:tc>
          <w:tcPr>
            <w:tcW w:w="850" w:type="dxa"/>
            <w:hideMark/>
          </w:tcPr>
          <w:p w14:paraId="4A1EF103" w14:textId="77777777" w:rsidR="004244E4" w:rsidRDefault="004244E4" w:rsidP="0088084B">
            <w:pPr>
              <w:pStyle w:val="NormalWeb"/>
              <w:jc w:val="center"/>
            </w:pPr>
            <w:r>
              <w:t>66,155</w:t>
            </w:r>
          </w:p>
        </w:tc>
        <w:tc>
          <w:tcPr>
            <w:tcW w:w="2380" w:type="dxa"/>
            <w:hideMark/>
          </w:tcPr>
          <w:p w14:paraId="2010DCEE" w14:textId="77777777" w:rsidR="004244E4" w:rsidRDefault="004244E4" w:rsidP="0088084B">
            <w:pPr>
              <w:pStyle w:val="NormalWeb"/>
              <w:jc w:val="center"/>
            </w:pPr>
            <w:r>
              <w:t>0.6</w:t>
            </w:r>
          </w:p>
        </w:tc>
      </w:tr>
      <w:tr w:rsidR="004244E4" w14:paraId="4670D846" w14:textId="77777777" w:rsidTr="004244E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410" w:type="dxa"/>
            <w:hideMark/>
          </w:tcPr>
          <w:p w14:paraId="6D86EA5D" w14:textId="77777777" w:rsidR="004244E4" w:rsidRDefault="004244E4" w:rsidP="0088084B">
            <w:pPr>
              <w:pStyle w:val="NormalWeb"/>
            </w:pPr>
            <w:r>
              <w:t>December</w:t>
            </w:r>
          </w:p>
        </w:tc>
        <w:tc>
          <w:tcPr>
            <w:tcW w:w="851" w:type="dxa"/>
            <w:hideMark/>
          </w:tcPr>
          <w:p w14:paraId="6BD9F55B" w14:textId="77777777" w:rsidR="004244E4" w:rsidRDefault="004244E4" w:rsidP="0088084B">
            <w:pPr>
              <w:pStyle w:val="NormalWeb"/>
              <w:jc w:val="center"/>
            </w:pPr>
            <w:r>
              <w:t>4,147</w:t>
            </w:r>
          </w:p>
        </w:tc>
        <w:tc>
          <w:tcPr>
            <w:tcW w:w="850" w:type="dxa"/>
            <w:hideMark/>
          </w:tcPr>
          <w:p w14:paraId="23A6A2C4" w14:textId="77777777" w:rsidR="004244E4" w:rsidRDefault="004244E4" w:rsidP="0088084B">
            <w:pPr>
              <w:pStyle w:val="NormalWeb"/>
              <w:jc w:val="center"/>
            </w:pPr>
            <w:r>
              <w:t>4,430</w:t>
            </w:r>
          </w:p>
        </w:tc>
        <w:tc>
          <w:tcPr>
            <w:tcW w:w="2398" w:type="dxa"/>
            <w:hideMark/>
          </w:tcPr>
          <w:p w14:paraId="4ABEF2AC" w14:textId="77777777" w:rsidR="004244E4" w:rsidRDefault="004244E4" w:rsidP="0088084B">
            <w:pPr>
              <w:pStyle w:val="NormalWeb"/>
              <w:jc w:val="center"/>
            </w:pPr>
            <w:r>
              <w:t>6.8</w:t>
            </w:r>
          </w:p>
        </w:tc>
        <w:tc>
          <w:tcPr>
            <w:tcW w:w="727" w:type="dxa"/>
            <w:hideMark/>
          </w:tcPr>
          <w:p w14:paraId="1A70968A" w14:textId="77777777" w:rsidR="004244E4" w:rsidRDefault="004244E4" w:rsidP="0088084B">
            <w:pPr>
              <w:pStyle w:val="NormalWeb"/>
              <w:jc w:val="center"/>
            </w:pPr>
            <w:r>
              <w:t>65,297</w:t>
            </w:r>
          </w:p>
        </w:tc>
        <w:tc>
          <w:tcPr>
            <w:tcW w:w="850" w:type="dxa"/>
            <w:hideMark/>
          </w:tcPr>
          <w:p w14:paraId="6C4BEEBE" w14:textId="77777777" w:rsidR="004244E4" w:rsidRDefault="004244E4" w:rsidP="0088084B">
            <w:pPr>
              <w:pStyle w:val="NormalWeb"/>
              <w:jc w:val="center"/>
            </w:pPr>
            <w:r>
              <w:t>66,809</w:t>
            </w:r>
          </w:p>
        </w:tc>
        <w:tc>
          <w:tcPr>
            <w:tcW w:w="2380" w:type="dxa"/>
            <w:hideMark/>
          </w:tcPr>
          <w:p w14:paraId="3812DB38" w14:textId="77777777" w:rsidR="004244E4" w:rsidRDefault="004244E4" w:rsidP="0088084B">
            <w:pPr>
              <w:pStyle w:val="NormalWeb"/>
              <w:jc w:val="center"/>
            </w:pPr>
            <w:r>
              <w:t>2.3</w:t>
            </w:r>
          </w:p>
        </w:tc>
      </w:tr>
    </w:tbl>
    <w:p w14:paraId="74CD11BE" w14:textId="77777777" w:rsidR="003777D7" w:rsidRDefault="003777D7">
      <w:pPr>
        <w:rPr>
          <w:rStyle w:val="Strong"/>
          <w:lang w:val="en-GB"/>
        </w:rPr>
      </w:pPr>
      <w:r>
        <w:rPr>
          <w:rStyle w:val="Strong"/>
          <w:lang w:val="en-GB"/>
        </w:rPr>
        <w:br w:type="page"/>
      </w:r>
    </w:p>
    <w:p w14:paraId="7D6DA521" w14:textId="28FC5EC9" w:rsidR="009D3DCF" w:rsidRDefault="009D3DCF" w:rsidP="009D3DCF">
      <w:pPr>
        <w:pStyle w:val="NormalWeb"/>
        <w:rPr>
          <w:rStyle w:val="Strong"/>
          <w:lang w:val="en-GB"/>
        </w:rPr>
      </w:pPr>
      <w:r>
        <w:rPr>
          <w:rStyle w:val="Strong"/>
          <w:lang w:val="en-GB"/>
        </w:rPr>
        <w:lastRenderedPageBreak/>
        <w:t>Figure 5: Acute monthly occupied bed days (OBD) for all Australian principal referral hospitals, 2019 and 2020</w:t>
      </w:r>
      <w:r w:rsidR="003777D7" w:rsidRPr="003777D7">
        <w:rPr>
          <w:rStyle w:val="Strong"/>
          <w:vertAlign w:val="superscript"/>
          <w:lang w:val="en-GB"/>
        </w:rPr>
        <w:t>a</w:t>
      </w:r>
    </w:p>
    <w:p w14:paraId="50E871B5" w14:textId="005F19C7" w:rsidR="009D3DCF" w:rsidRPr="009D3DCF" w:rsidRDefault="009D3DCF" w:rsidP="009D3DCF">
      <w:pPr>
        <w:pStyle w:val="NormalWeb"/>
        <w:rPr>
          <w:b/>
          <w:bCs/>
          <w:lang w:val="en-GB"/>
        </w:rPr>
      </w:pPr>
      <w:r w:rsidRPr="009D3DCF">
        <w:rPr>
          <w:b/>
          <w:bCs/>
          <w:color w:val="221E1F"/>
          <w:sz w:val="23"/>
          <w:szCs w:val="23"/>
        </w:rPr>
        <w:t>National (n=31)</w:t>
      </w:r>
    </w:p>
    <w:p w14:paraId="1A1AFAAB" w14:textId="77777777" w:rsidR="009D3DCF" w:rsidRDefault="009D3DCF" w:rsidP="005D3B9C">
      <w:pPr>
        <w:jc w:val="center"/>
      </w:pPr>
      <w:r>
        <w:rPr>
          <w:rFonts w:eastAsia="Times New Roman"/>
          <w:noProof/>
          <w:lang w:val="en-GB"/>
        </w:rPr>
        <w:drawing>
          <wp:inline distT="0" distB="0" distL="0" distR="0" wp14:anchorId="1FF74862" wp14:editId="32C96891">
            <wp:extent cx="4786685" cy="3495648"/>
            <wp:effectExtent l="0" t="0" r="0" b="0"/>
            <wp:docPr id="6" name="Picture 6" descr="This chart is a box plot depicting the monthly occupied bed days in Australian Principal Referral hospitals between January 2019 and December 2020 with median and interquartile ranges. There are 31 hospitals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chart is a box plot depicting the monthly occupied bed days in Australian Principal Referral hospitals between January 2019 and December 2020 with median and interquartile ranges. There are 31 hospitals includ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795464" cy="3502059"/>
                    </a:xfrm>
                    <a:prstGeom prst="rect">
                      <a:avLst/>
                    </a:prstGeom>
                  </pic:spPr>
                </pic:pic>
              </a:graphicData>
            </a:graphic>
          </wp:inline>
        </w:drawing>
      </w:r>
    </w:p>
    <w:p w14:paraId="075C342F" w14:textId="77777777" w:rsidR="001A47BF" w:rsidRDefault="009D3DCF" w:rsidP="005D3B9C">
      <w:pPr>
        <w:rPr>
          <w:color w:val="221E1F"/>
          <w:sz w:val="23"/>
          <w:szCs w:val="23"/>
        </w:rPr>
      </w:pPr>
      <w:r w:rsidRPr="009D3DCF">
        <w:rPr>
          <w:b/>
          <w:bCs/>
          <w:color w:val="221E1F"/>
          <w:sz w:val="23"/>
          <w:szCs w:val="23"/>
        </w:rPr>
        <w:t>Victoria (n=6)</w:t>
      </w:r>
      <w:r>
        <w:rPr>
          <w:color w:val="221E1F"/>
          <w:sz w:val="23"/>
          <w:szCs w:val="23"/>
        </w:rPr>
        <w:t xml:space="preserve"> </w:t>
      </w:r>
    </w:p>
    <w:p w14:paraId="0236A4C8" w14:textId="77777777" w:rsidR="003777D7" w:rsidRDefault="009D3DCF" w:rsidP="001A47BF">
      <w:pPr>
        <w:jc w:val="center"/>
      </w:pPr>
      <w:r>
        <w:rPr>
          <w:rFonts w:eastAsia="Times New Roman"/>
          <w:noProof/>
          <w:lang w:val="en-GB"/>
        </w:rPr>
        <w:drawing>
          <wp:inline distT="0" distB="0" distL="0" distR="0" wp14:anchorId="677FBEDD" wp14:editId="73BD5432">
            <wp:extent cx="4831720" cy="3597561"/>
            <wp:effectExtent l="0" t="0" r="6985" b="3175"/>
            <wp:docPr id="7" name="Picture 7" descr="This chart is a box plot depicting the monthly occupied bed days in Victorian Principal Referral hospitals between January 2019 and December 2020 with median and interquartile ranges. There are 6 hospitals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chart is a box plot depicting the monthly occupied bed days in Victorian Principal Referral hospitals between January 2019 and December 2020 with median and interquartile ranges. There are 6 hospitals includ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840115" cy="3603812"/>
                    </a:xfrm>
                    <a:prstGeom prst="rect">
                      <a:avLst/>
                    </a:prstGeom>
                  </pic:spPr>
                </pic:pic>
              </a:graphicData>
            </a:graphic>
          </wp:inline>
        </w:drawing>
      </w:r>
    </w:p>
    <w:p w14:paraId="6AABD0D1" w14:textId="48903DA9" w:rsidR="003777D7" w:rsidRPr="001F4463" w:rsidRDefault="003777D7" w:rsidP="001F4463">
      <w:pPr>
        <w:pStyle w:val="CDIfootnotes"/>
      </w:pPr>
      <w:proofErr w:type="spellStart"/>
      <w:r w:rsidRPr="001F4463">
        <w:t>a</w:t>
      </w:r>
      <w:proofErr w:type="spellEnd"/>
      <w:r w:rsidRPr="001F4463">
        <w:tab/>
      </w:r>
      <w:r w:rsidR="001F4463" w:rsidRPr="001F4463">
        <w:t>This datapoint represents an outlier hospital (OBDs for March 2020 = 28,008).</w:t>
      </w:r>
    </w:p>
    <w:p w14:paraId="5E730402" w14:textId="2924C217" w:rsidR="009D3DCF" w:rsidRPr="009D3DCF" w:rsidRDefault="009D3DCF" w:rsidP="003777D7">
      <w:pPr>
        <w:rPr>
          <w:rFonts w:eastAsia="Times New Roman"/>
          <w:lang w:val="en-GB"/>
        </w:rPr>
      </w:pPr>
      <w:r>
        <w:br w:type="page"/>
      </w:r>
    </w:p>
    <w:p w14:paraId="6CBD6A5C" w14:textId="0AEDC389" w:rsidR="005B4B9F" w:rsidRPr="005B4B9F" w:rsidRDefault="005B4B9F" w:rsidP="005B4B9F">
      <w:pPr>
        <w:pStyle w:val="Heading1"/>
      </w:pPr>
      <w:r w:rsidRPr="005B4B9F">
        <w:lastRenderedPageBreak/>
        <w:t>Discussion</w:t>
      </w:r>
    </w:p>
    <w:p w14:paraId="39A63EF6" w14:textId="77777777" w:rsidR="005B4B9F" w:rsidRDefault="005B4B9F" w:rsidP="005B4B9F">
      <w:r>
        <w:t xml:space="preserve">Despite an initial increase in the usage of </w:t>
      </w:r>
      <w:proofErr w:type="spellStart"/>
      <w:r>
        <w:t>antibacterials</w:t>
      </w:r>
      <w:proofErr w:type="spellEnd"/>
      <w:r>
        <w:t xml:space="preserve"> used to treat CAP in March and April 2020, usage rates dropped in the latter part of the year, with monthly usage rates lower on average than in 2019. Data submitted to the NAUSP reflects dispensing and/or distribution, not actual consumption. It is therefore probable that the observed increase in usage rates in March and April can be attributed to increased levels of stock held on ward </w:t>
      </w:r>
      <w:proofErr w:type="spellStart"/>
      <w:r>
        <w:t>imprests</w:t>
      </w:r>
      <w:proofErr w:type="spellEnd"/>
      <w:r>
        <w:t xml:space="preserve"> in anticipation of increased patient admissions and demand. This increased stock holding may also account for some of the increased usage rates seen for parenteral broad-spectrum agents used to treat HAP, along with establishment and stocking of dedicated COVID-19 wards. Increased usage of some of these agents, however, persisted throughout 2020. While these agents are used for other serious infections, it may also reflect empiric treatment of HAP/COVID-19-adjacent presentations during the first wave in 2020. Cefepime is a fourth-generation cephalosporin used as an alternative agent to piperacillin-tazobactam in penicillin-allergic patients with severe HAP or with a high risk of multi-drug resistant pathogens. Cefepime usage rates in Australian hospitals has historically remained low; however, usage rates of this broad-spectrum antimicrobial are increasing. </w:t>
      </w:r>
      <w:r>
        <w:rPr>
          <w:vertAlign w:val="superscript"/>
        </w:rPr>
        <w:t>11</w:t>
      </w:r>
      <w:r>
        <w:t xml:space="preserve"> Annual cefepime usage was 9.0% higher across all principal referral hospitals in 2020 than in 2019. Parenteral amoxicillin-clavulanate usage increased in 2020 to 18.5 DDD / 1,000 OBD, a rise of 32.4% from 2019. Parenteral amoxicillin-clavulanate was not registered for use in Australia until 2017; usage has steadily grown each year since, with incorporation into routine clinical practice. Prior to 2017, piperacillin-tazobactam was the only parenteral penicillin – ß-lactamase combination available in Australia. Inclusion of parenteral amoxicillin-clavulanate into local protocols for treatment of HAP may account for some of the increase in usage observed; however, the simultaneous decrease in piperacillin-tazobactam use from 2019 to 2020 was only 0.8%.</w:t>
      </w:r>
    </w:p>
    <w:p w14:paraId="39CA40CE" w14:textId="77777777" w:rsidR="005B4B9F" w:rsidRDefault="005B4B9F" w:rsidP="005B4B9F">
      <w:r>
        <w:t xml:space="preserve">The large reduction in acute-care OBDs observed in April and May—both in Victoria and nationally—coincides with the suspension of non-urgent surgeries during the first COVID-19 wave. The reduction in OBDs in the non-critical care setting between March and October 2020 also reflects the suspension of, or reduction in, elective surgeries during the first and second COVID-19 waves. There is insufficient information included in NAUSP data to stratify usage by ward or admission type. Facilities that established dedicated COVID-19 wards reported associated antibacterial usage to NAUSP as ‘other acute’. As such, any COVID-19-related antimicrobial usage was not captured as part of the critical care data set. </w:t>
      </w:r>
    </w:p>
    <w:p w14:paraId="1F24E5B8" w14:textId="77777777" w:rsidR="005B4B9F" w:rsidRDefault="005B4B9F" w:rsidP="005B4B9F">
      <w:r>
        <w:t xml:space="preserve">As seen elsewhere internationally, pandemic-related interventions such as social distancing, wearing of masks and government-issued stay-at-home policies introduced to limit the spread of SARS-CoV-2 infections may have had unintended benefits on non-SARS-CoV-2 infection rates. The drop in hospital usage of </w:t>
      </w:r>
      <w:proofErr w:type="spellStart"/>
      <w:r>
        <w:t>antibacterials</w:t>
      </w:r>
      <w:proofErr w:type="spellEnd"/>
      <w:r>
        <w:t xml:space="preserve"> typically used in the treatment of CAP suggests that the number of cases of pneumonia acquired in the community requiring hospitalisation was markedly reduced in 2020. Due to the current metric used to report antimicrobial usage rates by NAUSP (DDD / 1,000 OBD), paediatric data is excluded on the basis that WHO-issued defined daily doses have only been validated in adults. There is therefore no national surveillance data available on the rates of paediatric antibacterial usage to compare the change in 2020 to previous years. Fluctuations in the incidence of non-SARS-CoV-2 infections might be expected to be larger in children, who disproportionately contribute to the transmission of many respiratory infections. </w:t>
      </w:r>
      <w:r>
        <w:rPr>
          <w:vertAlign w:val="superscript"/>
        </w:rPr>
        <w:t>12</w:t>
      </w:r>
      <w:r>
        <w:t xml:space="preserve"> There was an 85% reduction (95% confidence interval: 85–86%) in the incidence of hospitalisations for lower respiratory tract infections in children and adolescents associated with the introduction of pandemic restrictions in Victoria. </w:t>
      </w:r>
      <w:r>
        <w:rPr>
          <w:vertAlign w:val="superscript"/>
        </w:rPr>
        <w:t>12</w:t>
      </w:r>
      <w:r>
        <w:t xml:space="preserve"> This reduction in children may translate to a general reduction in respiratory viruses circulating in the community, which in turn, may contribute to a reduction in pneumonia rates in the adult population. Further, notifications of laboratory-confirmed influenza to the National Notifiable Diseases Surveillance System in the 2020 influenza season were almost eight times lower than the five-year average. </w:t>
      </w:r>
      <w:r>
        <w:rPr>
          <w:vertAlign w:val="superscript"/>
        </w:rPr>
        <w:t>13</w:t>
      </w:r>
      <w:r>
        <w:t xml:space="preserve"> Antiviral use was not a focus of this paper; however, analysis of hospital usage rates for antivirals such as oseltamivir, or other agents used experimentally for the treatment of COVID-19, such as </w:t>
      </w:r>
      <w:proofErr w:type="spellStart"/>
      <w:r>
        <w:t>remdesivir</w:t>
      </w:r>
      <w:proofErr w:type="spellEnd"/>
      <w:r>
        <w:t>, could be a further area for investigation.</w:t>
      </w:r>
    </w:p>
    <w:p w14:paraId="658D973D" w14:textId="77777777" w:rsidR="005B4B9F" w:rsidRDefault="005B4B9F" w:rsidP="005B4B9F">
      <w:r>
        <w:lastRenderedPageBreak/>
        <w:t xml:space="preserve">A limitation of the surveillance data generated by NAUSP is that pharmacy distribution data is utilised as a surrogate measure for actual consumption. The data does not allow a direct analysis of consumption at patient level, nor does it allow an insight into the indications for which antimicrobials are used. Broad-spectrum </w:t>
      </w:r>
      <w:proofErr w:type="spellStart"/>
      <w:r>
        <w:t>antibacterials</w:t>
      </w:r>
      <w:proofErr w:type="spellEnd"/>
      <w:r>
        <w:t xml:space="preserve"> are also used for other secondary infections </w:t>
      </w:r>
      <w:r w:rsidRPr="009D6383">
        <w:rPr>
          <w:rStyle w:val="Emphasis"/>
          <w:b w:val="0"/>
          <w:bCs w:val="0"/>
        </w:rPr>
        <w:t>not</w:t>
      </w:r>
      <w:r>
        <w:t xml:space="preserve"> linked to respiratory presentations, such as bacteraemia. The data does, however, demonstrate trends of overall usage over time at both a national and state level. Infection control measures introduced to manage transmission of SARS-CoV-2 have likely contributed to the reduction in lower respiratory infections in 2020 and to the consequent reduction in </w:t>
      </w:r>
      <w:proofErr w:type="spellStart"/>
      <w:r>
        <w:t>antibacterials</w:t>
      </w:r>
      <w:proofErr w:type="spellEnd"/>
      <w:r>
        <w:t xml:space="preserve"> used to treat CAP. A large proportion of reported bacterial co-infections in COVID-19-positive patients appear to be healthcare-associated, including central-line-associated bloodstream infections and ventilator-associated pneumonia. </w:t>
      </w:r>
      <w:r>
        <w:rPr>
          <w:vertAlign w:val="superscript"/>
        </w:rPr>
        <w:t>5</w:t>
      </w:r>
      <w:r>
        <w:t xml:space="preserve"> The overall increase in usage of broad-spectrum antibacterial agents may </w:t>
      </w:r>
      <w:proofErr w:type="gramStart"/>
      <w:r>
        <w:t>be connected with</w:t>
      </w:r>
      <w:proofErr w:type="gramEnd"/>
      <w:r>
        <w:t xml:space="preserve"> healthcare-associated complications of COVID-19 or other infections. It is important that antimicrobial stewardship programs continue to focus on supporting the optimal selection of empirical therapies and on the rapid de-escalation or cessation of antibacterial therapy once SARS-CoV-2 infection is confirmed.</w:t>
      </w:r>
    </w:p>
    <w:p w14:paraId="03EFDF5F" w14:textId="77777777" w:rsidR="005B4B9F" w:rsidRPr="005B4B9F" w:rsidRDefault="005B4B9F" w:rsidP="005B4B9F">
      <w:pPr>
        <w:pStyle w:val="Heading1"/>
      </w:pPr>
      <w:r w:rsidRPr="005B4B9F">
        <w:t>Author details</w:t>
      </w:r>
    </w:p>
    <w:p w14:paraId="2458FBAE" w14:textId="77777777" w:rsidR="005B4B9F" w:rsidRDefault="005B4B9F" w:rsidP="005B4B9F">
      <w:r>
        <w:t xml:space="preserve">Ms Erin Connor, Antimicrobial Surveillance Pharmacist </w:t>
      </w:r>
      <w:r>
        <w:rPr>
          <w:vertAlign w:val="superscript"/>
        </w:rPr>
        <w:t>1,2</w:t>
      </w:r>
      <w:r>
        <w:t xml:space="preserve"> </w:t>
      </w:r>
    </w:p>
    <w:p w14:paraId="04BC1696" w14:textId="77777777" w:rsidR="005B4B9F" w:rsidRDefault="005B4B9F" w:rsidP="005B4B9F">
      <w:r>
        <w:t xml:space="preserve">Dr Kavita Rasiah, Infectious Diseases Physician </w:t>
      </w:r>
      <w:r>
        <w:rPr>
          <w:vertAlign w:val="superscript"/>
        </w:rPr>
        <w:t>2</w:t>
      </w:r>
      <w:r>
        <w:t xml:space="preserve"> </w:t>
      </w:r>
    </w:p>
    <w:p w14:paraId="3EBB19D6" w14:textId="77777777" w:rsidR="005B4B9F" w:rsidRDefault="005B4B9F" w:rsidP="005B4B9F">
      <w:r>
        <w:t xml:space="preserve">Ms Nadine Hillock, Senior Pharmacist | Program Manager </w:t>
      </w:r>
      <w:r>
        <w:rPr>
          <w:vertAlign w:val="superscript"/>
        </w:rPr>
        <w:t>1,2</w:t>
      </w:r>
      <w:r>
        <w:t xml:space="preserve"> </w:t>
      </w:r>
    </w:p>
    <w:p w14:paraId="2ADAFA10" w14:textId="77777777" w:rsidR="005B4B9F" w:rsidRPr="005B4B9F" w:rsidRDefault="005B4B9F" w:rsidP="005B4B9F">
      <w:pPr>
        <w:pStyle w:val="ListParagraph"/>
        <w:numPr>
          <w:ilvl w:val="0"/>
          <w:numId w:val="9"/>
        </w:numPr>
        <w:rPr>
          <w:rFonts w:eastAsia="Times New Roman"/>
        </w:rPr>
      </w:pPr>
      <w:r w:rsidRPr="005B4B9F">
        <w:rPr>
          <w:rFonts w:eastAsia="Times New Roman"/>
        </w:rPr>
        <w:t>National Antimicrobial Utilisation Surveillance Program</w:t>
      </w:r>
    </w:p>
    <w:p w14:paraId="2DB8110E" w14:textId="77777777" w:rsidR="005B4B9F" w:rsidRPr="005B4B9F" w:rsidRDefault="005B4B9F" w:rsidP="005B4B9F">
      <w:pPr>
        <w:pStyle w:val="ListParagraph"/>
        <w:numPr>
          <w:ilvl w:val="0"/>
          <w:numId w:val="9"/>
        </w:numPr>
        <w:rPr>
          <w:rFonts w:eastAsia="Times New Roman"/>
        </w:rPr>
      </w:pPr>
      <w:r w:rsidRPr="005B4B9F">
        <w:rPr>
          <w:rFonts w:eastAsia="Times New Roman"/>
        </w:rPr>
        <w:t>Communicable Disease Control Branch, SA Health, Adelaide</w:t>
      </w:r>
    </w:p>
    <w:p w14:paraId="09730661" w14:textId="77777777" w:rsidR="005B4B9F" w:rsidRPr="005B4B9F" w:rsidRDefault="005B4B9F" w:rsidP="005B4B9F">
      <w:pPr>
        <w:pStyle w:val="Heading2"/>
      </w:pPr>
      <w:r w:rsidRPr="005B4B9F">
        <w:t>Corresponding author</w:t>
      </w:r>
    </w:p>
    <w:p w14:paraId="1CC864DF" w14:textId="77777777" w:rsidR="005B4B9F" w:rsidRDefault="005B4B9F" w:rsidP="005B4B9F">
      <w:pPr>
        <w:pStyle w:val="NoSpacing"/>
      </w:pPr>
      <w:r>
        <w:t>Nadine Hillock</w:t>
      </w:r>
    </w:p>
    <w:p w14:paraId="4ED28A3D" w14:textId="77777777" w:rsidR="005B4B9F" w:rsidRDefault="005B4B9F" w:rsidP="005B4B9F">
      <w:pPr>
        <w:pStyle w:val="NoSpacing"/>
      </w:pPr>
      <w:r>
        <w:t>Communicable Disease Control Branch, Department for Health and Wellbeing, Level 13 / 25 Grenfell St, Adelaide, South Australia, Australia.</w:t>
      </w:r>
    </w:p>
    <w:p w14:paraId="7E0E2E15" w14:textId="77777777" w:rsidR="005B4B9F" w:rsidRDefault="005B4B9F" w:rsidP="005B4B9F">
      <w:pPr>
        <w:pStyle w:val="NoSpacing"/>
      </w:pPr>
      <w:r>
        <w:t>Email: nadine.hillock@sa.gov.au</w:t>
      </w:r>
    </w:p>
    <w:p w14:paraId="010AD95D" w14:textId="77777777" w:rsidR="005B4B9F" w:rsidRDefault="005B4B9F" w:rsidP="005B4B9F">
      <w:pPr>
        <w:pStyle w:val="NoSpacing"/>
      </w:pPr>
      <w:r>
        <w:t>Phone: +61 8 74257169</w:t>
      </w:r>
    </w:p>
    <w:p w14:paraId="18417079" w14:textId="77777777" w:rsidR="005B4B9F" w:rsidRPr="005B4B9F" w:rsidRDefault="005B4B9F" w:rsidP="005B4B9F">
      <w:pPr>
        <w:pStyle w:val="Heading1"/>
      </w:pPr>
      <w:r w:rsidRPr="005B4B9F">
        <w:t>References</w:t>
      </w:r>
    </w:p>
    <w:p w14:paraId="21848177"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Cong W, Poudel AN, </w:t>
      </w:r>
      <w:proofErr w:type="spellStart"/>
      <w:r>
        <w:rPr>
          <w:rFonts w:eastAsia="Times New Roman"/>
        </w:rPr>
        <w:t>Alhusein</w:t>
      </w:r>
      <w:proofErr w:type="spellEnd"/>
      <w:r>
        <w:rPr>
          <w:rFonts w:eastAsia="Times New Roman"/>
        </w:rPr>
        <w:t xml:space="preserve"> N, Wang H, Yao G, Lambert H. Antimicrobial use in COVID-19 patients in the first phase of the SARS-CoV-2 pandemic: a scoping review. </w:t>
      </w:r>
      <w:r w:rsidRPr="009D6383">
        <w:rPr>
          <w:rStyle w:val="Emphasis"/>
          <w:rFonts w:eastAsia="Times New Roman"/>
          <w:b w:val="0"/>
          <w:bCs w:val="0"/>
        </w:rPr>
        <w:t>Antibiotics (Basel</w:t>
      </w:r>
      <w:proofErr w:type="gramStart"/>
      <w:r w:rsidRPr="009D6383">
        <w:rPr>
          <w:rStyle w:val="Emphasis"/>
          <w:rFonts w:eastAsia="Times New Roman"/>
          <w:b w:val="0"/>
          <w:bCs w:val="0"/>
        </w:rPr>
        <w:t>)</w:t>
      </w:r>
      <w:r>
        <w:rPr>
          <w:rFonts w:eastAsia="Times New Roman"/>
        </w:rPr>
        <w:t xml:space="preserve"> .</w:t>
      </w:r>
      <w:proofErr w:type="gramEnd"/>
      <w:r>
        <w:rPr>
          <w:rFonts w:eastAsia="Times New Roman"/>
        </w:rPr>
        <w:t xml:space="preserve"> 2021;10(6):745. </w:t>
      </w:r>
      <w:proofErr w:type="spellStart"/>
      <w:r>
        <w:rPr>
          <w:rFonts w:eastAsia="Times New Roman"/>
        </w:rPr>
        <w:t>doi</w:t>
      </w:r>
      <w:proofErr w:type="spellEnd"/>
      <w:r>
        <w:rPr>
          <w:rFonts w:eastAsia="Times New Roman"/>
        </w:rPr>
        <w:t>: https://doi.org/10.3390/antibiotics10060745.</w:t>
      </w:r>
    </w:p>
    <w:p w14:paraId="73677759"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Langford BJ, So M, </w:t>
      </w:r>
      <w:proofErr w:type="spellStart"/>
      <w:r>
        <w:rPr>
          <w:rFonts w:eastAsia="Times New Roman"/>
        </w:rPr>
        <w:t>Raybardhan</w:t>
      </w:r>
      <w:proofErr w:type="spellEnd"/>
      <w:r>
        <w:rPr>
          <w:rFonts w:eastAsia="Times New Roman"/>
        </w:rPr>
        <w:t xml:space="preserve"> S, Leung V, Westwood D, </w:t>
      </w:r>
      <w:proofErr w:type="spellStart"/>
      <w:r>
        <w:rPr>
          <w:rFonts w:eastAsia="Times New Roman"/>
        </w:rPr>
        <w:t>MacFadden</w:t>
      </w:r>
      <w:proofErr w:type="spellEnd"/>
      <w:r>
        <w:rPr>
          <w:rFonts w:eastAsia="Times New Roman"/>
        </w:rPr>
        <w:t xml:space="preserve"> DR et al. Bacterial co-infection and secondary infection in patients with COVID-19: a living rapid review and meta-analysis. </w:t>
      </w:r>
      <w:r w:rsidRPr="009D6383">
        <w:rPr>
          <w:rStyle w:val="Emphasis"/>
          <w:rFonts w:eastAsia="Times New Roman"/>
          <w:b w:val="0"/>
          <w:bCs w:val="0"/>
        </w:rPr>
        <w:t xml:space="preserve">Clin Microbiol </w:t>
      </w:r>
      <w:proofErr w:type="gramStart"/>
      <w:r w:rsidRPr="009D6383">
        <w:rPr>
          <w:rStyle w:val="Emphasis"/>
          <w:rFonts w:eastAsia="Times New Roman"/>
          <w:b w:val="0"/>
          <w:bCs w:val="0"/>
        </w:rPr>
        <w:t>Infect</w:t>
      </w:r>
      <w:r>
        <w:rPr>
          <w:rFonts w:eastAsia="Times New Roman"/>
        </w:rPr>
        <w:t xml:space="preserve"> .</w:t>
      </w:r>
      <w:proofErr w:type="gramEnd"/>
      <w:r>
        <w:rPr>
          <w:rFonts w:eastAsia="Times New Roman"/>
        </w:rPr>
        <w:t xml:space="preserve"> 2020;26(12):1622–9. </w:t>
      </w:r>
      <w:proofErr w:type="spellStart"/>
      <w:r>
        <w:rPr>
          <w:rFonts w:eastAsia="Times New Roman"/>
        </w:rPr>
        <w:t>doi</w:t>
      </w:r>
      <w:proofErr w:type="spellEnd"/>
      <w:r>
        <w:rPr>
          <w:rFonts w:eastAsia="Times New Roman"/>
        </w:rPr>
        <w:t>: https://doi.org/10.1016/j.cmi.2020.07.016.</w:t>
      </w:r>
    </w:p>
    <w:p w14:paraId="635A93F8"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Lansbury L, Lim B, Baskaran V, Lim WS. Co-infections in people with COVID-19: a systematic review and meta-analysis. </w:t>
      </w:r>
      <w:r w:rsidRPr="009D6383">
        <w:rPr>
          <w:rStyle w:val="Emphasis"/>
          <w:rFonts w:eastAsia="Times New Roman"/>
          <w:b w:val="0"/>
          <w:bCs w:val="0"/>
        </w:rPr>
        <w:t xml:space="preserve">J. </w:t>
      </w:r>
      <w:proofErr w:type="gramStart"/>
      <w:r w:rsidRPr="009D6383">
        <w:rPr>
          <w:rStyle w:val="Emphasis"/>
          <w:rFonts w:eastAsia="Times New Roman"/>
          <w:b w:val="0"/>
          <w:bCs w:val="0"/>
        </w:rPr>
        <w:t>Infect</w:t>
      </w:r>
      <w:r>
        <w:rPr>
          <w:rFonts w:eastAsia="Times New Roman"/>
        </w:rPr>
        <w:t xml:space="preserve"> .</w:t>
      </w:r>
      <w:proofErr w:type="gramEnd"/>
      <w:r>
        <w:rPr>
          <w:rFonts w:eastAsia="Times New Roman"/>
        </w:rPr>
        <w:t xml:space="preserve"> 2020;81(2):266–75. </w:t>
      </w:r>
      <w:proofErr w:type="spellStart"/>
      <w:r>
        <w:rPr>
          <w:rFonts w:eastAsia="Times New Roman"/>
        </w:rPr>
        <w:t>doi</w:t>
      </w:r>
      <w:proofErr w:type="spellEnd"/>
      <w:r>
        <w:rPr>
          <w:rFonts w:eastAsia="Times New Roman"/>
        </w:rPr>
        <w:t>: https://doi.org./10.1016/j.jinf.2020.05.046.</w:t>
      </w:r>
    </w:p>
    <w:p w14:paraId="24EB7247"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Monnet DL, </w:t>
      </w:r>
      <w:proofErr w:type="spellStart"/>
      <w:r>
        <w:rPr>
          <w:rFonts w:eastAsia="Times New Roman"/>
        </w:rPr>
        <w:t>Harbarth</w:t>
      </w:r>
      <w:proofErr w:type="spellEnd"/>
      <w:r>
        <w:rPr>
          <w:rFonts w:eastAsia="Times New Roman"/>
        </w:rPr>
        <w:t xml:space="preserve"> S. Will coronavirus disease (COVID-19) have an impact on antimicrobial resistance? </w:t>
      </w:r>
      <w:r w:rsidRPr="009D6383">
        <w:rPr>
          <w:rStyle w:val="Emphasis"/>
          <w:rFonts w:eastAsia="Times New Roman"/>
          <w:b w:val="0"/>
          <w:bCs w:val="0"/>
        </w:rPr>
        <w:t xml:space="preserve">Euro </w:t>
      </w:r>
      <w:proofErr w:type="spellStart"/>
      <w:proofErr w:type="gramStart"/>
      <w:r w:rsidRPr="009D6383">
        <w:rPr>
          <w:rStyle w:val="Emphasis"/>
          <w:rFonts w:eastAsia="Times New Roman"/>
          <w:b w:val="0"/>
          <w:bCs w:val="0"/>
        </w:rPr>
        <w:t>Surveill</w:t>
      </w:r>
      <w:proofErr w:type="spellEnd"/>
      <w:r>
        <w:rPr>
          <w:rFonts w:eastAsia="Times New Roman"/>
        </w:rPr>
        <w:t xml:space="preserve"> .</w:t>
      </w:r>
      <w:proofErr w:type="gramEnd"/>
      <w:r>
        <w:rPr>
          <w:rFonts w:eastAsia="Times New Roman"/>
        </w:rPr>
        <w:t xml:space="preserve"> 2020;25(45). </w:t>
      </w:r>
      <w:proofErr w:type="spellStart"/>
      <w:r>
        <w:rPr>
          <w:rFonts w:eastAsia="Times New Roman"/>
        </w:rPr>
        <w:t>doi</w:t>
      </w:r>
      <w:proofErr w:type="spellEnd"/>
      <w:r>
        <w:rPr>
          <w:rFonts w:eastAsia="Times New Roman"/>
        </w:rPr>
        <w:t>: https://doi.org/10.2807/1560-7917.ES.2020.25.45.2001886.</w:t>
      </w:r>
    </w:p>
    <w:p w14:paraId="778BD7D2"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Rawson TM, Wilson RC, Holmes A. Understanding the role of bacterial and fungal infection in COVID-19. </w:t>
      </w:r>
      <w:r w:rsidRPr="009D6383">
        <w:rPr>
          <w:rStyle w:val="Emphasis"/>
          <w:rFonts w:eastAsia="Times New Roman"/>
          <w:b w:val="0"/>
          <w:bCs w:val="0"/>
        </w:rPr>
        <w:t xml:space="preserve">Clin Microbiol </w:t>
      </w:r>
      <w:proofErr w:type="gramStart"/>
      <w:r w:rsidRPr="009D6383">
        <w:rPr>
          <w:rStyle w:val="Emphasis"/>
          <w:rFonts w:eastAsia="Times New Roman"/>
          <w:b w:val="0"/>
          <w:bCs w:val="0"/>
        </w:rPr>
        <w:t>Infect</w:t>
      </w:r>
      <w:r>
        <w:rPr>
          <w:rFonts w:eastAsia="Times New Roman"/>
        </w:rPr>
        <w:t xml:space="preserve"> .</w:t>
      </w:r>
      <w:proofErr w:type="gramEnd"/>
      <w:r>
        <w:rPr>
          <w:rFonts w:eastAsia="Times New Roman"/>
        </w:rPr>
        <w:t xml:space="preserve"> 2021;27(1):9–11.</w:t>
      </w:r>
    </w:p>
    <w:p w14:paraId="4AE37ED0"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Vijay S, Bansal N, Rao BK, </w:t>
      </w:r>
      <w:proofErr w:type="spellStart"/>
      <w:r>
        <w:rPr>
          <w:rFonts w:eastAsia="Times New Roman"/>
        </w:rPr>
        <w:t>Veeraraghavan</w:t>
      </w:r>
      <w:proofErr w:type="spellEnd"/>
      <w:r>
        <w:rPr>
          <w:rFonts w:eastAsia="Times New Roman"/>
        </w:rPr>
        <w:t xml:space="preserve"> B, Rodrigues C, </w:t>
      </w:r>
      <w:proofErr w:type="spellStart"/>
      <w:r>
        <w:rPr>
          <w:rFonts w:eastAsia="Times New Roman"/>
        </w:rPr>
        <w:t>Wattal</w:t>
      </w:r>
      <w:proofErr w:type="spellEnd"/>
      <w:r>
        <w:rPr>
          <w:rFonts w:eastAsia="Times New Roman"/>
        </w:rPr>
        <w:t xml:space="preserve"> C et al. Secondary infections in hospitalised COVID-19 patients: Indian experience. </w:t>
      </w:r>
      <w:r w:rsidRPr="009D6383">
        <w:rPr>
          <w:rStyle w:val="Emphasis"/>
          <w:rFonts w:eastAsia="Times New Roman"/>
          <w:b w:val="0"/>
          <w:bCs w:val="0"/>
        </w:rPr>
        <w:t xml:space="preserve">Infect Drug </w:t>
      </w:r>
      <w:proofErr w:type="gramStart"/>
      <w:r w:rsidRPr="009D6383">
        <w:rPr>
          <w:rStyle w:val="Emphasis"/>
          <w:rFonts w:eastAsia="Times New Roman"/>
          <w:b w:val="0"/>
          <w:bCs w:val="0"/>
        </w:rPr>
        <w:t>Resist</w:t>
      </w:r>
      <w:r>
        <w:rPr>
          <w:rFonts w:eastAsia="Times New Roman"/>
        </w:rPr>
        <w:t xml:space="preserve"> .</w:t>
      </w:r>
      <w:proofErr w:type="gramEnd"/>
      <w:r>
        <w:rPr>
          <w:rFonts w:eastAsia="Times New Roman"/>
        </w:rPr>
        <w:t xml:space="preserve"> </w:t>
      </w:r>
      <w:proofErr w:type="gramStart"/>
      <w:r>
        <w:rPr>
          <w:rFonts w:eastAsia="Times New Roman"/>
        </w:rPr>
        <w:t>2021;14:1893</w:t>
      </w:r>
      <w:proofErr w:type="gramEnd"/>
      <w:r>
        <w:rPr>
          <w:rFonts w:eastAsia="Times New Roman"/>
        </w:rPr>
        <w:t>–903.</w:t>
      </w:r>
    </w:p>
    <w:p w14:paraId="1484BE38"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lastRenderedPageBreak/>
        <w:t xml:space="preserve">Australian Institute of Health and Welfare (AIHW). </w:t>
      </w:r>
      <w:r w:rsidRPr="009D6383">
        <w:rPr>
          <w:rStyle w:val="Emphasis"/>
          <w:rFonts w:eastAsia="Times New Roman"/>
          <w:b w:val="0"/>
          <w:bCs w:val="0"/>
        </w:rPr>
        <w:t xml:space="preserve">Australian hospital peer </w:t>
      </w:r>
      <w:proofErr w:type="gramStart"/>
      <w:r w:rsidRPr="009D6383">
        <w:rPr>
          <w:rStyle w:val="Emphasis"/>
          <w:rFonts w:eastAsia="Times New Roman"/>
          <w:b w:val="0"/>
          <w:bCs w:val="0"/>
        </w:rPr>
        <w:t>groups</w:t>
      </w:r>
      <w:r>
        <w:rPr>
          <w:rFonts w:eastAsia="Times New Roman"/>
        </w:rPr>
        <w:t xml:space="preserve"> .</w:t>
      </w:r>
      <w:proofErr w:type="gramEnd"/>
      <w:r>
        <w:rPr>
          <w:rFonts w:eastAsia="Times New Roman"/>
        </w:rPr>
        <w:t xml:space="preserve"> Canberra: Australian Government, AIHW; 16 November 2015. Available from: https://www.aihw.gov.au/reports/hospitals/australian-hospital-peer-groups.</w:t>
      </w:r>
    </w:p>
    <w:p w14:paraId="438216DA"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World Health Organization (WHO). ATC/DDD Index. [Online database.] Oslo: WHO Collaborating Centre for Drug Statistics Methodology, Norwegian Institute of Public Health; 2021. [Accessed on 6 July 2021.] Available from: https://www.whocc.no/atc_ddd_index/.</w:t>
      </w:r>
    </w:p>
    <w:p w14:paraId="70B37EFC"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National Health and Medical Research Council (NHMRC), Australian Research Council (ARC), Universities Australia. </w:t>
      </w:r>
      <w:r w:rsidRPr="009D6383">
        <w:rPr>
          <w:rStyle w:val="Emphasis"/>
          <w:rFonts w:eastAsia="Times New Roman"/>
          <w:b w:val="0"/>
          <w:bCs w:val="0"/>
        </w:rPr>
        <w:t>National Statement on Ethical Conduct in Human Research 2007 (Updated 2018</w:t>
      </w:r>
      <w:proofErr w:type="gramStart"/>
      <w:r w:rsidRPr="009D6383">
        <w:rPr>
          <w:rStyle w:val="Emphasis"/>
          <w:rFonts w:eastAsia="Times New Roman"/>
          <w:b w:val="0"/>
          <w:bCs w:val="0"/>
        </w:rPr>
        <w:t>)</w:t>
      </w:r>
      <w:r>
        <w:rPr>
          <w:rFonts w:eastAsia="Times New Roman"/>
        </w:rPr>
        <w:t xml:space="preserve"> .</w:t>
      </w:r>
      <w:proofErr w:type="gramEnd"/>
      <w:r>
        <w:rPr>
          <w:rFonts w:eastAsia="Times New Roman"/>
        </w:rPr>
        <w:t xml:space="preserve"> Canberra: NHMRC, ARC, Universities Australia; 2018. Available from: https://www.nhmrc.gov.au/about-us/publications/national-statement-ethical-conduct-human-research-2007-updated-2018.</w:t>
      </w:r>
    </w:p>
    <w:p w14:paraId="311B88ED"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Victorian Government. Victorian COVID-19 data. [Website.] Melbourne: Victorian Government; 2021. [Accessed on 7 September 2021.] Available from: https://www.coronavirus.vic.gov.au/victorian-coronavirus-covid-19-data.</w:t>
      </w:r>
    </w:p>
    <w:p w14:paraId="0860BDD9"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SA Health, Australian Commission on Safety and Quality in Health Care (ACSQHC). </w:t>
      </w:r>
      <w:r w:rsidRPr="009D6383">
        <w:rPr>
          <w:rStyle w:val="Emphasis"/>
          <w:rFonts w:eastAsia="Times New Roman"/>
          <w:b w:val="0"/>
          <w:bCs w:val="0"/>
        </w:rPr>
        <w:t xml:space="preserve">National Antimicrobial Utilisation Surveillance Program: 2019 Key </w:t>
      </w:r>
      <w:proofErr w:type="gramStart"/>
      <w:r w:rsidRPr="009D6383">
        <w:rPr>
          <w:rStyle w:val="Emphasis"/>
          <w:rFonts w:eastAsia="Times New Roman"/>
          <w:b w:val="0"/>
          <w:bCs w:val="0"/>
        </w:rPr>
        <w:t>Findings</w:t>
      </w:r>
      <w:r>
        <w:rPr>
          <w:rFonts w:eastAsia="Times New Roman"/>
        </w:rPr>
        <w:t xml:space="preserve"> .</w:t>
      </w:r>
      <w:proofErr w:type="gramEnd"/>
      <w:r>
        <w:rPr>
          <w:rFonts w:eastAsia="Times New Roman"/>
        </w:rPr>
        <w:t xml:space="preserve"> Sydney: ACSQHC; March 2021. Available from: https://www.safetyandquality.gov.au/publications-and-resources/resource-library/2019-annual-report-national-antimicrobial-utilisation-surveillance-program-nausp.</w:t>
      </w:r>
    </w:p>
    <w:p w14:paraId="025FE7D5"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Todd IMF, Miller JE, Rowe SL, </w:t>
      </w:r>
      <w:proofErr w:type="spellStart"/>
      <w:r>
        <w:rPr>
          <w:rFonts w:eastAsia="Times New Roman"/>
        </w:rPr>
        <w:t>Burgner</w:t>
      </w:r>
      <w:proofErr w:type="spellEnd"/>
      <w:r>
        <w:rPr>
          <w:rFonts w:eastAsia="Times New Roman"/>
        </w:rPr>
        <w:t xml:space="preserve"> DP, Sullivan SG. Changes in infection-related hospitalisations in children following pandemic restrictions: an </w:t>
      </w:r>
      <w:proofErr w:type="spellStart"/>
      <w:r>
        <w:rPr>
          <w:rFonts w:eastAsia="Times New Roman"/>
        </w:rPr>
        <w:t>interruped</w:t>
      </w:r>
      <w:proofErr w:type="spellEnd"/>
      <w:r>
        <w:rPr>
          <w:rFonts w:eastAsia="Times New Roman"/>
        </w:rPr>
        <w:t xml:space="preserve"> time-series analysis of total population data. </w:t>
      </w:r>
      <w:r w:rsidRPr="009D6383">
        <w:rPr>
          <w:rStyle w:val="Emphasis"/>
          <w:rFonts w:eastAsia="Times New Roman"/>
          <w:b w:val="0"/>
          <w:bCs w:val="0"/>
        </w:rPr>
        <w:t xml:space="preserve">Int J </w:t>
      </w:r>
      <w:proofErr w:type="gramStart"/>
      <w:r w:rsidRPr="009D6383">
        <w:rPr>
          <w:rStyle w:val="Emphasis"/>
          <w:rFonts w:eastAsia="Times New Roman"/>
          <w:b w:val="0"/>
          <w:bCs w:val="0"/>
        </w:rPr>
        <w:t>Epidemiol</w:t>
      </w:r>
      <w:r>
        <w:rPr>
          <w:rFonts w:eastAsia="Times New Roman"/>
        </w:rPr>
        <w:t xml:space="preserve"> .</w:t>
      </w:r>
      <w:proofErr w:type="gramEnd"/>
      <w:r>
        <w:rPr>
          <w:rFonts w:eastAsia="Times New Roman"/>
        </w:rPr>
        <w:t xml:space="preserve"> 2021. </w:t>
      </w:r>
      <w:proofErr w:type="spellStart"/>
      <w:r>
        <w:rPr>
          <w:rFonts w:eastAsia="Times New Roman"/>
        </w:rPr>
        <w:t>doi</w:t>
      </w:r>
      <w:proofErr w:type="spellEnd"/>
      <w:r>
        <w:rPr>
          <w:rFonts w:eastAsia="Times New Roman"/>
        </w:rPr>
        <w:t>: https://doi.org/10.1093/ije/dyab101.</w:t>
      </w:r>
    </w:p>
    <w:p w14:paraId="344D7A1F" w14:textId="77777777" w:rsidR="005B4B9F" w:rsidRDefault="005B4B9F" w:rsidP="005B4B9F">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w:t>
      </w:r>
      <w:r w:rsidRPr="009D6383">
        <w:rPr>
          <w:rStyle w:val="Emphasis"/>
          <w:rFonts w:eastAsia="Times New Roman"/>
          <w:b w:val="0"/>
          <w:bCs w:val="0"/>
        </w:rPr>
        <w:t xml:space="preserve">National 2020 Influenza Season </w:t>
      </w:r>
      <w:proofErr w:type="gramStart"/>
      <w:r w:rsidRPr="009D6383">
        <w:rPr>
          <w:rStyle w:val="Emphasis"/>
          <w:rFonts w:eastAsia="Times New Roman"/>
          <w:b w:val="0"/>
          <w:bCs w:val="0"/>
        </w:rPr>
        <w:t>Summary</w:t>
      </w:r>
      <w:r>
        <w:rPr>
          <w:rFonts w:eastAsia="Times New Roman"/>
        </w:rPr>
        <w:t xml:space="preserve"> .</w:t>
      </w:r>
      <w:proofErr w:type="gramEnd"/>
      <w:r>
        <w:rPr>
          <w:rFonts w:eastAsia="Times New Roman"/>
        </w:rPr>
        <w:t xml:space="preserve"> Canberra: Australian Government Department of Health; 2 December 2020. Available from: https://www1.health.gov.au/internet/main/publishing.nsf/Content/03943F9CD20D2CCCCA2586410078F296/$File/National-Influenza-Season-Summary2020.pdf.</w:t>
      </w:r>
    </w:p>
    <w:p w14:paraId="275919A2" w14:textId="70455172" w:rsidR="008B5348" w:rsidRDefault="008B5348">
      <w:pPr>
        <w:rPr>
          <w:rStyle w:val="A10"/>
        </w:rPr>
        <w:sectPr w:rsidR="008B5348" w:rsidSect="00A30C37">
          <w:headerReference w:type="default" r:id="rId17"/>
          <w:footerReference w:type="default" r:id="rId18"/>
          <w:footerReference w:type="first" r:id="rId19"/>
          <w:footnotePr>
            <w:numFmt w:val="lowerRoman"/>
          </w:footnotePr>
          <w:pgSz w:w="11906" w:h="16838"/>
          <w:pgMar w:top="720" w:right="720" w:bottom="1134" w:left="720" w:header="709" w:footer="284" w:gutter="0"/>
          <w:cols w:space="708"/>
          <w:titlePg/>
          <w:docGrid w:linePitch="360"/>
        </w:sectPr>
      </w:pPr>
    </w:p>
    <w:p w14:paraId="20391AF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9CB672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B40B6E2" w14:textId="77777777" w:rsidR="000A5F42" w:rsidRPr="000606CC" w:rsidRDefault="000A5F42" w:rsidP="000A5F42">
      <w:pPr>
        <w:pStyle w:val="NoSpacing"/>
        <w:rPr>
          <w:rStyle w:val="URI"/>
          <w:rFonts w:cstheme="minorHAnsi"/>
          <w:sz w:val="20"/>
          <w:szCs w:val="18"/>
        </w:rPr>
      </w:pPr>
    </w:p>
    <w:p w14:paraId="1CB4B7A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BF70478" w14:textId="77777777" w:rsidR="000A5F42" w:rsidRPr="000606CC" w:rsidRDefault="000A5F42" w:rsidP="000A5F42">
      <w:pPr>
        <w:pStyle w:val="NoSpacing"/>
        <w:rPr>
          <w:rStyle w:val="Strong"/>
          <w:rFonts w:cstheme="minorHAnsi"/>
          <w:sz w:val="20"/>
          <w:szCs w:val="18"/>
        </w:rPr>
      </w:pPr>
    </w:p>
    <w:p w14:paraId="2E73584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1A0E1F6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AD70E6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74F6AE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5CC57E61" w14:textId="77777777" w:rsidR="000A5F42" w:rsidRPr="000606CC" w:rsidRDefault="000A5F42" w:rsidP="000A5F42">
      <w:pPr>
        <w:pStyle w:val="NoSpacing"/>
        <w:rPr>
          <w:rStyle w:val="Strong"/>
          <w:rFonts w:cstheme="minorHAnsi"/>
          <w:sz w:val="20"/>
          <w:szCs w:val="18"/>
        </w:rPr>
      </w:pPr>
    </w:p>
    <w:p w14:paraId="1F8E343E" w14:textId="6859BD2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20"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D7702AB" w14:textId="77777777" w:rsidR="000A5F42" w:rsidRPr="000606CC" w:rsidRDefault="000A5F42" w:rsidP="000A5F42">
      <w:pPr>
        <w:pStyle w:val="NoSpacing"/>
        <w:rPr>
          <w:rStyle w:val="Strong"/>
          <w:rFonts w:cstheme="minorHAnsi"/>
          <w:sz w:val="20"/>
          <w:szCs w:val="18"/>
        </w:rPr>
      </w:pPr>
    </w:p>
    <w:p w14:paraId="49AE334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AF25734" w14:textId="77777777" w:rsidR="000A5F42" w:rsidRPr="000606CC" w:rsidRDefault="000A5F42" w:rsidP="000A5F42">
      <w:pPr>
        <w:pStyle w:val="NoSpacing"/>
        <w:rPr>
          <w:rStyle w:val="Strong"/>
          <w:rFonts w:cstheme="minorHAnsi"/>
          <w:sz w:val="20"/>
          <w:szCs w:val="18"/>
        </w:rPr>
      </w:pPr>
    </w:p>
    <w:p w14:paraId="7E083E01" w14:textId="6BB8EAC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21"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D3F9D95" w14:textId="77777777" w:rsidR="000A5F42" w:rsidRPr="000606CC" w:rsidRDefault="000A5F42" w:rsidP="000A5F42">
      <w:pPr>
        <w:pStyle w:val="NoSpacing"/>
        <w:rPr>
          <w:rStyle w:val="Strong"/>
          <w:rFonts w:cstheme="minorHAnsi"/>
          <w:sz w:val="20"/>
          <w:szCs w:val="18"/>
        </w:rPr>
      </w:pPr>
    </w:p>
    <w:p w14:paraId="2C8D224A" w14:textId="2C13B962"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2"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D693D76" w14:textId="6FB2AAB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3" w:history="1">
        <w:r w:rsidRPr="000606CC">
          <w:rPr>
            <w:rStyle w:val="Hyperlink"/>
            <w:rFonts w:cstheme="minorHAnsi"/>
            <w:sz w:val="20"/>
            <w:szCs w:val="18"/>
          </w:rPr>
          <w:t>cdi.editor@health.gov.au</w:t>
        </w:r>
      </w:hyperlink>
      <w:r w:rsidRPr="000606CC">
        <w:rPr>
          <w:rFonts w:cstheme="minorHAnsi"/>
          <w:sz w:val="20"/>
          <w:szCs w:val="18"/>
        </w:rPr>
        <w:t>.</w:t>
      </w:r>
    </w:p>
    <w:p w14:paraId="0967A3C6" w14:textId="77777777" w:rsidR="000A5F42" w:rsidRPr="000606CC" w:rsidRDefault="000A5F42" w:rsidP="000A5F42">
      <w:pPr>
        <w:pStyle w:val="NoSpacing"/>
        <w:pBdr>
          <w:bottom w:val="single" w:sz="6" w:space="1" w:color="auto"/>
        </w:pBdr>
        <w:rPr>
          <w:rStyle w:val="Strong"/>
          <w:rFonts w:cstheme="minorHAnsi"/>
          <w:sz w:val="12"/>
          <w:szCs w:val="18"/>
        </w:rPr>
      </w:pPr>
    </w:p>
    <w:p w14:paraId="6802967A" w14:textId="77777777" w:rsidR="000A5F42" w:rsidRPr="000606CC" w:rsidRDefault="000A5F42" w:rsidP="000A5F42">
      <w:pPr>
        <w:pStyle w:val="NoSpacing"/>
        <w:rPr>
          <w:rFonts w:cstheme="minorHAnsi"/>
          <w:sz w:val="20"/>
          <w:szCs w:val="18"/>
        </w:rPr>
      </w:pPr>
    </w:p>
    <w:p w14:paraId="4653C55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6C5D66C" w14:textId="77777777" w:rsidR="000A5F42" w:rsidRPr="000606CC" w:rsidRDefault="000A5F42" w:rsidP="000A5F42">
      <w:pPr>
        <w:pStyle w:val="NoSpacing"/>
        <w:rPr>
          <w:rFonts w:cstheme="minorHAnsi"/>
          <w:sz w:val="20"/>
          <w:szCs w:val="18"/>
        </w:rPr>
      </w:pPr>
    </w:p>
    <w:p w14:paraId="3EBFBBD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C95C8F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94BD630" w14:textId="5D53D52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4"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D64F88E" w14:textId="77777777" w:rsidR="000A5F42" w:rsidRPr="000606CC" w:rsidRDefault="000A5F42" w:rsidP="000A5F42">
      <w:pPr>
        <w:pStyle w:val="NoSpacing"/>
        <w:rPr>
          <w:rFonts w:cstheme="minorHAnsi"/>
          <w:sz w:val="20"/>
          <w:szCs w:val="18"/>
        </w:rPr>
      </w:pPr>
    </w:p>
    <w:p w14:paraId="55A0490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11DC173" w14:textId="5B9FD06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5"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6D93059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3C4A16C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159644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D67EAC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6A6B3F9" w14:textId="77777777" w:rsidR="000A5F42" w:rsidRPr="000606CC" w:rsidRDefault="000A5F42" w:rsidP="000A5F42">
      <w:pPr>
        <w:pStyle w:val="NoSpacing"/>
        <w:rPr>
          <w:rStyle w:val="Strong"/>
          <w:rFonts w:cstheme="minorHAnsi"/>
          <w:sz w:val="20"/>
          <w:szCs w:val="18"/>
        </w:rPr>
      </w:pPr>
    </w:p>
    <w:p w14:paraId="7453616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DCC6F54" w14:textId="77777777" w:rsidR="000A5F42" w:rsidRPr="000606CC" w:rsidRDefault="000A5F42" w:rsidP="000A5F42">
      <w:pPr>
        <w:pStyle w:val="NoSpacing"/>
        <w:rPr>
          <w:rStyle w:val="Strong"/>
          <w:rFonts w:cstheme="minorHAnsi"/>
          <w:sz w:val="20"/>
          <w:szCs w:val="18"/>
        </w:rPr>
      </w:pPr>
    </w:p>
    <w:p w14:paraId="66D7CB4C" w14:textId="2F05097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6"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F9EFE05" w14:textId="77777777" w:rsidR="000A5F42" w:rsidRPr="000606CC" w:rsidRDefault="000A5F42" w:rsidP="000A5F42">
      <w:pPr>
        <w:pStyle w:val="NoSpacing"/>
        <w:rPr>
          <w:rStyle w:val="URI"/>
          <w:rFonts w:cstheme="minorHAnsi"/>
          <w:sz w:val="20"/>
          <w:szCs w:val="18"/>
        </w:rPr>
      </w:pPr>
    </w:p>
    <w:p w14:paraId="1183F6BD" w14:textId="106C386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7" w:tooltip="Communicable Diseases Network Australia website" w:history="1">
        <w:r w:rsidRPr="000606CC">
          <w:rPr>
            <w:rStyle w:val="Hyperlink"/>
            <w:rFonts w:cstheme="minorHAnsi"/>
            <w:sz w:val="20"/>
            <w:szCs w:val="18"/>
          </w:rPr>
          <w:t>http://www.health.gov.au/cdna</w:t>
        </w:r>
      </w:hyperlink>
    </w:p>
    <w:p w14:paraId="0E9D59F3" w14:textId="77777777" w:rsidR="001B37B8" w:rsidRPr="00E92237" w:rsidRDefault="001B37B8" w:rsidP="001B37B8">
      <w:pPr>
        <w:rPr>
          <w:rFonts w:cs="Myriad Pro"/>
          <w:color w:val="211D1E"/>
          <w:sz w:val="20"/>
          <w:szCs w:val="20"/>
        </w:rPr>
      </w:pPr>
    </w:p>
    <w:sectPr w:rsidR="001B37B8" w:rsidRPr="00E92237" w:rsidSect="002B75A9">
      <w:headerReference w:type="default" r:id="rId28"/>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62E5E" w14:textId="77777777" w:rsidR="000631E7" w:rsidRDefault="000631E7" w:rsidP="00E54DBA">
      <w:r>
        <w:separator/>
      </w:r>
    </w:p>
    <w:p w14:paraId="5EEDA66F" w14:textId="77777777" w:rsidR="000631E7" w:rsidRDefault="000631E7"/>
    <w:p w14:paraId="5E16EBCE" w14:textId="77777777" w:rsidR="000631E7" w:rsidRDefault="000631E7" w:rsidP="008714B0"/>
  </w:endnote>
  <w:endnote w:type="continuationSeparator" w:id="0">
    <w:p w14:paraId="19D002C3" w14:textId="77777777" w:rsidR="000631E7" w:rsidRDefault="000631E7" w:rsidP="00E54DBA">
      <w:r>
        <w:continuationSeparator/>
      </w:r>
    </w:p>
    <w:p w14:paraId="5C06A976" w14:textId="77777777" w:rsidR="000631E7" w:rsidRDefault="000631E7"/>
    <w:p w14:paraId="069FFDAB" w14:textId="77777777" w:rsidR="000631E7" w:rsidRDefault="000631E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6410" w14:textId="732F327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9D6383">
      <w:rPr>
        <w:i/>
        <w:sz w:val="18"/>
      </w:rPr>
      <w:t>Commun</w:t>
    </w:r>
    <w:proofErr w:type="spellEnd"/>
    <w:r w:rsidR="00CE342B" w:rsidRPr="009D6383">
      <w:rPr>
        <w:i/>
        <w:sz w:val="18"/>
      </w:rPr>
      <w:t xml:space="preserve"> Dis </w:t>
    </w:r>
    <w:proofErr w:type="spellStart"/>
    <w:r w:rsidR="00CE342B" w:rsidRPr="009D6383">
      <w:rPr>
        <w:i/>
        <w:sz w:val="18"/>
      </w:rPr>
      <w:t>Intell</w:t>
    </w:r>
    <w:proofErr w:type="spellEnd"/>
    <w:r w:rsidR="00CE342B" w:rsidRPr="009D6383">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04E7F">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04E7F">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304E7F">
      <w:rPr>
        <w:sz w:val="18"/>
      </w:rPr>
      <w:t>https://doi.org/10.33321/cdi.2022.46.6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304E7F">
      <w:rPr>
        <w:sz w:val="18"/>
      </w:rPr>
      <w:t>16/02/2022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12FE5" w14:textId="5E6F01AF"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9D6383">
      <w:rPr>
        <w:i/>
        <w:sz w:val="18"/>
      </w:rPr>
      <w:t>Commun</w:t>
    </w:r>
    <w:proofErr w:type="spellEnd"/>
    <w:r w:rsidR="00A164D5" w:rsidRPr="009D6383">
      <w:rPr>
        <w:i/>
        <w:sz w:val="18"/>
      </w:rPr>
      <w:t xml:space="preserve"> Dis </w:t>
    </w:r>
    <w:proofErr w:type="spellStart"/>
    <w:r w:rsidR="00A164D5" w:rsidRPr="009D6383">
      <w:rPr>
        <w:i/>
        <w:sz w:val="18"/>
      </w:rPr>
      <w:t>Intell</w:t>
    </w:r>
    <w:proofErr w:type="spellEnd"/>
    <w:r w:rsidR="00A164D5" w:rsidRPr="009D6383">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04E7F">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04E7F">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304E7F">
      <w:rPr>
        <w:sz w:val="18"/>
      </w:rPr>
      <w:t>https://doi.org/10.33321/cdi.2022.46.6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304E7F">
      <w:rPr>
        <w:sz w:val="18"/>
      </w:rPr>
      <w:t>16/02/2022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AC239" w14:textId="77777777" w:rsidR="000631E7" w:rsidRPr="00B91FB5" w:rsidRDefault="000631E7" w:rsidP="00B91FB5">
      <w:pPr>
        <w:spacing w:after="0" w:line="240" w:lineRule="auto"/>
        <w:rPr>
          <w:sz w:val="18"/>
          <w:szCs w:val="18"/>
        </w:rPr>
      </w:pPr>
      <w:r w:rsidRPr="00B91FB5">
        <w:rPr>
          <w:sz w:val="18"/>
          <w:szCs w:val="18"/>
        </w:rPr>
        <w:separator/>
      </w:r>
    </w:p>
  </w:footnote>
  <w:footnote w:type="continuationSeparator" w:id="0">
    <w:p w14:paraId="3A8ABA17" w14:textId="77777777" w:rsidR="000631E7" w:rsidRDefault="000631E7" w:rsidP="00E54DBA">
      <w:r>
        <w:continuationSeparator/>
      </w:r>
    </w:p>
  </w:footnote>
  <w:footnote w:type="continuationNotice" w:id="1">
    <w:p w14:paraId="01B741AA" w14:textId="77777777" w:rsidR="000631E7" w:rsidRPr="00224EFF" w:rsidRDefault="000631E7" w:rsidP="00224EFF">
      <w:pPr>
        <w:pStyle w:val="Footer"/>
      </w:pPr>
    </w:p>
  </w:footnote>
  <w:footnote w:id="2">
    <w:p w14:paraId="501CF2E5" w14:textId="0F704473" w:rsidR="00384F15" w:rsidRPr="00357F9B" w:rsidRDefault="00384F15" w:rsidP="00357F9B">
      <w:pPr>
        <w:pStyle w:val="CDIfootnotes"/>
      </w:pPr>
      <w:r w:rsidRPr="00357F9B">
        <w:rPr>
          <w:rStyle w:val="FootnoteReference"/>
          <w:vertAlign w:val="baseline"/>
        </w:rPr>
        <w:footnoteRef/>
      </w:r>
      <w:r w:rsidR="00357F9B">
        <w:tab/>
      </w:r>
      <w:r w:rsidRPr="00357F9B">
        <w:t>https://www.amr.gov.au/resources/aura-2021-fourth-australian-report-antimicrobial-use-and-resistance-human-health.</w:t>
      </w:r>
    </w:p>
  </w:footnote>
  <w:footnote w:id="3">
    <w:p w14:paraId="369D3EE8" w14:textId="2AAB79E6" w:rsidR="00384F15" w:rsidRPr="00357F9B" w:rsidRDefault="00384F15" w:rsidP="00357F9B">
      <w:pPr>
        <w:pStyle w:val="CDIfootnotes"/>
      </w:pPr>
      <w:r w:rsidRPr="00357F9B">
        <w:rPr>
          <w:rStyle w:val="FootnoteReference"/>
          <w:vertAlign w:val="baseline"/>
        </w:rPr>
        <w:footnoteRef/>
      </w:r>
      <w:r w:rsidR="00357F9B">
        <w:tab/>
      </w:r>
      <w:r w:rsidRPr="00357F9B">
        <w:t>Amoxicillin, amoxicillin-clavulanate, azithromycin, benzylpenicillin, cefepime, ceftriaxone, cefuroxime, doxycycline, gentamicin, metronidazole, moxifloxacin, piperacillin-tazobactam.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EBB3" w14:textId="1805675F" w:rsidR="00257484" w:rsidRPr="00A153B6" w:rsidRDefault="009742F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C0B4D">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E981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6FB78FF" wp14:editId="385DA20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309D4"/>
    <w:multiLevelType w:val="hybridMultilevel"/>
    <w:tmpl w:val="8482E8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ED27C7"/>
    <w:multiLevelType w:val="multilevel"/>
    <w:tmpl w:val="5306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C21A48"/>
    <w:multiLevelType w:val="multilevel"/>
    <w:tmpl w:val="09C4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noPunctuationKerning/>
  <w:characterSpacingControl w:val="doNotCompress"/>
  <w:hdrShapeDefaults>
    <o:shapedefaults v:ext="edit" spidmax="2048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E7"/>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631E7"/>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7BF"/>
    <w:rsid w:val="001A4A96"/>
    <w:rsid w:val="001A5D05"/>
    <w:rsid w:val="001A796C"/>
    <w:rsid w:val="001B2614"/>
    <w:rsid w:val="001B37B8"/>
    <w:rsid w:val="001B552F"/>
    <w:rsid w:val="001B5687"/>
    <w:rsid w:val="001C0893"/>
    <w:rsid w:val="001C1303"/>
    <w:rsid w:val="001C70B2"/>
    <w:rsid w:val="001D37C7"/>
    <w:rsid w:val="001D6888"/>
    <w:rsid w:val="001F4463"/>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4E7F"/>
    <w:rsid w:val="003059EC"/>
    <w:rsid w:val="00316CCD"/>
    <w:rsid w:val="00324F7E"/>
    <w:rsid w:val="003323BC"/>
    <w:rsid w:val="00346D42"/>
    <w:rsid w:val="00346E11"/>
    <w:rsid w:val="0035059E"/>
    <w:rsid w:val="00357F9B"/>
    <w:rsid w:val="003601C0"/>
    <w:rsid w:val="003635F5"/>
    <w:rsid w:val="00372A88"/>
    <w:rsid w:val="003777D7"/>
    <w:rsid w:val="00381A0F"/>
    <w:rsid w:val="00384F15"/>
    <w:rsid w:val="003A1B3A"/>
    <w:rsid w:val="003A40F5"/>
    <w:rsid w:val="003B5B8C"/>
    <w:rsid w:val="003C0B4D"/>
    <w:rsid w:val="003D79B1"/>
    <w:rsid w:val="003E74EE"/>
    <w:rsid w:val="003F0552"/>
    <w:rsid w:val="003F3BC2"/>
    <w:rsid w:val="00401ED1"/>
    <w:rsid w:val="0040224C"/>
    <w:rsid w:val="00413EE1"/>
    <w:rsid w:val="004164BB"/>
    <w:rsid w:val="0042000E"/>
    <w:rsid w:val="00421ECE"/>
    <w:rsid w:val="00422FEB"/>
    <w:rsid w:val="0042435E"/>
    <w:rsid w:val="004244E4"/>
    <w:rsid w:val="004315F5"/>
    <w:rsid w:val="00433456"/>
    <w:rsid w:val="00433DFA"/>
    <w:rsid w:val="00435D67"/>
    <w:rsid w:val="00464A58"/>
    <w:rsid w:val="00473D2D"/>
    <w:rsid w:val="00477A15"/>
    <w:rsid w:val="004A2125"/>
    <w:rsid w:val="004A38F6"/>
    <w:rsid w:val="004B4EB6"/>
    <w:rsid w:val="004C0491"/>
    <w:rsid w:val="004C083C"/>
    <w:rsid w:val="004C67C6"/>
    <w:rsid w:val="004D29DE"/>
    <w:rsid w:val="004D2DBF"/>
    <w:rsid w:val="00510EAC"/>
    <w:rsid w:val="00540C05"/>
    <w:rsid w:val="00542A57"/>
    <w:rsid w:val="00565974"/>
    <w:rsid w:val="005732C0"/>
    <w:rsid w:val="0057336D"/>
    <w:rsid w:val="00573C1A"/>
    <w:rsid w:val="0057489A"/>
    <w:rsid w:val="00574ACF"/>
    <w:rsid w:val="00581588"/>
    <w:rsid w:val="0058540B"/>
    <w:rsid w:val="00587C87"/>
    <w:rsid w:val="00590B80"/>
    <w:rsid w:val="005B3134"/>
    <w:rsid w:val="005B4878"/>
    <w:rsid w:val="005B4B9F"/>
    <w:rsid w:val="005B4E61"/>
    <w:rsid w:val="005B595A"/>
    <w:rsid w:val="005B66C2"/>
    <w:rsid w:val="005C66A6"/>
    <w:rsid w:val="005D2465"/>
    <w:rsid w:val="005D3B9C"/>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81C58"/>
    <w:rsid w:val="008962D3"/>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742F1"/>
    <w:rsid w:val="0098119A"/>
    <w:rsid w:val="00984AAF"/>
    <w:rsid w:val="00991B09"/>
    <w:rsid w:val="009923BE"/>
    <w:rsid w:val="00993CB2"/>
    <w:rsid w:val="009A5166"/>
    <w:rsid w:val="009A76F8"/>
    <w:rsid w:val="009B2B83"/>
    <w:rsid w:val="009C49F8"/>
    <w:rsid w:val="009D3DCF"/>
    <w:rsid w:val="009D6383"/>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D47FD"/>
    <w:rsid w:val="00AE3DCF"/>
    <w:rsid w:val="00AE4452"/>
    <w:rsid w:val="00AE7C38"/>
    <w:rsid w:val="00B01F99"/>
    <w:rsid w:val="00B02B37"/>
    <w:rsid w:val="00B05276"/>
    <w:rsid w:val="00B132DB"/>
    <w:rsid w:val="00B31427"/>
    <w:rsid w:val="00B33861"/>
    <w:rsid w:val="00B40623"/>
    <w:rsid w:val="00B40DE2"/>
    <w:rsid w:val="00B50210"/>
    <w:rsid w:val="00B53955"/>
    <w:rsid w:val="00B6408A"/>
    <w:rsid w:val="00B714B8"/>
    <w:rsid w:val="00B82C2C"/>
    <w:rsid w:val="00B8720B"/>
    <w:rsid w:val="00B876EF"/>
    <w:rsid w:val="00B91FB5"/>
    <w:rsid w:val="00BA4697"/>
    <w:rsid w:val="00BB3CF9"/>
    <w:rsid w:val="00BB5378"/>
    <w:rsid w:val="00BC0BD3"/>
    <w:rsid w:val="00BD0107"/>
    <w:rsid w:val="00BE0C33"/>
    <w:rsid w:val="00BE262C"/>
    <w:rsid w:val="00BE4C25"/>
    <w:rsid w:val="00BE6C3D"/>
    <w:rsid w:val="00C07606"/>
    <w:rsid w:val="00C12542"/>
    <w:rsid w:val="00C16B02"/>
    <w:rsid w:val="00C22D7B"/>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92CFB"/>
    <w:rsid w:val="00DA3AE5"/>
    <w:rsid w:val="00DA6E56"/>
    <w:rsid w:val="00DC24E5"/>
    <w:rsid w:val="00DC6705"/>
    <w:rsid w:val="00DD2DE8"/>
    <w:rsid w:val="00DE38B4"/>
    <w:rsid w:val="00DE56AE"/>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047F"/>
    <w:rsid w:val="00E851D8"/>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1BD2"/>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61E5411"/>
  <w15:docId w15:val="{0D6FB8BA-198D-47AD-8DFE-5E7E2A8C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C16B02"/>
    <w:rPr>
      <w:sz w:val="16"/>
      <w:szCs w:val="16"/>
    </w:rPr>
  </w:style>
  <w:style w:type="paragraph" w:styleId="CommentText">
    <w:name w:val="annotation text"/>
    <w:basedOn w:val="Normal"/>
    <w:link w:val="CommentTextChar"/>
    <w:uiPriority w:val="99"/>
    <w:semiHidden/>
    <w:unhideWhenUsed/>
    <w:rsid w:val="00C16B02"/>
    <w:pPr>
      <w:spacing w:line="240" w:lineRule="auto"/>
    </w:pPr>
    <w:rPr>
      <w:sz w:val="20"/>
      <w:szCs w:val="20"/>
    </w:rPr>
  </w:style>
  <w:style w:type="character" w:customStyle="1" w:styleId="CommentTextChar">
    <w:name w:val="Comment Text Char"/>
    <w:basedOn w:val="DefaultParagraphFont"/>
    <w:link w:val="CommentText"/>
    <w:uiPriority w:val="99"/>
    <w:semiHidden/>
    <w:rsid w:val="00C16B02"/>
    <w:rPr>
      <w:sz w:val="20"/>
      <w:szCs w:val="20"/>
    </w:rPr>
  </w:style>
  <w:style w:type="paragraph" w:styleId="CommentSubject">
    <w:name w:val="annotation subject"/>
    <w:basedOn w:val="CommentText"/>
    <w:next w:val="CommentText"/>
    <w:link w:val="CommentSubjectChar"/>
    <w:uiPriority w:val="99"/>
    <w:semiHidden/>
    <w:unhideWhenUsed/>
    <w:rsid w:val="00C16B02"/>
    <w:rPr>
      <w:b/>
      <w:bCs/>
    </w:rPr>
  </w:style>
  <w:style w:type="character" w:customStyle="1" w:styleId="CommentSubjectChar">
    <w:name w:val="Comment Subject Char"/>
    <w:basedOn w:val="CommentTextChar"/>
    <w:link w:val="CommentSubject"/>
    <w:uiPriority w:val="99"/>
    <w:semiHidden/>
    <w:rsid w:val="00C16B02"/>
    <w:rPr>
      <w:b/>
      <w:bCs/>
      <w:sz w:val="20"/>
      <w:szCs w:val="20"/>
    </w:rPr>
  </w:style>
  <w:style w:type="character" w:styleId="UnresolvedMention">
    <w:name w:val="Unresolved Mention"/>
    <w:basedOn w:val="DefaultParagraphFont"/>
    <w:uiPriority w:val="99"/>
    <w:semiHidden/>
    <w:unhideWhenUsed/>
    <w:rsid w:val="00C2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health.gov.au/cd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creativecommons.org/licenses/by-nc-nd/4.0/legalcode"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mailto:cdi.editor@health.gov.a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33321/cdi.2022.46.50" TargetMode="External"/><Relationship Id="rId14" Type="http://schemas.openxmlformats.org/officeDocument/2006/relationships/image" Target="media/image5.png"/><Relationship Id="rId22" Type="http://schemas.openxmlformats.org/officeDocument/2006/relationships/hyperlink" Target="http://health.gov.au/cdi" TargetMode="External"/><Relationship Id="rId27" Type="http://schemas.openxmlformats.org/officeDocument/2006/relationships/hyperlink" Target="http://www.health.gov.au/cdn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3633</Words>
  <Characters>23147</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Communicable Diseases Intelligence 2022 - Utilisation of antimicrobials used to treat bacterial pneumonia in principal referral hospitals during the COVID-19 pandemic, Australia, 2020</vt:lpstr>
    </vt:vector>
  </TitlesOfParts>
  <Company>Australian Government, Department of Health</Company>
  <LinksUpToDate>false</LinksUpToDate>
  <CharactersWithSpaces>26727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Utilisation of antimicrobials used to treat bacterial pneumonia in principal referral hospitals during the COVID-19 pandemic, Australia, 2020</dc:title>
  <dc:subject>Increased use of antimicrobials during the COVID-19 pandemic has the potential to increase antimicrobial resistance worldwide. In Australia, the National Antimicrobial Utilisation Surveillance Program monitors and reports on antimicrobial usage in the hospital setting. This paper investigates the usage rates of broad-spectrum antibacterial agents commonly used to treat bacterial pneumonias during 2020, and looks at the impact of the second COVID-19 second wave (July to October, 2020) in Victoria.</dc:subject>
  <dc:creator>Erin Connor;Kavita Rasiah;Nadine Hillock</dc:creator>
  <cp:keywords>AMS; surveillance; pneumonia; COVID-19; antimicrobial stewardship; antimicrobial resistance</cp:keywords>
  <dc:description>© Commonwealth of Australia CC BY-NC-ND ISSN: 2209-6051 (Online)</dc:description>
  <cp:lastModifiedBy>YOUSEFI, Kasra</cp:lastModifiedBy>
  <cp:revision>11</cp:revision>
  <cp:lastPrinted>2018-05-10T02:19:00Z</cp:lastPrinted>
  <dcterms:created xsi:type="dcterms:W3CDTF">2022-01-31T03:08:00Z</dcterms:created>
  <dcterms:modified xsi:type="dcterms:W3CDTF">2022-08-19T01:20:00Z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16/02/2022</vt:lpwstr>
  </property>
  <property fmtid="{D5CDD505-2E9C-101B-9397-08002B2CF9AE}" pid="5" name="DOI">
    <vt:lpwstr>https://doi.org/10.33321/cdi.2022.46.6</vt:lpwstr>
  </property>
</Properties>
</file>