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D7908" w14:textId="77777777" w:rsidR="000D3A71" w:rsidRPr="00030519" w:rsidRDefault="000D3A71" w:rsidP="00C41F74">
      <w:pPr>
        <w:pStyle w:val="Title"/>
        <w:rPr>
          <w:sz w:val="48"/>
          <w:szCs w:val="48"/>
        </w:rPr>
      </w:pPr>
      <w:r w:rsidRPr="00030519">
        <w:rPr>
          <w:sz w:val="48"/>
          <w:szCs w:val="48"/>
        </w:rPr>
        <w:t xml:space="preserve">Time taken by individuals with respiratory symptoms to present to primary care: a descriptive study of assessments at Australian General Practitioner-led respiratory clinics </w:t>
      </w:r>
    </w:p>
    <w:p w14:paraId="4A1906B1" w14:textId="77777777" w:rsidR="000D3A71" w:rsidRDefault="000D3A71" w:rsidP="00C41F74">
      <w:r>
        <w:t xml:space="preserve">Victoria E Mansell, Theophilus I </w:t>
      </w:r>
      <w:proofErr w:type="spellStart"/>
      <w:r>
        <w:t>Emeto</w:t>
      </w:r>
      <w:proofErr w:type="spellEnd"/>
      <w:r>
        <w:t xml:space="preserve">, Stephanie Davis </w:t>
      </w:r>
    </w:p>
    <w:p w14:paraId="3D228586" w14:textId="77777777" w:rsidR="000D3A71" w:rsidRPr="000D3A71" w:rsidRDefault="000D3A71" w:rsidP="000D3A71">
      <w:pPr>
        <w:pStyle w:val="Heading1"/>
      </w:pPr>
      <w:r w:rsidRPr="000D3A71">
        <w:t xml:space="preserve">Abstract </w:t>
      </w:r>
    </w:p>
    <w:p w14:paraId="70693B9F" w14:textId="77777777" w:rsidR="000D3A71" w:rsidRDefault="000D3A71" w:rsidP="000D3A71">
      <w:r>
        <w:t xml:space="preserve">Effective control of coronavirus disease 2019 (COVID-19) has been challenging, in part due to significant asymptomatic and pre-symptomatic transmission of disease. Reducing the time between symptom onset and COVID-19 testing and isolation allows enhanced outbreak control. The purpose of this study is to describe the time taken by participants to present to general practitioner-led (GP) respiratory clinics for assessment following the development of symptoms, and to explore associations between demographic and geographic characteristics and the time to presentation. </w:t>
      </w:r>
    </w:p>
    <w:p w14:paraId="102129B7" w14:textId="77777777" w:rsidR="000D3A71" w:rsidRDefault="000D3A71" w:rsidP="000D3A71">
      <w:r>
        <w:t xml:space="preserve">A total of 314,148 participants, who were assessed in GP respiratory clinics between 1 February and 31 August 2021, were included in the analysis. The median age of participants at presentation was 33 years (interquartile range, IQR: 15–49). </w:t>
      </w:r>
    </w:p>
    <w:p w14:paraId="634A1B22" w14:textId="77777777" w:rsidR="000D3A71" w:rsidRDefault="000D3A71" w:rsidP="000D3A71">
      <w:r>
        <w:t xml:space="preserve">The median time from development of symptoms to presentation for assessment at GP respiratory clinics was 2 days (IQR: 1–3). Participants were more likely to present within one day of symptom onset if they were aged between 15 and 64 years (43.4%), lived in urban areas (40.9%) or were non-Indigenous (40.2%). Participants in New South Wales and Victoria had twice the odds (OR 2.01; 95% confidence interval (CI): 1.95, 2.08) of presenting at a GP respiratory clinic within one day of symptom onset in August 2021, when there was a COVID-19 outbreak in those states, </w:t>
      </w:r>
      <w:proofErr w:type="gramStart"/>
      <w:r>
        <w:t>than</w:t>
      </w:r>
      <w:proofErr w:type="gramEnd"/>
      <w:r>
        <w:t xml:space="preserve"> they did in March 2021, when there was no COVID-19 outbreak in Australia. </w:t>
      </w:r>
    </w:p>
    <w:p w14:paraId="2CFFD666" w14:textId="77777777" w:rsidR="000D3A71" w:rsidRDefault="000D3A71" w:rsidP="000D3A71">
      <w:r>
        <w:t xml:space="preserve">The number of days from symptom onset to presentation at a GP respiratory clinic was strongly associated with the presence of a COVID-19 outbreak. Participant age, location of the clinic, and Indigenous status of participants were also associated with the time to presentation. This study highlights the importance of recognising COVID-19 as a potential cause of symptoms, as well as the importance of providing easily accessible, and culturally appropriate, testing facilities for the population. </w:t>
      </w:r>
    </w:p>
    <w:p w14:paraId="6DD0C1DF" w14:textId="77777777" w:rsidR="000D3A71" w:rsidRDefault="000D3A71" w:rsidP="000D3A71">
      <w:r>
        <w:t xml:space="preserve">Keywords: COVID-19; Coronavirus disease 2019; SARS-CoV-2; respiratory symptoms; primary health care; public health response; testing; Australia </w:t>
      </w:r>
    </w:p>
    <w:p w14:paraId="7CAA7867" w14:textId="77777777" w:rsidR="000D3A71" w:rsidRPr="000D3A71" w:rsidRDefault="000D3A71" w:rsidP="000D3A71">
      <w:pPr>
        <w:pStyle w:val="Heading1"/>
      </w:pPr>
      <w:r w:rsidRPr="000D3A71">
        <w:t xml:space="preserve">Introduction </w:t>
      </w:r>
    </w:p>
    <w:p w14:paraId="32D9F2F1" w14:textId="77777777" w:rsidR="000D3A71" w:rsidRDefault="000D3A71" w:rsidP="000D3A71">
      <w:r>
        <w:t>Coronavirus disease 2019 (COVID-19), which is caused by the novel coronavirus SARS-CoV-2, has had rapid global spread since it first emerged in November 2019.</w:t>
      </w:r>
      <w:r>
        <w:rPr>
          <w:vertAlign w:val="superscript"/>
        </w:rPr>
        <w:t>1</w:t>
      </w:r>
      <w:r>
        <w:t xml:space="preserve"> The SARS-CoV-2 virus can be transmitted by close contact with an infectious person, including between one and three days before symptom onset.</w:t>
      </w:r>
      <w:r>
        <w:rPr>
          <w:vertAlign w:val="superscript"/>
        </w:rPr>
        <w:t>2–5</w:t>
      </w:r>
      <w:r>
        <w:t xml:space="preserve"> The significant contribution of pre-symptomatic and asymptomatic transmission of SARS-CoV-2, estimated to account for 69% of all transmission, presents a challenge to public health authorities seeking to minimise the number of new cases of COVID-19.</w:t>
      </w:r>
      <w:r>
        <w:rPr>
          <w:vertAlign w:val="superscript"/>
        </w:rPr>
        <w:t xml:space="preserve">2–4,6–8 </w:t>
      </w:r>
    </w:p>
    <w:p w14:paraId="6E49D433" w14:textId="51DC83D4" w:rsidR="000D3A71" w:rsidRDefault="000D3A71" w:rsidP="000D3A71">
      <w:r>
        <w:t>To reduce the risk of community transmission, individuals are encouraged to get tested and to isolate as soon as they develop upper respiratory tract infection symptoms that may be attributable to COVID-19.</w:t>
      </w:r>
      <w:r>
        <w:rPr>
          <w:vertAlign w:val="superscript"/>
        </w:rPr>
        <w:t>9,10</w:t>
      </w:r>
      <w:r>
        <w:t xml:space="preserve"> If they test positive, their contacts are required to quarantine.</w:t>
      </w:r>
      <w:r>
        <w:rPr>
          <w:vertAlign w:val="superscript"/>
        </w:rPr>
        <w:t>11</w:t>
      </w:r>
      <w:r>
        <w:t xml:space="preserve"> The time to isolation and consequent notification of, and </w:t>
      </w:r>
      <w:r>
        <w:lastRenderedPageBreak/>
        <w:t>quarantining of, contacts has been found to be the most important factor for enhancing the effectiveness of contact</w:t>
      </w:r>
      <w:r w:rsidR="00CD71B4">
        <w:t> </w:t>
      </w:r>
      <w:r>
        <w:t>tracing.</w:t>
      </w:r>
      <w:r>
        <w:rPr>
          <w:vertAlign w:val="superscript"/>
        </w:rPr>
        <w:t>12</w:t>
      </w:r>
      <w:r>
        <w:t xml:space="preserve"> </w:t>
      </w:r>
    </w:p>
    <w:p w14:paraId="215EA1C3" w14:textId="77777777" w:rsidR="000D3A71" w:rsidRDefault="000D3A71" w:rsidP="000D3A71">
      <w:r>
        <w:t xml:space="preserve">There is currently little public data on the time taken for people with symptoms of respiratory infection to present for COVID-19 assessment and testing. Understanding the factors that may influence the time to presentation for COVID-19 testing may inform more targeted communication with specific population groups regarding the importance of early testing if individuals develop symptoms of respiratory infection. This study describes the time to presentation for primary care assessment following the development of respiratory infection symptoms, including associations between demographic characteristics and geographic location. </w:t>
      </w:r>
    </w:p>
    <w:p w14:paraId="46708BC8" w14:textId="77777777" w:rsidR="000D3A71" w:rsidRPr="000D3A71" w:rsidRDefault="000D3A71" w:rsidP="000D3A71">
      <w:pPr>
        <w:pStyle w:val="Heading1"/>
      </w:pPr>
      <w:r w:rsidRPr="000D3A71">
        <w:t xml:space="preserve">Methods </w:t>
      </w:r>
    </w:p>
    <w:p w14:paraId="66AF5E9B" w14:textId="77777777" w:rsidR="000D3A71" w:rsidRPr="000D3A71" w:rsidRDefault="000D3A71" w:rsidP="000D3A71">
      <w:pPr>
        <w:pStyle w:val="Heading2"/>
      </w:pPr>
      <w:r w:rsidRPr="000D3A71">
        <w:t xml:space="preserve">Data collection and participants </w:t>
      </w:r>
    </w:p>
    <w:p w14:paraId="70CD502D" w14:textId="77777777" w:rsidR="000D3A71" w:rsidRDefault="000D3A71" w:rsidP="000D3A71">
      <w:r>
        <w:t>Commencing in March 2020, one hundred and fifty GP Respiratory Clinics were established across Australia as part of the Australian Government’s COVID-19 pandemic response.</w:t>
      </w:r>
      <w:r>
        <w:rPr>
          <w:vertAlign w:val="superscript"/>
        </w:rPr>
        <w:t>13</w:t>
      </w:r>
      <w:r>
        <w:t xml:space="preserve"> These clinics were designed for the assessment and treatment of individuals with undifferentiated respiratory symptoms.</w:t>
      </w:r>
      <w:r>
        <w:rPr>
          <w:vertAlign w:val="superscript"/>
        </w:rPr>
        <w:t>14</w:t>
      </w:r>
      <w:r>
        <w:t xml:space="preserve"> Testing for COVID-19 was conducted as part of the clinical encounter where indicated. Approximately 87% of individuals assessed at GP respiratory clinics were also tested for COVID-19. </w:t>
      </w:r>
      <w:proofErr w:type="gramStart"/>
      <w:r>
        <w:t>The majority of</w:t>
      </w:r>
      <w:proofErr w:type="gramEnd"/>
      <w:r>
        <w:t xml:space="preserve"> individuals seen at these clinics did not test positive for COVID-19. </w:t>
      </w:r>
    </w:p>
    <w:p w14:paraId="0F89AF75" w14:textId="77777777" w:rsidR="000D3A71" w:rsidRDefault="000D3A71" w:rsidP="000D3A71">
      <w:r>
        <w:t xml:space="preserve">As part of the clinical encounter, data collected from each patient were entered into an online form which had compulsory fields including demographics, date of presentation and symptom onset date (this latter variable was only collected from 1 February 2021). Patients were asked to consent to their de-identified data being shared with the Australian Government Department of Health and local health authorities. Data from individuals who consented to sharing were transmitted daily to the Department of Health where they were held as a single dataset. </w:t>
      </w:r>
    </w:p>
    <w:p w14:paraId="301CDE91" w14:textId="77777777" w:rsidR="000D3A71" w:rsidRDefault="000D3A71" w:rsidP="000D3A71">
      <w:r>
        <w:t xml:space="preserve">Individuals who presented between 1 February and 31 August 2021, and who gave consent for their data to be shared, were included in this study. Observations where the number of days to presentation to a GP respiratory clinic exceeded 14 days were excluded from the analysis, as were those with no symptoms and no symptom onset date. Region of the clinic was classified using a Modified Monash Scale, with category one classified as urban, and categories two to seven classified as rural. </w:t>
      </w:r>
    </w:p>
    <w:p w14:paraId="5E9329F4" w14:textId="77777777" w:rsidR="000D3A71" w:rsidRDefault="000D3A71" w:rsidP="000D3A71">
      <w:r>
        <w:t xml:space="preserve">The primary outcome of interest was the number of days to presentation from symptom onset. </w:t>
      </w:r>
    </w:p>
    <w:p w14:paraId="4EBD6835" w14:textId="77777777" w:rsidR="000D3A71" w:rsidRPr="000D3A71" w:rsidRDefault="000D3A71" w:rsidP="000D3A71">
      <w:pPr>
        <w:pStyle w:val="Heading2"/>
      </w:pPr>
      <w:r w:rsidRPr="000D3A71">
        <w:t xml:space="preserve">Data analysis </w:t>
      </w:r>
    </w:p>
    <w:p w14:paraId="535388AD" w14:textId="77777777" w:rsidR="000D3A71" w:rsidRDefault="000D3A71" w:rsidP="000D3A71">
      <w:r>
        <w:t>Data analysis was performed in Stata 17.</w:t>
      </w:r>
      <w:r>
        <w:rPr>
          <w:vertAlign w:val="superscript"/>
        </w:rPr>
        <w:t>15</w:t>
      </w:r>
      <w:r>
        <w:t xml:space="preserve"> Continuous variables were examined using medians and interquartile ranges (IQR) and categorical data using counts and percentages. Chi-square test with unadjusted odds ratios (OR) and 95% confidence intervals (95% CI) were initially used to identify possible associations in univariate analysis between presentation within one day and demographic variables, location of the clinic, and whether an active COVID-19 outbreak was occurring. Multivariable logistic regression was used to investigate the magnitude of associations between independent variables and time to presentation for assessment at GP respiratory clinics. Inference was based on 5% level of significance. </w:t>
      </w:r>
    </w:p>
    <w:p w14:paraId="7638A4F8" w14:textId="77777777" w:rsidR="00717CF3" w:rsidRDefault="00717CF3">
      <w:pPr>
        <w:rPr>
          <w:rFonts w:asciiTheme="majorHAnsi" w:eastAsiaTheme="majorEastAsia" w:hAnsiTheme="majorHAnsi" w:cstheme="majorBidi"/>
          <w:b/>
          <w:bCs/>
          <w:sz w:val="26"/>
          <w:szCs w:val="26"/>
        </w:rPr>
      </w:pPr>
      <w:r>
        <w:br w:type="page"/>
      </w:r>
    </w:p>
    <w:p w14:paraId="46AF435E" w14:textId="3A5BFE54" w:rsidR="000D3A71" w:rsidRPr="000D3A71" w:rsidRDefault="000D3A71" w:rsidP="000D3A71">
      <w:pPr>
        <w:pStyle w:val="Heading2"/>
      </w:pPr>
      <w:r w:rsidRPr="000D3A71">
        <w:lastRenderedPageBreak/>
        <w:t xml:space="preserve">Ethics approval </w:t>
      </w:r>
    </w:p>
    <w:p w14:paraId="4CB843EA" w14:textId="77777777" w:rsidR="000D3A71" w:rsidRDefault="000D3A71" w:rsidP="000D3A71">
      <w:r>
        <w:t xml:space="preserve">The study was approved by the James Cook University Human Ethics Committee (Human Ethics Approval Number H8524). </w:t>
      </w:r>
    </w:p>
    <w:p w14:paraId="54124EE2" w14:textId="77777777" w:rsidR="000D3A71" w:rsidRPr="000D3A71" w:rsidRDefault="000D3A71" w:rsidP="000D3A71">
      <w:pPr>
        <w:pStyle w:val="Heading1"/>
      </w:pPr>
      <w:r w:rsidRPr="000D3A71">
        <w:t xml:space="preserve">Results </w:t>
      </w:r>
    </w:p>
    <w:p w14:paraId="5D691D00" w14:textId="77777777" w:rsidR="000D3A71" w:rsidRPr="000D3A71" w:rsidRDefault="000D3A71" w:rsidP="000D3A71">
      <w:pPr>
        <w:pStyle w:val="Heading2"/>
      </w:pPr>
      <w:r w:rsidRPr="000D3A71">
        <w:t xml:space="preserve">Participants </w:t>
      </w:r>
    </w:p>
    <w:p w14:paraId="248A6E3B" w14:textId="77777777" w:rsidR="000D3A71" w:rsidRDefault="000D3A71" w:rsidP="000D3A71">
      <w:r>
        <w:t xml:space="preserve">Of the 763,600 assessments that occurred in GP respiratory clinics from 1 February to 31 August 2021, there were 697,486 (91.3%) who gave consent for their data to be shared. Of these, 314,148 (45.0%) were included in the analysis as they had a date of onset of their symptoms recorded and they presented within 14 days of symptom onset. </w:t>
      </w:r>
    </w:p>
    <w:p w14:paraId="6DB3901E" w14:textId="6BEEF5A9" w:rsidR="000D3A71" w:rsidRDefault="000D3A71" w:rsidP="000D3A71">
      <w:r>
        <w:t xml:space="preserve">Demographic data for participants is presented in Table 1. The median age of participants at presentation was 33 years (IQR: 15–49). Of participants, 57.8% (n = 181,107) were female, 4.8% (n = 13,531) identified as Aboriginal </w:t>
      </w:r>
      <w:r w:rsidR="00CE5201" w:rsidRPr="00CE5201">
        <w:t>and/or</w:t>
      </w:r>
      <w:r w:rsidR="00CE5201">
        <w:t xml:space="preserve"> </w:t>
      </w:r>
      <w:r>
        <w:t xml:space="preserve">Torres Strait Islander people and 54.0% (n = 169,608) presented to clinics in urban areas. Analysis of the characteristics of the eligible population and of the participants analysed showed that the demographic features of each group were similar. </w:t>
      </w:r>
    </w:p>
    <w:p w14:paraId="6612054E" w14:textId="77777777" w:rsidR="00A13A31" w:rsidRDefault="00A13A31" w:rsidP="00A13A31">
      <w:pPr>
        <w:pStyle w:val="CDIFigures"/>
        <w:rPr>
          <w:sz w:val="24"/>
          <w:szCs w:val="24"/>
          <w:lang w:val="en-GB"/>
        </w:rPr>
      </w:pPr>
      <w:r>
        <w:rPr>
          <w:lang w:val="en-GB"/>
        </w:rPr>
        <w:t>Table 1: Characteristics of participants presenting to GP respiratory clinics in Australia, 1 February to 31 August 2021</w:t>
      </w:r>
    </w:p>
    <w:tbl>
      <w:tblPr>
        <w:tblStyle w:val="CDI-StandardTable"/>
        <w:tblW w:w="0" w:type="auto"/>
        <w:shd w:val="clear" w:color="auto" w:fill="FBFBFB"/>
        <w:tblLook w:val="04A0" w:firstRow="1" w:lastRow="0" w:firstColumn="1" w:lastColumn="0" w:noHBand="0" w:noVBand="1"/>
        <w:tblDescription w:val="Table 1 shows the number proportion of participants included in this study by sex, Indigenous Status, age, urban or rural location and state or territory. &#10;"/>
      </w:tblPr>
      <w:tblGrid>
        <w:gridCol w:w="2610"/>
        <w:gridCol w:w="2610"/>
        <w:gridCol w:w="2610"/>
        <w:gridCol w:w="2610"/>
      </w:tblGrid>
      <w:tr w:rsidR="00A13A31" w:rsidRPr="00DC030C" w14:paraId="61225393" w14:textId="77777777" w:rsidTr="0012157B">
        <w:trPr>
          <w:cnfStyle w:val="100000000000" w:firstRow="1" w:lastRow="0" w:firstColumn="0" w:lastColumn="0" w:oddVBand="0" w:evenVBand="0" w:oddHBand="0" w:evenHBand="0" w:firstRowFirstColumn="0" w:firstRowLastColumn="0" w:lastRowFirstColumn="0" w:lastRowLastColumn="0"/>
          <w:tblHeader/>
        </w:trPr>
        <w:tc>
          <w:tcPr>
            <w:tcW w:w="2610" w:type="dxa"/>
            <w:tcBorders>
              <w:bottom w:val="single" w:sz="12" w:space="0" w:color="auto"/>
            </w:tcBorders>
            <w:shd w:val="clear" w:color="auto" w:fill="FBFBFB"/>
            <w:hideMark/>
          </w:tcPr>
          <w:p w14:paraId="5C625FAB" w14:textId="77777777" w:rsidR="00A13A31" w:rsidRPr="00DC030C" w:rsidRDefault="00A13A31" w:rsidP="00A260DC">
            <w:pPr>
              <w:rPr>
                <w:sz w:val="18"/>
                <w:szCs w:val="18"/>
                <w:lang w:val="en-GB"/>
              </w:rPr>
            </w:pPr>
          </w:p>
        </w:tc>
        <w:tc>
          <w:tcPr>
            <w:tcW w:w="2610" w:type="dxa"/>
            <w:tcBorders>
              <w:bottom w:val="single" w:sz="12" w:space="0" w:color="auto"/>
            </w:tcBorders>
            <w:shd w:val="clear" w:color="auto" w:fill="FBFBFB"/>
            <w:hideMark/>
          </w:tcPr>
          <w:p w14:paraId="44FD1743" w14:textId="77777777" w:rsidR="00A13A31" w:rsidRPr="00DC030C" w:rsidRDefault="00A13A31" w:rsidP="00A260DC">
            <w:pPr>
              <w:rPr>
                <w:rFonts w:eastAsia="Times New Roman"/>
                <w:sz w:val="18"/>
                <w:szCs w:val="18"/>
              </w:rPr>
            </w:pPr>
          </w:p>
        </w:tc>
        <w:tc>
          <w:tcPr>
            <w:tcW w:w="2610" w:type="dxa"/>
            <w:tcBorders>
              <w:bottom w:val="single" w:sz="12" w:space="0" w:color="auto"/>
            </w:tcBorders>
            <w:shd w:val="clear" w:color="auto" w:fill="FBFBFB"/>
            <w:hideMark/>
          </w:tcPr>
          <w:p w14:paraId="3C722DA5" w14:textId="77777777" w:rsidR="00A13A31" w:rsidRPr="00DC030C" w:rsidRDefault="00A13A31" w:rsidP="00A260DC">
            <w:pPr>
              <w:pStyle w:val="NormalWeb"/>
              <w:jc w:val="center"/>
              <w:rPr>
                <w:sz w:val="18"/>
                <w:szCs w:val="18"/>
              </w:rPr>
            </w:pPr>
            <w:r w:rsidRPr="00DC030C">
              <w:rPr>
                <w:sz w:val="18"/>
                <w:szCs w:val="18"/>
              </w:rPr>
              <w:t>Frequency (n = 314,148)</w:t>
            </w:r>
          </w:p>
        </w:tc>
        <w:tc>
          <w:tcPr>
            <w:tcW w:w="2610" w:type="dxa"/>
            <w:tcBorders>
              <w:bottom w:val="single" w:sz="12" w:space="0" w:color="auto"/>
            </w:tcBorders>
            <w:shd w:val="clear" w:color="auto" w:fill="FBFBFB"/>
            <w:hideMark/>
          </w:tcPr>
          <w:p w14:paraId="034DF7A6" w14:textId="77777777" w:rsidR="00A13A31" w:rsidRPr="00DC030C" w:rsidRDefault="00A13A31" w:rsidP="00A260DC">
            <w:pPr>
              <w:pStyle w:val="NormalWeb"/>
              <w:jc w:val="center"/>
              <w:rPr>
                <w:sz w:val="18"/>
                <w:szCs w:val="18"/>
              </w:rPr>
            </w:pPr>
            <w:r w:rsidRPr="00DC030C">
              <w:rPr>
                <w:sz w:val="18"/>
                <w:szCs w:val="18"/>
              </w:rPr>
              <w:t>Percentage (%)</w:t>
            </w:r>
          </w:p>
        </w:tc>
      </w:tr>
      <w:tr w:rsidR="00A13A31" w:rsidRPr="00DC030C" w14:paraId="5DFEAC6C" w14:textId="77777777" w:rsidTr="0012157B">
        <w:tblPrEx>
          <w:tblCellMar>
            <w:top w:w="57" w:type="dxa"/>
            <w:left w:w="57" w:type="dxa"/>
            <w:bottom w:w="57" w:type="dxa"/>
            <w:right w:w="57" w:type="dxa"/>
          </w:tblCellMar>
        </w:tblPrEx>
        <w:tc>
          <w:tcPr>
            <w:tcW w:w="2610" w:type="dxa"/>
            <w:vMerge w:val="restart"/>
            <w:tcBorders>
              <w:top w:val="single" w:sz="12" w:space="0" w:color="auto"/>
              <w:bottom w:val="single" w:sz="12" w:space="0" w:color="auto"/>
            </w:tcBorders>
            <w:shd w:val="clear" w:color="auto" w:fill="FBFBFB"/>
            <w:hideMark/>
          </w:tcPr>
          <w:p w14:paraId="7CED180D" w14:textId="77777777" w:rsidR="00A13A31" w:rsidRPr="00DC030C" w:rsidRDefault="00A13A31" w:rsidP="00A260DC">
            <w:pPr>
              <w:pStyle w:val="NormalWeb"/>
              <w:rPr>
                <w:sz w:val="18"/>
                <w:szCs w:val="18"/>
              </w:rPr>
            </w:pPr>
            <w:proofErr w:type="spellStart"/>
            <w:r w:rsidRPr="00DC030C">
              <w:rPr>
                <w:sz w:val="18"/>
                <w:szCs w:val="18"/>
              </w:rPr>
              <w:t>Sex</w:t>
            </w:r>
            <w:r w:rsidRPr="00DC030C">
              <w:rPr>
                <w:sz w:val="18"/>
                <w:szCs w:val="18"/>
                <w:vertAlign w:val="superscript"/>
              </w:rPr>
              <w:t>a</w:t>
            </w:r>
            <w:proofErr w:type="spellEnd"/>
          </w:p>
        </w:tc>
        <w:tc>
          <w:tcPr>
            <w:tcW w:w="2610" w:type="dxa"/>
            <w:tcBorders>
              <w:top w:val="single" w:sz="12" w:space="0" w:color="auto"/>
              <w:bottom w:val="single" w:sz="4" w:space="0" w:color="auto"/>
            </w:tcBorders>
            <w:shd w:val="clear" w:color="auto" w:fill="FBFBFB"/>
            <w:hideMark/>
          </w:tcPr>
          <w:p w14:paraId="2EC09FE9" w14:textId="77777777" w:rsidR="00A13A31" w:rsidRPr="00DC030C" w:rsidRDefault="00A13A31" w:rsidP="00A260DC">
            <w:pPr>
              <w:pStyle w:val="NormalWeb"/>
              <w:rPr>
                <w:sz w:val="18"/>
                <w:szCs w:val="18"/>
              </w:rPr>
            </w:pPr>
            <w:r w:rsidRPr="00DC030C">
              <w:rPr>
                <w:sz w:val="18"/>
                <w:szCs w:val="18"/>
              </w:rPr>
              <w:t>Female</w:t>
            </w:r>
          </w:p>
        </w:tc>
        <w:tc>
          <w:tcPr>
            <w:tcW w:w="2610" w:type="dxa"/>
            <w:tcBorders>
              <w:top w:val="single" w:sz="12" w:space="0" w:color="auto"/>
              <w:bottom w:val="single" w:sz="4" w:space="0" w:color="auto"/>
            </w:tcBorders>
            <w:shd w:val="clear" w:color="auto" w:fill="FBFBFB"/>
            <w:hideMark/>
          </w:tcPr>
          <w:p w14:paraId="2EC38AC8" w14:textId="77777777" w:rsidR="00A13A31" w:rsidRPr="00DC030C" w:rsidRDefault="00A13A31" w:rsidP="00A260DC">
            <w:pPr>
              <w:pStyle w:val="NormalWeb"/>
              <w:jc w:val="center"/>
              <w:rPr>
                <w:sz w:val="18"/>
                <w:szCs w:val="18"/>
              </w:rPr>
            </w:pPr>
            <w:r w:rsidRPr="00DC030C">
              <w:rPr>
                <w:sz w:val="18"/>
                <w:szCs w:val="18"/>
              </w:rPr>
              <w:t>181,107</w:t>
            </w:r>
          </w:p>
        </w:tc>
        <w:tc>
          <w:tcPr>
            <w:tcW w:w="2610" w:type="dxa"/>
            <w:tcBorders>
              <w:top w:val="single" w:sz="12" w:space="0" w:color="auto"/>
              <w:bottom w:val="single" w:sz="4" w:space="0" w:color="auto"/>
            </w:tcBorders>
            <w:shd w:val="clear" w:color="auto" w:fill="FBFBFB"/>
            <w:hideMark/>
          </w:tcPr>
          <w:p w14:paraId="1EAFEC08" w14:textId="77777777" w:rsidR="00A13A31" w:rsidRPr="00DC030C" w:rsidRDefault="00A13A31" w:rsidP="00A260DC">
            <w:pPr>
              <w:pStyle w:val="NormalWeb"/>
              <w:jc w:val="center"/>
              <w:rPr>
                <w:sz w:val="18"/>
                <w:szCs w:val="18"/>
              </w:rPr>
            </w:pPr>
            <w:r w:rsidRPr="00DC030C">
              <w:rPr>
                <w:sz w:val="18"/>
                <w:szCs w:val="18"/>
              </w:rPr>
              <w:t>57.8</w:t>
            </w:r>
          </w:p>
        </w:tc>
      </w:tr>
      <w:tr w:rsidR="00A13A31" w:rsidRPr="00DC030C" w14:paraId="077B4733" w14:textId="77777777" w:rsidTr="0012157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610" w:type="dxa"/>
            <w:vMerge/>
            <w:tcBorders>
              <w:top w:val="single" w:sz="4" w:space="0" w:color="auto"/>
              <w:bottom w:val="single" w:sz="12" w:space="0" w:color="auto"/>
            </w:tcBorders>
            <w:shd w:val="clear" w:color="auto" w:fill="FBFBFB"/>
            <w:hideMark/>
          </w:tcPr>
          <w:p w14:paraId="0E2989F2" w14:textId="77777777" w:rsidR="00A13A31" w:rsidRPr="00DC030C" w:rsidRDefault="00A13A31" w:rsidP="00A260DC">
            <w:pPr>
              <w:rPr>
                <w:sz w:val="18"/>
                <w:szCs w:val="18"/>
              </w:rPr>
            </w:pPr>
          </w:p>
        </w:tc>
        <w:tc>
          <w:tcPr>
            <w:tcW w:w="2610" w:type="dxa"/>
            <w:tcBorders>
              <w:top w:val="single" w:sz="4" w:space="0" w:color="auto"/>
              <w:bottom w:val="single" w:sz="12" w:space="0" w:color="auto"/>
            </w:tcBorders>
            <w:shd w:val="clear" w:color="auto" w:fill="FBFBFB"/>
            <w:hideMark/>
          </w:tcPr>
          <w:p w14:paraId="6A9DD32A" w14:textId="77777777" w:rsidR="00A13A31" w:rsidRPr="00DC030C" w:rsidRDefault="00A13A31" w:rsidP="00A260DC">
            <w:pPr>
              <w:pStyle w:val="NormalWeb"/>
              <w:rPr>
                <w:sz w:val="18"/>
                <w:szCs w:val="18"/>
              </w:rPr>
            </w:pPr>
            <w:r w:rsidRPr="00DC030C">
              <w:rPr>
                <w:sz w:val="18"/>
                <w:szCs w:val="18"/>
              </w:rPr>
              <w:t>Male</w:t>
            </w:r>
          </w:p>
        </w:tc>
        <w:tc>
          <w:tcPr>
            <w:tcW w:w="2610" w:type="dxa"/>
            <w:tcBorders>
              <w:top w:val="single" w:sz="4" w:space="0" w:color="auto"/>
              <w:bottom w:val="single" w:sz="12" w:space="0" w:color="auto"/>
            </w:tcBorders>
            <w:shd w:val="clear" w:color="auto" w:fill="FBFBFB"/>
            <w:hideMark/>
          </w:tcPr>
          <w:p w14:paraId="43BAF2AF" w14:textId="77777777" w:rsidR="00A13A31" w:rsidRPr="00DC030C" w:rsidRDefault="00A13A31" w:rsidP="00A260DC">
            <w:pPr>
              <w:pStyle w:val="NormalWeb"/>
              <w:jc w:val="center"/>
              <w:rPr>
                <w:sz w:val="18"/>
                <w:szCs w:val="18"/>
              </w:rPr>
            </w:pPr>
            <w:r w:rsidRPr="00DC030C">
              <w:rPr>
                <w:sz w:val="18"/>
                <w:szCs w:val="18"/>
              </w:rPr>
              <w:t>132,462</w:t>
            </w:r>
          </w:p>
        </w:tc>
        <w:tc>
          <w:tcPr>
            <w:tcW w:w="2610" w:type="dxa"/>
            <w:tcBorders>
              <w:top w:val="single" w:sz="4" w:space="0" w:color="auto"/>
              <w:bottom w:val="single" w:sz="12" w:space="0" w:color="auto"/>
            </w:tcBorders>
            <w:shd w:val="clear" w:color="auto" w:fill="FBFBFB"/>
            <w:hideMark/>
          </w:tcPr>
          <w:p w14:paraId="75FD0A26" w14:textId="77777777" w:rsidR="00A13A31" w:rsidRPr="00DC030C" w:rsidRDefault="00A13A31" w:rsidP="00A260DC">
            <w:pPr>
              <w:pStyle w:val="NormalWeb"/>
              <w:jc w:val="center"/>
              <w:rPr>
                <w:sz w:val="18"/>
                <w:szCs w:val="18"/>
              </w:rPr>
            </w:pPr>
            <w:r w:rsidRPr="00DC030C">
              <w:rPr>
                <w:sz w:val="18"/>
                <w:szCs w:val="18"/>
              </w:rPr>
              <w:t>42.2</w:t>
            </w:r>
          </w:p>
        </w:tc>
      </w:tr>
      <w:tr w:rsidR="00A13A31" w:rsidRPr="00DC030C" w14:paraId="1B4781DB" w14:textId="77777777" w:rsidTr="0012157B">
        <w:tblPrEx>
          <w:tblCellMar>
            <w:top w:w="57" w:type="dxa"/>
            <w:left w:w="57" w:type="dxa"/>
            <w:bottom w:w="57" w:type="dxa"/>
            <w:right w:w="57" w:type="dxa"/>
          </w:tblCellMar>
        </w:tblPrEx>
        <w:tc>
          <w:tcPr>
            <w:tcW w:w="2610" w:type="dxa"/>
            <w:vMerge w:val="restart"/>
            <w:tcBorders>
              <w:top w:val="single" w:sz="12" w:space="0" w:color="auto"/>
              <w:bottom w:val="single" w:sz="12" w:space="0" w:color="auto"/>
            </w:tcBorders>
            <w:shd w:val="clear" w:color="auto" w:fill="FBFBFB"/>
            <w:hideMark/>
          </w:tcPr>
          <w:p w14:paraId="1F671884" w14:textId="77777777" w:rsidR="00A13A31" w:rsidRPr="00DC030C" w:rsidRDefault="00A13A31" w:rsidP="00A260DC">
            <w:pPr>
              <w:pStyle w:val="NormalWeb"/>
              <w:rPr>
                <w:sz w:val="18"/>
                <w:szCs w:val="18"/>
              </w:rPr>
            </w:pPr>
            <w:r w:rsidRPr="00DC030C">
              <w:rPr>
                <w:sz w:val="18"/>
                <w:szCs w:val="18"/>
              </w:rPr>
              <w:t xml:space="preserve">Indigenous </w:t>
            </w:r>
            <w:proofErr w:type="spellStart"/>
            <w:r w:rsidRPr="00DC030C">
              <w:rPr>
                <w:sz w:val="18"/>
                <w:szCs w:val="18"/>
              </w:rPr>
              <w:t>status</w:t>
            </w:r>
            <w:r w:rsidRPr="00DC030C">
              <w:rPr>
                <w:sz w:val="18"/>
                <w:szCs w:val="18"/>
                <w:vertAlign w:val="superscript"/>
              </w:rPr>
              <w:t>b</w:t>
            </w:r>
            <w:proofErr w:type="spellEnd"/>
          </w:p>
        </w:tc>
        <w:tc>
          <w:tcPr>
            <w:tcW w:w="2610" w:type="dxa"/>
            <w:tcBorders>
              <w:top w:val="single" w:sz="12" w:space="0" w:color="auto"/>
              <w:bottom w:val="single" w:sz="4" w:space="0" w:color="auto"/>
            </w:tcBorders>
            <w:shd w:val="clear" w:color="auto" w:fill="FBFBFB"/>
            <w:hideMark/>
          </w:tcPr>
          <w:p w14:paraId="51244124" w14:textId="77777777" w:rsidR="00A13A31" w:rsidRPr="00DC030C" w:rsidRDefault="00A13A31" w:rsidP="00A260DC">
            <w:pPr>
              <w:pStyle w:val="NormalWeb"/>
              <w:rPr>
                <w:sz w:val="18"/>
                <w:szCs w:val="18"/>
              </w:rPr>
            </w:pPr>
            <w:r w:rsidRPr="00DC030C">
              <w:rPr>
                <w:sz w:val="18"/>
                <w:szCs w:val="18"/>
              </w:rPr>
              <w:t>Indigenous</w:t>
            </w:r>
          </w:p>
        </w:tc>
        <w:tc>
          <w:tcPr>
            <w:tcW w:w="2610" w:type="dxa"/>
            <w:tcBorders>
              <w:top w:val="single" w:sz="12" w:space="0" w:color="auto"/>
              <w:bottom w:val="single" w:sz="4" w:space="0" w:color="auto"/>
            </w:tcBorders>
            <w:shd w:val="clear" w:color="auto" w:fill="FBFBFB"/>
            <w:hideMark/>
          </w:tcPr>
          <w:p w14:paraId="76E3DCF7" w14:textId="77777777" w:rsidR="00A13A31" w:rsidRPr="00DC030C" w:rsidRDefault="00A13A31" w:rsidP="00A260DC">
            <w:pPr>
              <w:pStyle w:val="NormalWeb"/>
              <w:jc w:val="center"/>
              <w:rPr>
                <w:sz w:val="18"/>
                <w:szCs w:val="18"/>
              </w:rPr>
            </w:pPr>
            <w:r w:rsidRPr="00DC030C">
              <w:rPr>
                <w:sz w:val="18"/>
                <w:szCs w:val="18"/>
              </w:rPr>
              <w:t>13,531</w:t>
            </w:r>
          </w:p>
        </w:tc>
        <w:tc>
          <w:tcPr>
            <w:tcW w:w="2610" w:type="dxa"/>
            <w:tcBorders>
              <w:top w:val="single" w:sz="12" w:space="0" w:color="auto"/>
              <w:bottom w:val="single" w:sz="4" w:space="0" w:color="auto"/>
            </w:tcBorders>
            <w:shd w:val="clear" w:color="auto" w:fill="FBFBFB"/>
            <w:hideMark/>
          </w:tcPr>
          <w:p w14:paraId="1EA0D63C" w14:textId="77777777" w:rsidR="00A13A31" w:rsidRPr="00DC030C" w:rsidRDefault="00A13A31" w:rsidP="00A260DC">
            <w:pPr>
              <w:pStyle w:val="NormalWeb"/>
              <w:jc w:val="center"/>
              <w:rPr>
                <w:sz w:val="18"/>
                <w:szCs w:val="18"/>
              </w:rPr>
            </w:pPr>
            <w:r w:rsidRPr="00DC030C">
              <w:rPr>
                <w:sz w:val="18"/>
                <w:szCs w:val="18"/>
              </w:rPr>
              <w:t>4.8</w:t>
            </w:r>
          </w:p>
        </w:tc>
      </w:tr>
      <w:tr w:rsidR="00A13A31" w:rsidRPr="00DC030C" w14:paraId="1EDA319C" w14:textId="77777777" w:rsidTr="0012157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610" w:type="dxa"/>
            <w:vMerge/>
            <w:tcBorders>
              <w:top w:val="single" w:sz="4" w:space="0" w:color="auto"/>
              <w:bottom w:val="single" w:sz="12" w:space="0" w:color="auto"/>
            </w:tcBorders>
            <w:shd w:val="clear" w:color="auto" w:fill="FBFBFB"/>
            <w:hideMark/>
          </w:tcPr>
          <w:p w14:paraId="214D8208" w14:textId="77777777" w:rsidR="00A13A31" w:rsidRPr="00DC030C" w:rsidRDefault="00A13A31" w:rsidP="00A260DC">
            <w:pPr>
              <w:rPr>
                <w:sz w:val="18"/>
                <w:szCs w:val="18"/>
              </w:rPr>
            </w:pPr>
          </w:p>
        </w:tc>
        <w:tc>
          <w:tcPr>
            <w:tcW w:w="2610" w:type="dxa"/>
            <w:tcBorders>
              <w:top w:val="single" w:sz="4" w:space="0" w:color="auto"/>
              <w:bottom w:val="single" w:sz="12" w:space="0" w:color="auto"/>
            </w:tcBorders>
            <w:shd w:val="clear" w:color="auto" w:fill="FBFBFB"/>
            <w:hideMark/>
          </w:tcPr>
          <w:p w14:paraId="35822DB8" w14:textId="77777777" w:rsidR="00A13A31" w:rsidRPr="00DC030C" w:rsidRDefault="00A13A31" w:rsidP="00A260DC">
            <w:pPr>
              <w:pStyle w:val="NormalWeb"/>
              <w:rPr>
                <w:sz w:val="18"/>
                <w:szCs w:val="18"/>
              </w:rPr>
            </w:pPr>
            <w:r w:rsidRPr="00DC030C">
              <w:rPr>
                <w:sz w:val="18"/>
                <w:szCs w:val="18"/>
              </w:rPr>
              <w:t>Non-Indigenous</w:t>
            </w:r>
          </w:p>
        </w:tc>
        <w:tc>
          <w:tcPr>
            <w:tcW w:w="2610" w:type="dxa"/>
            <w:tcBorders>
              <w:top w:val="single" w:sz="4" w:space="0" w:color="auto"/>
              <w:bottom w:val="single" w:sz="12" w:space="0" w:color="auto"/>
            </w:tcBorders>
            <w:shd w:val="clear" w:color="auto" w:fill="FBFBFB"/>
            <w:hideMark/>
          </w:tcPr>
          <w:p w14:paraId="5E20CA40" w14:textId="77777777" w:rsidR="00A13A31" w:rsidRPr="00DC030C" w:rsidRDefault="00A13A31" w:rsidP="00A260DC">
            <w:pPr>
              <w:pStyle w:val="NormalWeb"/>
              <w:jc w:val="center"/>
              <w:rPr>
                <w:sz w:val="18"/>
                <w:szCs w:val="18"/>
              </w:rPr>
            </w:pPr>
            <w:r w:rsidRPr="00DC030C">
              <w:rPr>
                <w:sz w:val="18"/>
                <w:szCs w:val="18"/>
              </w:rPr>
              <w:t>267,083</w:t>
            </w:r>
          </w:p>
        </w:tc>
        <w:tc>
          <w:tcPr>
            <w:tcW w:w="2610" w:type="dxa"/>
            <w:tcBorders>
              <w:top w:val="single" w:sz="4" w:space="0" w:color="auto"/>
              <w:bottom w:val="single" w:sz="12" w:space="0" w:color="auto"/>
            </w:tcBorders>
            <w:shd w:val="clear" w:color="auto" w:fill="FBFBFB"/>
            <w:hideMark/>
          </w:tcPr>
          <w:p w14:paraId="2AFBF45C" w14:textId="77777777" w:rsidR="00A13A31" w:rsidRPr="00DC030C" w:rsidRDefault="00A13A31" w:rsidP="00A260DC">
            <w:pPr>
              <w:pStyle w:val="NormalWeb"/>
              <w:jc w:val="center"/>
              <w:rPr>
                <w:sz w:val="18"/>
                <w:szCs w:val="18"/>
              </w:rPr>
            </w:pPr>
            <w:r w:rsidRPr="00DC030C">
              <w:rPr>
                <w:sz w:val="18"/>
                <w:szCs w:val="18"/>
              </w:rPr>
              <w:t>95.2</w:t>
            </w:r>
          </w:p>
        </w:tc>
      </w:tr>
      <w:tr w:rsidR="00A13A31" w:rsidRPr="00DC030C" w14:paraId="70DD9A11" w14:textId="77777777" w:rsidTr="0012157B">
        <w:tblPrEx>
          <w:tblCellMar>
            <w:top w:w="57" w:type="dxa"/>
            <w:left w:w="57" w:type="dxa"/>
            <w:bottom w:w="57" w:type="dxa"/>
            <w:right w:w="57" w:type="dxa"/>
          </w:tblCellMar>
        </w:tblPrEx>
        <w:tc>
          <w:tcPr>
            <w:tcW w:w="2610" w:type="dxa"/>
            <w:vMerge w:val="restart"/>
            <w:tcBorders>
              <w:top w:val="single" w:sz="12" w:space="0" w:color="auto"/>
              <w:bottom w:val="single" w:sz="12" w:space="0" w:color="auto"/>
            </w:tcBorders>
            <w:shd w:val="clear" w:color="auto" w:fill="FBFBFB"/>
            <w:hideMark/>
          </w:tcPr>
          <w:p w14:paraId="33ADEC63" w14:textId="77777777" w:rsidR="00A13A31" w:rsidRPr="00DC030C" w:rsidRDefault="00A13A31" w:rsidP="00A260DC">
            <w:pPr>
              <w:pStyle w:val="NormalWeb"/>
              <w:rPr>
                <w:sz w:val="18"/>
                <w:szCs w:val="18"/>
              </w:rPr>
            </w:pPr>
            <w:r w:rsidRPr="00DC030C">
              <w:rPr>
                <w:sz w:val="18"/>
                <w:szCs w:val="18"/>
              </w:rPr>
              <w:t>Age group (years)</w:t>
            </w:r>
            <w:r w:rsidRPr="00DC030C">
              <w:rPr>
                <w:sz w:val="18"/>
                <w:szCs w:val="18"/>
                <w:vertAlign w:val="superscript"/>
              </w:rPr>
              <w:t>c</w:t>
            </w:r>
          </w:p>
        </w:tc>
        <w:tc>
          <w:tcPr>
            <w:tcW w:w="2610" w:type="dxa"/>
            <w:tcBorders>
              <w:top w:val="single" w:sz="12" w:space="0" w:color="auto"/>
              <w:bottom w:val="single" w:sz="4" w:space="0" w:color="auto"/>
            </w:tcBorders>
            <w:shd w:val="clear" w:color="auto" w:fill="FBFBFB"/>
            <w:hideMark/>
          </w:tcPr>
          <w:p w14:paraId="32526D14" w14:textId="77777777" w:rsidR="00A13A31" w:rsidRPr="00DC030C" w:rsidRDefault="00A13A31" w:rsidP="00A260DC">
            <w:pPr>
              <w:pStyle w:val="NormalWeb"/>
              <w:rPr>
                <w:sz w:val="18"/>
                <w:szCs w:val="18"/>
              </w:rPr>
            </w:pPr>
            <w:r w:rsidRPr="00DC030C">
              <w:rPr>
                <w:sz w:val="18"/>
                <w:szCs w:val="18"/>
              </w:rPr>
              <w:t>&lt; 15</w:t>
            </w:r>
          </w:p>
        </w:tc>
        <w:tc>
          <w:tcPr>
            <w:tcW w:w="2610" w:type="dxa"/>
            <w:tcBorders>
              <w:top w:val="single" w:sz="12" w:space="0" w:color="auto"/>
              <w:bottom w:val="single" w:sz="4" w:space="0" w:color="auto"/>
            </w:tcBorders>
            <w:shd w:val="clear" w:color="auto" w:fill="FBFBFB"/>
            <w:hideMark/>
          </w:tcPr>
          <w:p w14:paraId="1F2F6D50" w14:textId="77777777" w:rsidR="00A13A31" w:rsidRPr="00DC030C" w:rsidRDefault="00A13A31" w:rsidP="00A260DC">
            <w:pPr>
              <w:pStyle w:val="NormalWeb"/>
              <w:jc w:val="center"/>
              <w:rPr>
                <w:sz w:val="18"/>
                <w:szCs w:val="18"/>
              </w:rPr>
            </w:pPr>
            <w:r w:rsidRPr="00DC030C">
              <w:rPr>
                <w:sz w:val="18"/>
                <w:szCs w:val="18"/>
              </w:rPr>
              <w:t>74,850</w:t>
            </w:r>
          </w:p>
        </w:tc>
        <w:tc>
          <w:tcPr>
            <w:tcW w:w="2610" w:type="dxa"/>
            <w:tcBorders>
              <w:top w:val="single" w:sz="12" w:space="0" w:color="auto"/>
              <w:bottom w:val="single" w:sz="4" w:space="0" w:color="auto"/>
            </w:tcBorders>
            <w:shd w:val="clear" w:color="auto" w:fill="FBFBFB"/>
            <w:hideMark/>
          </w:tcPr>
          <w:p w14:paraId="79814FC1" w14:textId="77777777" w:rsidR="00A13A31" w:rsidRPr="00DC030C" w:rsidRDefault="00A13A31" w:rsidP="00A260DC">
            <w:pPr>
              <w:pStyle w:val="NormalWeb"/>
              <w:jc w:val="center"/>
              <w:rPr>
                <w:sz w:val="18"/>
                <w:szCs w:val="18"/>
              </w:rPr>
            </w:pPr>
            <w:r w:rsidRPr="00DC030C">
              <w:rPr>
                <w:sz w:val="18"/>
                <w:szCs w:val="18"/>
              </w:rPr>
              <w:t>24.0</w:t>
            </w:r>
          </w:p>
        </w:tc>
      </w:tr>
      <w:tr w:rsidR="00A13A31" w:rsidRPr="00DC030C" w14:paraId="35449754" w14:textId="77777777" w:rsidTr="0012157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610" w:type="dxa"/>
            <w:vMerge/>
            <w:tcBorders>
              <w:top w:val="single" w:sz="4" w:space="0" w:color="auto"/>
              <w:bottom w:val="single" w:sz="12" w:space="0" w:color="auto"/>
            </w:tcBorders>
            <w:shd w:val="clear" w:color="auto" w:fill="FBFBFB"/>
            <w:hideMark/>
          </w:tcPr>
          <w:p w14:paraId="006C813B" w14:textId="77777777" w:rsidR="00A13A31" w:rsidRPr="00DC030C" w:rsidRDefault="00A13A31" w:rsidP="00A260DC">
            <w:pPr>
              <w:rPr>
                <w:sz w:val="18"/>
                <w:szCs w:val="18"/>
              </w:rPr>
            </w:pPr>
          </w:p>
        </w:tc>
        <w:tc>
          <w:tcPr>
            <w:tcW w:w="2610" w:type="dxa"/>
            <w:tcBorders>
              <w:top w:val="single" w:sz="4" w:space="0" w:color="auto"/>
              <w:bottom w:val="single" w:sz="4" w:space="0" w:color="auto"/>
            </w:tcBorders>
            <w:shd w:val="clear" w:color="auto" w:fill="FBFBFB"/>
            <w:hideMark/>
          </w:tcPr>
          <w:p w14:paraId="5DA65C12" w14:textId="77777777" w:rsidR="00A13A31" w:rsidRPr="00DC030C" w:rsidRDefault="00A13A31" w:rsidP="00A260DC">
            <w:pPr>
              <w:pStyle w:val="NormalWeb"/>
              <w:rPr>
                <w:sz w:val="18"/>
                <w:szCs w:val="18"/>
              </w:rPr>
            </w:pPr>
            <w:r w:rsidRPr="00DC030C">
              <w:rPr>
                <w:sz w:val="18"/>
                <w:szCs w:val="18"/>
              </w:rPr>
              <w:t>15–64</w:t>
            </w:r>
          </w:p>
        </w:tc>
        <w:tc>
          <w:tcPr>
            <w:tcW w:w="2610" w:type="dxa"/>
            <w:tcBorders>
              <w:top w:val="single" w:sz="4" w:space="0" w:color="auto"/>
              <w:bottom w:val="single" w:sz="4" w:space="0" w:color="auto"/>
            </w:tcBorders>
            <w:shd w:val="clear" w:color="auto" w:fill="FBFBFB"/>
            <w:hideMark/>
          </w:tcPr>
          <w:p w14:paraId="5226FBC0" w14:textId="77777777" w:rsidR="00A13A31" w:rsidRPr="00DC030C" w:rsidRDefault="00A13A31" w:rsidP="00A260DC">
            <w:pPr>
              <w:pStyle w:val="NormalWeb"/>
              <w:jc w:val="center"/>
              <w:rPr>
                <w:sz w:val="18"/>
                <w:szCs w:val="18"/>
              </w:rPr>
            </w:pPr>
            <w:r w:rsidRPr="00DC030C">
              <w:rPr>
                <w:sz w:val="18"/>
                <w:szCs w:val="18"/>
              </w:rPr>
              <w:t>210,095</w:t>
            </w:r>
          </w:p>
        </w:tc>
        <w:tc>
          <w:tcPr>
            <w:tcW w:w="2610" w:type="dxa"/>
            <w:tcBorders>
              <w:top w:val="single" w:sz="4" w:space="0" w:color="auto"/>
              <w:bottom w:val="single" w:sz="4" w:space="0" w:color="auto"/>
            </w:tcBorders>
            <w:shd w:val="clear" w:color="auto" w:fill="FBFBFB"/>
            <w:hideMark/>
          </w:tcPr>
          <w:p w14:paraId="3C94D88E" w14:textId="77777777" w:rsidR="00A13A31" w:rsidRPr="00DC030C" w:rsidRDefault="00A13A31" w:rsidP="00A260DC">
            <w:pPr>
              <w:pStyle w:val="NormalWeb"/>
              <w:jc w:val="center"/>
              <w:rPr>
                <w:sz w:val="18"/>
                <w:szCs w:val="18"/>
              </w:rPr>
            </w:pPr>
            <w:r w:rsidRPr="00DC030C">
              <w:rPr>
                <w:sz w:val="18"/>
                <w:szCs w:val="18"/>
              </w:rPr>
              <w:t>67.3</w:t>
            </w:r>
          </w:p>
        </w:tc>
      </w:tr>
      <w:tr w:rsidR="00A13A31" w:rsidRPr="00DC030C" w14:paraId="1870B98A" w14:textId="77777777" w:rsidTr="0012157B">
        <w:tblPrEx>
          <w:tblCellMar>
            <w:top w:w="57" w:type="dxa"/>
            <w:left w:w="57" w:type="dxa"/>
            <w:bottom w:w="57" w:type="dxa"/>
            <w:right w:w="57" w:type="dxa"/>
          </w:tblCellMar>
        </w:tblPrEx>
        <w:tc>
          <w:tcPr>
            <w:tcW w:w="2610" w:type="dxa"/>
            <w:vMerge/>
            <w:tcBorders>
              <w:top w:val="single" w:sz="4" w:space="0" w:color="auto"/>
              <w:bottom w:val="single" w:sz="12" w:space="0" w:color="auto"/>
            </w:tcBorders>
            <w:shd w:val="clear" w:color="auto" w:fill="FBFBFB"/>
            <w:hideMark/>
          </w:tcPr>
          <w:p w14:paraId="236E3FE5" w14:textId="77777777" w:rsidR="00A13A31" w:rsidRPr="00DC030C" w:rsidRDefault="00A13A31" w:rsidP="00A260DC">
            <w:pPr>
              <w:rPr>
                <w:sz w:val="18"/>
                <w:szCs w:val="18"/>
              </w:rPr>
            </w:pPr>
          </w:p>
        </w:tc>
        <w:tc>
          <w:tcPr>
            <w:tcW w:w="2610" w:type="dxa"/>
            <w:tcBorders>
              <w:top w:val="single" w:sz="4" w:space="0" w:color="auto"/>
              <w:bottom w:val="single" w:sz="12" w:space="0" w:color="auto"/>
            </w:tcBorders>
            <w:shd w:val="clear" w:color="auto" w:fill="FBFBFB"/>
            <w:hideMark/>
          </w:tcPr>
          <w:p w14:paraId="5795E784" w14:textId="77777777" w:rsidR="00A13A31" w:rsidRPr="00DC030C" w:rsidRDefault="00A13A31" w:rsidP="00A260DC">
            <w:pPr>
              <w:pStyle w:val="NormalWeb"/>
              <w:rPr>
                <w:sz w:val="18"/>
                <w:szCs w:val="18"/>
              </w:rPr>
            </w:pPr>
            <w:r w:rsidRPr="00DC030C">
              <w:rPr>
                <w:sz w:val="18"/>
                <w:szCs w:val="18"/>
              </w:rPr>
              <w:t>&gt; 64</w:t>
            </w:r>
          </w:p>
        </w:tc>
        <w:tc>
          <w:tcPr>
            <w:tcW w:w="2610" w:type="dxa"/>
            <w:tcBorders>
              <w:top w:val="single" w:sz="4" w:space="0" w:color="auto"/>
              <w:bottom w:val="single" w:sz="12" w:space="0" w:color="auto"/>
            </w:tcBorders>
            <w:shd w:val="clear" w:color="auto" w:fill="FBFBFB"/>
            <w:hideMark/>
          </w:tcPr>
          <w:p w14:paraId="2CDF9D0E" w14:textId="77777777" w:rsidR="00A13A31" w:rsidRPr="00DC030C" w:rsidRDefault="00A13A31" w:rsidP="00A260DC">
            <w:pPr>
              <w:pStyle w:val="NormalWeb"/>
              <w:jc w:val="center"/>
              <w:rPr>
                <w:sz w:val="18"/>
                <w:szCs w:val="18"/>
              </w:rPr>
            </w:pPr>
            <w:r w:rsidRPr="00DC030C">
              <w:rPr>
                <w:sz w:val="18"/>
                <w:szCs w:val="18"/>
              </w:rPr>
              <w:t>27,362</w:t>
            </w:r>
          </w:p>
        </w:tc>
        <w:tc>
          <w:tcPr>
            <w:tcW w:w="2610" w:type="dxa"/>
            <w:tcBorders>
              <w:top w:val="single" w:sz="4" w:space="0" w:color="auto"/>
              <w:bottom w:val="single" w:sz="12" w:space="0" w:color="auto"/>
            </w:tcBorders>
            <w:shd w:val="clear" w:color="auto" w:fill="FBFBFB"/>
            <w:hideMark/>
          </w:tcPr>
          <w:p w14:paraId="1998DD5B" w14:textId="77777777" w:rsidR="00A13A31" w:rsidRPr="00DC030C" w:rsidRDefault="00A13A31" w:rsidP="00A260DC">
            <w:pPr>
              <w:pStyle w:val="NormalWeb"/>
              <w:jc w:val="center"/>
              <w:rPr>
                <w:sz w:val="18"/>
                <w:szCs w:val="18"/>
              </w:rPr>
            </w:pPr>
            <w:r w:rsidRPr="00DC030C">
              <w:rPr>
                <w:sz w:val="18"/>
                <w:szCs w:val="18"/>
              </w:rPr>
              <w:t>8.8</w:t>
            </w:r>
          </w:p>
        </w:tc>
      </w:tr>
      <w:tr w:rsidR="00A13A31" w:rsidRPr="00DC030C" w14:paraId="0D82F360" w14:textId="77777777" w:rsidTr="0012157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610" w:type="dxa"/>
            <w:vMerge w:val="restart"/>
            <w:tcBorders>
              <w:top w:val="single" w:sz="12" w:space="0" w:color="auto"/>
              <w:bottom w:val="single" w:sz="12" w:space="0" w:color="auto"/>
            </w:tcBorders>
            <w:shd w:val="clear" w:color="auto" w:fill="FBFBFB"/>
            <w:hideMark/>
          </w:tcPr>
          <w:p w14:paraId="378A8F91" w14:textId="77777777" w:rsidR="00A13A31" w:rsidRPr="00DC030C" w:rsidRDefault="00A13A31" w:rsidP="00A260DC">
            <w:pPr>
              <w:pStyle w:val="NormalWeb"/>
              <w:rPr>
                <w:sz w:val="18"/>
                <w:szCs w:val="18"/>
              </w:rPr>
            </w:pPr>
            <w:r w:rsidRPr="00DC030C">
              <w:rPr>
                <w:sz w:val="18"/>
                <w:szCs w:val="18"/>
              </w:rPr>
              <w:t>Location</w:t>
            </w:r>
          </w:p>
        </w:tc>
        <w:tc>
          <w:tcPr>
            <w:tcW w:w="2610" w:type="dxa"/>
            <w:tcBorders>
              <w:top w:val="single" w:sz="12" w:space="0" w:color="auto"/>
              <w:bottom w:val="single" w:sz="4" w:space="0" w:color="auto"/>
            </w:tcBorders>
            <w:shd w:val="clear" w:color="auto" w:fill="FBFBFB"/>
            <w:hideMark/>
          </w:tcPr>
          <w:p w14:paraId="59B27C80" w14:textId="77777777" w:rsidR="00A13A31" w:rsidRPr="00DC030C" w:rsidRDefault="00A13A31" w:rsidP="00A260DC">
            <w:pPr>
              <w:pStyle w:val="NormalWeb"/>
              <w:rPr>
                <w:sz w:val="18"/>
                <w:szCs w:val="18"/>
              </w:rPr>
            </w:pPr>
            <w:r w:rsidRPr="00DC030C">
              <w:rPr>
                <w:sz w:val="18"/>
                <w:szCs w:val="18"/>
              </w:rPr>
              <w:t>Urban</w:t>
            </w:r>
          </w:p>
        </w:tc>
        <w:tc>
          <w:tcPr>
            <w:tcW w:w="2610" w:type="dxa"/>
            <w:tcBorders>
              <w:top w:val="single" w:sz="12" w:space="0" w:color="auto"/>
              <w:bottom w:val="single" w:sz="4" w:space="0" w:color="auto"/>
            </w:tcBorders>
            <w:shd w:val="clear" w:color="auto" w:fill="FBFBFB"/>
            <w:hideMark/>
          </w:tcPr>
          <w:p w14:paraId="2F5F17A3" w14:textId="77777777" w:rsidR="00A13A31" w:rsidRPr="00DC030C" w:rsidRDefault="00A13A31" w:rsidP="00A260DC">
            <w:pPr>
              <w:pStyle w:val="NormalWeb"/>
              <w:jc w:val="center"/>
              <w:rPr>
                <w:sz w:val="18"/>
                <w:szCs w:val="18"/>
              </w:rPr>
            </w:pPr>
            <w:r w:rsidRPr="00DC030C">
              <w:rPr>
                <w:sz w:val="18"/>
                <w:szCs w:val="18"/>
              </w:rPr>
              <w:t>169,608</w:t>
            </w:r>
          </w:p>
        </w:tc>
        <w:tc>
          <w:tcPr>
            <w:tcW w:w="2610" w:type="dxa"/>
            <w:tcBorders>
              <w:top w:val="single" w:sz="12" w:space="0" w:color="auto"/>
              <w:bottom w:val="single" w:sz="4" w:space="0" w:color="auto"/>
            </w:tcBorders>
            <w:shd w:val="clear" w:color="auto" w:fill="FBFBFB"/>
            <w:hideMark/>
          </w:tcPr>
          <w:p w14:paraId="6E1A9996" w14:textId="77777777" w:rsidR="00A13A31" w:rsidRPr="00DC030C" w:rsidRDefault="00A13A31" w:rsidP="00A260DC">
            <w:pPr>
              <w:pStyle w:val="NormalWeb"/>
              <w:jc w:val="center"/>
              <w:rPr>
                <w:sz w:val="18"/>
                <w:szCs w:val="18"/>
              </w:rPr>
            </w:pPr>
            <w:r w:rsidRPr="00DC030C">
              <w:rPr>
                <w:sz w:val="18"/>
                <w:szCs w:val="18"/>
              </w:rPr>
              <w:t>54.0</w:t>
            </w:r>
          </w:p>
        </w:tc>
      </w:tr>
      <w:tr w:rsidR="00A13A31" w:rsidRPr="00DC030C" w14:paraId="1BD64188" w14:textId="77777777" w:rsidTr="0012157B">
        <w:tblPrEx>
          <w:tblCellMar>
            <w:top w:w="57" w:type="dxa"/>
            <w:left w:w="57" w:type="dxa"/>
            <w:bottom w:w="57" w:type="dxa"/>
            <w:right w:w="57" w:type="dxa"/>
          </w:tblCellMar>
        </w:tblPrEx>
        <w:tc>
          <w:tcPr>
            <w:tcW w:w="2610" w:type="dxa"/>
            <w:vMerge/>
            <w:tcBorders>
              <w:top w:val="single" w:sz="4" w:space="0" w:color="auto"/>
              <w:bottom w:val="single" w:sz="12" w:space="0" w:color="auto"/>
            </w:tcBorders>
            <w:shd w:val="clear" w:color="auto" w:fill="FBFBFB"/>
            <w:hideMark/>
          </w:tcPr>
          <w:p w14:paraId="73BF624B" w14:textId="77777777" w:rsidR="00A13A31" w:rsidRPr="00DC030C" w:rsidRDefault="00A13A31" w:rsidP="00A260DC">
            <w:pPr>
              <w:rPr>
                <w:sz w:val="18"/>
                <w:szCs w:val="18"/>
              </w:rPr>
            </w:pPr>
          </w:p>
        </w:tc>
        <w:tc>
          <w:tcPr>
            <w:tcW w:w="2610" w:type="dxa"/>
            <w:tcBorders>
              <w:top w:val="single" w:sz="4" w:space="0" w:color="auto"/>
              <w:bottom w:val="single" w:sz="12" w:space="0" w:color="auto"/>
            </w:tcBorders>
            <w:shd w:val="clear" w:color="auto" w:fill="FBFBFB"/>
            <w:hideMark/>
          </w:tcPr>
          <w:p w14:paraId="102ACED6" w14:textId="77777777" w:rsidR="00A13A31" w:rsidRPr="00DC030C" w:rsidRDefault="00A13A31" w:rsidP="00A260DC">
            <w:pPr>
              <w:pStyle w:val="NormalWeb"/>
              <w:rPr>
                <w:sz w:val="18"/>
                <w:szCs w:val="18"/>
              </w:rPr>
            </w:pPr>
            <w:r w:rsidRPr="00DC030C">
              <w:rPr>
                <w:sz w:val="18"/>
                <w:szCs w:val="18"/>
              </w:rPr>
              <w:t>Rural</w:t>
            </w:r>
          </w:p>
        </w:tc>
        <w:tc>
          <w:tcPr>
            <w:tcW w:w="2610" w:type="dxa"/>
            <w:tcBorders>
              <w:top w:val="single" w:sz="4" w:space="0" w:color="auto"/>
              <w:bottom w:val="single" w:sz="12" w:space="0" w:color="auto"/>
            </w:tcBorders>
            <w:shd w:val="clear" w:color="auto" w:fill="FBFBFB"/>
            <w:hideMark/>
          </w:tcPr>
          <w:p w14:paraId="554D9752" w14:textId="77777777" w:rsidR="00A13A31" w:rsidRPr="00DC030C" w:rsidRDefault="00A13A31" w:rsidP="00A260DC">
            <w:pPr>
              <w:pStyle w:val="NormalWeb"/>
              <w:jc w:val="center"/>
              <w:rPr>
                <w:sz w:val="18"/>
                <w:szCs w:val="18"/>
              </w:rPr>
            </w:pPr>
            <w:r w:rsidRPr="00DC030C">
              <w:rPr>
                <w:sz w:val="18"/>
                <w:szCs w:val="18"/>
              </w:rPr>
              <w:t>144,540</w:t>
            </w:r>
          </w:p>
        </w:tc>
        <w:tc>
          <w:tcPr>
            <w:tcW w:w="2610" w:type="dxa"/>
            <w:tcBorders>
              <w:top w:val="single" w:sz="4" w:space="0" w:color="auto"/>
              <w:bottom w:val="single" w:sz="12" w:space="0" w:color="auto"/>
            </w:tcBorders>
            <w:shd w:val="clear" w:color="auto" w:fill="FBFBFB"/>
            <w:hideMark/>
          </w:tcPr>
          <w:p w14:paraId="1CB30BBE" w14:textId="77777777" w:rsidR="00A13A31" w:rsidRPr="00DC030C" w:rsidRDefault="00A13A31" w:rsidP="00A260DC">
            <w:pPr>
              <w:pStyle w:val="NormalWeb"/>
              <w:jc w:val="center"/>
              <w:rPr>
                <w:sz w:val="18"/>
                <w:szCs w:val="18"/>
              </w:rPr>
            </w:pPr>
            <w:r w:rsidRPr="00DC030C">
              <w:rPr>
                <w:sz w:val="18"/>
                <w:szCs w:val="18"/>
              </w:rPr>
              <w:t>46.0</w:t>
            </w:r>
          </w:p>
        </w:tc>
      </w:tr>
      <w:tr w:rsidR="00A13A31" w:rsidRPr="00DC030C" w14:paraId="21051100" w14:textId="77777777" w:rsidTr="0012157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610" w:type="dxa"/>
            <w:vMerge w:val="restart"/>
            <w:tcBorders>
              <w:top w:val="single" w:sz="12" w:space="0" w:color="auto"/>
              <w:bottom w:val="single" w:sz="12" w:space="0" w:color="auto"/>
            </w:tcBorders>
            <w:shd w:val="clear" w:color="auto" w:fill="FBFBFB"/>
            <w:hideMark/>
          </w:tcPr>
          <w:p w14:paraId="059CB927" w14:textId="77777777" w:rsidR="00A13A31" w:rsidRPr="00DC030C" w:rsidRDefault="00A13A31" w:rsidP="00A260DC">
            <w:pPr>
              <w:pStyle w:val="NormalWeb"/>
              <w:rPr>
                <w:sz w:val="18"/>
                <w:szCs w:val="18"/>
              </w:rPr>
            </w:pPr>
            <w:r w:rsidRPr="00DC030C">
              <w:rPr>
                <w:sz w:val="18"/>
                <w:szCs w:val="18"/>
              </w:rPr>
              <w:t>Jurisdiction</w:t>
            </w:r>
          </w:p>
        </w:tc>
        <w:tc>
          <w:tcPr>
            <w:tcW w:w="2610" w:type="dxa"/>
            <w:tcBorders>
              <w:top w:val="single" w:sz="12" w:space="0" w:color="auto"/>
              <w:bottom w:val="single" w:sz="4" w:space="0" w:color="auto"/>
            </w:tcBorders>
            <w:shd w:val="clear" w:color="auto" w:fill="FBFBFB"/>
            <w:hideMark/>
          </w:tcPr>
          <w:p w14:paraId="6877D03A" w14:textId="77777777" w:rsidR="00A13A31" w:rsidRPr="00DC030C" w:rsidRDefault="00A13A31" w:rsidP="00A260DC">
            <w:pPr>
              <w:pStyle w:val="NormalWeb"/>
              <w:rPr>
                <w:sz w:val="18"/>
                <w:szCs w:val="18"/>
              </w:rPr>
            </w:pPr>
            <w:r w:rsidRPr="00DC030C">
              <w:rPr>
                <w:sz w:val="18"/>
                <w:szCs w:val="18"/>
              </w:rPr>
              <w:t>Australian Capital Territory</w:t>
            </w:r>
          </w:p>
        </w:tc>
        <w:tc>
          <w:tcPr>
            <w:tcW w:w="2610" w:type="dxa"/>
            <w:tcBorders>
              <w:top w:val="single" w:sz="12" w:space="0" w:color="auto"/>
              <w:bottom w:val="single" w:sz="4" w:space="0" w:color="auto"/>
            </w:tcBorders>
            <w:shd w:val="clear" w:color="auto" w:fill="FBFBFB"/>
            <w:hideMark/>
          </w:tcPr>
          <w:p w14:paraId="577C30B6" w14:textId="77777777" w:rsidR="00A13A31" w:rsidRPr="00DC030C" w:rsidRDefault="00A13A31" w:rsidP="00A260DC">
            <w:pPr>
              <w:pStyle w:val="NormalWeb"/>
              <w:jc w:val="center"/>
              <w:rPr>
                <w:sz w:val="18"/>
                <w:szCs w:val="18"/>
              </w:rPr>
            </w:pPr>
            <w:r w:rsidRPr="00DC030C">
              <w:rPr>
                <w:sz w:val="18"/>
                <w:szCs w:val="18"/>
              </w:rPr>
              <w:t>1,145</w:t>
            </w:r>
          </w:p>
        </w:tc>
        <w:tc>
          <w:tcPr>
            <w:tcW w:w="2610" w:type="dxa"/>
            <w:tcBorders>
              <w:top w:val="single" w:sz="12" w:space="0" w:color="auto"/>
              <w:bottom w:val="single" w:sz="4" w:space="0" w:color="auto"/>
            </w:tcBorders>
            <w:shd w:val="clear" w:color="auto" w:fill="FBFBFB"/>
            <w:hideMark/>
          </w:tcPr>
          <w:p w14:paraId="5265A8AF" w14:textId="77777777" w:rsidR="00A13A31" w:rsidRPr="00DC030C" w:rsidRDefault="00A13A31" w:rsidP="00A260DC">
            <w:pPr>
              <w:pStyle w:val="NormalWeb"/>
              <w:jc w:val="center"/>
              <w:rPr>
                <w:sz w:val="18"/>
                <w:szCs w:val="18"/>
              </w:rPr>
            </w:pPr>
            <w:r w:rsidRPr="00DC030C">
              <w:rPr>
                <w:sz w:val="18"/>
                <w:szCs w:val="18"/>
              </w:rPr>
              <w:t>0.4</w:t>
            </w:r>
          </w:p>
        </w:tc>
      </w:tr>
      <w:tr w:rsidR="00A13A31" w:rsidRPr="00DC030C" w14:paraId="6BBDDA24" w14:textId="77777777" w:rsidTr="0012157B">
        <w:tblPrEx>
          <w:tblCellMar>
            <w:top w:w="57" w:type="dxa"/>
            <w:left w:w="57" w:type="dxa"/>
            <w:bottom w:w="57" w:type="dxa"/>
            <w:right w:w="57" w:type="dxa"/>
          </w:tblCellMar>
        </w:tblPrEx>
        <w:tc>
          <w:tcPr>
            <w:tcW w:w="2610" w:type="dxa"/>
            <w:vMerge/>
            <w:tcBorders>
              <w:top w:val="single" w:sz="4" w:space="0" w:color="auto"/>
              <w:bottom w:val="single" w:sz="12" w:space="0" w:color="auto"/>
            </w:tcBorders>
            <w:shd w:val="clear" w:color="auto" w:fill="FBFBFB"/>
            <w:hideMark/>
          </w:tcPr>
          <w:p w14:paraId="5A69F528" w14:textId="77777777" w:rsidR="00A13A31" w:rsidRPr="00DC030C" w:rsidRDefault="00A13A31" w:rsidP="00A260DC">
            <w:pPr>
              <w:rPr>
                <w:sz w:val="18"/>
                <w:szCs w:val="18"/>
              </w:rPr>
            </w:pPr>
          </w:p>
        </w:tc>
        <w:tc>
          <w:tcPr>
            <w:tcW w:w="2610" w:type="dxa"/>
            <w:tcBorders>
              <w:top w:val="single" w:sz="4" w:space="0" w:color="auto"/>
              <w:bottom w:val="single" w:sz="4" w:space="0" w:color="auto"/>
            </w:tcBorders>
            <w:shd w:val="clear" w:color="auto" w:fill="FBFBFB"/>
            <w:hideMark/>
          </w:tcPr>
          <w:p w14:paraId="2DEED64D" w14:textId="77777777" w:rsidR="00A13A31" w:rsidRPr="00DC030C" w:rsidRDefault="00A13A31" w:rsidP="00A260DC">
            <w:pPr>
              <w:pStyle w:val="NormalWeb"/>
              <w:rPr>
                <w:sz w:val="18"/>
                <w:szCs w:val="18"/>
              </w:rPr>
            </w:pPr>
            <w:r w:rsidRPr="00DC030C">
              <w:rPr>
                <w:sz w:val="18"/>
                <w:szCs w:val="18"/>
              </w:rPr>
              <w:t>New South Wales</w:t>
            </w:r>
          </w:p>
        </w:tc>
        <w:tc>
          <w:tcPr>
            <w:tcW w:w="2610" w:type="dxa"/>
            <w:tcBorders>
              <w:top w:val="single" w:sz="4" w:space="0" w:color="auto"/>
              <w:bottom w:val="single" w:sz="4" w:space="0" w:color="auto"/>
            </w:tcBorders>
            <w:shd w:val="clear" w:color="auto" w:fill="FBFBFB"/>
            <w:hideMark/>
          </w:tcPr>
          <w:p w14:paraId="3EA0087C" w14:textId="77777777" w:rsidR="00A13A31" w:rsidRPr="00DC030C" w:rsidRDefault="00A13A31" w:rsidP="00A260DC">
            <w:pPr>
              <w:pStyle w:val="NormalWeb"/>
              <w:jc w:val="center"/>
              <w:rPr>
                <w:sz w:val="18"/>
                <w:szCs w:val="18"/>
              </w:rPr>
            </w:pPr>
            <w:r w:rsidRPr="00DC030C">
              <w:rPr>
                <w:sz w:val="18"/>
                <w:szCs w:val="18"/>
              </w:rPr>
              <w:t>101,269</w:t>
            </w:r>
          </w:p>
        </w:tc>
        <w:tc>
          <w:tcPr>
            <w:tcW w:w="2610" w:type="dxa"/>
            <w:tcBorders>
              <w:top w:val="single" w:sz="4" w:space="0" w:color="auto"/>
              <w:bottom w:val="single" w:sz="4" w:space="0" w:color="auto"/>
            </w:tcBorders>
            <w:shd w:val="clear" w:color="auto" w:fill="FBFBFB"/>
            <w:hideMark/>
          </w:tcPr>
          <w:p w14:paraId="1C7265F3" w14:textId="77777777" w:rsidR="00A13A31" w:rsidRPr="00DC030C" w:rsidRDefault="00A13A31" w:rsidP="00A260DC">
            <w:pPr>
              <w:pStyle w:val="NormalWeb"/>
              <w:jc w:val="center"/>
              <w:rPr>
                <w:sz w:val="18"/>
                <w:szCs w:val="18"/>
              </w:rPr>
            </w:pPr>
            <w:r w:rsidRPr="00DC030C">
              <w:rPr>
                <w:sz w:val="18"/>
                <w:szCs w:val="18"/>
              </w:rPr>
              <w:t>32.2</w:t>
            </w:r>
          </w:p>
        </w:tc>
      </w:tr>
      <w:tr w:rsidR="00A13A31" w:rsidRPr="00DC030C" w14:paraId="79AEDDC1" w14:textId="77777777" w:rsidTr="0012157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610" w:type="dxa"/>
            <w:vMerge/>
            <w:tcBorders>
              <w:top w:val="single" w:sz="4" w:space="0" w:color="auto"/>
              <w:bottom w:val="single" w:sz="12" w:space="0" w:color="auto"/>
            </w:tcBorders>
            <w:shd w:val="clear" w:color="auto" w:fill="FBFBFB"/>
            <w:hideMark/>
          </w:tcPr>
          <w:p w14:paraId="6D668020" w14:textId="77777777" w:rsidR="00A13A31" w:rsidRPr="00DC030C" w:rsidRDefault="00A13A31" w:rsidP="00A260DC">
            <w:pPr>
              <w:rPr>
                <w:sz w:val="18"/>
                <w:szCs w:val="18"/>
              </w:rPr>
            </w:pPr>
          </w:p>
        </w:tc>
        <w:tc>
          <w:tcPr>
            <w:tcW w:w="2610" w:type="dxa"/>
            <w:tcBorders>
              <w:top w:val="single" w:sz="4" w:space="0" w:color="auto"/>
              <w:bottom w:val="single" w:sz="4" w:space="0" w:color="auto"/>
            </w:tcBorders>
            <w:shd w:val="clear" w:color="auto" w:fill="FBFBFB"/>
            <w:hideMark/>
          </w:tcPr>
          <w:p w14:paraId="104E3EF1" w14:textId="77777777" w:rsidR="00A13A31" w:rsidRPr="00DC030C" w:rsidRDefault="00A13A31" w:rsidP="00A260DC">
            <w:pPr>
              <w:pStyle w:val="NormalWeb"/>
              <w:rPr>
                <w:sz w:val="18"/>
                <w:szCs w:val="18"/>
              </w:rPr>
            </w:pPr>
            <w:r w:rsidRPr="00DC030C">
              <w:rPr>
                <w:sz w:val="18"/>
                <w:szCs w:val="18"/>
              </w:rPr>
              <w:t>Northern Territory</w:t>
            </w:r>
          </w:p>
        </w:tc>
        <w:tc>
          <w:tcPr>
            <w:tcW w:w="2610" w:type="dxa"/>
            <w:tcBorders>
              <w:top w:val="single" w:sz="4" w:space="0" w:color="auto"/>
              <w:bottom w:val="single" w:sz="4" w:space="0" w:color="auto"/>
            </w:tcBorders>
            <w:shd w:val="clear" w:color="auto" w:fill="FBFBFB"/>
            <w:hideMark/>
          </w:tcPr>
          <w:p w14:paraId="24D16C02" w14:textId="77777777" w:rsidR="00A13A31" w:rsidRPr="00DC030C" w:rsidRDefault="00A13A31" w:rsidP="00A260DC">
            <w:pPr>
              <w:pStyle w:val="NormalWeb"/>
              <w:jc w:val="center"/>
              <w:rPr>
                <w:sz w:val="18"/>
                <w:szCs w:val="18"/>
              </w:rPr>
            </w:pPr>
            <w:r w:rsidRPr="00DC030C">
              <w:rPr>
                <w:sz w:val="18"/>
                <w:szCs w:val="18"/>
              </w:rPr>
              <w:t>3,851</w:t>
            </w:r>
          </w:p>
        </w:tc>
        <w:tc>
          <w:tcPr>
            <w:tcW w:w="2610" w:type="dxa"/>
            <w:tcBorders>
              <w:top w:val="single" w:sz="4" w:space="0" w:color="auto"/>
              <w:bottom w:val="single" w:sz="4" w:space="0" w:color="auto"/>
            </w:tcBorders>
            <w:shd w:val="clear" w:color="auto" w:fill="FBFBFB"/>
            <w:hideMark/>
          </w:tcPr>
          <w:p w14:paraId="11295502" w14:textId="77777777" w:rsidR="00A13A31" w:rsidRPr="00DC030C" w:rsidRDefault="00A13A31" w:rsidP="00A260DC">
            <w:pPr>
              <w:pStyle w:val="NormalWeb"/>
              <w:jc w:val="center"/>
              <w:rPr>
                <w:sz w:val="18"/>
                <w:szCs w:val="18"/>
              </w:rPr>
            </w:pPr>
            <w:r w:rsidRPr="00DC030C">
              <w:rPr>
                <w:sz w:val="18"/>
                <w:szCs w:val="18"/>
              </w:rPr>
              <w:t>1.2</w:t>
            </w:r>
          </w:p>
        </w:tc>
      </w:tr>
      <w:tr w:rsidR="00A13A31" w:rsidRPr="00DC030C" w14:paraId="349C9C73" w14:textId="77777777" w:rsidTr="0012157B">
        <w:tblPrEx>
          <w:tblCellMar>
            <w:top w:w="57" w:type="dxa"/>
            <w:left w:w="57" w:type="dxa"/>
            <w:bottom w:w="57" w:type="dxa"/>
            <w:right w:w="57" w:type="dxa"/>
          </w:tblCellMar>
        </w:tblPrEx>
        <w:tc>
          <w:tcPr>
            <w:tcW w:w="2610" w:type="dxa"/>
            <w:vMerge/>
            <w:tcBorders>
              <w:top w:val="single" w:sz="4" w:space="0" w:color="auto"/>
              <w:bottom w:val="single" w:sz="12" w:space="0" w:color="auto"/>
            </w:tcBorders>
            <w:shd w:val="clear" w:color="auto" w:fill="FBFBFB"/>
            <w:hideMark/>
          </w:tcPr>
          <w:p w14:paraId="447E1F83" w14:textId="77777777" w:rsidR="00A13A31" w:rsidRPr="00DC030C" w:rsidRDefault="00A13A31" w:rsidP="00A260DC">
            <w:pPr>
              <w:rPr>
                <w:sz w:val="18"/>
                <w:szCs w:val="18"/>
              </w:rPr>
            </w:pPr>
          </w:p>
        </w:tc>
        <w:tc>
          <w:tcPr>
            <w:tcW w:w="2610" w:type="dxa"/>
            <w:tcBorders>
              <w:top w:val="single" w:sz="4" w:space="0" w:color="auto"/>
              <w:bottom w:val="single" w:sz="4" w:space="0" w:color="auto"/>
            </w:tcBorders>
            <w:shd w:val="clear" w:color="auto" w:fill="FBFBFB"/>
            <w:hideMark/>
          </w:tcPr>
          <w:p w14:paraId="358BBBBB" w14:textId="77777777" w:rsidR="00A13A31" w:rsidRPr="00DC030C" w:rsidRDefault="00A13A31" w:rsidP="00A260DC">
            <w:pPr>
              <w:pStyle w:val="NormalWeb"/>
              <w:rPr>
                <w:sz w:val="18"/>
                <w:szCs w:val="18"/>
              </w:rPr>
            </w:pPr>
            <w:r w:rsidRPr="00DC030C">
              <w:rPr>
                <w:sz w:val="18"/>
                <w:szCs w:val="18"/>
              </w:rPr>
              <w:t>Queensland</w:t>
            </w:r>
          </w:p>
        </w:tc>
        <w:tc>
          <w:tcPr>
            <w:tcW w:w="2610" w:type="dxa"/>
            <w:tcBorders>
              <w:top w:val="single" w:sz="4" w:space="0" w:color="auto"/>
              <w:bottom w:val="single" w:sz="4" w:space="0" w:color="auto"/>
            </w:tcBorders>
            <w:shd w:val="clear" w:color="auto" w:fill="FBFBFB"/>
            <w:hideMark/>
          </w:tcPr>
          <w:p w14:paraId="4CADD84A" w14:textId="77777777" w:rsidR="00A13A31" w:rsidRPr="00DC030C" w:rsidRDefault="00A13A31" w:rsidP="00A260DC">
            <w:pPr>
              <w:pStyle w:val="NormalWeb"/>
              <w:jc w:val="center"/>
              <w:rPr>
                <w:sz w:val="18"/>
                <w:szCs w:val="18"/>
              </w:rPr>
            </w:pPr>
            <w:r w:rsidRPr="00DC030C">
              <w:rPr>
                <w:sz w:val="18"/>
                <w:szCs w:val="18"/>
              </w:rPr>
              <w:t>72,580</w:t>
            </w:r>
          </w:p>
        </w:tc>
        <w:tc>
          <w:tcPr>
            <w:tcW w:w="2610" w:type="dxa"/>
            <w:tcBorders>
              <w:top w:val="single" w:sz="4" w:space="0" w:color="auto"/>
              <w:bottom w:val="single" w:sz="4" w:space="0" w:color="auto"/>
            </w:tcBorders>
            <w:shd w:val="clear" w:color="auto" w:fill="FBFBFB"/>
            <w:hideMark/>
          </w:tcPr>
          <w:p w14:paraId="444F632D" w14:textId="77777777" w:rsidR="00A13A31" w:rsidRPr="00DC030C" w:rsidRDefault="00A13A31" w:rsidP="00A260DC">
            <w:pPr>
              <w:pStyle w:val="NormalWeb"/>
              <w:jc w:val="center"/>
              <w:rPr>
                <w:sz w:val="18"/>
                <w:szCs w:val="18"/>
              </w:rPr>
            </w:pPr>
            <w:r w:rsidRPr="00DC030C">
              <w:rPr>
                <w:sz w:val="18"/>
                <w:szCs w:val="18"/>
              </w:rPr>
              <w:t>23.1</w:t>
            </w:r>
          </w:p>
        </w:tc>
      </w:tr>
      <w:tr w:rsidR="00A13A31" w:rsidRPr="00DC030C" w14:paraId="7954DAA9" w14:textId="77777777" w:rsidTr="0012157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610" w:type="dxa"/>
            <w:vMerge/>
            <w:tcBorders>
              <w:top w:val="single" w:sz="4" w:space="0" w:color="auto"/>
              <w:bottom w:val="single" w:sz="12" w:space="0" w:color="auto"/>
            </w:tcBorders>
            <w:shd w:val="clear" w:color="auto" w:fill="FBFBFB"/>
            <w:hideMark/>
          </w:tcPr>
          <w:p w14:paraId="772ABF37" w14:textId="77777777" w:rsidR="00A13A31" w:rsidRPr="00DC030C" w:rsidRDefault="00A13A31" w:rsidP="00A260DC">
            <w:pPr>
              <w:rPr>
                <w:sz w:val="18"/>
                <w:szCs w:val="18"/>
              </w:rPr>
            </w:pPr>
          </w:p>
        </w:tc>
        <w:tc>
          <w:tcPr>
            <w:tcW w:w="2610" w:type="dxa"/>
            <w:tcBorders>
              <w:top w:val="single" w:sz="4" w:space="0" w:color="auto"/>
              <w:bottom w:val="single" w:sz="4" w:space="0" w:color="auto"/>
            </w:tcBorders>
            <w:shd w:val="clear" w:color="auto" w:fill="FBFBFB"/>
            <w:hideMark/>
          </w:tcPr>
          <w:p w14:paraId="3DF6A036" w14:textId="77777777" w:rsidR="00A13A31" w:rsidRPr="00DC030C" w:rsidRDefault="00A13A31" w:rsidP="00A260DC">
            <w:pPr>
              <w:pStyle w:val="NormalWeb"/>
              <w:rPr>
                <w:sz w:val="18"/>
                <w:szCs w:val="18"/>
              </w:rPr>
            </w:pPr>
            <w:r w:rsidRPr="00DC030C">
              <w:rPr>
                <w:sz w:val="18"/>
                <w:szCs w:val="18"/>
              </w:rPr>
              <w:t>South Australia</w:t>
            </w:r>
          </w:p>
        </w:tc>
        <w:tc>
          <w:tcPr>
            <w:tcW w:w="2610" w:type="dxa"/>
            <w:tcBorders>
              <w:top w:val="single" w:sz="4" w:space="0" w:color="auto"/>
              <w:bottom w:val="single" w:sz="4" w:space="0" w:color="auto"/>
            </w:tcBorders>
            <w:shd w:val="clear" w:color="auto" w:fill="FBFBFB"/>
            <w:hideMark/>
          </w:tcPr>
          <w:p w14:paraId="396CFB94" w14:textId="77777777" w:rsidR="00A13A31" w:rsidRPr="00DC030C" w:rsidRDefault="00A13A31" w:rsidP="00A260DC">
            <w:pPr>
              <w:pStyle w:val="NormalWeb"/>
              <w:jc w:val="center"/>
              <w:rPr>
                <w:sz w:val="18"/>
                <w:szCs w:val="18"/>
              </w:rPr>
            </w:pPr>
            <w:r w:rsidRPr="00DC030C">
              <w:rPr>
                <w:sz w:val="18"/>
                <w:szCs w:val="18"/>
              </w:rPr>
              <w:t>13,761</w:t>
            </w:r>
          </w:p>
        </w:tc>
        <w:tc>
          <w:tcPr>
            <w:tcW w:w="2610" w:type="dxa"/>
            <w:tcBorders>
              <w:top w:val="single" w:sz="4" w:space="0" w:color="auto"/>
              <w:bottom w:val="single" w:sz="4" w:space="0" w:color="auto"/>
            </w:tcBorders>
            <w:shd w:val="clear" w:color="auto" w:fill="FBFBFB"/>
            <w:hideMark/>
          </w:tcPr>
          <w:p w14:paraId="24FC2CF1" w14:textId="77777777" w:rsidR="00A13A31" w:rsidRPr="00DC030C" w:rsidRDefault="00A13A31" w:rsidP="00A260DC">
            <w:pPr>
              <w:pStyle w:val="NormalWeb"/>
              <w:jc w:val="center"/>
              <w:rPr>
                <w:sz w:val="18"/>
                <w:szCs w:val="18"/>
              </w:rPr>
            </w:pPr>
            <w:r w:rsidRPr="00DC030C">
              <w:rPr>
                <w:sz w:val="18"/>
                <w:szCs w:val="18"/>
              </w:rPr>
              <w:t>4.4</w:t>
            </w:r>
          </w:p>
        </w:tc>
      </w:tr>
      <w:tr w:rsidR="00A13A31" w:rsidRPr="00DC030C" w14:paraId="11E47976" w14:textId="77777777" w:rsidTr="0012157B">
        <w:tblPrEx>
          <w:tblCellMar>
            <w:top w:w="57" w:type="dxa"/>
            <w:left w:w="57" w:type="dxa"/>
            <w:bottom w:w="57" w:type="dxa"/>
            <w:right w:w="57" w:type="dxa"/>
          </w:tblCellMar>
        </w:tblPrEx>
        <w:tc>
          <w:tcPr>
            <w:tcW w:w="2610" w:type="dxa"/>
            <w:vMerge/>
            <w:tcBorders>
              <w:top w:val="single" w:sz="4" w:space="0" w:color="auto"/>
              <w:bottom w:val="single" w:sz="12" w:space="0" w:color="auto"/>
            </w:tcBorders>
            <w:shd w:val="clear" w:color="auto" w:fill="FBFBFB"/>
            <w:hideMark/>
          </w:tcPr>
          <w:p w14:paraId="47557FAD" w14:textId="77777777" w:rsidR="00A13A31" w:rsidRPr="00DC030C" w:rsidRDefault="00A13A31" w:rsidP="00A260DC">
            <w:pPr>
              <w:rPr>
                <w:sz w:val="18"/>
                <w:szCs w:val="18"/>
              </w:rPr>
            </w:pPr>
          </w:p>
        </w:tc>
        <w:tc>
          <w:tcPr>
            <w:tcW w:w="2610" w:type="dxa"/>
            <w:tcBorders>
              <w:top w:val="single" w:sz="4" w:space="0" w:color="auto"/>
              <w:bottom w:val="single" w:sz="4" w:space="0" w:color="auto"/>
            </w:tcBorders>
            <w:shd w:val="clear" w:color="auto" w:fill="FBFBFB"/>
            <w:hideMark/>
          </w:tcPr>
          <w:p w14:paraId="360FFA79" w14:textId="77777777" w:rsidR="00A13A31" w:rsidRPr="00DC030C" w:rsidRDefault="00A13A31" w:rsidP="00A260DC">
            <w:pPr>
              <w:pStyle w:val="NormalWeb"/>
              <w:rPr>
                <w:sz w:val="18"/>
                <w:szCs w:val="18"/>
              </w:rPr>
            </w:pPr>
            <w:r w:rsidRPr="00DC030C">
              <w:rPr>
                <w:sz w:val="18"/>
                <w:szCs w:val="18"/>
              </w:rPr>
              <w:t>Tasmania</w:t>
            </w:r>
          </w:p>
        </w:tc>
        <w:tc>
          <w:tcPr>
            <w:tcW w:w="2610" w:type="dxa"/>
            <w:tcBorders>
              <w:top w:val="single" w:sz="4" w:space="0" w:color="auto"/>
              <w:bottom w:val="single" w:sz="4" w:space="0" w:color="auto"/>
            </w:tcBorders>
            <w:shd w:val="clear" w:color="auto" w:fill="FBFBFB"/>
            <w:hideMark/>
          </w:tcPr>
          <w:p w14:paraId="1E08B9A5" w14:textId="77777777" w:rsidR="00A13A31" w:rsidRPr="00DC030C" w:rsidRDefault="00A13A31" w:rsidP="00A260DC">
            <w:pPr>
              <w:pStyle w:val="NormalWeb"/>
              <w:jc w:val="center"/>
              <w:rPr>
                <w:sz w:val="18"/>
                <w:szCs w:val="18"/>
              </w:rPr>
            </w:pPr>
            <w:r w:rsidRPr="00DC030C">
              <w:rPr>
                <w:sz w:val="18"/>
                <w:szCs w:val="18"/>
              </w:rPr>
              <w:t>5,742</w:t>
            </w:r>
          </w:p>
        </w:tc>
        <w:tc>
          <w:tcPr>
            <w:tcW w:w="2610" w:type="dxa"/>
            <w:tcBorders>
              <w:top w:val="single" w:sz="4" w:space="0" w:color="auto"/>
              <w:bottom w:val="single" w:sz="4" w:space="0" w:color="auto"/>
            </w:tcBorders>
            <w:shd w:val="clear" w:color="auto" w:fill="FBFBFB"/>
            <w:hideMark/>
          </w:tcPr>
          <w:p w14:paraId="4FC69F92" w14:textId="77777777" w:rsidR="00A13A31" w:rsidRPr="00DC030C" w:rsidRDefault="00A13A31" w:rsidP="00A260DC">
            <w:pPr>
              <w:pStyle w:val="NormalWeb"/>
              <w:jc w:val="center"/>
              <w:rPr>
                <w:sz w:val="18"/>
                <w:szCs w:val="18"/>
              </w:rPr>
            </w:pPr>
            <w:r w:rsidRPr="00DC030C">
              <w:rPr>
                <w:sz w:val="18"/>
                <w:szCs w:val="18"/>
              </w:rPr>
              <w:t>1.8</w:t>
            </w:r>
          </w:p>
        </w:tc>
      </w:tr>
      <w:tr w:rsidR="00A13A31" w:rsidRPr="00DC030C" w14:paraId="3AB52EB2" w14:textId="77777777" w:rsidTr="0012157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610" w:type="dxa"/>
            <w:vMerge/>
            <w:tcBorders>
              <w:top w:val="single" w:sz="4" w:space="0" w:color="auto"/>
              <w:bottom w:val="single" w:sz="12" w:space="0" w:color="auto"/>
            </w:tcBorders>
            <w:shd w:val="clear" w:color="auto" w:fill="FBFBFB"/>
            <w:hideMark/>
          </w:tcPr>
          <w:p w14:paraId="05145A0B" w14:textId="77777777" w:rsidR="00A13A31" w:rsidRPr="00DC030C" w:rsidRDefault="00A13A31" w:rsidP="00A260DC">
            <w:pPr>
              <w:rPr>
                <w:sz w:val="18"/>
                <w:szCs w:val="18"/>
              </w:rPr>
            </w:pPr>
          </w:p>
        </w:tc>
        <w:tc>
          <w:tcPr>
            <w:tcW w:w="2610" w:type="dxa"/>
            <w:tcBorders>
              <w:top w:val="single" w:sz="4" w:space="0" w:color="auto"/>
              <w:bottom w:val="single" w:sz="4" w:space="0" w:color="auto"/>
            </w:tcBorders>
            <w:shd w:val="clear" w:color="auto" w:fill="FBFBFB"/>
            <w:hideMark/>
          </w:tcPr>
          <w:p w14:paraId="78CF17FB" w14:textId="77777777" w:rsidR="00A13A31" w:rsidRPr="00DC030C" w:rsidRDefault="00A13A31" w:rsidP="00A260DC">
            <w:pPr>
              <w:pStyle w:val="NormalWeb"/>
              <w:rPr>
                <w:sz w:val="18"/>
                <w:szCs w:val="18"/>
              </w:rPr>
            </w:pPr>
            <w:r w:rsidRPr="00DC030C">
              <w:rPr>
                <w:sz w:val="18"/>
                <w:szCs w:val="18"/>
              </w:rPr>
              <w:t>Victoria</w:t>
            </w:r>
          </w:p>
        </w:tc>
        <w:tc>
          <w:tcPr>
            <w:tcW w:w="2610" w:type="dxa"/>
            <w:tcBorders>
              <w:top w:val="single" w:sz="4" w:space="0" w:color="auto"/>
              <w:bottom w:val="single" w:sz="4" w:space="0" w:color="auto"/>
            </w:tcBorders>
            <w:shd w:val="clear" w:color="auto" w:fill="FBFBFB"/>
            <w:hideMark/>
          </w:tcPr>
          <w:p w14:paraId="3BD7FD08" w14:textId="77777777" w:rsidR="00A13A31" w:rsidRPr="00DC030C" w:rsidRDefault="00A13A31" w:rsidP="00A260DC">
            <w:pPr>
              <w:pStyle w:val="NormalWeb"/>
              <w:jc w:val="center"/>
              <w:rPr>
                <w:sz w:val="18"/>
                <w:szCs w:val="18"/>
              </w:rPr>
            </w:pPr>
            <w:r w:rsidRPr="00DC030C">
              <w:rPr>
                <w:sz w:val="18"/>
                <w:szCs w:val="18"/>
              </w:rPr>
              <w:t>107,115</w:t>
            </w:r>
          </w:p>
        </w:tc>
        <w:tc>
          <w:tcPr>
            <w:tcW w:w="2610" w:type="dxa"/>
            <w:tcBorders>
              <w:top w:val="single" w:sz="4" w:space="0" w:color="auto"/>
              <w:bottom w:val="single" w:sz="4" w:space="0" w:color="auto"/>
            </w:tcBorders>
            <w:shd w:val="clear" w:color="auto" w:fill="FBFBFB"/>
            <w:hideMark/>
          </w:tcPr>
          <w:p w14:paraId="6812F7B1" w14:textId="77777777" w:rsidR="00A13A31" w:rsidRPr="00DC030C" w:rsidRDefault="00A13A31" w:rsidP="00A260DC">
            <w:pPr>
              <w:pStyle w:val="NormalWeb"/>
              <w:jc w:val="center"/>
              <w:rPr>
                <w:sz w:val="18"/>
                <w:szCs w:val="18"/>
              </w:rPr>
            </w:pPr>
            <w:r w:rsidRPr="00DC030C">
              <w:rPr>
                <w:sz w:val="18"/>
                <w:szCs w:val="18"/>
              </w:rPr>
              <w:t>34.1</w:t>
            </w:r>
          </w:p>
        </w:tc>
      </w:tr>
      <w:tr w:rsidR="00A13A31" w:rsidRPr="00DC030C" w14:paraId="1DAEBBEB" w14:textId="77777777" w:rsidTr="0012157B">
        <w:tblPrEx>
          <w:tblCellMar>
            <w:top w:w="57" w:type="dxa"/>
            <w:left w:w="57" w:type="dxa"/>
            <w:bottom w:w="57" w:type="dxa"/>
            <w:right w:w="57" w:type="dxa"/>
          </w:tblCellMar>
        </w:tblPrEx>
        <w:tc>
          <w:tcPr>
            <w:tcW w:w="2610" w:type="dxa"/>
            <w:vMerge/>
            <w:tcBorders>
              <w:top w:val="single" w:sz="4" w:space="0" w:color="auto"/>
              <w:bottom w:val="single" w:sz="12" w:space="0" w:color="auto"/>
            </w:tcBorders>
            <w:shd w:val="clear" w:color="auto" w:fill="FBFBFB"/>
            <w:hideMark/>
          </w:tcPr>
          <w:p w14:paraId="53CD43FF" w14:textId="77777777" w:rsidR="00A13A31" w:rsidRPr="00DC030C" w:rsidRDefault="00A13A31" w:rsidP="00A260DC">
            <w:pPr>
              <w:rPr>
                <w:sz w:val="18"/>
                <w:szCs w:val="18"/>
              </w:rPr>
            </w:pPr>
          </w:p>
        </w:tc>
        <w:tc>
          <w:tcPr>
            <w:tcW w:w="2610" w:type="dxa"/>
            <w:tcBorders>
              <w:top w:val="single" w:sz="4" w:space="0" w:color="auto"/>
              <w:bottom w:val="single" w:sz="12" w:space="0" w:color="auto"/>
            </w:tcBorders>
            <w:shd w:val="clear" w:color="auto" w:fill="FBFBFB"/>
            <w:hideMark/>
          </w:tcPr>
          <w:p w14:paraId="04B6659B" w14:textId="77777777" w:rsidR="00A13A31" w:rsidRPr="00DC030C" w:rsidRDefault="00A13A31" w:rsidP="00A260DC">
            <w:pPr>
              <w:pStyle w:val="NormalWeb"/>
              <w:rPr>
                <w:sz w:val="18"/>
                <w:szCs w:val="18"/>
              </w:rPr>
            </w:pPr>
            <w:r w:rsidRPr="00DC030C">
              <w:rPr>
                <w:sz w:val="18"/>
                <w:szCs w:val="18"/>
              </w:rPr>
              <w:t>Western Australia</w:t>
            </w:r>
          </w:p>
        </w:tc>
        <w:tc>
          <w:tcPr>
            <w:tcW w:w="2610" w:type="dxa"/>
            <w:tcBorders>
              <w:top w:val="single" w:sz="4" w:space="0" w:color="auto"/>
              <w:bottom w:val="single" w:sz="12" w:space="0" w:color="auto"/>
            </w:tcBorders>
            <w:shd w:val="clear" w:color="auto" w:fill="FBFBFB"/>
            <w:hideMark/>
          </w:tcPr>
          <w:p w14:paraId="6464A839" w14:textId="77777777" w:rsidR="00A13A31" w:rsidRPr="00DC030C" w:rsidRDefault="00A13A31" w:rsidP="00A260DC">
            <w:pPr>
              <w:pStyle w:val="NormalWeb"/>
              <w:jc w:val="center"/>
              <w:rPr>
                <w:sz w:val="18"/>
                <w:szCs w:val="18"/>
              </w:rPr>
            </w:pPr>
            <w:r w:rsidRPr="00DC030C">
              <w:rPr>
                <w:sz w:val="18"/>
                <w:szCs w:val="18"/>
              </w:rPr>
              <w:t>8,685</w:t>
            </w:r>
          </w:p>
        </w:tc>
        <w:tc>
          <w:tcPr>
            <w:tcW w:w="2610" w:type="dxa"/>
            <w:tcBorders>
              <w:top w:val="single" w:sz="4" w:space="0" w:color="auto"/>
              <w:bottom w:val="single" w:sz="12" w:space="0" w:color="auto"/>
            </w:tcBorders>
            <w:shd w:val="clear" w:color="auto" w:fill="FBFBFB"/>
            <w:hideMark/>
          </w:tcPr>
          <w:p w14:paraId="04968666" w14:textId="77777777" w:rsidR="00A13A31" w:rsidRPr="00DC030C" w:rsidRDefault="00A13A31" w:rsidP="00A260DC">
            <w:pPr>
              <w:pStyle w:val="NormalWeb"/>
              <w:jc w:val="center"/>
              <w:rPr>
                <w:sz w:val="18"/>
                <w:szCs w:val="18"/>
              </w:rPr>
            </w:pPr>
            <w:r w:rsidRPr="00DC030C">
              <w:rPr>
                <w:sz w:val="18"/>
                <w:szCs w:val="18"/>
              </w:rPr>
              <w:t>2.8</w:t>
            </w:r>
          </w:p>
        </w:tc>
      </w:tr>
    </w:tbl>
    <w:p w14:paraId="536BD713" w14:textId="77777777" w:rsidR="00A13A31" w:rsidRDefault="00A13A31" w:rsidP="00A13A31">
      <w:pPr>
        <w:pStyle w:val="CDIfootnotes"/>
        <w:rPr>
          <w:lang w:val="en-GB"/>
        </w:rPr>
      </w:pPr>
      <w:r>
        <w:rPr>
          <w:lang w:val="en-GB"/>
        </w:rPr>
        <w:t>a</w:t>
      </w:r>
      <w:r>
        <w:rPr>
          <w:lang w:val="en-GB"/>
        </w:rPr>
        <w:tab/>
        <w:t>Data on sex was not recorded for 579 participants.</w:t>
      </w:r>
    </w:p>
    <w:p w14:paraId="6B26D049" w14:textId="77777777" w:rsidR="00A13A31" w:rsidRDefault="00A13A31" w:rsidP="00A13A31">
      <w:pPr>
        <w:pStyle w:val="CDIfootnotes"/>
        <w:rPr>
          <w:lang w:val="en-GB"/>
        </w:rPr>
      </w:pPr>
      <w:r>
        <w:rPr>
          <w:lang w:val="en-GB"/>
        </w:rPr>
        <w:t>b</w:t>
      </w:r>
      <w:r>
        <w:rPr>
          <w:lang w:val="en-GB"/>
        </w:rPr>
        <w:tab/>
        <w:t>Data on Indigenous status was not recorded for 33,534 participants (10.7%). Demographic analysis should therefore be interpreted with caution.</w:t>
      </w:r>
    </w:p>
    <w:p w14:paraId="7B6B7FC8" w14:textId="1A1026D5" w:rsidR="00A13A31" w:rsidRPr="00A13A31" w:rsidRDefault="00A13A31" w:rsidP="00A13A31">
      <w:pPr>
        <w:pStyle w:val="CDIfootnotes"/>
        <w:rPr>
          <w:lang w:val="en-GB"/>
        </w:rPr>
      </w:pPr>
      <w:r>
        <w:rPr>
          <w:lang w:val="en-GB"/>
        </w:rPr>
        <w:t>c</w:t>
      </w:r>
      <w:r>
        <w:rPr>
          <w:lang w:val="en-GB"/>
        </w:rPr>
        <w:tab/>
        <w:t>Data on age of participants was not recorded for 1,841 participants.</w:t>
      </w:r>
    </w:p>
    <w:p w14:paraId="1CACC211" w14:textId="6014075E" w:rsidR="000D3A71" w:rsidRPr="000D3A71" w:rsidRDefault="000D3A71" w:rsidP="000D3A71">
      <w:pPr>
        <w:pStyle w:val="Heading2"/>
      </w:pPr>
      <w:r w:rsidRPr="000D3A71">
        <w:lastRenderedPageBreak/>
        <w:t xml:space="preserve">Time to presentation at GP respiratory clinics from symptom onset </w:t>
      </w:r>
    </w:p>
    <w:p w14:paraId="2A9DC0B2" w14:textId="02971EAA" w:rsidR="000D3A71" w:rsidRDefault="000D3A71" w:rsidP="000D3A71">
      <w:r>
        <w:t>The number of days between development of symptoms and presentation to a GP respiratory clinic is shown in Figure 1. The largest proportion of participants (38.97%) presented within one day and 83.2% presented within four days of symptom onset.</w:t>
      </w:r>
    </w:p>
    <w:p w14:paraId="1D7A6177" w14:textId="01609CA0" w:rsidR="0080421D" w:rsidRPr="00141705" w:rsidRDefault="0080421D" w:rsidP="0080421D">
      <w:pPr>
        <w:pStyle w:val="CDIFigures"/>
      </w:pPr>
      <w:r w:rsidRPr="00141705">
        <w:rPr>
          <w:rStyle w:val="Strong"/>
          <w:b/>
          <w:bCs w:val="0"/>
        </w:rPr>
        <w:t>Figure 1: Number of days between symptom onset and presentation to GP respiratory clinics, 1 February to 31</w:t>
      </w:r>
      <w:r w:rsidR="0029550D">
        <w:rPr>
          <w:rStyle w:val="Strong"/>
          <w:b/>
          <w:bCs w:val="0"/>
        </w:rPr>
        <w:t> </w:t>
      </w:r>
      <w:r w:rsidRPr="00141705">
        <w:rPr>
          <w:rStyle w:val="Strong"/>
          <w:b/>
          <w:bCs w:val="0"/>
        </w:rPr>
        <w:t>August 2021</w:t>
      </w:r>
    </w:p>
    <w:p w14:paraId="7A800CDD" w14:textId="2391695F" w:rsidR="0080421D" w:rsidRPr="0080421D" w:rsidRDefault="0080421D" w:rsidP="000D3A71">
      <w:pPr>
        <w:rPr>
          <w:rFonts w:eastAsia="Times New Roman"/>
          <w:lang w:val="en-GB"/>
        </w:rPr>
      </w:pPr>
      <w:r>
        <w:rPr>
          <w:rFonts w:eastAsia="Times New Roman"/>
          <w:noProof/>
          <w:lang w:val="en-GB"/>
        </w:rPr>
        <w:drawing>
          <wp:inline distT="0" distB="0" distL="0" distR="0" wp14:anchorId="5F4452D5" wp14:editId="0DB0461E">
            <wp:extent cx="6617843" cy="4885552"/>
            <wp:effectExtent l="0" t="0" r="0" b="0"/>
            <wp:docPr id="2" name="Picture 2" descr="Bar chart showing the rates of presentation to GP respiratory clinics by participants on each day following onset of respiratory infection symptoms. 38.9% of participants presented within one day of symptom onset and 83.2% presented within four days of symptom on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 chart showing the rates of presentation to GP respiratory clinics by participants on each day following onset of respiratory infection symptoms. 38.9% of participants presented within one day of symptom onset and 83.2% presented within four days of symptom onse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5097"/>
                    <a:stretch>
                      <a:fillRect/>
                    </a:stretch>
                  </pic:blipFill>
                  <pic:spPr bwMode="auto">
                    <a:xfrm>
                      <a:off x="0" y="0"/>
                      <a:ext cx="6625065" cy="4890884"/>
                    </a:xfrm>
                    <a:prstGeom prst="rect">
                      <a:avLst/>
                    </a:prstGeom>
                    <a:ln>
                      <a:noFill/>
                    </a:ln>
                    <a:extLst>
                      <a:ext uri="{53640926-AAD7-44D8-BBD7-CCE9431645EC}">
                        <a14:shadowObscured xmlns:a14="http://schemas.microsoft.com/office/drawing/2010/main"/>
                      </a:ext>
                    </a:extLst>
                  </pic:spPr>
                </pic:pic>
              </a:graphicData>
            </a:graphic>
          </wp:inline>
        </w:drawing>
      </w:r>
    </w:p>
    <w:p w14:paraId="00F64130" w14:textId="77777777" w:rsidR="000D3A71" w:rsidRDefault="000D3A71" w:rsidP="000D3A71">
      <w:r>
        <w:t xml:space="preserve">Median days to presentation, and rates of presentation within one day, for different demographic and geographic cohorts are shown in Table 2. The median time from development of symptoms to presentation for assessment at GP respiratory clinics was two days (IQR: 1–3). This was similar across most groups considered, as shown in Table 2. </w:t>
      </w:r>
    </w:p>
    <w:p w14:paraId="052A2DA5" w14:textId="77777777" w:rsidR="00434D0C" w:rsidRDefault="00434D0C">
      <w:pPr>
        <w:rPr>
          <w:rFonts w:asciiTheme="majorHAnsi" w:eastAsiaTheme="majorEastAsia" w:hAnsiTheme="majorHAnsi" w:cstheme="majorBidi"/>
          <w:b/>
          <w:bCs/>
          <w:sz w:val="26"/>
          <w:szCs w:val="26"/>
        </w:rPr>
      </w:pPr>
      <w:r>
        <w:br w:type="page"/>
      </w:r>
    </w:p>
    <w:p w14:paraId="3E25B928" w14:textId="77777777" w:rsidR="00434D0C" w:rsidRPr="00141705" w:rsidRDefault="00434D0C" w:rsidP="00434D0C">
      <w:pPr>
        <w:pStyle w:val="CDIFigures"/>
      </w:pPr>
      <w:r w:rsidRPr="00141705">
        <w:rPr>
          <w:rStyle w:val="Strong"/>
          <w:b/>
          <w:bCs w:val="0"/>
        </w:rPr>
        <w:lastRenderedPageBreak/>
        <w:t>Table 2: Median time to presentation and rates of presentation within one day to a GP respiratory clinic, by demographic and geographic characteristics, 1 February to 31 August 2021</w:t>
      </w:r>
    </w:p>
    <w:tbl>
      <w:tblPr>
        <w:tblStyle w:val="CDI-StandardTable"/>
        <w:tblW w:w="0" w:type="auto"/>
        <w:tblBorders>
          <w:top w:val="single" w:sz="2" w:space="0" w:color="0D0D0D" w:themeColor="text1" w:themeTint="F2"/>
          <w:bottom w:val="single" w:sz="2" w:space="0" w:color="0D0D0D" w:themeColor="text1" w:themeTint="F2"/>
          <w:insideH w:val="single" w:sz="2" w:space="0" w:color="0D0D0D" w:themeColor="text1" w:themeTint="F2"/>
        </w:tblBorders>
        <w:shd w:val="clear" w:color="auto" w:fill="FBFBFB"/>
        <w:tblLook w:val="04A0" w:firstRow="1" w:lastRow="0" w:firstColumn="1" w:lastColumn="0" w:noHBand="0" w:noVBand="1"/>
        <w:tblDescription w:val="Table 2 shows the median time, with interquartile range, taken by participants included in this study to present to GP respiratory clinics, by sex, Indigenous status, urban or rural location, state or territory and whether there is an outbreak present at the time or not. In addition, Table 2 shows the proportion of participants presenting to a GP respiratory clinic within one day, the odds ratio, with 95% confidence interval, of presenting within one day, and p-values, by sex, Indigenous status, urban or rural location, state or territory and whether there is an outbreak present at the time or not.&#10;"/>
      </w:tblPr>
      <w:tblGrid>
        <w:gridCol w:w="1491"/>
        <w:gridCol w:w="1344"/>
        <w:gridCol w:w="1639"/>
        <w:gridCol w:w="2472"/>
        <w:gridCol w:w="511"/>
        <w:gridCol w:w="1491"/>
        <w:gridCol w:w="1492"/>
      </w:tblGrid>
      <w:tr w:rsidR="00434D0C" w:rsidRPr="00100925" w14:paraId="7B2EF380" w14:textId="77777777" w:rsidTr="0012157B">
        <w:trPr>
          <w:cnfStyle w:val="100000000000" w:firstRow="1" w:lastRow="0" w:firstColumn="0" w:lastColumn="0" w:oddVBand="0" w:evenVBand="0" w:oddHBand="0" w:evenHBand="0" w:firstRowFirstColumn="0" w:firstRowLastColumn="0" w:lastRowFirstColumn="0" w:lastRowLastColumn="0"/>
          <w:tblHeader/>
        </w:trPr>
        <w:tc>
          <w:tcPr>
            <w:tcW w:w="1491" w:type="dxa"/>
            <w:tcBorders>
              <w:top w:val="nil"/>
              <w:bottom w:val="single" w:sz="12" w:space="0" w:color="0D0D0D" w:themeColor="text1" w:themeTint="F2"/>
            </w:tcBorders>
            <w:shd w:val="clear" w:color="auto" w:fill="FBFBFB"/>
            <w:hideMark/>
          </w:tcPr>
          <w:p w14:paraId="483CFF6F" w14:textId="77777777" w:rsidR="00434D0C" w:rsidRPr="00100925" w:rsidRDefault="00434D0C" w:rsidP="00A260DC">
            <w:pPr>
              <w:pStyle w:val="NormalWeb"/>
              <w:jc w:val="center"/>
              <w:rPr>
                <w:sz w:val="18"/>
                <w:szCs w:val="18"/>
              </w:rPr>
            </w:pPr>
          </w:p>
        </w:tc>
        <w:tc>
          <w:tcPr>
            <w:tcW w:w="1344" w:type="dxa"/>
            <w:tcBorders>
              <w:top w:val="nil"/>
              <w:bottom w:val="single" w:sz="12" w:space="0" w:color="0D0D0D" w:themeColor="text1" w:themeTint="F2"/>
            </w:tcBorders>
            <w:shd w:val="clear" w:color="auto" w:fill="FBFBFB"/>
            <w:hideMark/>
          </w:tcPr>
          <w:p w14:paraId="67201F3C" w14:textId="77777777" w:rsidR="00434D0C" w:rsidRPr="00100925" w:rsidRDefault="00434D0C" w:rsidP="00A260DC">
            <w:pPr>
              <w:jc w:val="center"/>
              <w:rPr>
                <w:sz w:val="18"/>
                <w:szCs w:val="18"/>
              </w:rPr>
            </w:pPr>
          </w:p>
        </w:tc>
        <w:tc>
          <w:tcPr>
            <w:tcW w:w="1639" w:type="dxa"/>
            <w:tcBorders>
              <w:top w:val="nil"/>
              <w:bottom w:val="single" w:sz="12" w:space="0" w:color="0D0D0D" w:themeColor="text1" w:themeTint="F2"/>
            </w:tcBorders>
            <w:shd w:val="clear" w:color="auto" w:fill="FBFBFB"/>
            <w:hideMark/>
          </w:tcPr>
          <w:p w14:paraId="565B3FCD" w14:textId="77777777" w:rsidR="00434D0C" w:rsidRPr="00100925" w:rsidRDefault="00434D0C" w:rsidP="00A260DC">
            <w:pPr>
              <w:pStyle w:val="NormalWeb"/>
              <w:jc w:val="center"/>
              <w:rPr>
                <w:sz w:val="18"/>
                <w:szCs w:val="18"/>
              </w:rPr>
            </w:pPr>
            <w:r w:rsidRPr="00100925">
              <w:rPr>
                <w:sz w:val="18"/>
                <w:szCs w:val="18"/>
              </w:rPr>
              <w:t>Median days (IQR)</w:t>
            </w:r>
          </w:p>
        </w:tc>
        <w:tc>
          <w:tcPr>
            <w:tcW w:w="2472" w:type="dxa"/>
            <w:tcBorders>
              <w:top w:val="nil"/>
              <w:bottom w:val="single" w:sz="12" w:space="0" w:color="0D0D0D" w:themeColor="text1" w:themeTint="F2"/>
            </w:tcBorders>
            <w:shd w:val="clear" w:color="auto" w:fill="FBFBFB"/>
            <w:hideMark/>
          </w:tcPr>
          <w:p w14:paraId="05AB70BF" w14:textId="77777777" w:rsidR="00434D0C" w:rsidRPr="00100925" w:rsidRDefault="00434D0C" w:rsidP="00A260DC">
            <w:pPr>
              <w:pStyle w:val="NormalWeb"/>
              <w:jc w:val="center"/>
              <w:rPr>
                <w:sz w:val="18"/>
                <w:szCs w:val="18"/>
              </w:rPr>
            </w:pPr>
            <w:r w:rsidRPr="00100925">
              <w:rPr>
                <w:sz w:val="18"/>
                <w:szCs w:val="18"/>
              </w:rPr>
              <w:t>Presentation within 1 day (%)</w:t>
            </w:r>
          </w:p>
        </w:tc>
        <w:tc>
          <w:tcPr>
            <w:tcW w:w="511" w:type="dxa"/>
            <w:tcBorders>
              <w:top w:val="nil"/>
              <w:bottom w:val="single" w:sz="12" w:space="0" w:color="0D0D0D" w:themeColor="text1" w:themeTint="F2"/>
            </w:tcBorders>
            <w:shd w:val="clear" w:color="auto" w:fill="FBFBFB"/>
            <w:hideMark/>
          </w:tcPr>
          <w:p w14:paraId="1D10F7A0" w14:textId="77777777" w:rsidR="00434D0C" w:rsidRPr="00100925" w:rsidRDefault="00434D0C" w:rsidP="00A260DC">
            <w:pPr>
              <w:pStyle w:val="NormalWeb"/>
              <w:jc w:val="center"/>
              <w:rPr>
                <w:sz w:val="18"/>
                <w:szCs w:val="18"/>
              </w:rPr>
            </w:pPr>
            <w:r w:rsidRPr="00100925">
              <w:rPr>
                <w:sz w:val="18"/>
                <w:szCs w:val="18"/>
              </w:rPr>
              <w:t>OR</w:t>
            </w:r>
          </w:p>
        </w:tc>
        <w:tc>
          <w:tcPr>
            <w:tcW w:w="1491" w:type="dxa"/>
            <w:tcBorders>
              <w:top w:val="nil"/>
              <w:bottom w:val="single" w:sz="12" w:space="0" w:color="0D0D0D" w:themeColor="text1" w:themeTint="F2"/>
            </w:tcBorders>
            <w:shd w:val="clear" w:color="auto" w:fill="FBFBFB"/>
            <w:hideMark/>
          </w:tcPr>
          <w:p w14:paraId="2EF87D5B" w14:textId="77777777" w:rsidR="00434D0C" w:rsidRPr="00100925" w:rsidRDefault="00434D0C" w:rsidP="00A260DC">
            <w:pPr>
              <w:pStyle w:val="NormalWeb"/>
              <w:jc w:val="center"/>
              <w:rPr>
                <w:sz w:val="18"/>
                <w:szCs w:val="18"/>
              </w:rPr>
            </w:pPr>
            <w:r w:rsidRPr="00100925">
              <w:rPr>
                <w:sz w:val="18"/>
                <w:szCs w:val="18"/>
              </w:rPr>
              <w:t>95% CI</w:t>
            </w:r>
          </w:p>
        </w:tc>
        <w:tc>
          <w:tcPr>
            <w:tcW w:w="1492" w:type="dxa"/>
            <w:tcBorders>
              <w:top w:val="nil"/>
              <w:bottom w:val="single" w:sz="12" w:space="0" w:color="0D0D0D" w:themeColor="text1" w:themeTint="F2"/>
            </w:tcBorders>
            <w:shd w:val="clear" w:color="auto" w:fill="FBFBFB"/>
            <w:hideMark/>
          </w:tcPr>
          <w:p w14:paraId="0DEDE9CC" w14:textId="77777777" w:rsidR="00434D0C" w:rsidRPr="00100925" w:rsidRDefault="00434D0C" w:rsidP="00A260DC">
            <w:pPr>
              <w:pStyle w:val="NormalWeb"/>
              <w:jc w:val="center"/>
              <w:rPr>
                <w:sz w:val="18"/>
                <w:szCs w:val="18"/>
              </w:rPr>
            </w:pPr>
            <w:r w:rsidRPr="00732DB8">
              <w:rPr>
                <w:i/>
                <w:iCs/>
                <w:sz w:val="18"/>
                <w:szCs w:val="18"/>
              </w:rPr>
              <w:t>p</w:t>
            </w:r>
            <w:r w:rsidRPr="00100925">
              <w:rPr>
                <w:sz w:val="18"/>
                <w:szCs w:val="18"/>
              </w:rPr>
              <w:t xml:space="preserve"> </w:t>
            </w:r>
            <w:proofErr w:type="spellStart"/>
            <w:r w:rsidRPr="00100925">
              <w:rPr>
                <w:sz w:val="18"/>
                <w:szCs w:val="18"/>
              </w:rPr>
              <w:t>value</w:t>
            </w:r>
            <w:r w:rsidRPr="00100925">
              <w:rPr>
                <w:sz w:val="18"/>
                <w:szCs w:val="18"/>
                <w:vertAlign w:val="superscript"/>
              </w:rPr>
              <w:t>a</w:t>
            </w:r>
            <w:proofErr w:type="spellEnd"/>
          </w:p>
        </w:tc>
      </w:tr>
      <w:tr w:rsidR="00434D0C" w:rsidRPr="00100925" w14:paraId="02E46EDC" w14:textId="77777777" w:rsidTr="0012157B">
        <w:tblPrEx>
          <w:tblCellMar>
            <w:top w:w="57" w:type="dxa"/>
            <w:left w:w="57" w:type="dxa"/>
            <w:bottom w:w="57" w:type="dxa"/>
            <w:right w:w="57" w:type="dxa"/>
          </w:tblCellMar>
        </w:tblPrEx>
        <w:tc>
          <w:tcPr>
            <w:tcW w:w="1491" w:type="dxa"/>
            <w:vMerge w:val="restart"/>
            <w:tcBorders>
              <w:top w:val="single" w:sz="12" w:space="0" w:color="0D0D0D" w:themeColor="text1" w:themeTint="F2"/>
              <w:bottom w:val="single" w:sz="12" w:space="0" w:color="0D0D0D" w:themeColor="text1" w:themeTint="F2"/>
            </w:tcBorders>
            <w:shd w:val="clear" w:color="auto" w:fill="FBFBFB"/>
            <w:hideMark/>
          </w:tcPr>
          <w:p w14:paraId="53405EC6" w14:textId="77777777" w:rsidR="00434D0C" w:rsidRPr="00100925" w:rsidRDefault="00434D0C" w:rsidP="00A260DC">
            <w:pPr>
              <w:pStyle w:val="NormalWeb"/>
              <w:rPr>
                <w:sz w:val="18"/>
                <w:szCs w:val="18"/>
              </w:rPr>
            </w:pPr>
            <w:r w:rsidRPr="00100925">
              <w:rPr>
                <w:sz w:val="18"/>
                <w:szCs w:val="18"/>
              </w:rPr>
              <w:t>Sex</w:t>
            </w:r>
          </w:p>
        </w:tc>
        <w:tc>
          <w:tcPr>
            <w:tcW w:w="1344" w:type="dxa"/>
            <w:tcBorders>
              <w:top w:val="single" w:sz="12" w:space="0" w:color="0D0D0D" w:themeColor="text1" w:themeTint="F2"/>
              <w:bottom w:val="single" w:sz="2" w:space="0" w:color="0D0D0D" w:themeColor="text1" w:themeTint="F2"/>
            </w:tcBorders>
            <w:shd w:val="clear" w:color="auto" w:fill="FBFBFB"/>
            <w:hideMark/>
          </w:tcPr>
          <w:p w14:paraId="6780B3B6" w14:textId="77777777" w:rsidR="00434D0C" w:rsidRPr="00100925" w:rsidRDefault="00434D0C" w:rsidP="00A260DC">
            <w:pPr>
              <w:pStyle w:val="NormalWeb"/>
              <w:jc w:val="center"/>
              <w:rPr>
                <w:sz w:val="18"/>
                <w:szCs w:val="18"/>
              </w:rPr>
            </w:pPr>
            <w:r w:rsidRPr="00100925">
              <w:rPr>
                <w:sz w:val="18"/>
                <w:szCs w:val="18"/>
              </w:rPr>
              <w:t>Female</w:t>
            </w:r>
          </w:p>
        </w:tc>
        <w:tc>
          <w:tcPr>
            <w:tcW w:w="1639" w:type="dxa"/>
            <w:tcBorders>
              <w:top w:val="single" w:sz="12" w:space="0" w:color="0D0D0D" w:themeColor="text1" w:themeTint="F2"/>
              <w:bottom w:val="single" w:sz="2" w:space="0" w:color="0D0D0D" w:themeColor="text1" w:themeTint="F2"/>
            </w:tcBorders>
            <w:shd w:val="clear" w:color="auto" w:fill="FBFBFB"/>
            <w:hideMark/>
          </w:tcPr>
          <w:p w14:paraId="4F7B2887" w14:textId="77777777" w:rsidR="00434D0C" w:rsidRPr="00100925" w:rsidRDefault="00434D0C" w:rsidP="00A260DC">
            <w:pPr>
              <w:pStyle w:val="NormalWeb"/>
              <w:jc w:val="center"/>
              <w:rPr>
                <w:sz w:val="18"/>
                <w:szCs w:val="18"/>
              </w:rPr>
            </w:pPr>
            <w:r w:rsidRPr="00100925">
              <w:rPr>
                <w:sz w:val="18"/>
                <w:szCs w:val="18"/>
              </w:rPr>
              <w:t>2 (1, 3)</w:t>
            </w:r>
          </w:p>
        </w:tc>
        <w:tc>
          <w:tcPr>
            <w:tcW w:w="2472" w:type="dxa"/>
            <w:tcBorders>
              <w:top w:val="single" w:sz="12" w:space="0" w:color="0D0D0D" w:themeColor="text1" w:themeTint="F2"/>
              <w:bottom w:val="single" w:sz="2" w:space="0" w:color="0D0D0D" w:themeColor="text1" w:themeTint="F2"/>
            </w:tcBorders>
            <w:shd w:val="clear" w:color="auto" w:fill="FBFBFB"/>
            <w:hideMark/>
          </w:tcPr>
          <w:p w14:paraId="42CEB3F6" w14:textId="77777777" w:rsidR="00434D0C" w:rsidRPr="00100925" w:rsidRDefault="00434D0C" w:rsidP="00A260DC">
            <w:pPr>
              <w:pStyle w:val="NormalWeb"/>
              <w:jc w:val="center"/>
              <w:rPr>
                <w:sz w:val="18"/>
                <w:szCs w:val="18"/>
              </w:rPr>
            </w:pPr>
            <w:r w:rsidRPr="00100925">
              <w:rPr>
                <w:sz w:val="18"/>
                <w:szCs w:val="18"/>
              </w:rPr>
              <w:t>39.19</w:t>
            </w:r>
          </w:p>
        </w:tc>
        <w:tc>
          <w:tcPr>
            <w:tcW w:w="511" w:type="dxa"/>
            <w:tcBorders>
              <w:top w:val="single" w:sz="12" w:space="0" w:color="0D0D0D" w:themeColor="text1" w:themeTint="F2"/>
              <w:bottom w:val="single" w:sz="2" w:space="0" w:color="0D0D0D" w:themeColor="text1" w:themeTint="F2"/>
            </w:tcBorders>
            <w:shd w:val="clear" w:color="auto" w:fill="FBFBFB"/>
            <w:hideMark/>
          </w:tcPr>
          <w:p w14:paraId="0EDAB3F2" w14:textId="77777777" w:rsidR="00434D0C" w:rsidRPr="00100925" w:rsidRDefault="00434D0C" w:rsidP="00A260DC">
            <w:pPr>
              <w:pStyle w:val="NormalWeb"/>
              <w:jc w:val="center"/>
              <w:rPr>
                <w:sz w:val="18"/>
                <w:szCs w:val="18"/>
              </w:rPr>
            </w:pPr>
            <w:r w:rsidRPr="00100925">
              <w:rPr>
                <w:sz w:val="18"/>
                <w:szCs w:val="18"/>
              </w:rPr>
              <w:t>0.93</w:t>
            </w:r>
          </w:p>
        </w:tc>
        <w:tc>
          <w:tcPr>
            <w:tcW w:w="1491" w:type="dxa"/>
            <w:tcBorders>
              <w:top w:val="single" w:sz="12" w:space="0" w:color="0D0D0D" w:themeColor="text1" w:themeTint="F2"/>
              <w:bottom w:val="single" w:sz="2" w:space="0" w:color="0D0D0D" w:themeColor="text1" w:themeTint="F2"/>
            </w:tcBorders>
            <w:shd w:val="clear" w:color="auto" w:fill="FBFBFB"/>
            <w:hideMark/>
          </w:tcPr>
          <w:p w14:paraId="7735FAA4" w14:textId="77777777" w:rsidR="00434D0C" w:rsidRPr="00100925" w:rsidRDefault="00434D0C" w:rsidP="00A260DC">
            <w:pPr>
              <w:pStyle w:val="NormalWeb"/>
              <w:jc w:val="center"/>
              <w:rPr>
                <w:sz w:val="18"/>
                <w:szCs w:val="18"/>
              </w:rPr>
            </w:pPr>
            <w:r w:rsidRPr="00100925">
              <w:rPr>
                <w:sz w:val="18"/>
                <w:szCs w:val="18"/>
              </w:rPr>
              <w:t>0.92, 0.95</w:t>
            </w:r>
          </w:p>
        </w:tc>
        <w:tc>
          <w:tcPr>
            <w:tcW w:w="1492" w:type="dxa"/>
            <w:vMerge w:val="restart"/>
            <w:tcBorders>
              <w:top w:val="single" w:sz="12" w:space="0" w:color="0D0D0D" w:themeColor="text1" w:themeTint="F2"/>
              <w:bottom w:val="single" w:sz="12" w:space="0" w:color="0D0D0D" w:themeColor="text1" w:themeTint="F2"/>
            </w:tcBorders>
            <w:shd w:val="clear" w:color="auto" w:fill="FBFBFB"/>
            <w:hideMark/>
          </w:tcPr>
          <w:p w14:paraId="6CDD5A77" w14:textId="77777777" w:rsidR="00434D0C" w:rsidRPr="00100925" w:rsidRDefault="00434D0C" w:rsidP="00A260DC">
            <w:pPr>
              <w:pStyle w:val="NormalWeb"/>
              <w:jc w:val="center"/>
              <w:rPr>
                <w:sz w:val="18"/>
                <w:szCs w:val="18"/>
              </w:rPr>
            </w:pPr>
            <w:r w:rsidRPr="00732DB8">
              <w:rPr>
                <w:i/>
                <w:iCs/>
                <w:sz w:val="18"/>
                <w:szCs w:val="18"/>
              </w:rPr>
              <w:t>p</w:t>
            </w:r>
            <w:r w:rsidRPr="00100925">
              <w:rPr>
                <w:sz w:val="18"/>
                <w:szCs w:val="18"/>
              </w:rPr>
              <w:t xml:space="preserve"> &lt; 0.01</w:t>
            </w:r>
          </w:p>
        </w:tc>
      </w:tr>
      <w:tr w:rsidR="00434D0C" w:rsidRPr="00100925" w14:paraId="02986507" w14:textId="77777777" w:rsidTr="0012157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491" w:type="dxa"/>
            <w:vMerge/>
            <w:tcBorders>
              <w:bottom w:val="single" w:sz="12" w:space="0" w:color="0D0D0D" w:themeColor="text1" w:themeTint="F2"/>
            </w:tcBorders>
            <w:shd w:val="clear" w:color="auto" w:fill="FBFBFB"/>
            <w:hideMark/>
          </w:tcPr>
          <w:p w14:paraId="107DA97E" w14:textId="77777777" w:rsidR="00434D0C" w:rsidRPr="00100925" w:rsidRDefault="00434D0C" w:rsidP="00A260DC">
            <w:pPr>
              <w:rPr>
                <w:sz w:val="18"/>
                <w:szCs w:val="18"/>
              </w:rPr>
            </w:pPr>
          </w:p>
        </w:tc>
        <w:tc>
          <w:tcPr>
            <w:tcW w:w="1344" w:type="dxa"/>
            <w:tcBorders>
              <w:bottom w:val="single" w:sz="12" w:space="0" w:color="0D0D0D" w:themeColor="text1" w:themeTint="F2"/>
            </w:tcBorders>
            <w:shd w:val="clear" w:color="auto" w:fill="FBFBFB"/>
            <w:hideMark/>
          </w:tcPr>
          <w:p w14:paraId="3FDC09C3" w14:textId="77777777" w:rsidR="00434D0C" w:rsidRPr="00100925" w:rsidRDefault="00434D0C" w:rsidP="00A260DC">
            <w:pPr>
              <w:pStyle w:val="NormalWeb"/>
              <w:jc w:val="center"/>
              <w:rPr>
                <w:sz w:val="18"/>
                <w:szCs w:val="18"/>
              </w:rPr>
            </w:pPr>
            <w:r w:rsidRPr="00100925">
              <w:rPr>
                <w:sz w:val="18"/>
                <w:szCs w:val="18"/>
              </w:rPr>
              <w:t>Male</w:t>
            </w:r>
          </w:p>
        </w:tc>
        <w:tc>
          <w:tcPr>
            <w:tcW w:w="1639" w:type="dxa"/>
            <w:tcBorders>
              <w:bottom w:val="single" w:sz="12" w:space="0" w:color="0D0D0D" w:themeColor="text1" w:themeTint="F2"/>
            </w:tcBorders>
            <w:shd w:val="clear" w:color="auto" w:fill="FBFBFB"/>
            <w:hideMark/>
          </w:tcPr>
          <w:p w14:paraId="776F5727" w14:textId="77777777" w:rsidR="00434D0C" w:rsidRPr="00100925" w:rsidRDefault="00434D0C" w:rsidP="00A260DC">
            <w:pPr>
              <w:pStyle w:val="NormalWeb"/>
              <w:jc w:val="center"/>
              <w:rPr>
                <w:sz w:val="18"/>
                <w:szCs w:val="18"/>
              </w:rPr>
            </w:pPr>
            <w:r w:rsidRPr="00100925">
              <w:rPr>
                <w:sz w:val="18"/>
                <w:szCs w:val="18"/>
              </w:rPr>
              <w:t>2 (1, 3)</w:t>
            </w:r>
          </w:p>
        </w:tc>
        <w:tc>
          <w:tcPr>
            <w:tcW w:w="2472" w:type="dxa"/>
            <w:tcBorders>
              <w:bottom w:val="single" w:sz="12" w:space="0" w:color="0D0D0D" w:themeColor="text1" w:themeTint="F2"/>
            </w:tcBorders>
            <w:shd w:val="clear" w:color="auto" w:fill="FBFBFB"/>
            <w:hideMark/>
          </w:tcPr>
          <w:p w14:paraId="056F60CB" w14:textId="77777777" w:rsidR="00434D0C" w:rsidRPr="00100925" w:rsidRDefault="00434D0C" w:rsidP="00A260DC">
            <w:pPr>
              <w:pStyle w:val="NormalWeb"/>
              <w:jc w:val="center"/>
              <w:rPr>
                <w:sz w:val="18"/>
                <w:szCs w:val="18"/>
              </w:rPr>
            </w:pPr>
            <w:r w:rsidRPr="00100925">
              <w:rPr>
                <w:sz w:val="18"/>
                <w:szCs w:val="18"/>
              </w:rPr>
              <w:t>40.81</w:t>
            </w:r>
          </w:p>
        </w:tc>
        <w:tc>
          <w:tcPr>
            <w:tcW w:w="511" w:type="dxa"/>
            <w:tcBorders>
              <w:bottom w:val="single" w:sz="12" w:space="0" w:color="0D0D0D" w:themeColor="text1" w:themeTint="F2"/>
            </w:tcBorders>
            <w:shd w:val="clear" w:color="auto" w:fill="FBFBFB"/>
            <w:hideMark/>
          </w:tcPr>
          <w:p w14:paraId="1CE0F555" w14:textId="77777777" w:rsidR="00434D0C" w:rsidRPr="00100925" w:rsidRDefault="00434D0C" w:rsidP="00A260DC">
            <w:pPr>
              <w:pStyle w:val="NormalWeb"/>
              <w:jc w:val="center"/>
              <w:rPr>
                <w:sz w:val="18"/>
                <w:szCs w:val="18"/>
              </w:rPr>
            </w:pPr>
            <w:r w:rsidRPr="00100925">
              <w:rPr>
                <w:sz w:val="18"/>
                <w:szCs w:val="18"/>
              </w:rPr>
              <w:t>Ref</w:t>
            </w:r>
          </w:p>
        </w:tc>
        <w:tc>
          <w:tcPr>
            <w:tcW w:w="1491" w:type="dxa"/>
            <w:tcBorders>
              <w:bottom w:val="single" w:sz="12" w:space="0" w:color="0D0D0D" w:themeColor="text1" w:themeTint="F2"/>
            </w:tcBorders>
            <w:shd w:val="clear" w:color="auto" w:fill="FBFBFB"/>
            <w:hideMark/>
          </w:tcPr>
          <w:p w14:paraId="7D309072" w14:textId="77777777" w:rsidR="00434D0C" w:rsidRPr="00100925" w:rsidRDefault="00434D0C" w:rsidP="00A260DC">
            <w:pPr>
              <w:jc w:val="center"/>
              <w:rPr>
                <w:sz w:val="18"/>
                <w:szCs w:val="18"/>
              </w:rPr>
            </w:pPr>
          </w:p>
        </w:tc>
        <w:tc>
          <w:tcPr>
            <w:tcW w:w="1492" w:type="dxa"/>
            <w:vMerge/>
            <w:tcBorders>
              <w:bottom w:val="single" w:sz="12" w:space="0" w:color="0D0D0D" w:themeColor="text1" w:themeTint="F2"/>
            </w:tcBorders>
            <w:shd w:val="clear" w:color="auto" w:fill="FBFBFB"/>
            <w:hideMark/>
          </w:tcPr>
          <w:p w14:paraId="4B226C0F" w14:textId="77777777" w:rsidR="00434D0C" w:rsidRPr="00100925" w:rsidRDefault="00434D0C" w:rsidP="00A260DC">
            <w:pPr>
              <w:jc w:val="center"/>
              <w:rPr>
                <w:sz w:val="18"/>
                <w:szCs w:val="18"/>
              </w:rPr>
            </w:pPr>
          </w:p>
        </w:tc>
      </w:tr>
      <w:tr w:rsidR="00434D0C" w:rsidRPr="00100925" w14:paraId="035F95CA" w14:textId="77777777" w:rsidTr="0012157B">
        <w:tblPrEx>
          <w:tblCellMar>
            <w:top w:w="57" w:type="dxa"/>
            <w:left w:w="57" w:type="dxa"/>
            <w:bottom w:w="57" w:type="dxa"/>
            <w:right w:w="57" w:type="dxa"/>
          </w:tblCellMar>
        </w:tblPrEx>
        <w:tc>
          <w:tcPr>
            <w:tcW w:w="1491" w:type="dxa"/>
            <w:vMerge w:val="restart"/>
            <w:tcBorders>
              <w:bottom w:val="single" w:sz="12" w:space="0" w:color="0D0D0D" w:themeColor="text1" w:themeTint="F2"/>
            </w:tcBorders>
            <w:shd w:val="clear" w:color="auto" w:fill="FBFBFB"/>
            <w:hideMark/>
          </w:tcPr>
          <w:p w14:paraId="2B686E66" w14:textId="77777777" w:rsidR="00434D0C" w:rsidRPr="00100925" w:rsidRDefault="00434D0C" w:rsidP="00A260DC">
            <w:pPr>
              <w:pStyle w:val="NormalWeb"/>
              <w:rPr>
                <w:sz w:val="18"/>
                <w:szCs w:val="18"/>
              </w:rPr>
            </w:pPr>
            <w:r w:rsidRPr="00100925">
              <w:rPr>
                <w:sz w:val="18"/>
                <w:szCs w:val="18"/>
              </w:rPr>
              <w:t>Indigenous status</w:t>
            </w:r>
          </w:p>
        </w:tc>
        <w:tc>
          <w:tcPr>
            <w:tcW w:w="1344" w:type="dxa"/>
            <w:tcBorders>
              <w:top w:val="single" w:sz="12" w:space="0" w:color="0D0D0D" w:themeColor="text1" w:themeTint="F2"/>
              <w:bottom w:val="single" w:sz="2" w:space="0" w:color="0D0D0D" w:themeColor="text1" w:themeTint="F2"/>
            </w:tcBorders>
            <w:shd w:val="clear" w:color="auto" w:fill="FBFBFB"/>
            <w:hideMark/>
          </w:tcPr>
          <w:p w14:paraId="60600304" w14:textId="77777777" w:rsidR="00434D0C" w:rsidRPr="00100925" w:rsidRDefault="00434D0C" w:rsidP="00A260DC">
            <w:pPr>
              <w:pStyle w:val="NormalWeb"/>
              <w:jc w:val="center"/>
              <w:rPr>
                <w:sz w:val="18"/>
                <w:szCs w:val="18"/>
              </w:rPr>
            </w:pPr>
            <w:r w:rsidRPr="00100925">
              <w:rPr>
                <w:sz w:val="18"/>
                <w:szCs w:val="18"/>
              </w:rPr>
              <w:t>Indigenous</w:t>
            </w:r>
          </w:p>
        </w:tc>
        <w:tc>
          <w:tcPr>
            <w:tcW w:w="1639" w:type="dxa"/>
            <w:tcBorders>
              <w:top w:val="single" w:sz="12" w:space="0" w:color="0D0D0D" w:themeColor="text1" w:themeTint="F2"/>
              <w:bottom w:val="single" w:sz="2" w:space="0" w:color="0D0D0D" w:themeColor="text1" w:themeTint="F2"/>
            </w:tcBorders>
            <w:shd w:val="clear" w:color="auto" w:fill="FBFBFB"/>
            <w:hideMark/>
          </w:tcPr>
          <w:p w14:paraId="5E6097A1" w14:textId="77777777" w:rsidR="00434D0C" w:rsidRPr="00100925" w:rsidRDefault="00434D0C" w:rsidP="00A260DC">
            <w:pPr>
              <w:pStyle w:val="NormalWeb"/>
              <w:jc w:val="center"/>
              <w:rPr>
                <w:sz w:val="18"/>
                <w:szCs w:val="18"/>
              </w:rPr>
            </w:pPr>
            <w:r w:rsidRPr="00100925">
              <w:rPr>
                <w:sz w:val="18"/>
                <w:szCs w:val="18"/>
              </w:rPr>
              <w:t>2 (1, 4)</w:t>
            </w:r>
          </w:p>
        </w:tc>
        <w:tc>
          <w:tcPr>
            <w:tcW w:w="2472" w:type="dxa"/>
            <w:tcBorders>
              <w:top w:val="single" w:sz="12" w:space="0" w:color="0D0D0D" w:themeColor="text1" w:themeTint="F2"/>
              <w:bottom w:val="single" w:sz="2" w:space="0" w:color="0D0D0D" w:themeColor="text1" w:themeTint="F2"/>
            </w:tcBorders>
            <w:shd w:val="clear" w:color="auto" w:fill="FBFBFB"/>
            <w:hideMark/>
          </w:tcPr>
          <w:p w14:paraId="3AA5D9E6" w14:textId="77777777" w:rsidR="00434D0C" w:rsidRPr="00100925" w:rsidRDefault="00434D0C" w:rsidP="00A260DC">
            <w:pPr>
              <w:pStyle w:val="NormalWeb"/>
              <w:jc w:val="center"/>
              <w:rPr>
                <w:sz w:val="18"/>
                <w:szCs w:val="18"/>
              </w:rPr>
            </w:pPr>
            <w:r w:rsidRPr="00100925">
              <w:rPr>
                <w:sz w:val="18"/>
                <w:szCs w:val="18"/>
              </w:rPr>
              <w:t>30.62</w:t>
            </w:r>
          </w:p>
        </w:tc>
        <w:tc>
          <w:tcPr>
            <w:tcW w:w="511" w:type="dxa"/>
            <w:tcBorders>
              <w:top w:val="single" w:sz="12" w:space="0" w:color="0D0D0D" w:themeColor="text1" w:themeTint="F2"/>
              <w:bottom w:val="single" w:sz="2" w:space="0" w:color="0D0D0D" w:themeColor="text1" w:themeTint="F2"/>
            </w:tcBorders>
            <w:shd w:val="clear" w:color="auto" w:fill="FBFBFB"/>
            <w:hideMark/>
          </w:tcPr>
          <w:p w14:paraId="07A5214D" w14:textId="77777777" w:rsidR="00434D0C" w:rsidRPr="00100925" w:rsidRDefault="00434D0C" w:rsidP="00A260DC">
            <w:pPr>
              <w:pStyle w:val="NormalWeb"/>
              <w:jc w:val="center"/>
              <w:rPr>
                <w:sz w:val="18"/>
                <w:szCs w:val="18"/>
              </w:rPr>
            </w:pPr>
            <w:r w:rsidRPr="00100925">
              <w:rPr>
                <w:sz w:val="18"/>
                <w:szCs w:val="18"/>
              </w:rPr>
              <w:t>0.66</w:t>
            </w:r>
          </w:p>
        </w:tc>
        <w:tc>
          <w:tcPr>
            <w:tcW w:w="1491" w:type="dxa"/>
            <w:tcBorders>
              <w:top w:val="single" w:sz="12" w:space="0" w:color="0D0D0D" w:themeColor="text1" w:themeTint="F2"/>
              <w:bottom w:val="single" w:sz="2" w:space="0" w:color="0D0D0D" w:themeColor="text1" w:themeTint="F2"/>
            </w:tcBorders>
            <w:shd w:val="clear" w:color="auto" w:fill="FBFBFB"/>
            <w:hideMark/>
          </w:tcPr>
          <w:p w14:paraId="64FB4B28" w14:textId="77777777" w:rsidR="00434D0C" w:rsidRPr="00100925" w:rsidRDefault="00434D0C" w:rsidP="00A260DC">
            <w:pPr>
              <w:pStyle w:val="NormalWeb"/>
              <w:jc w:val="center"/>
              <w:rPr>
                <w:sz w:val="18"/>
                <w:szCs w:val="18"/>
              </w:rPr>
            </w:pPr>
            <w:r w:rsidRPr="00100925">
              <w:rPr>
                <w:sz w:val="18"/>
                <w:szCs w:val="18"/>
              </w:rPr>
              <w:t>0.63, 0.68</w:t>
            </w:r>
          </w:p>
        </w:tc>
        <w:tc>
          <w:tcPr>
            <w:tcW w:w="1492" w:type="dxa"/>
            <w:vMerge w:val="restart"/>
            <w:tcBorders>
              <w:bottom w:val="single" w:sz="12" w:space="0" w:color="0D0D0D" w:themeColor="text1" w:themeTint="F2"/>
            </w:tcBorders>
            <w:shd w:val="clear" w:color="auto" w:fill="FBFBFB"/>
            <w:hideMark/>
          </w:tcPr>
          <w:p w14:paraId="177F229D" w14:textId="77777777" w:rsidR="00434D0C" w:rsidRPr="00100925" w:rsidRDefault="00434D0C" w:rsidP="00A260DC">
            <w:pPr>
              <w:pStyle w:val="NormalWeb"/>
              <w:jc w:val="center"/>
              <w:rPr>
                <w:sz w:val="18"/>
                <w:szCs w:val="18"/>
              </w:rPr>
            </w:pPr>
            <w:r w:rsidRPr="00732DB8">
              <w:rPr>
                <w:i/>
                <w:iCs/>
                <w:sz w:val="18"/>
                <w:szCs w:val="18"/>
              </w:rPr>
              <w:t>p</w:t>
            </w:r>
            <w:r w:rsidRPr="00100925">
              <w:rPr>
                <w:sz w:val="18"/>
                <w:szCs w:val="18"/>
              </w:rPr>
              <w:t xml:space="preserve"> &lt; 0.01</w:t>
            </w:r>
          </w:p>
        </w:tc>
      </w:tr>
      <w:tr w:rsidR="00434D0C" w:rsidRPr="00100925" w14:paraId="4F2BF560" w14:textId="77777777" w:rsidTr="0012157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491" w:type="dxa"/>
            <w:vMerge/>
            <w:tcBorders>
              <w:bottom w:val="single" w:sz="12" w:space="0" w:color="0D0D0D" w:themeColor="text1" w:themeTint="F2"/>
            </w:tcBorders>
            <w:shd w:val="clear" w:color="auto" w:fill="FBFBFB"/>
            <w:hideMark/>
          </w:tcPr>
          <w:p w14:paraId="05021511" w14:textId="77777777" w:rsidR="00434D0C" w:rsidRPr="00100925" w:rsidRDefault="00434D0C" w:rsidP="00A260DC">
            <w:pPr>
              <w:rPr>
                <w:sz w:val="18"/>
                <w:szCs w:val="18"/>
              </w:rPr>
            </w:pPr>
          </w:p>
        </w:tc>
        <w:tc>
          <w:tcPr>
            <w:tcW w:w="1344" w:type="dxa"/>
            <w:tcBorders>
              <w:bottom w:val="single" w:sz="12" w:space="0" w:color="0D0D0D" w:themeColor="text1" w:themeTint="F2"/>
            </w:tcBorders>
            <w:shd w:val="clear" w:color="auto" w:fill="FBFBFB"/>
            <w:hideMark/>
          </w:tcPr>
          <w:p w14:paraId="3BEEE6DF" w14:textId="77777777" w:rsidR="00434D0C" w:rsidRPr="00100925" w:rsidRDefault="00434D0C" w:rsidP="00A260DC">
            <w:pPr>
              <w:pStyle w:val="NormalWeb"/>
              <w:jc w:val="center"/>
              <w:rPr>
                <w:sz w:val="18"/>
                <w:szCs w:val="18"/>
              </w:rPr>
            </w:pPr>
            <w:r w:rsidRPr="00100925">
              <w:rPr>
                <w:sz w:val="18"/>
                <w:szCs w:val="18"/>
              </w:rPr>
              <w:t>Non-Indigenous</w:t>
            </w:r>
          </w:p>
        </w:tc>
        <w:tc>
          <w:tcPr>
            <w:tcW w:w="1639" w:type="dxa"/>
            <w:tcBorders>
              <w:bottom w:val="single" w:sz="12" w:space="0" w:color="0D0D0D" w:themeColor="text1" w:themeTint="F2"/>
            </w:tcBorders>
            <w:shd w:val="clear" w:color="auto" w:fill="FBFBFB"/>
            <w:hideMark/>
          </w:tcPr>
          <w:p w14:paraId="571BCD9B" w14:textId="77777777" w:rsidR="00434D0C" w:rsidRPr="00100925" w:rsidRDefault="00434D0C" w:rsidP="00A260DC">
            <w:pPr>
              <w:pStyle w:val="NormalWeb"/>
              <w:jc w:val="center"/>
              <w:rPr>
                <w:sz w:val="18"/>
                <w:szCs w:val="18"/>
              </w:rPr>
            </w:pPr>
            <w:r w:rsidRPr="00100925">
              <w:rPr>
                <w:sz w:val="18"/>
                <w:szCs w:val="18"/>
              </w:rPr>
              <w:t>2 (1, 3)</w:t>
            </w:r>
          </w:p>
        </w:tc>
        <w:tc>
          <w:tcPr>
            <w:tcW w:w="2472" w:type="dxa"/>
            <w:tcBorders>
              <w:bottom w:val="single" w:sz="12" w:space="0" w:color="0D0D0D" w:themeColor="text1" w:themeTint="F2"/>
            </w:tcBorders>
            <w:shd w:val="clear" w:color="auto" w:fill="FBFBFB"/>
            <w:hideMark/>
          </w:tcPr>
          <w:p w14:paraId="60AB8FEB" w14:textId="77777777" w:rsidR="00434D0C" w:rsidRPr="00100925" w:rsidRDefault="00434D0C" w:rsidP="00A260DC">
            <w:pPr>
              <w:pStyle w:val="NormalWeb"/>
              <w:jc w:val="center"/>
              <w:rPr>
                <w:sz w:val="18"/>
                <w:szCs w:val="18"/>
              </w:rPr>
            </w:pPr>
            <w:r w:rsidRPr="00100925">
              <w:rPr>
                <w:sz w:val="18"/>
                <w:szCs w:val="18"/>
              </w:rPr>
              <w:t>40.23</w:t>
            </w:r>
          </w:p>
        </w:tc>
        <w:tc>
          <w:tcPr>
            <w:tcW w:w="511" w:type="dxa"/>
            <w:tcBorders>
              <w:bottom w:val="single" w:sz="12" w:space="0" w:color="0D0D0D" w:themeColor="text1" w:themeTint="F2"/>
            </w:tcBorders>
            <w:shd w:val="clear" w:color="auto" w:fill="FBFBFB"/>
            <w:hideMark/>
          </w:tcPr>
          <w:p w14:paraId="30BD17B1" w14:textId="77777777" w:rsidR="00434D0C" w:rsidRPr="00100925" w:rsidRDefault="00434D0C" w:rsidP="00A260DC">
            <w:pPr>
              <w:pStyle w:val="NormalWeb"/>
              <w:jc w:val="center"/>
              <w:rPr>
                <w:sz w:val="18"/>
                <w:szCs w:val="18"/>
              </w:rPr>
            </w:pPr>
            <w:r w:rsidRPr="00100925">
              <w:rPr>
                <w:sz w:val="18"/>
                <w:szCs w:val="18"/>
              </w:rPr>
              <w:t>Ref</w:t>
            </w:r>
          </w:p>
        </w:tc>
        <w:tc>
          <w:tcPr>
            <w:tcW w:w="1491" w:type="dxa"/>
            <w:tcBorders>
              <w:bottom w:val="single" w:sz="12" w:space="0" w:color="0D0D0D" w:themeColor="text1" w:themeTint="F2"/>
            </w:tcBorders>
            <w:shd w:val="clear" w:color="auto" w:fill="FBFBFB"/>
            <w:hideMark/>
          </w:tcPr>
          <w:p w14:paraId="6142BBAA" w14:textId="77777777" w:rsidR="00434D0C" w:rsidRPr="00100925" w:rsidRDefault="00434D0C" w:rsidP="00A260DC">
            <w:pPr>
              <w:jc w:val="center"/>
              <w:rPr>
                <w:sz w:val="18"/>
                <w:szCs w:val="18"/>
              </w:rPr>
            </w:pPr>
          </w:p>
        </w:tc>
        <w:tc>
          <w:tcPr>
            <w:tcW w:w="1492" w:type="dxa"/>
            <w:vMerge/>
            <w:tcBorders>
              <w:bottom w:val="single" w:sz="12" w:space="0" w:color="0D0D0D" w:themeColor="text1" w:themeTint="F2"/>
            </w:tcBorders>
            <w:shd w:val="clear" w:color="auto" w:fill="FBFBFB"/>
            <w:hideMark/>
          </w:tcPr>
          <w:p w14:paraId="582644D8" w14:textId="77777777" w:rsidR="00434D0C" w:rsidRPr="00100925" w:rsidRDefault="00434D0C" w:rsidP="00A260DC">
            <w:pPr>
              <w:jc w:val="center"/>
              <w:rPr>
                <w:sz w:val="18"/>
                <w:szCs w:val="18"/>
              </w:rPr>
            </w:pPr>
          </w:p>
        </w:tc>
      </w:tr>
      <w:tr w:rsidR="00434D0C" w:rsidRPr="00100925" w14:paraId="046CA7B9" w14:textId="77777777" w:rsidTr="0012157B">
        <w:tblPrEx>
          <w:tblCellMar>
            <w:top w:w="57" w:type="dxa"/>
            <w:left w:w="57" w:type="dxa"/>
            <w:bottom w:w="57" w:type="dxa"/>
            <w:right w:w="57" w:type="dxa"/>
          </w:tblCellMar>
        </w:tblPrEx>
        <w:tc>
          <w:tcPr>
            <w:tcW w:w="1491" w:type="dxa"/>
            <w:vMerge w:val="restart"/>
            <w:tcBorders>
              <w:bottom w:val="single" w:sz="12" w:space="0" w:color="0D0D0D" w:themeColor="text1" w:themeTint="F2"/>
            </w:tcBorders>
            <w:shd w:val="clear" w:color="auto" w:fill="FBFBFB"/>
            <w:hideMark/>
          </w:tcPr>
          <w:p w14:paraId="647134B9" w14:textId="77777777" w:rsidR="00434D0C" w:rsidRPr="00100925" w:rsidRDefault="00434D0C" w:rsidP="00A260DC">
            <w:pPr>
              <w:pStyle w:val="NormalWeb"/>
              <w:rPr>
                <w:sz w:val="18"/>
                <w:szCs w:val="18"/>
              </w:rPr>
            </w:pPr>
            <w:r w:rsidRPr="00100925">
              <w:rPr>
                <w:sz w:val="18"/>
                <w:szCs w:val="18"/>
              </w:rPr>
              <w:t>Age group (years)</w:t>
            </w:r>
          </w:p>
        </w:tc>
        <w:tc>
          <w:tcPr>
            <w:tcW w:w="1344" w:type="dxa"/>
            <w:tcBorders>
              <w:top w:val="single" w:sz="12" w:space="0" w:color="0D0D0D" w:themeColor="text1" w:themeTint="F2"/>
            </w:tcBorders>
            <w:shd w:val="clear" w:color="auto" w:fill="FBFBFB"/>
            <w:hideMark/>
          </w:tcPr>
          <w:p w14:paraId="660076AB" w14:textId="77777777" w:rsidR="00434D0C" w:rsidRPr="00100925" w:rsidRDefault="00434D0C" w:rsidP="00A260DC">
            <w:pPr>
              <w:pStyle w:val="NormalWeb"/>
              <w:jc w:val="center"/>
              <w:rPr>
                <w:sz w:val="18"/>
                <w:szCs w:val="18"/>
              </w:rPr>
            </w:pPr>
            <w:r w:rsidRPr="00100925">
              <w:rPr>
                <w:sz w:val="18"/>
                <w:szCs w:val="18"/>
              </w:rPr>
              <w:t>&lt; 15</w:t>
            </w:r>
          </w:p>
        </w:tc>
        <w:tc>
          <w:tcPr>
            <w:tcW w:w="1639" w:type="dxa"/>
            <w:tcBorders>
              <w:top w:val="single" w:sz="12" w:space="0" w:color="0D0D0D" w:themeColor="text1" w:themeTint="F2"/>
            </w:tcBorders>
            <w:shd w:val="clear" w:color="auto" w:fill="FBFBFB"/>
            <w:hideMark/>
          </w:tcPr>
          <w:p w14:paraId="3AD579AE" w14:textId="77777777" w:rsidR="00434D0C" w:rsidRPr="00100925" w:rsidRDefault="00434D0C" w:rsidP="00A260DC">
            <w:pPr>
              <w:pStyle w:val="NormalWeb"/>
              <w:jc w:val="center"/>
              <w:rPr>
                <w:sz w:val="18"/>
                <w:szCs w:val="18"/>
              </w:rPr>
            </w:pPr>
            <w:r w:rsidRPr="00100925">
              <w:rPr>
                <w:sz w:val="18"/>
                <w:szCs w:val="18"/>
              </w:rPr>
              <w:t>2 (1, 4)</w:t>
            </w:r>
          </w:p>
        </w:tc>
        <w:tc>
          <w:tcPr>
            <w:tcW w:w="2472" w:type="dxa"/>
            <w:tcBorders>
              <w:top w:val="single" w:sz="12" w:space="0" w:color="0D0D0D" w:themeColor="text1" w:themeTint="F2"/>
            </w:tcBorders>
            <w:shd w:val="clear" w:color="auto" w:fill="FBFBFB"/>
            <w:hideMark/>
          </w:tcPr>
          <w:p w14:paraId="2AA9CFD8" w14:textId="77777777" w:rsidR="00434D0C" w:rsidRPr="00100925" w:rsidRDefault="00434D0C" w:rsidP="00A260DC">
            <w:pPr>
              <w:pStyle w:val="NormalWeb"/>
              <w:jc w:val="center"/>
              <w:rPr>
                <w:sz w:val="18"/>
                <w:szCs w:val="18"/>
              </w:rPr>
            </w:pPr>
            <w:r w:rsidRPr="00100925">
              <w:rPr>
                <w:sz w:val="18"/>
                <w:szCs w:val="18"/>
              </w:rPr>
              <w:t>31.90</w:t>
            </w:r>
          </w:p>
        </w:tc>
        <w:tc>
          <w:tcPr>
            <w:tcW w:w="511" w:type="dxa"/>
            <w:tcBorders>
              <w:top w:val="single" w:sz="12" w:space="0" w:color="0D0D0D" w:themeColor="text1" w:themeTint="F2"/>
            </w:tcBorders>
            <w:shd w:val="clear" w:color="auto" w:fill="FBFBFB"/>
            <w:hideMark/>
          </w:tcPr>
          <w:p w14:paraId="4F975DD2" w14:textId="77777777" w:rsidR="00434D0C" w:rsidRPr="00100925" w:rsidRDefault="00434D0C" w:rsidP="00A260DC">
            <w:pPr>
              <w:pStyle w:val="NormalWeb"/>
              <w:jc w:val="center"/>
              <w:rPr>
                <w:sz w:val="18"/>
                <w:szCs w:val="18"/>
              </w:rPr>
            </w:pPr>
            <w:r w:rsidRPr="00100925">
              <w:rPr>
                <w:sz w:val="18"/>
                <w:szCs w:val="18"/>
              </w:rPr>
              <w:t>Ref</w:t>
            </w:r>
          </w:p>
        </w:tc>
        <w:tc>
          <w:tcPr>
            <w:tcW w:w="1491" w:type="dxa"/>
            <w:tcBorders>
              <w:top w:val="single" w:sz="12" w:space="0" w:color="0D0D0D" w:themeColor="text1" w:themeTint="F2"/>
            </w:tcBorders>
            <w:shd w:val="clear" w:color="auto" w:fill="FBFBFB"/>
            <w:hideMark/>
          </w:tcPr>
          <w:p w14:paraId="7CF71EA5" w14:textId="77777777" w:rsidR="00434D0C" w:rsidRPr="00100925" w:rsidRDefault="00434D0C" w:rsidP="00A260DC">
            <w:pPr>
              <w:jc w:val="center"/>
              <w:rPr>
                <w:sz w:val="18"/>
                <w:szCs w:val="18"/>
              </w:rPr>
            </w:pPr>
          </w:p>
        </w:tc>
        <w:tc>
          <w:tcPr>
            <w:tcW w:w="1492" w:type="dxa"/>
            <w:vMerge w:val="restart"/>
            <w:tcBorders>
              <w:bottom w:val="single" w:sz="12" w:space="0" w:color="0D0D0D" w:themeColor="text1" w:themeTint="F2"/>
            </w:tcBorders>
            <w:shd w:val="clear" w:color="auto" w:fill="FBFBFB"/>
            <w:hideMark/>
          </w:tcPr>
          <w:p w14:paraId="2F5FAC95" w14:textId="77777777" w:rsidR="00434D0C" w:rsidRPr="00100925" w:rsidRDefault="00434D0C" w:rsidP="00A260DC">
            <w:pPr>
              <w:pStyle w:val="NormalWeb"/>
              <w:jc w:val="center"/>
              <w:rPr>
                <w:sz w:val="18"/>
                <w:szCs w:val="18"/>
              </w:rPr>
            </w:pPr>
            <w:r w:rsidRPr="00732DB8">
              <w:rPr>
                <w:i/>
                <w:iCs/>
                <w:sz w:val="18"/>
                <w:szCs w:val="18"/>
              </w:rPr>
              <w:t>p</w:t>
            </w:r>
            <w:r w:rsidRPr="00100925">
              <w:rPr>
                <w:sz w:val="18"/>
                <w:szCs w:val="18"/>
              </w:rPr>
              <w:t xml:space="preserve"> &lt; 0.01</w:t>
            </w:r>
          </w:p>
        </w:tc>
      </w:tr>
      <w:tr w:rsidR="00434D0C" w:rsidRPr="00100925" w14:paraId="2A1FFB76" w14:textId="77777777" w:rsidTr="0012157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491" w:type="dxa"/>
            <w:vMerge/>
            <w:tcBorders>
              <w:bottom w:val="single" w:sz="12" w:space="0" w:color="0D0D0D" w:themeColor="text1" w:themeTint="F2"/>
            </w:tcBorders>
            <w:shd w:val="clear" w:color="auto" w:fill="FBFBFB"/>
            <w:hideMark/>
          </w:tcPr>
          <w:p w14:paraId="576B24A5" w14:textId="77777777" w:rsidR="00434D0C" w:rsidRPr="00100925" w:rsidRDefault="00434D0C" w:rsidP="00A260DC">
            <w:pPr>
              <w:rPr>
                <w:sz w:val="18"/>
                <w:szCs w:val="18"/>
              </w:rPr>
            </w:pPr>
          </w:p>
        </w:tc>
        <w:tc>
          <w:tcPr>
            <w:tcW w:w="1344" w:type="dxa"/>
            <w:tcBorders>
              <w:bottom w:val="single" w:sz="2" w:space="0" w:color="0D0D0D" w:themeColor="text1" w:themeTint="F2"/>
            </w:tcBorders>
            <w:shd w:val="clear" w:color="auto" w:fill="FBFBFB"/>
            <w:hideMark/>
          </w:tcPr>
          <w:p w14:paraId="4469AFDF" w14:textId="77777777" w:rsidR="00434D0C" w:rsidRPr="00100925" w:rsidRDefault="00434D0C" w:rsidP="00A260DC">
            <w:pPr>
              <w:pStyle w:val="NormalWeb"/>
              <w:jc w:val="center"/>
              <w:rPr>
                <w:sz w:val="18"/>
                <w:szCs w:val="18"/>
              </w:rPr>
            </w:pPr>
            <w:r w:rsidRPr="00100925">
              <w:rPr>
                <w:sz w:val="18"/>
                <w:szCs w:val="18"/>
              </w:rPr>
              <w:t>15–64</w:t>
            </w:r>
          </w:p>
        </w:tc>
        <w:tc>
          <w:tcPr>
            <w:tcW w:w="1639" w:type="dxa"/>
            <w:tcBorders>
              <w:bottom w:val="single" w:sz="2" w:space="0" w:color="0D0D0D" w:themeColor="text1" w:themeTint="F2"/>
            </w:tcBorders>
            <w:shd w:val="clear" w:color="auto" w:fill="FBFBFB"/>
            <w:hideMark/>
          </w:tcPr>
          <w:p w14:paraId="258CE75D" w14:textId="77777777" w:rsidR="00434D0C" w:rsidRPr="00100925" w:rsidRDefault="00434D0C" w:rsidP="00A260DC">
            <w:pPr>
              <w:pStyle w:val="NormalWeb"/>
              <w:jc w:val="center"/>
              <w:rPr>
                <w:sz w:val="18"/>
                <w:szCs w:val="18"/>
              </w:rPr>
            </w:pPr>
            <w:r w:rsidRPr="00100925">
              <w:rPr>
                <w:sz w:val="18"/>
                <w:szCs w:val="18"/>
              </w:rPr>
              <w:t>2 (1, 3)</w:t>
            </w:r>
          </w:p>
        </w:tc>
        <w:tc>
          <w:tcPr>
            <w:tcW w:w="2472" w:type="dxa"/>
            <w:tcBorders>
              <w:bottom w:val="single" w:sz="2" w:space="0" w:color="0D0D0D" w:themeColor="text1" w:themeTint="F2"/>
            </w:tcBorders>
            <w:shd w:val="clear" w:color="auto" w:fill="FBFBFB"/>
            <w:hideMark/>
          </w:tcPr>
          <w:p w14:paraId="29949D19" w14:textId="77777777" w:rsidR="00434D0C" w:rsidRPr="00100925" w:rsidRDefault="00434D0C" w:rsidP="00A260DC">
            <w:pPr>
              <w:pStyle w:val="NormalWeb"/>
              <w:jc w:val="center"/>
              <w:rPr>
                <w:sz w:val="18"/>
                <w:szCs w:val="18"/>
              </w:rPr>
            </w:pPr>
            <w:r w:rsidRPr="00100925">
              <w:rPr>
                <w:sz w:val="18"/>
                <w:szCs w:val="18"/>
              </w:rPr>
              <w:t>43.45</w:t>
            </w:r>
          </w:p>
        </w:tc>
        <w:tc>
          <w:tcPr>
            <w:tcW w:w="511" w:type="dxa"/>
            <w:tcBorders>
              <w:bottom w:val="single" w:sz="2" w:space="0" w:color="0D0D0D" w:themeColor="text1" w:themeTint="F2"/>
            </w:tcBorders>
            <w:shd w:val="clear" w:color="auto" w:fill="FBFBFB"/>
            <w:hideMark/>
          </w:tcPr>
          <w:p w14:paraId="455B9868" w14:textId="77777777" w:rsidR="00434D0C" w:rsidRPr="00100925" w:rsidRDefault="00434D0C" w:rsidP="00A260DC">
            <w:pPr>
              <w:pStyle w:val="NormalWeb"/>
              <w:jc w:val="center"/>
              <w:rPr>
                <w:sz w:val="18"/>
                <w:szCs w:val="18"/>
              </w:rPr>
            </w:pPr>
            <w:r w:rsidRPr="00100925">
              <w:rPr>
                <w:sz w:val="18"/>
                <w:szCs w:val="18"/>
              </w:rPr>
              <w:t>1.64</w:t>
            </w:r>
          </w:p>
        </w:tc>
        <w:tc>
          <w:tcPr>
            <w:tcW w:w="1491" w:type="dxa"/>
            <w:tcBorders>
              <w:bottom w:val="single" w:sz="2" w:space="0" w:color="0D0D0D" w:themeColor="text1" w:themeTint="F2"/>
            </w:tcBorders>
            <w:shd w:val="clear" w:color="auto" w:fill="FBFBFB"/>
            <w:hideMark/>
          </w:tcPr>
          <w:p w14:paraId="65F29CD4" w14:textId="77777777" w:rsidR="00434D0C" w:rsidRPr="00100925" w:rsidRDefault="00434D0C" w:rsidP="00A260DC">
            <w:pPr>
              <w:pStyle w:val="NormalWeb"/>
              <w:jc w:val="center"/>
              <w:rPr>
                <w:sz w:val="18"/>
                <w:szCs w:val="18"/>
              </w:rPr>
            </w:pPr>
            <w:r w:rsidRPr="00100925">
              <w:rPr>
                <w:sz w:val="18"/>
                <w:szCs w:val="18"/>
              </w:rPr>
              <w:t>1.61, 1.70</w:t>
            </w:r>
          </w:p>
        </w:tc>
        <w:tc>
          <w:tcPr>
            <w:tcW w:w="1492" w:type="dxa"/>
            <w:vMerge/>
            <w:tcBorders>
              <w:bottom w:val="single" w:sz="12" w:space="0" w:color="0D0D0D" w:themeColor="text1" w:themeTint="F2"/>
            </w:tcBorders>
            <w:shd w:val="clear" w:color="auto" w:fill="FBFBFB"/>
            <w:hideMark/>
          </w:tcPr>
          <w:p w14:paraId="2777630F" w14:textId="77777777" w:rsidR="00434D0C" w:rsidRPr="00100925" w:rsidRDefault="00434D0C" w:rsidP="00A260DC">
            <w:pPr>
              <w:jc w:val="center"/>
              <w:rPr>
                <w:sz w:val="18"/>
                <w:szCs w:val="18"/>
              </w:rPr>
            </w:pPr>
          </w:p>
        </w:tc>
      </w:tr>
      <w:tr w:rsidR="00434D0C" w:rsidRPr="00100925" w14:paraId="320D95E8" w14:textId="77777777" w:rsidTr="0012157B">
        <w:tblPrEx>
          <w:tblCellMar>
            <w:top w:w="57" w:type="dxa"/>
            <w:left w:w="57" w:type="dxa"/>
            <w:bottom w:w="57" w:type="dxa"/>
            <w:right w:w="57" w:type="dxa"/>
          </w:tblCellMar>
        </w:tblPrEx>
        <w:tc>
          <w:tcPr>
            <w:tcW w:w="1491" w:type="dxa"/>
            <w:vMerge/>
            <w:tcBorders>
              <w:bottom w:val="single" w:sz="12" w:space="0" w:color="0D0D0D" w:themeColor="text1" w:themeTint="F2"/>
            </w:tcBorders>
            <w:shd w:val="clear" w:color="auto" w:fill="FBFBFB"/>
            <w:hideMark/>
          </w:tcPr>
          <w:p w14:paraId="27FE9C82" w14:textId="77777777" w:rsidR="00434D0C" w:rsidRPr="00100925" w:rsidRDefault="00434D0C" w:rsidP="00A260DC">
            <w:pPr>
              <w:rPr>
                <w:sz w:val="18"/>
                <w:szCs w:val="18"/>
              </w:rPr>
            </w:pPr>
          </w:p>
        </w:tc>
        <w:tc>
          <w:tcPr>
            <w:tcW w:w="1344" w:type="dxa"/>
            <w:tcBorders>
              <w:bottom w:val="single" w:sz="12" w:space="0" w:color="0D0D0D" w:themeColor="text1" w:themeTint="F2"/>
            </w:tcBorders>
            <w:shd w:val="clear" w:color="auto" w:fill="FBFBFB"/>
            <w:hideMark/>
          </w:tcPr>
          <w:p w14:paraId="6DC6FB5E" w14:textId="77777777" w:rsidR="00434D0C" w:rsidRPr="00100925" w:rsidRDefault="00434D0C" w:rsidP="00A260DC">
            <w:pPr>
              <w:pStyle w:val="NormalWeb"/>
              <w:jc w:val="center"/>
              <w:rPr>
                <w:sz w:val="18"/>
                <w:szCs w:val="18"/>
              </w:rPr>
            </w:pPr>
            <w:r w:rsidRPr="00100925">
              <w:rPr>
                <w:sz w:val="18"/>
                <w:szCs w:val="18"/>
              </w:rPr>
              <w:t>&gt; 64</w:t>
            </w:r>
          </w:p>
        </w:tc>
        <w:tc>
          <w:tcPr>
            <w:tcW w:w="1639" w:type="dxa"/>
            <w:tcBorders>
              <w:bottom w:val="single" w:sz="12" w:space="0" w:color="0D0D0D" w:themeColor="text1" w:themeTint="F2"/>
            </w:tcBorders>
            <w:shd w:val="clear" w:color="auto" w:fill="FBFBFB"/>
            <w:hideMark/>
          </w:tcPr>
          <w:p w14:paraId="05A644AE" w14:textId="77777777" w:rsidR="00434D0C" w:rsidRPr="00100925" w:rsidRDefault="00434D0C" w:rsidP="00A260DC">
            <w:pPr>
              <w:pStyle w:val="NormalWeb"/>
              <w:jc w:val="center"/>
              <w:rPr>
                <w:sz w:val="18"/>
                <w:szCs w:val="18"/>
              </w:rPr>
            </w:pPr>
            <w:r w:rsidRPr="00100925">
              <w:rPr>
                <w:sz w:val="18"/>
                <w:szCs w:val="18"/>
              </w:rPr>
              <w:t>2 (1, 4)</w:t>
            </w:r>
          </w:p>
        </w:tc>
        <w:tc>
          <w:tcPr>
            <w:tcW w:w="2472" w:type="dxa"/>
            <w:tcBorders>
              <w:bottom w:val="single" w:sz="12" w:space="0" w:color="0D0D0D" w:themeColor="text1" w:themeTint="F2"/>
            </w:tcBorders>
            <w:shd w:val="clear" w:color="auto" w:fill="FBFBFB"/>
            <w:hideMark/>
          </w:tcPr>
          <w:p w14:paraId="56A580AE" w14:textId="77777777" w:rsidR="00434D0C" w:rsidRPr="00100925" w:rsidRDefault="00434D0C" w:rsidP="00A260DC">
            <w:pPr>
              <w:pStyle w:val="NormalWeb"/>
              <w:jc w:val="center"/>
              <w:rPr>
                <w:sz w:val="18"/>
                <w:szCs w:val="18"/>
              </w:rPr>
            </w:pPr>
            <w:r w:rsidRPr="00100925">
              <w:rPr>
                <w:sz w:val="18"/>
                <w:szCs w:val="18"/>
              </w:rPr>
              <w:t>34.80</w:t>
            </w:r>
          </w:p>
        </w:tc>
        <w:tc>
          <w:tcPr>
            <w:tcW w:w="511" w:type="dxa"/>
            <w:tcBorders>
              <w:bottom w:val="single" w:sz="12" w:space="0" w:color="0D0D0D" w:themeColor="text1" w:themeTint="F2"/>
            </w:tcBorders>
            <w:shd w:val="clear" w:color="auto" w:fill="FBFBFB"/>
            <w:hideMark/>
          </w:tcPr>
          <w:p w14:paraId="26467944" w14:textId="77777777" w:rsidR="00434D0C" w:rsidRPr="00100925" w:rsidRDefault="00434D0C" w:rsidP="00A260DC">
            <w:pPr>
              <w:pStyle w:val="NormalWeb"/>
              <w:jc w:val="center"/>
              <w:rPr>
                <w:sz w:val="18"/>
                <w:szCs w:val="18"/>
              </w:rPr>
            </w:pPr>
            <w:r w:rsidRPr="00100925">
              <w:rPr>
                <w:sz w:val="18"/>
                <w:szCs w:val="18"/>
              </w:rPr>
              <w:t>1.14</w:t>
            </w:r>
          </w:p>
        </w:tc>
        <w:tc>
          <w:tcPr>
            <w:tcW w:w="1491" w:type="dxa"/>
            <w:tcBorders>
              <w:bottom w:val="single" w:sz="12" w:space="0" w:color="0D0D0D" w:themeColor="text1" w:themeTint="F2"/>
            </w:tcBorders>
            <w:shd w:val="clear" w:color="auto" w:fill="FBFBFB"/>
            <w:hideMark/>
          </w:tcPr>
          <w:p w14:paraId="78A6E850" w14:textId="77777777" w:rsidR="00434D0C" w:rsidRPr="00100925" w:rsidRDefault="00434D0C" w:rsidP="00A260DC">
            <w:pPr>
              <w:pStyle w:val="NormalWeb"/>
              <w:jc w:val="center"/>
              <w:rPr>
                <w:sz w:val="18"/>
                <w:szCs w:val="18"/>
              </w:rPr>
            </w:pPr>
            <w:r w:rsidRPr="00100925">
              <w:rPr>
                <w:sz w:val="18"/>
                <w:szCs w:val="18"/>
              </w:rPr>
              <w:t>1.11, 1.17</w:t>
            </w:r>
          </w:p>
        </w:tc>
        <w:tc>
          <w:tcPr>
            <w:tcW w:w="1492" w:type="dxa"/>
            <w:vMerge/>
            <w:tcBorders>
              <w:bottom w:val="single" w:sz="12" w:space="0" w:color="0D0D0D" w:themeColor="text1" w:themeTint="F2"/>
            </w:tcBorders>
            <w:shd w:val="clear" w:color="auto" w:fill="FBFBFB"/>
            <w:hideMark/>
          </w:tcPr>
          <w:p w14:paraId="362B3143" w14:textId="77777777" w:rsidR="00434D0C" w:rsidRPr="00100925" w:rsidRDefault="00434D0C" w:rsidP="00A260DC">
            <w:pPr>
              <w:jc w:val="center"/>
              <w:rPr>
                <w:sz w:val="18"/>
                <w:szCs w:val="18"/>
              </w:rPr>
            </w:pPr>
          </w:p>
        </w:tc>
      </w:tr>
      <w:tr w:rsidR="00434D0C" w:rsidRPr="00100925" w14:paraId="3B7E4061" w14:textId="77777777" w:rsidTr="0012157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491" w:type="dxa"/>
            <w:vMerge w:val="restart"/>
            <w:tcBorders>
              <w:bottom w:val="single" w:sz="12" w:space="0" w:color="0D0D0D" w:themeColor="text1" w:themeTint="F2"/>
            </w:tcBorders>
            <w:shd w:val="clear" w:color="auto" w:fill="FBFBFB"/>
            <w:hideMark/>
          </w:tcPr>
          <w:p w14:paraId="4E3CB275" w14:textId="77777777" w:rsidR="00434D0C" w:rsidRPr="00100925" w:rsidRDefault="00434D0C" w:rsidP="00A260DC">
            <w:pPr>
              <w:pStyle w:val="NormalWeb"/>
              <w:rPr>
                <w:sz w:val="18"/>
                <w:szCs w:val="18"/>
              </w:rPr>
            </w:pPr>
            <w:r w:rsidRPr="00100925">
              <w:rPr>
                <w:sz w:val="18"/>
                <w:szCs w:val="18"/>
              </w:rPr>
              <w:t>Location</w:t>
            </w:r>
          </w:p>
        </w:tc>
        <w:tc>
          <w:tcPr>
            <w:tcW w:w="1344" w:type="dxa"/>
            <w:tcBorders>
              <w:top w:val="single" w:sz="12" w:space="0" w:color="0D0D0D" w:themeColor="text1" w:themeTint="F2"/>
              <w:bottom w:val="single" w:sz="2" w:space="0" w:color="0D0D0D" w:themeColor="text1" w:themeTint="F2"/>
            </w:tcBorders>
            <w:shd w:val="clear" w:color="auto" w:fill="FBFBFB"/>
            <w:hideMark/>
          </w:tcPr>
          <w:p w14:paraId="09970FCB" w14:textId="77777777" w:rsidR="00434D0C" w:rsidRPr="00100925" w:rsidRDefault="00434D0C" w:rsidP="00A260DC">
            <w:pPr>
              <w:pStyle w:val="NormalWeb"/>
              <w:jc w:val="center"/>
              <w:rPr>
                <w:sz w:val="18"/>
                <w:szCs w:val="18"/>
              </w:rPr>
            </w:pPr>
            <w:r w:rsidRPr="00100925">
              <w:rPr>
                <w:sz w:val="18"/>
                <w:szCs w:val="18"/>
              </w:rPr>
              <w:t>Urban</w:t>
            </w:r>
          </w:p>
        </w:tc>
        <w:tc>
          <w:tcPr>
            <w:tcW w:w="1639" w:type="dxa"/>
            <w:tcBorders>
              <w:top w:val="single" w:sz="12" w:space="0" w:color="0D0D0D" w:themeColor="text1" w:themeTint="F2"/>
              <w:bottom w:val="single" w:sz="2" w:space="0" w:color="0D0D0D" w:themeColor="text1" w:themeTint="F2"/>
            </w:tcBorders>
            <w:shd w:val="clear" w:color="auto" w:fill="FBFBFB"/>
            <w:hideMark/>
          </w:tcPr>
          <w:p w14:paraId="034597B2" w14:textId="77777777" w:rsidR="00434D0C" w:rsidRPr="00100925" w:rsidRDefault="00434D0C" w:rsidP="00A260DC">
            <w:pPr>
              <w:pStyle w:val="NormalWeb"/>
              <w:jc w:val="center"/>
              <w:rPr>
                <w:sz w:val="18"/>
                <w:szCs w:val="18"/>
              </w:rPr>
            </w:pPr>
            <w:r w:rsidRPr="00100925">
              <w:rPr>
                <w:sz w:val="18"/>
                <w:szCs w:val="18"/>
              </w:rPr>
              <w:t>2 (1, 3)</w:t>
            </w:r>
          </w:p>
        </w:tc>
        <w:tc>
          <w:tcPr>
            <w:tcW w:w="2472" w:type="dxa"/>
            <w:tcBorders>
              <w:top w:val="single" w:sz="12" w:space="0" w:color="0D0D0D" w:themeColor="text1" w:themeTint="F2"/>
              <w:bottom w:val="single" w:sz="2" w:space="0" w:color="0D0D0D" w:themeColor="text1" w:themeTint="F2"/>
            </w:tcBorders>
            <w:shd w:val="clear" w:color="auto" w:fill="FBFBFB"/>
            <w:hideMark/>
          </w:tcPr>
          <w:p w14:paraId="1FD93CF1" w14:textId="77777777" w:rsidR="00434D0C" w:rsidRPr="00100925" w:rsidRDefault="00434D0C" w:rsidP="00A260DC">
            <w:pPr>
              <w:pStyle w:val="NormalWeb"/>
              <w:jc w:val="center"/>
              <w:rPr>
                <w:sz w:val="18"/>
                <w:szCs w:val="18"/>
              </w:rPr>
            </w:pPr>
            <w:r w:rsidRPr="00100925">
              <w:rPr>
                <w:sz w:val="18"/>
                <w:szCs w:val="18"/>
              </w:rPr>
              <w:t>40.92</w:t>
            </w:r>
          </w:p>
        </w:tc>
        <w:tc>
          <w:tcPr>
            <w:tcW w:w="511" w:type="dxa"/>
            <w:tcBorders>
              <w:top w:val="single" w:sz="12" w:space="0" w:color="0D0D0D" w:themeColor="text1" w:themeTint="F2"/>
              <w:bottom w:val="single" w:sz="2" w:space="0" w:color="0D0D0D" w:themeColor="text1" w:themeTint="F2"/>
            </w:tcBorders>
            <w:shd w:val="clear" w:color="auto" w:fill="FBFBFB"/>
            <w:hideMark/>
          </w:tcPr>
          <w:p w14:paraId="6C03A2A5" w14:textId="77777777" w:rsidR="00434D0C" w:rsidRPr="00100925" w:rsidRDefault="00434D0C" w:rsidP="00A260DC">
            <w:pPr>
              <w:pStyle w:val="NormalWeb"/>
              <w:jc w:val="center"/>
              <w:rPr>
                <w:sz w:val="18"/>
                <w:szCs w:val="18"/>
              </w:rPr>
            </w:pPr>
            <w:r w:rsidRPr="00100925">
              <w:rPr>
                <w:sz w:val="18"/>
                <w:szCs w:val="18"/>
              </w:rPr>
              <w:t>1.10</w:t>
            </w:r>
          </w:p>
        </w:tc>
        <w:tc>
          <w:tcPr>
            <w:tcW w:w="1491" w:type="dxa"/>
            <w:tcBorders>
              <w:top w:val="single" w:sz="12" w:space="0" w:color="0D0D0D" w:themeColor="text1" w:themeTint="F2"/>
              <w:bottom w:val="single" w:sz="2" w:space="0" w:color="0D0D0D" w:themeColor="text1" w:themeTint="F2"/>
            </w:tcBorders>
            <w:shd w:val="clear" w:color="auto" w:fill="FBFBFB"/>
            <w:hideMark/>
          </w:tcPr>
          <w:p w14:paraId="62839484" w14:textId="77777777" w:rsidR="00434D0C" w:rsidRPr="00100925" w:rsidRDefault="00434D0C" w:rsidP="00A260DC">
            <w:pPr>
              <w:pStyle w:val="NormalWeb"/>
              <w:jc w:val="center"/>
              <w:rPr>
                <w:sz w:val="18"/>
                <w:szCs w:val="18"/>
              </w:rPr>
            </w:pPr>
            <w:r w:rsidRPr="00100925">
              <w:rPr>
                <w:sz w:val="18"/>
                <w:szCs w:val="18"/>
              </w:rPr>
              <w:t>1.08, 1.12</w:t>
            </w:r>
          </w:p>
        </w:tc>
        <w:tc>
          <w:tcPr>
            <w:tcW w:w="1492" w:type="dxa"/>
            <w:vMerge w:val="restart"/>
            <w:tcBorders>
              <w:bottom w:val="single" w:sz="12" w:space="0" w:color="0D0D0D" w:themeColor="text1" w:themeTint="F2"/>
            </w:tcBorders>
            <w:shd w:val="clear" w:color="auto" w:fill="FBFBFB"/>
            <w:hideMark/>
          </w:tcPr>
          <w:p w14:paraId="6CE58077" w14:textId="77777777" w:rsidR="00434D0C" w:rsidRPr="00100925" w:rsidRDefault="00434D0C" w:rsidP="00A260DC">
            <w:pPr>
              <w:pStyle w:val="NormalWeb"/>
              <w:jc w:val="center"/>
              <w:rPr>
                <w:sz w:val="18"/>
                <w:szCs w:val="18"/>
              </w:rPr>
            </w:pPr>
            <w:r w:rsidRPr="00732DB8">
              <w:rPr>
                <w:i/>
                <w:iCs/>
                <w:sz w:val="18"/>
                <w:szCs w:val="18"/>
              </w:rPr>
              <w:t>p</w:t>
            </w:r>
            <w:r w:rsidRPr="00100925">
              <w:rPr>
                <w:sz w:val="18"/>
                <w:szCs w:val="18"/>
              </w:rPr>
              <w:t xml:space="preserve"> &lt; 0.01</w:t>
            </w:r>
          </w:p>
        </w:tc>
      </w:tr>
      <w:tr w:rsidR="00434D0C" w:rsidRPr="00100925" w14:paraId="7E1EC9C6" w14:textId="77777777" w:rsidTr="0012157B">
        <w:tblPrEx>
          <w:tblCellMar>
            <w:top w:w="57" w:type="dxa"/>
            <w:left w:w="57" w:type="dxa"/>
            <w:bottom w:w="57" w:type="dxa"/>
            <w:right w:w="57" w:type="dxa"/>
          </w:tblCellMar>
        </w:tblPrEx>
        <w:tc>
          <w:tcPr>
            <w:tcW w:w="1491" w:type="dxa"/>
            <w:vMerge/>
            <w:tcBorders>
              <w:bottom w:val="single" w:sz="12" w:space="0" w:color="0D0D0D" w:themeColor="text1" w:themeTint="F2"/>
            </w:tcBorders>
            <w:shd w:val="clear" w:color="auto" w:fill="FBFBFB"/>
            <w:hideMark/>
          </w:tcPr>
          <w:p w14:paraId="7578997C" w14:textId="77777777" w:rsidR="00434D0C" w:rsidRPr="00100925" w:rsidRDefault="00434D0C" w:rsidP="00A260DC">
            <w:pPr>
              <w:rPr>
                <w:sz w:val="18"/>
                <w:szCs w:val="18"/>
              </w:rPr>
            </w:pPr>
          </w:p>
        </w:tc>
        <w:tc>
          <w:tcPr>
            <w:tcW w:w="1344" w:type="dxa"/>
            <w:tcBorders>
              <w:bottom w:val="single" w:sz="12" w:space="0" w:color="0D0D0D" w:themeColor="text1" w:themeTint="F2"/>
            </w:tcBorders>
            <w:shd w:val="clear" w:color="auto" w:fill="FBFBFB"/>
            <w:hideMark/>
          </w:tcPr>
          <w:p w14:paraId="2EA5187E" w14:textId="77777777" w:rsidR="00434D0C" w:rsidRPr="00100925" w:rsidRDefault="00434D0C" w:rsidP="00A260DC">
            <w:pPr>
              <w:pStyle w:val="NormalWeb"/>
              <w:jc w:val="center"/>
              <w:rPr>
                <w:sz w:val="18"/>
                <w:szCs w:val="18"/>
              </w:rPr>
            </w:pPr>
            <w:r w:rsidRPr="00100925">
              <w:rPr>
                <w:sz w:val="18"/>
                <w:szCs w:val="18"/>
              </w:rPr>
              <w:t>Rural</w:t>
            </w:r>
          </w:p>
        </w:tc>
        <w:tc>
          <w:tcPr>
            <w:tcW w:w="1639" w:type="dxa"/>
            <w:tcBorders>
              <w:bottom w:val="single" w:sz="12" w:space="0" w:color="0D0D0D" w:themeColor="text1" w:themeTint="F2"/>
            </w:tcBorders>
            <w:shd w:val="clear" w:color="auto" w:fill="FBFBFB"/>
            <w:hideMark/>
          </w:tcPr>
          <w:p w14:paraId="0EA969BA" w14:textId="77777777" w:rsidR="00434D0C" w:rsidRPr="00100925" w:rsidRDefault="00434D0C" w:rsidP="00A260DC">
            <w:pPr>
              <w:pStyle w:val="NormalWeb"/>
              <w:jc w:val="center"/>
              <w:rPr>
                <w:sz w:val="18"/>
                <w:szCs w:val="18"/>
              </w:rPr>
            </w:pPr>
            <w:r w:rsidRPr="00100925">
              <w:rPr>
                <w:sz w:val="18"/>
                <w:szCs w:val="18"/>
              </w:rPr>
              <w:t>2 (1, 3)</w:t>
            </w:r>
          </w:p>
        </w:tc>
        <w:tc>
          <w:tcPr>
            <w:tcW w:w="2472" w:type="dxa"/>
            <w:tcBorders>
              <w:bottom w:val="single" w:sz="12" w:space="0" w:color="0D0D0D" w:themeColor="text1" w:themeTint="F2"/>
            </w:tcBorders>
            <w:shd w:val="clear" w:color="auto" w:fill="FBFBFB"/>
            <w:hideMark/>
          </w:tcPr>
          <w:p w14:paraId="1449B0C8" w14:textId="77777777" w:rsidR="00434D0C" w:rsidRPr="00100925" w:rsidRDefault="00434D0C" w:rsidP="00A260DC">
            <w:pPr>
              <w:pStyle w:val="NormalWeb"/>
              <w:jc w:val="center"/>
              <w:rPr>
                <w:sz w:val="18"/>
                <w:szCs w:val="18"/>
              </w:rPr>
            </w:pPr>
            <w:r w:rsidRPr="00100925">
              <w:rPr>
                <w:sz w:val="18"/>
                <w:szCs w:val="18"/>
              </w:rPr>
              <w:t>38.64</w:t>
            </w:r>
          </w:p>
        </w:tc>
        <w:tc>
          <w:tcPr>
            <w:tcW w:w="511" w:type="dxa"/>
            <w:tcBorders>
              <w:bottom w:val="single" w:sz="12" w:space="0" w:color="0D0D0D" w:themeColor="text1" w:themeTint="F2"/>
            </w:tcBorders>
            <w:shd w:val="clear" w:color="auto" w:fill="FBFBFB"/>
            <w:hideMark/>
          </w:tcPr>
          <w:p w14:paraId="6A0FA293" w14:textId="77777777" w:rsidR="00434D0C" w:rsidRPr="00100925" w:rsidRDefault="00434D0C" w:rsidP="00A260DC">
            <w:pPr>
              <w:pStyle w:val="NormalWeb"/>
              <w:jc w:val="center"/>
              <w:rPr>
                <w:sz w:val="18"/>
                <w:szCs w:val="18"/>
              </w:rPr>
            </w:pPr>
            <w:r w:rsidRPr="00100925">
              <w:rPr>
                <w:sz w:val="18"/>
                <w:szCs w:val="18"/>
              </w:rPr>
              <w:t>Ref</w:t>
            </w:r>
          </w:p>
        </w:tc>
        <w:tc>
          <w:tcPr>
            <w:tcW w:w="1491" w:type="dxa"/>
            <w:tcBorders>
              <w:bottom w:val="single" w:sz="12" w:space="0" w:color="0D0D0D" w:themeColor="text1" w:themeTint="F2"/>
            </w:tcBorders>
            <w:shd w:val="clear" w:color="auto" w:fill="FBFBFB"/>
            <w:hideMark/>
          </w:tcPr>
          <w:p w14:paraId="74DCCAE6" w14:textId="77777777" w:rsidR="00434D0C" w:rsidRPr="00100925" w:rsidRDefault="00434D0C" w:rsidP="00A260DC">
            <w:pPr>
              <w:jc w:val="center"/>
              <w:rPr>
                <w:sz w:val="18"/>
                <w:szCs w:val="18"/>
              </w:rPr>
            </w:pPr>
          </w:p>
        </w:tc>
        <w:tc>
          <w:tcPr>
            <w:tcW w:w="1492" w:type="dxa"/>
            <w:vMerge/>
            <w:tcBorders>
              <w:bottom w:val="single" w:sz="12" w:space="0" w:color="0D0D0D" w:themeColor="text1" w:themeTint="F2"/>
            </w:tcBorders>
            <w:shd w:val="clear" w:color="auto" w:fill="FBFBFB"/>
            <w:hideMark/>
          </w:tcPr>
          <w:p w14:paraId="5560D02A" w14:textId="77777777" w:rsidR="00434D0C" w:rsidRPr="00100925" w:rsidRDefault="00434D0C" w:rsidP="00A260DC">
            <w:pPr>
              <w:jc w:val="center"/>
              <w:rPr>
                <w:sz w:val="18"/>
                <w:szCs w:val="18"/>
              </w:rPr>
            </w:pPr>
          </w:p>
        </w:tc>
      </w:tr>
      <w:tr w:rsidR="00434D0C" w:rsidRPr="00100925" w14:paraId="15D6AE75" w14:textId="77777777" w:rsidTr="0012157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491" w:type="dxa"/>
            <w:vMerge w:val="restart"/>
            <w:tcBorders>
              <w:bottom w:val="single" w:sz="12" w:space="0" w:color="0D0D0D" w:themeColor="text1" w:themeTint="F2"/>
            </w:tcBorders>
            <w:shd w:val="clear" w:color="auto" w:fill="FBFBFB"/>
            <w:hideMark/>
          </w:tcPr>
          <w:p w14:paraId="7E2FAE0E" w14:textId="77777777" w:rsidR="00434D0C" w:rsidRPr="00100925" w:rsidRDefault="00434D0C" w:rsidP="00A260DC">
            <w:pPr>
              <w:pStyle w:val="NormalWeb"/>
              <w:rPr>
                <w:sz w:val="18"/>
                <w:szCs w:val="18"/>
              </w:rPr>
            </w:pPr>
            <w:proofErr w:type="spellStart"/>
            <w:r w:rsidRPr="00100925">
              <w:rPr>
                <w:sz w:val="18"/>
                <w:szCs w:val="18"/>
              </w:rPr>
              <w:t>Jurisdiction</w:t>
            </w:r>
            <w:r w:rsidRPr="00EC3C50">
              <w:rPr>
                <w:sz w:val="18"/>
                <w:szCs w:val="18"/>
                <w:vertAlign w:val="superscript"/>
              </w:rPr>
              <w:t>b</w:t>
            </w:r>
            <w:proofErr w:type="spellEnd"/>
          </w:p>
        </w:tc>
        <w:tc>
          <w:tcPr>
            <w:tcW w:w="1344" w:type="dxa"/>
            <w:tcBorders>
              <w:top w:val="single" w:sz="12" w:space="0" w:color="0D0D0D" w:themeColor="text1" w:themeTint="F2"/>
            </w:tcBorders>
            <w:shd w:val="clear" w:color="auto" w:fill="FBFBFB"/>
            <w:hideMark/>
          </w:tcPr>
          <w:p w14:paraId="06355C7B" w14:textId="77777777" w:rsidR="00434D0C" w:rsidRPr="00100925" w:rsidRDefault="00434D0C" w:rsidP="00A260DC">
            <w:pPr>
              <w:pStyle w:val="NormalWeb"/>
              <w:jc w:val="center"/>
              <w:rPr>
                <w:sz w:val="18"/>
                <w:szCs w:val="18"/>
              </w:rPr>
            </w:pPr>
            <w:r w:rsidRPr="00100925">
              <w:rPr>
                <w:sz w:val="18"/>
                <w:szCs w:val="18"/>
              </w:rPr>
              <w:t>ACT</w:t>
            </w:r>
          </w:p>
        </w:tc>
        <w:tc>
          <w:tcPr>
            <w:tcW w:w="1639" w:type="dxa"/>
            <w:tcBorders>
              <w:top w:val="single" w:sz="12" w:space="0" w:color="0D0D0D" w:themeColor="text1" w:themeTint="F2"/>
            </w:tcBorders>
            <w:shd w:val="clear" w:color="auto" w:fill="FBFBFB"/>
            <w:hideMark/>
          </w:tcPr>
          <w:p w14:paraId="482984DE" w14:textId="77777777" w:rsidR="00434D0C" w:rsidRPr="00100925" w:rsidRDefault="00434D0C" w:rsidP="00A260DC">
            <w:pPr>
              <w:pStyle w:val="NormalWeb"/>
              <w:jc w:val="center"/>
              <w:rPr>
                <w:sz w:val="18"/>
                <w:szCs w:val="18"/>
              </w:rPr>
            </w:pPr>
            <w:r w:rsidRPr="00100925">
              <w:rPr>
                <w:sz w:val="18"/>
                <w:szCs w:val="18"/>
              </w:rPr>
              <w:t>3 (1, 5)</w:t>
            </w:r>
          </w:p>
        </w:tc>
        <w:tc>
          <w:tcPr>
            <w:tcW w:w="2472" w:type="dxa"/>
            <w:tcBorders>
              <w:top w:val="single" w:sz="12" w:space="0" w:color="0D0D0D" w:themeColor="text1" w:themeTint="F2"/>
            </w:tcBorders>
            <w:shd w:val="clear" w:color="auto" w:fill="FBFBFB"/>
            <w:hideMark/>
          </w:tcPr>
          <w:p w14:paraId="7BDB1C99" w14:textId="77777777" w:rsidR="00434D0C" w:rsidRPr="00100925" w:rsidRDefault="00434D0C" w:rsidP="00A260DC">
            <w:pPr>
              <w:pStyle w:val="NormalWeb"/>
              <w:jc w:val="center"/>
              <w:rPr>
                <w:sz w:val="18"/>
                <w:szCs w:val="18"/>
              </w:rPr>
            </w:pPr>
            <w:r w:rsidRPr="00100925">
              <w:rPr>
                <w:sz w:val="18"/>
                <w:szCs w:val="18"/>
              </w:rPr>
              <w:t>26.81</w:t>
            </w:r>
          </w:p>
        </w:tc>
        <w:tc>
          <w:tcPr>
            <w:tcW w:w="511" w:type="dxa"/>
            <w:tcBorders>
              <w:top w:val="single" w:sz="12" w:space="0" w:color="0D0D0D" w:themeColor="text1" w:themeTint="F2"/>
            </w:tcBorders>
            <w:shd w:val="clear" w:color="auto" w:fill="FBFBFB"/>
            <w:hideMark/>
          </w:tcPr>
          <w:p w14:paraId="1FE525A0" w14:textId="77777777" w:rsidR="00434D0C" w:rsidRPr="00100925" w:rsidRDefault="00434D0C" w:rsidP="00A260DC">
            <w:pPr>
              <w:pStyle w:val="NormalWeb"/>
              <w:jc w:val="center"/>
              <w:rPr>
                <w:sz w:val="18"/>
                <w:szCs w:val="18"/>
              </w:rPr>
            </w:pPr>
            <w:r w:rsidRPr="00100925">
              <w:rPr>
                <w:sz w:val="18"/>
                <w:szCs w:val="18"/>
              </w:rPr>
              <w:t>0.46</w:t>
            </w:r>
          </w:p>
        </w:tc>
        <w:tc>
          <w:tcPr>
            <w:tcW w:w="1491" w:type="dxa"/>
            <w:tcBorders>
              <w:top w:val="single" w:sz="12" w:space="0" w:color="0D0D0D" w:themeColor="text1" w:themeTint="F2"/>
            </w:tcBorders>
            <w:shd w:val="clear" w:color="auto" w:fill="FBFBFB"/>
            <w:hideMark/>
          </w:tcPr>
          <w:p w14:paraId="34E13155" w14:textId="77777777" w:rsidR="00434D0C" w:rsidRPr="00100925" w:rsidRDefault="00434D0C" w:rsidP="00A260DC">
            <w:pPr>
              <w:pStyle w:val="NormalWeb"/>
              <w:jc w:val="center"/>
              <w:rPr>
                <w:sz w:val="18"/>
                <w:szCs w:val="18"/>
              </w:rPr>
            </w:pPr>
            <w:r w:rsidRPr="00100925">
              <w:rPr>
                <w:sz w:val="18"/>
                <w:szCs w:val="18"/>
              </w:rPr>
              <w:t>0.41, 0.53</w:t>
            </w:r>
          </w:p>
        </w:tc>
        <w:tc>
          <w:tcPr>
            <w:tcW w:w="1492" w:type="dxa"/>
            <w:vMerge w:val="restart"/>
            <w:tcBorders>
              <w:bottom w:val="single" w:sz="12" w:space="0" w:color="0D0D0D" w:themeColor="text1" w:themeTint="F2"/>
            </w:tcBorders>
            <w:shd w:val="clear" w:color="auto" w:fill="FBFBFB"/>
            <w:hideMark/>
          </w:tcPr>
          <w:p w14:paraId="3E2E6B49" w14:textId="77777777" w:rsidR="00434D0C" w:rsidRPr="00100925" w:rsidRDefault="00434D0C" w:rsidP="00A260DC">
            <w:pPr>
              <w:pStyle w:val="NormalWeb"/>
              <w:jc w:val="center"/>
              <w:rPr>
                <w:sz w:val="18"/>
                <w:szCs w:val="18"/>
              </w:rPr>
            </w:pPr>
            <w:r w:rsidRPr="00732DB8">
              <w:rPr>
                <w:i/>
                <w:iCs/>
                <w:sz w:val="18"/>
                <w:szCs w:val="18"/>
              </w:rPr>
              <w:t>p</w:t>
            </w:r>
            <w:r w:rsidRPr="00100925">
              <w:rPr>
                <w:sz w:val="18"/>
                <w:szCs w:val="18"/>
              </w:rPr>
              <w:t xml:space="preserve"> &lt; 0.01</w:t>
            </w:r>
          </w:p>
        </w:tc>
      </w:tr>
      <w:tr w:rsidR="00434D0C" w:rsidRPr="00100925" w14:paraId="469CD168" w14:textId="77777777" w:rsidTr="0012157B">
        <w:tblPrEx>
          <w:tblCellMar>
            <w:top w:w="57" w:type="dxa"/>
            <w:left w:w="57" w:type="dxa"/>
            <w:bottom w:w="57" w:type="dxa"/>
            <w:right w:w="57" w:type="dxa"/>
          </w:tblCellMar>
        </w:tblPrEx>
        <w:tc>
          <w:tcPr>
            <w:tcW w:w="1491" w:type="dxa"/>
            <w:vMerge/>
            <w:tcBorders>
              <w:bottom w:val="single" w:sz="12" w:space="0" w:color="0D0D0D" w:themeColor="text1" w:themeTint="F2"/>
            </w:tcBorders>
            <w:shd w:val="clear" w:color="auto" w:fill="FBFBFB"/>
            <w:hideMark/>
          </w:tcPr>
          <w:p w14:paraId="67EF774C" w14:textId="77777777" w:rsidR="00434D0C" w:rsidRPr="00100925" w:rsidRDefault="00434D0C" w:rsidP="00A260DC">
            <w:pPr>
              <w:rPr>
                <w:sz w:val="18"/>
                <w:szCs w:val="18"/>
              </w:rPr>
            </w:pPr>
          </w:p>
        </w:tc>
        <w:tc>
          <w:tcPr>
            <w:tcW w:w="1344" w:type="dxa"/>
            <w:shd w:val="clear" w:color="auto" w:fill="FBFBFB"/>
            <w:hideMark/>
          </w:tcPr>
          <w:p w14:paraId="68C092AC" w14:textId="77777777" w:rsidR="00434D0C" w:rsidRPr="00100925" w:rsidRDefault="00434D0C" w:rsidP="00A260DC">
            <w:pPr>
              <w:pStyle w:val="NormalWeb"/>
              <w:jc w:val="center"/>
              <w:rPr>
                <w:sz w:val="18"/>
                <w:szCs w:val="18"/>
              </w:rPr>
            </w:pPr>
            <w:r w:rsidRPr="00100925">
              <w:rPr>
                <w:sz w:val="18"/>
                <w:szCs w:val="18"/>
              </w:rPr>
              <w:t>NSW</w:t>
            </w:r>
          </w:p>
        </w:tc>
        <w:tc>
          <w:tcPr>
            <w:tcW w:w="1639" w:type="dxa"/>
            <w:shd w:val="clear" w:color="auto" w:fill="FBFBFB"/>
            <w:hideMark/>
          </w:tcPr>
          <w:p w14:paraId="3EC7B82F" w14:textId="77777777" w:rsidR="00434D0C" w:rsidRPr="00100925" w:rsidRDefault="00434D0C" w:rsidP="00A260DC">
            <w:pPr>
              <w:pStyle w:val="NormalWeb"/>
              <w:jc w:val="center"/>
              <w:rPr>
                <w:sz w:val="18"/>
                <w:szCs w:val="18"/>
              </w:rPr>
            </w:pPr>
            <w:r w:rsidRPr="00100925">
              <w:rPr>
                <w:sz w:val="18"/>
                <w:szCs w:val="18"/>
              </w:rPr>
              <w:t>2 (1, 3)</w:t>
            </w:r>
          </w:p>
        </w:tc>
        <w:tc>
          <w:tcPr>
            <w:tcW w:w="2472" w:type="dxa"/>
            <w:shd w:val="clear" w:color="auto" w:fill="FBFBFB"/>
            <w:hideMark/>
          </w:tcPr>
          <w:p w14:paraId="0EF1CBE7" w14:textId="77777777" w:rsidR="00434D0C" w:rsidRPr="00100925" w:rsidRDefault="00434D0C" w:rsidP="00A260DC">
            <w:pPr>
              <w:pStyle w:val="NormalWeb"/>
              <w:jc w:val="center"/>
              <w:rPr>
                <w:sz w:val="18"/>
                <w:szCs w:val="18"/>
              </w:rPr>
            </w:pPr>
            <w:r w:rsidRPr="00100925">
              <w:rPr>
                <w:sz w:val="18"/>
                <w:szCs w:val="18"/>
              </w:rPr>
              <w:t>44.16</w:t>
            </w:r>
          </w:p>
        </w:tc>
        <w:tc>
          <w:tcPr>
            <w:tcW w:w="511" w:type="dxa"/>
            <w:shd w:val="clear" w:color="auto" w:fill="FBFBFB"/>
            <w:hideMark/>
          </w:tcPr>
          <w:p w14:paraId="6D2814D0" w14:textId="77777777" w:rsidR="00434D0C" w:rsidRPr="00100925" w:rsidRDefault="00434D0C" w:rsidP="00A260DC">
            <w:pPr>
              <w:pStyle w:val="NormalWeb"/>
              <w:jc w:val="center"/>
              <w:rPr>
                <w:sz w:val="18"/>
                <w:szCs w:val="18"/>
              </w:rPr>
            </w:pPr>
            <w:r w:rsidRPr="00100925">
              <w:rPr>
                <w:sz w:val="18"/>
                <w:szCs w:val="18"/>
              </w:rPr>
              <w:t>Ref</w:t>
            </w:r>
          </w:p>
        </w:tc>
        <w:tc>
          <w:tcPr>
            <w:tcW w:w="1491" w:type="dxa"/>
            <w:shd w:val="clear" w:color="auto" w:fill="FBFBFB"/>
            <w:hideMark/>
          </w:tcPr>
          <w:p w14:paraId="35B35CBC" w14:textId="77777777" w:rsidR="00434D0C" w:rsidRPr="00100925" w:rsidRDefault="00434D0C" w:rsidP="00A260DC">
            <w:pPr>
              <w:jc w:val="center"/>
              <w:rPr>
                <w:sz w:val="18"/>
                <w:szCs w:val="18"/>
              </w:rPr>
            </w:pPr>
          </w:p>
        </w:tc>
        <w:tc>
          <w:tcPr>
            <w:tcW w:w="1492" w:type="dxa"/>
            <w:vMerge/>
            <w:tcBorders>
              <w:bottom w:val="single" w:sz="12" w:space="0" w:color="0D0D0D" w:themeColor="text1" w:themeTint="F2"/>
            </w:tcBorders>
            <w:shd w:val="clear" w:color="auto" w:fill="FBFBFB"/>
            <w:hideMark/>
          </w:tcPr>
          <w:p w14:paraId="3CF964CD" w14:textId="77777777" w:rsidR="00434D0C" w:rsidRPr="00100925" w:rsidRDefault="00434D0C" w:rsidP="00A260DC">
            <w:pPr>
              <w:jc w:val="center"/>
              <w:rPr>
                <w:sz w:val="18"/>
                <w:szCs w:val="18"/>
              </w:rPr>
            </w:pPr>
          </w:p>
        </w:tc>
      </w:tr>
      <w:tr w:rsidR="00434D0C" w:rsidRPr="00100925" w14:paraId="6D9CAB24" w14:textId="77777777" w:rsidTr="0012157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491" w:type="dxa"/>
            <w:vMerge/>
            <w:tcBorders>
              <w:bottom w:val="single" w:sz="12" w:space="0" w:color="0D0D0D" w:themeColor="text1" w:themeTint="F2"/>
            </w:tcBorders>
            <w:shd w:val="clear" w:color="auto" w:fill="FBFBFB"/>
            <w:hideMark/>
          </w:tcPr>
          <w:p w14:paraId="091A60D2" w14:textId="77777777" w:rsidR="00434D0C" w:rsidRPr="00100925" w:rsidRDefault="00434D0C" w:rsidP="00A260DC">
            <w:pPr>
              <w:rPr>
                <w:sz w:val="18"/>
                <w:szCs w:val="18"/>
              </w:rPr>
            </w:pPr>
          </w:p>
        </w:tc>
        <w:tc>
          <w:tcPr>
            <w:tcW w:w="1344" w:type="dxa"/>
            <w:shd w:val="clear" w:color="auto" w:fill="FBFBFB"/>
            <w:hideMark/>
          </w:tcPr>
          <w:p w14:paraId="54010A31" w14:textId="77777777" w:rsidR="00434D0C" w:rsidRPr="00100925" w:rsidRDefault="00434D0C" w:rsidP="00A260DC">
            <w:pPr>
              <w:pStyle w:val="NormalWeb"/>
              <w:jc w:val="center"/>
              <w:rPr>
                <w:sz w:val="18"/>
                <w:szCs w:val="18"/>
              </w:rPr>
            </w:pPr>
            <w:r w:rsidRPr="00100925">
              <w:rPr>
                <w:sz w:val="18"/>
                <w:szCs w:val="18"/>
              </w:rPr>
              <w:t>NT</w:t>
            </w:r>
          </w:p>
        </w:tc>
        <w:tc>
          <w:tcPr>
            <w:tcW w:w="1639" w:type="dxa"/>
            <w:shd w:val="clear" w:color="auto" w:fill="FBFBFB"/>
            <w:hideMark/>
          </w:tcPr>
          <w:p w14:paraId="46F0D297" w14:textId="77777777" w:rsidR="00434D0C" w:rsidRPr="00100925" w:rsidRDefault="00434D0C" w:rsidP="00A260DC">
            <w:pPr>
              <w:pStyle w:val="NormalWeb"/>
              <w:jc w:val="center"/>
              <w:rPr>
                <w:sz w:val="18"/>
                <w:szCs w:val="18"/>
              </w:rPr>
            </w:pPr>
            <w:r w:rsidRPr="00100925">
              <w:rPr>
                <w:sz w:val="18"/>
                <w:szCs w:val="18"/>
              </w:rPr>
              <w:t>3 (2, 4)</w:t>
            </w:r>
          </w:p>
        </w:tc>
        <w:tc>
          <w:tcPr>
            <w:tcW w:w="2472" w:type="dxa"/>
            <w:shd w:val="clear" w:color="auto" w:fill="FBFBFB"/>
            <w:hideMark/>
          </w:tcPr>
          <w:p w14:paraId="1FCBCE10" w14:textId="77777777" w:rsidR="00434D0C" w:rsidRPr="00100925" w:rsidRDefault="00434D0C" w:rsidP="00A260DC">
            <w:pPr>
              <w:pStyle w:val="NormalWeb"/>
              <w:jc w:val="center"/>
              <w:rPr>
                <w:sz w:val="18"/>
                <w:szCs w:val="18"/>
              </w:rPr>
            </w:pPr>
            <w:r w:rsidRPr="00100925">
              <w:rPr>
                <w:sz w:val="18"/>
                <w:szCs w:val="18"/>
              </w:rPr>
              <w:t>23.58</w:t>
            </w:r>
          </w:p>
        </w:tc>
        <w:tc>
          <w:tcPr>
            <w:tcW w:w="511" w:type="dxa"/>
            <w:shd w:val="clear" w:color="auto" w:fill="FBFBFB"/>
            <w:hideMark/>
          </w:tcPr>
          <w:p w14:paraId="68AD022B" w14:textId="77777777" w:rsidR="00434D0C" w:rsidRPr="00100925" w:rsidRDefault="00434D0C" w:rsidP="00A260DC">
            <w:pPr>
              <w:pStyle w:val="NormalWeb"/>
              <w:jc w:val="center"/>
              <w:rPr>
                <w:sz w:val="18"/>
                <w:szCs w:val="18"/>
              </w:rPr>
            </w:pPr>
            <w:r w:rsidRPr="00100925">
              <w:rPr>
                <w:sz w:val="18"/>
                <w:szCs w:val="18"/>
              </w:rPr>
              <w:t>0.39</w:t>
            </w:r>
          </w:p>
        </w:tc>
        <w:tc>
          <w:tcPr>
            <w:tcW w:w="1491" w:type="dxa"/>
            <w:shd w:val="clear" w:color="auto" w:fill="FBFBFB"/>
            <w:hideMark/>
          </w:tcPr>
          <w:p w14:paraId="50391AF7" w14:textId="77777777" w:rsidR="00434D0C" w:rsidRPr="00100925" w:rsidRDefault="00434D0C" w:rsidP="00A260DC">
            <w:pPr>
              <w:pStyle w:val="NormalWeb"/>
              <w:jc w:val="center"/>
              <w:rPr>
                <w:sz w:val="18"/>
                <w:szCs w:val="18"/>
              </w:rPr>
            </w:pPr>
            <w:r w:rsidRPr="00100925">
              <w:rPr>
                <w:sz w:val="18"/>
                <w:szCs w:val="18"/>
              </w:rPr>
              <w:t>0.36, 0.42</w:t>
            </w:r>
          </w:p>
        </w:tc>
        <w:tc>
          <w:tcPr>
            <w:tcW w:w="1492" w:type="dxa"/>
            <w:vMerge/>
            <w:tcBorders>
              <w:bottom w:val="single" w:sz="12" w:space="0" w:color="0D0D0D" w:themeColor="text1" w:themeTint="F2"/>
            </w:tcBorders>
            <w:shd w:val="clear" w:color="auto" w:fill="FBFBFB"/>
            <w:hideMark/>
          </w:tcPr>
          <w:p w14:paraId="39CC4C6C" w14:textId="77777777" w:rsidR="00434D0C" w:rsidRPr="00100925" w:rsidRDefault="00434D0C" w:rsidP="00A260DC">
            <w:pPr>
              <w:jc w:val="center"/>
              <w:rPr>
                <w:sz w:val="18"/>
                <w:szCs w:val="18"/>
              </w:rPr>
            </w:pPr>
          </w:p>
        </w:tc>
      </w:tr>
      <w:tr w:rsidR="00434D0C" w:rsidRPr="00100925" w14:paraId="772CC1E3" w14:textId="77777777" w:rsidTr="0012157B">
        <w:tblPrEx>
          <w:tblCellMar>
            <w:top w:w="57" w:type="dxa"/>
            <w:left w:w="57" w:type="dxa"/>
            <w:bottom w:w="57" w:type="dxa"/>
            <w:right w:w="57" w:type="dxa"/>
          </w:tblCellMar>
        </w:tblPrEx>
        <w:tc>
          <w:tcPr>
            <w:tcW w:w="1491" w:type="dxa"/>
            <w:vMerge/>
            <w:tcBorders>
              <w:bottom w:val="single" w:sz="12" w:space="0" w:color="0D0D0D" w:themeColor="text1" w:themeTint="F2"/>
            </w:tcBorders>
            <w:shd w:val="clear" w:color="auto" w:fill="FBFBFB"/>
            <w:hideMark/>
          </w:tcPr>
          <w:p w14:paraId="2E5E711A" w14:textId="77777777" w:rsidR="00434D0C" w:rsidRPr="00100925" w:rsidRDefault="00434D0C" w:rsidP="00A260DC">
            <w:pPr>
              <w:rPr>
                <w:sz w:val="18"/>
                <w:szCs w:val="18"/>
              </w:rPr>
            </w:pPr>
          </w:p>
        </w:tc>
        <w:tc>
          <w:tcPr>
            <w:tcW w:w="1344" w:type="dxa"/>
            <w:shd w:val="clear" w:color="auto" w:fill="FBFBFB"/>
            <w:hideMark/>
          </w:tcPr>
          <w:p w14:paraId="7825B102" w14:textId="77777777" w:rsidR="00434D0C" w:rsidRPr="00100925" w:rsidRDefault="00434D0C" w:rsidP="00A260DC">
            <w:pPr>
              <w:pStyle w:val="NormalWeb"/>
              <w:jc w:val="center"/>
              <w:rPr>
                <w:sz w:val="18"/>
                <w:szCs w:val="18"/>
              </w:rPr>
            </w:pPr>
            <w:r w:rsidRPr="00100925">
              <w:rPr>
                <w:sz w:val="18"/>
                <w:szCs w:val="18"/>
              </w:rPr>
              <w:t>Qld</w:t>
            </w:r>
          </w:p>
        </w:tc>
        <w:tc>
          <w:tcPr>
            <w:tcW w:w="1639" w:type="dxa"/>
            <w:shd w:val="clear" w:color="auto" w:fill="FBFBFB"/>
            <w:hideMark/>
          </w:tcPr>
          <w:p w14:paraId="59048D44" w14:textId="77777777" w:rsidR="00434D0C" w:rsidRPr="00100925" w:rsidRDefault="00434D0C" w:rsidP="00A260DC">
            <w:pPr>
              <w:pStyle w:val="NormalWeb"/>
              <w:jc w:val="center"/>
              <w:rPr>
                <w:sz w:val="18"/>
                <w:szCs w:val="18"/>
              </w:rPr>
            </w:pPr>
            <w:r w:rsidRPr="00100925">
              <w:rPr>
                <w:sz w:val="18"/>
                <w:szCs w:val="18"/>
              </w:rPr>
              <w:t>2 (1, 4)</w:t>
            </w:r>
          </w:p>
        </w:tc>
        <w:tc>
          <w:tcPr>
            <w:tcW w:w="2472" w:type="dxa"/>
            <w:shd w:val="clear" w:color="auto" w:fill="FBFBFB"/>
            <w:hideMark/>
          </w:tcPr>
          <w:p w14:paraId="1EAC4724" w14:textId="77777777" w:rsidR="00434D0C" w:rsidRPr="00100925" w:rsidRDefault="00434D0C" w:rsidP="00A260DC">
            <w:pPr>
              <w:pStyle w:val="NormalWeb"/>
              <w:jc w:val="center"/>
              <w:rPr>
                <w:sz w:val="18"/>
                <w:szCs w:val="18"/>
              </w:rPr>
            </w:pPr>
            <w:r w:rsidRPr="00100925">
              <w:rPr>
                <w:sz w:val="18"/>
                <w:szCs w:val="18"/>
              </w:rPr>
              <w:t>32.03</w:t>
            </w:r>
          </w:p>
        </w:tc>
        <w:tc>
          <w:tcPr>
            <w:tcW w:w="511" w:type="dxa"/>
            <w:shd w:val="clear" w:color="auto" w:fill="FBFBFB"/>
            <w:hideMark/>
          </w:tcPr>
          <w:p w14:paraId="5231F6F6" w14:textId="77777777" w:rsidR="00434D0C" w:rsidRPr="00100925" w:rsidRDefault="00434D0C" w:rsidP="00A260DC">
            <w:pPr>
              <w:pStyle w:val="NormalWeb"/>
              <w:jc w:val="center"/>
              <w:rPr>
                <w:sz w:val="18"/>
                <w:szCs w:val="18"/>
              </w:rPr>
            </w:pPr>
            <w:r w:rsidRPr="00100925">
              <w:rPr>
                <w:sz w:val="18"/>
                <w:szCs w:val="18"/>
              </w:rPr>
              <w:t>0.60</w:t>
            </w:r>
          </w:p>
        </w:tc>
        <w:tc>
          <w:tcPr>
            <w:tcW w:w="1491" w:type="dxa"/>
            <w:shd w:val="clear" w:color="auto" w:fill="FBFBFB"/>
            <w:hideMark/>
          </w:tcPr>
          <w:p w14:paraId="61DC0EC3" w14:textId="77777777" w:rsidR="00434D0C" w:rsidRPr="00100925" w:rsidRDefault="00434D0C" w:rsidP="00A260DC">
            <w:pPr>
              <w:pStyle w:val="NormalWeb"/>
              <w:jc w:val="center"/>
              <w:rPr>
                <w:sz w:val="18"/>
                <w:szCs w:val="18"/>
              </w:rPr>
            </w:pPr>
            <w:r w:rsidRPr="00100925">
              <w:rPr>
                <w:sz w:val="18"/>
                <w:szCs w:val="18"/>
              </w:rPr>
              <w:t>0.58, 0.61</w:t>
            </w:r>
          </w:p>
        </w:tc>
        <w:tc>
          <w:tcPr>
            <w:tcW w:w="1492" w:type="dxa"/>
            <w:vMerge/>
            <w:tcBorders>
              <w:bottom w:val="single" w:sz="12" w:space="0" w:color="0D0D0D" w:themeColor="text1" w:themeTint="F2"/>
            </w:tcBorders>
            <w:shd w:val="clear" w:color="auto" w:fill="FBFBFB"/>
            <w:hideMark/>
          </w:tcPr>
          <w:p w14:paraId="522F2F0C" w14:textId="77777777" w:rsidR="00434D0C" w:rsidRPr="00100925" w:rsidRDefault="00434D0C" w:rsidP="00A260DC">
            <w:pPr>
              <w:jc w:val="center"/>
              <w:rPr>
                <w:sz w:val="18"/>
                <w:szCs w:val="18"/>
              </w:rPr>
            </w:pPr>
          </w:p>
        </w:tc>
      </w:tr>
      <w:tr w:rsidR="00434D0C" w:rsidRPr="00100925" w14:paraId="2D6AE65B" w14:textId="77777777" w:rsidTr="0012157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491" w:type="dxa"/>
            <w:vMerge/>
            <w:tcBorders>
              <w:bottom w:val="single" w:sz="12" w:space="0" w:color="0D0D0D" w:themeColor="text1" w:themeTint="F2"/>
            </w:tcBorders>
            <w:shd w:val="clear" w:color="auto" w:fill="FBFBFB"/>
            <w:hideMark/>
          </w:tcPr>
          <w:p w14:paraId="0B171C33" w14:textId="77777777" w:rsidR="00434D0C" w:rsidRPr="00100925" w:rsidRDefault="00434D0C" w:rsidP="00A260DC">
            <w:pPr>
              <w:rPr>
                <w:sz w:val="18"/>
                <w:szCs w:val="18"/>
              </w:rPr>
            </w:pPr>
          </w:p>
        </w:tc>
        <w:tc>
          <w:tcPr>
            <w:tcW w:w="1344" w:type="dxa"/>
            <w:tcBorders>
              <w:bottom w:val="single" w:sz="2" w:space="0" w:color="0D0D0D" w:themeColor="text1" w:themeTint="F2"/>
            </w:tcBorders>
            <w:shd w:val="clear" w:color="auto" w:fill="FBFBFB"/>
            <w:hideMark/>
          </w:tcPr>
          <w:p w14:paraId="10A19863" w14:textId="77777777" w:rsidR="00434D0C" w:rsidRPr="00100925" w:rsidRDefault="00434D0C" w:rsidP="00A260DC">
            <w:pPr>
              <w:pStyle w:val="NormalWeb"/>
              <w:jc w:val="center"/>
              <w:rPr>
                <w:sz w:val="18"/>
                <w:szCs w:val="18"/>
              </w:rPr>
            </w:pPr>
            <w:r w:rsidRPr="00100925">
              <w:rPr>
                <w:sz w:val="18"/>
                <w:szCs w:val="18"/>
              </w:rPr>
              <w:t>SA</w:t>
            </w:r>
          </w:p>
        </w:tc>
        <w:tc>
          <w:tcPr>
            <w:tcW w:w="1639" w:type="dxa"/>
            <w:tcBorders>
              <w:bottom w:val="single" w:sz="2" w:space="0" w:color="0D0D0D" w:themeColor="text1" w:themeTint="F2"/>
            </w:tcBorders>
            <w:shd w:val="clear" w:color="auto" w:fill="FBFBFB"/>
            <w:hideMark/>
          </w:tcPr>
          <w:p w14:paraId="225FC8DC" w14:textId="77777777" w:rsidR="00434D0C" w:rsidRPr="00100925" w:rsidRDefault="00434D0C" w:rsidP="00A260DC">
            <w:pPr>
              <w:pStyle w:val="NormalWeb"/>
              <w:jc w:val="center"/>
              <w:rPr>
                <w:sz w:val="18"/>
                <w:szCs w:val="18"/>
              </w:rPr>
            </w:pPr>
            <w:r w:rsidRPr="00100925">
              <w:rPr>
                <w:sz w:val="18"/>
                <w:szCs w:val="18"/>
              </w:rPr>
              <w:t>3 (1, 5)</w:t>
            </w:r>
          </w:p>
        </w:tc>
        <w:tc>
          <w:tcPr>
            <w:tcW w:w="2472" w:type="dxa"/>
            <w:tcBorders>
              <w:bottom w:val="single" w:sz="2" w:space="0" w:color="0D0D0D" w:themeColor="text1" w:themeTint="F2"/>
            </w:tcBorders>
            <w:shd w:val="clear" w:color="auto" w:fill="FBFBFB"/>
            <w:hideMark/>
          </w:tcPr>
          <w:p w14:paraId="4FA970EB" w14:textId="77777777" w:rsidR="00434D0C" w:rsidRPr="00100925" w:rsidRDefault="00434D0C" w:rsidP="00A260DC">
            <w:pPr>
              <w:pStyle w:val="NormalWeb"/>
              <w:jc w:val="center"/>
              <w:rPr>
                <w:sz w:val="18"/>
                <w:szCs w:val="18"/>
              </w:rPr>
            </w:pPr>
            <w:r w:rsidRPr="00100925">
              <w:rPr>
                <w:sz w:val="18"/>
                <w:szCs w:val="18"/>
              </w:rPr>
              <w:t>26.79</w:t>
            </w:r>
          </w:p>
        </w:tc>
        <w:tc>
          <w:tcPr>
            <w:tcW w:w="511" w:type="dxa"/>
            <w:tcBorders>
              <w:bottom w:val="single" w:sz="2" w:space="0" w:color="0D0D0D" w:themeColor="text1" w:themeTint="F2"/>
            </w:tcBorders>
            <w:shd w:val="clear" w:color="auto" w:fill="FBFBFB"/>
            <w:hideMark/>
          </w:tcPr>
          <w:p w14:paraId="325DCEC6" w14:textId="77777777" w:rsidR="00434D0C" w:rsidRPr="00100925" w:rsidRDefault="00434D0C" w:rsidP="00A260DC">
            <w:pPr>
              <w:pStyle w:val="NormalWeb"/>
              <w:jc w:val="center"/>
              <w:rPr>
                <w:sz w:val="18"/>
                <w:szCs w:val="18"/>
              </w:rPr>
            </w:pPr>
            <w:r w:rsidRPr="00100925">
              <w:rPr>
                <w:sz w:val="18"/>
                <w:szCs w:val="18"/>
              </w:rPr>
              <w:t>0.46</w:t>
            </w:r>
          </w:p>
        </w:tc>
        <w:tc>
          <w:tcPr>
            <w:tcW w:w="1491" w:type="dxa"/>
            <w:tcBorders>
              <w:bottom w:val="single" w:sz="2" w:space="0" w:color="0D0D0D" w:themeColor="text1" w:themeTint="F2"/>
            </w:tcBorders>
            <w:shd w:val="clear" w:color="auto" w:fill="FBFBFB"/>
            <w:hideMark/>
          </w:tcPr>
          <w:p w14:paraId="53D24EE1" w14:textId="77777777" w:rsidR="00434D0C" w:rsidRPr="00100925" w:rsidRDefault="00434D0C" w:rsidP="00A260DC">
            <w:pPr>
              <w:pStyle w:val="NormalWeb"/>
              <w:jc w:val="center"/>
              <w:rPr>
                <w:sz w:val="18"/>
                <w:szCs w:val="18"/>
              </w:rPr>
            </w:pPr>
            <w:r w:rsidRPr="00100925">
              <w:rPr>
                <w:sz w:val="18"/>
                <w:szCs w:val="18"/>
              </w:rPr>
              <w:t>0.44, 0.48</w:t>
            </w:r>
          </w:p>
        </w:tc>
        <w:tc>
          <w:tcPr>
            <w:tcW w:w="1492" w:type="dxa"/>
            <w:vMerge/>
            <w:tcBorders>
              <w:bottom w:val="single" w:sz="12" w:space="0" w:color="0D0D0D" w:themeColor="text1" w:themeTint="F2"/>
            </w:tcBorders>
            <w:shd w:val="clear" w:color="auto" w:fill="FBFBFB"/>
            <w:hideMark/>
          </w:tcPr>
          <w:p w14:paraId="4628FC7B" w14:textId="77777777" w:rsidR="00434D0C" w:rsidRPr="00100925" w:rsidRDefault="00434D0C" w:rsidP="00A260DC">
            <w:pPr>
              <w:jc w:val="center"/>
              <w:rPr>
                <w:sz w:val="18"/>
                <w:szCs w:val="18"/>
              </w:rPr>
            </w:pPr>
          </w:p>
        </w:tc>
      </w:tr>
      <w:tr w:rsidR="00434D0C" w:rsidRPr="00100925" w14:paraId="2CE5637D" w14:textId="77777777" w:rsidTr="0012157B">
        <w:tblPrEx>
          <w:tblCellMar>
            <w:top w:w="57" w:type="dxa"/>
            <w:left w:w="57" w:type="dxa"/>
            <w:bottom w:w="57" w:type="dxa"/>
            <w:right w:w="57" w:type="dxa"/>
          </w:tblCellMar>
        </w:tblPrEx>
        <w:tc>
          <w:tcPr>
            <w:tcW w:w="1491" w:type="dxa"/>
            <w:vMerge/>
            <w:tcBorders>
              <w:bottom w:val="single" w:sz="12" w:space="0" w:color="0D0D0D" w:themeColor="text1" w:themeTint="F2"/>
            </w:tcBorders>
            <w:shd w:val="clear" w:color="auto" w:fill="FBFBFB"/>
            <w:hideMark/>
          </w:tcPr>
          <w:p w14:paraId="79140B92" w14:textId="77777777" w:rsidR="00434D0C" w:rsidRPr="00100925" w:rsidRDefault="00434D0C" w:rsidP="00A260DC">
            <w:pPr>
              <w:rPr>
                <w:sz w:val="18"/>
                <w:szCs w:val="18"/>
              </w:rPr>
            </w:pPr>
          </w:p>
        </w:tc>
        <w:tc>
          <w:tcPr>
            <w:tcW w:w="1344" w:type="dxa"/>
            <w:tcBorders>
              <w:bottom w:val="single" w:sz="12" w:space="0" w:color="0D0D0D" w:themeColor="text1" w:themeTint="F2"/>
            </w:tcBorders>
            <w:shd w:val="clear" w:color="auto" w:fill="FBFBFB"/>
            <w:hideMark/>
          </w:tcPr>
          <w:p w14:paraId="110CCA11" w14:textId="77777777" w:rsidR="00434D0C" w:rsidRPr="00100925" w:rsidRDefault="00434D0C" w:rsidP="00A260DC">
            <w:pPr>
              <w:pStyle w:val="NormalWeb"/>
              <w:jc w:val="center"/>
              <w:rPr>
                <w:sz w:val="18"/>
                <w:szCs w:val="18"/>
              </w:rPr>
            </w:pPr>
            <w:r w:rsidRPr="00100925">
              <w:rPr>
                <w:sz w:val="18"/>
                <w:szCs w:val="18"/>
              </w:rPr>
              <w:t>Tas.</w:t>
            </w:r>
          </w:p>
        </w:tc>
        <w:tc>
          <w:tcPr>
            <w:tcW w:w="1639" w:type="dxa"/>
            <w:tcBorders>
              <w:bottom w:val="single" w:sz="12" w:space="0" w:color="0D0D0D" w:themeColor="text1" w:themeTint="F2"/>
            </w:tcBorders>
            <w:shd w:val="clear" w:color="auto" w:fill="FBFBFB"/>
            <w:hideMark/>
          </w:tcPr>
          <w:p w14:paraId="32B0A28D" w14:textId="77777777" w:rsidR="00434D0C" w:rsidRPr="00100925" w:rsidRDefault="00434D0C" w:rsidP="00A260DC">
            <w:pPr>
              <w:pStyle w:val="NormalWeb"/>
              <w:jc w:val="center"/>
              <w:rPr>
                <w:sz w:val="18"/>
                <w:szCs w:val="18"/>
              </w:rPr>
            </w:pPr>
            <w:r w:rsidRPr="00100925">
              <w:rPr>
                <w:sz w:val="18"/>
                <w:szCs w:val="18"/>
              </w:rPr>
              <w:t>3 (2, 5)</w:t>
            </w:r>
          </w:p>
        </w:tc>
        <w:tc>
          <w:tcPr>
            <w:tcW w:w="2472" w:type="dxa"/>
            <w:tcBorders>
              <w:bottom w:val="single" w:sz="12" w:space="0" w:color="0D0D0D" w:themeColor="text1" w:themeTint="F2"/>
            </w:tcBorders>
            <w:shd w:val="clear" w:color="auto" w:fill="FBFBFB"/>
            <w:hideMark/>
          </w:tcPr>
          <w:p w14:paraId="3D58D3CA" w14:textId="77777777" w:rsidR="00434D0C" w:rsidRPr="00100925" w:rsidRDefault="00434D0C" w:rsidP="00A260DC">
            <w:pPr>
              <w:pStyle w:val="NormalWeb"/>
              <w:jc w:val="center"/>
              <w:rPr>
                <w:sz w:val="18"/>
                <w:szCs w:val="18"/>
              </w:rPr>
            </w:pPr>
            <w:r w:rsidRPr="00100925">
              <w:rPr>
                <w:sz w:val="18"/>
                <w:szCs w:val="18"/>
              </w:rPr>
              <w:t>14.54</w:t>
            </w:r>
          </w:p>
        </w:tc>
        <w:tc>
          <w:tcPr>
            <w:tcW w:w="511" w:type="dxa"/>
            <w:tcBorders>
              <w:bottom w:val="single" w:sz="12" w:space="0" w:color="0D0D0D" w:themeColor="text1" w:themeTint="F2"/>
            </w:tcBorders>
            <w:shd w:val="clear" w:color="auto" w:fill="FBFBFB"/>
            <w:hideMark/>
          </w:tcPr>
          <w:p w14:paraId="13C1BAB0" w14:textId="77777777" w:rsidR="00434D0C" w:rsidRPr="00100925" w:rsidRDefault="00434D0C" w:rsidP="00A260DC">
            <w:pPr>
              <w:pStyle w:val="NormalWeb"/>
              <w:jc w:val="center"/>
              <w:rPr>
                <w:sz w:val="18"/>
                <w:szCs w:val="18"/>
              </w:rPr>
            </w:pPr>
            <w:r w:rsidRPr="00100925">
              <w:rPr>
                <w:sz w:val="18"/>
                <w:szCs w:val="18"/>
              </w:rPr>
              <w:t>0.22</w:t>
            </w:r>
          </w:p>
        </w:tc>
        <w:tc>
          <w:tcPr>
            <w:tcW w:w="1491" w:type="dxa"/>
            <w:tcBorders>
              <w:bottom w:val="single" w:sz="12" w:space="0" w:color="0D0D0D" w:themeColor="text1" w:themeTint="F2"/>
            </w:tcBorders>
            <w:shd w:val="clear" w:color="auto" w:fill="FBFBFB"/>
            <w:hideMark/>
          </w:tcPr>
          <w:p w14:paraId="0A239E4C" w14:textId="77777777" w:rsidR="00434D0C" w:rsidRPr="00100925" w:rsidRDefault="00434D0C" w:rsidP="00A260DC">
            <w:pPr>
              <w:pStyle w:val="NormalWeb"/>
              <w:jc w:val="center"/>
              <w:rPr>
                <w:sz w:val="18"/>
                <w:szCs w:val="18"/>
              </w:rPr>
            </w:pPr>
            <w:r w:rsidRPr="00100925">
              <w:rPr>
                <w:sz w:val="18"/>
                <w:szCs w:val="18"/>
              </w:rPr>
              <w:t>0.20, 0.23</w:t>
            </w:r>
          </w:p>
        </w:tc>
        <w:tc>
          <w:tcPr>
            <w:tcW w:w="1492" w:type="dxa"/>
            <w:vMerge/>
            <w:tcBorders>
              <w:bottom w:val="single" w:sz="12" w:space="0" w:color="0D0D0D" w:themeColor="text1" w:themeTint="F2"/>
            </w:tcBorders>
            <w:shd w:val="clear" w:color="auto" w:fill="FBFBFB"/>
            <w:hideMark/>
          </w:tcPr>
          <w:p w14:paraId="137C9178" w14:textId="77777777" w:rsidR="00434D0C" w:rsidRPr="00100925" w:rsidRDefault="00434D0C" w:rsidP="00A260DC">
            <w:pPr>
              <w:jc w:val="center"/>
              <w:rPr>
                <w:sz w:val="18"/>
                <w:szCs w:val="18"/>
              </w:rPr>
            </w:pPr>
          </w:p>
        </w:tc>
      </w:tr>
      <w:tr w:rsidR="00434D0C" w:rsidRPr="00100925" w14:paraId="4C27D0BB" w14:textId="77777777" w:rsidTr="0012157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491" w:type="dxa"/>
            <w:vMerge/>
            <w:tcBorders>
              <w:bottom w:val="single" w:sz="12" w:space="0" w:color="0D0D0D" w:themeColor="text1" w:themeTint="F2"/>
            </w:tcBorders>
            <w:shd w:val="clear" w:color="auto" w:fill="FBFBFB"/>
            <w:hideMark/>
          </w:tcPr>
          <w:p w14:paraId="77268368" w14:textId="77777777" w:rsidR="00434D0C" w:rsidRPr="00100925" w:rsidRDefault="00434D0C" w:rsidP="00A260DC">
            <w:pPr>
              <w:rPr>
                <w:sz w:val="18"/>
                <w:szCs w:val="18"/>
              </w:rPr>
            </w:pPr>
          </w:p>
        </w:tc>
        <w:tc>
          <w:tcPr>
            <w:tcW w:w="1344" w:type="dxa"/>
            <w:tcBorders>
              <w:top w:val="single" w:sz="12" w:space="0" w:color="0D0D0D" w:themeColor="text1" w:themeTint="F2"/>
              <w:bottom w:val="single" w:sz="2" w:space="0" w:color="0D0D0D" w:themeColor="text1" w:themeTint="F2"/>
            </w:tcBorders>
            <w:shd w:val="clear" w:color="auto" w:fill="FBFBFB"/>
            <w:hideMark/>
          </w:tcPr>
          <w:p w14:paraId="1B8C142F" w14:textId="77777777" w:rsidR="00434D0C" w:rsidRPr="00100925" w:rsidRDefault="00434D0C" w:rsidP="00A260DC">
            <w:pPr>
              <w:pStyle w:val="NormalWeb"/>
              <w:jc w:val="center"/>
              <w:rPr>
                <w:sz w:val="18"/>
                <w:szCs w:val="18"/>
              </w:rPr>
            </w:pPr>
            <w:r w:rsidRPr="00100925">
              <w:rPr>
                <w:sz w:val="18"/>
                <w:szCs w:val="18"/>
              </w:rPr>
              <w:t>Vic.</w:t>
            </w:r>
          </w:p>
        </w:tc>
        <w:tc>
          <w:tcPr>
            <w:tcW w:w="1639" w:type="dxa"/>
            <w:tcBorders>
              <w:top w:val="single" w:sz="12" w:space="0" w:color="0D0D0D" w:themeColor="text1" w:themeTint="F2"/>
              <w:bottom w:val="single" w:sz="2" w:space="0" w:color="0D0D0D" w:themeColor="text1" w:themeTint="F2"/>
            </w:tcBorders>
            <w:shd w:val="clear" w:color="auto" w:fill="FBFBFB"/>
            <w:hideMark/>
          </w:tcPr>
          <w:p w14:paraId="67EF1C06" w14:textId="77777777" w:rsidR="00434D0C" w:rsidRPr="00100925" w:rsidRDefault="00434D0C" w:rsidP="00A260DC">
            <w:pPr>
              <w:pStyle w:val="NormalWeb"/>
              <w:jc w:val="center"/>
              <w:rPr>
                <w:sz w:val="18"/>
                <w:szCs w:val="18"/>
              </w:rPr>
            </w:pPr>
            <w:r w:rsidRPr="00100925">
              <w:rPr>
                <w:sz w:val="18"/>
                <w:szCs w:val="18"/>
              </w:rPr>
              <w:t>2 (1, 3)</w:t>
            </w:r>
          </w:p>
        </w:tc>
        <w:tc>
          <w:tcPr>
            <w:tcW w:w="2472" w:type="dxa"/>
            <w:tcBorders>
              <w:top w:val="single" w:sz="12" w:space="0" w:color="0D0D0D" w:themeColor="text1" w:themeTint="F2"/>
              <w:bottom w:val="single" w:sz="2" w:space="0" w:color="0D0D0D" w:themeColor="text1" w:themeTint="F2"/>
            </w:tcBorders>
            <w:shd w:val="clear" w:color="auto" w:fill="FBFBFB"/>
            <w:hideMark/>
          </w:tcPr>
          <w:p w14:paraId="5B1300EC" w14:textId="77777777" w:rsidR="00434D0C" w:rsidRPr="00100925" w:rsidRDefault="00434D0C" w:rsidP="00A260DC">
            <w:pPr>
              <w:pStyle w:val="NormalWeb"/>
              <w:jc w:val="center"/>
              <w:rPr>
                <w:sz w:val="18"/>
                <w:szCs w:val="18"/>
              </w:rPr>
            </w:pPr>
            <w:r w:rsidRPr="00100925">
              <w:rPr>
                <w:sz w:val="18"/>
                <w:szCs w:val="18"/>
              </w:rPr>
              <w:t>46.52</w:t>
            </w:r>
          </w:p>
        </w:tc>
        <w:tc>
          <w:tcPr>
            <w:tcW w:w="511" w:type="dxa"/>
            <w:tcBorders>
              <w:top w:val="single" w:sz="12" w:space="0" w:color="0D0D0D" w:themeColor="text1" w:themeTint="F2"/>
              <w:bottom w:val="single" w:sz="2" w:space="0" w:color="0D0D0D" w:themeColor="text1" w:themeTint="F2"/>
            </w:tcBorders>
            <w:shd w:val="clear" w:color="auto" w:fill="FBFBFB"/>
            <w:hideMark/>
          </w:tcPr>
          <w:p w14:paraId="03174969" w14:textId="77777777" w:rsidR="00434D0C" w:rsidRPr="00100925" w:rsidRDefault="00434D0C" w:rsidP="00A260DC">
            <w:pPr>
              <w:pStyle w:val="NormalWeb"/>
              <w:jc w:val="center"/>
              <w:rPr>
                <w:sz w:val="18"/>
                <w:szCs w:val="18"/>
              </w:rPr>
            </w:pPr>
            <w:r w:rsidRPr="00100925">
              <w:rPr>
                <w:sz w:val="18"/>
                <w:szCs w:val="18"/>
              </w:rPr>
              <w:t>1.10</w:t>
            </w:r>
          </w:p>
        </w:tc>
        <w:tc>
          <w:tcPr>
            <w:tcW w:w="1491" w:type="dxa"/>
            <w:tcBorders>
              <w:top w:val="single" w:sz="12" w:space="0" w:color="0D0D0D" w:themeColor="text1" w:themeTint="F2"/>
              <w:bottom w:val="single" w:sz="2" w:space="0" w:color="0D0D0D" w:themeColor="text1" w:themeTint="F2"/>
            </w:tcBorders>
            <w:shd w:val="clear" w:color="auto" w:fill="FBFBFB"/>
            <w:hideMark/>
          </w:tcPr>
          <w:p w14:paraId="2F67F54C" w14:textId="77777777" w:rsidR="00434D0C" w:rsidRPr="00100925" w:rsidRDefault="00434D0C" w:rsidP="00A260DC">
            <w:pPr>
              <w:pStyle w:val="NormalWeb"/>
              <w:jc w:val="center"/>
              <w:rPr>
                <w:sz w:val="18"/>
                <w:szCs w:val="18"/>
              </w:rPr>
            </w:pPr>
            <w:r w:rsidRPr="00100925">
              <w:rPr>
                <w:sz w:val="18"/>
                <w:szCs w:val="18"/>
              </w:rPr>
              <w:t>1.08, 1.12</w:t>
            </w:r>
          </w:p>
        </w:tc>
        <w:tc>
          <w:tcPr>
            <w:tcW w:w="1492" w:type="dxa"/>
            <w:vMerge/>
            <w:tcBorders>
              <w:bottom w:val="single" w:sz="12" w:space="0" w:color="0D0D0D" w:themeColor="text1" w:themeTint="F2"/>
            </w:tcBorders>
            <w:shd w:val="clear" w:color="auto" w:fill="FBFBFB"/>
            <w:hideMark/>
          </w:tcPr>
          <w:p w14:paraId="423A2846" w14:textId="77777777" w:rsidR="00434D0C" w:rsidRPr="00100925" w:rsidRDefault="00434D0C" w:rsidP="00A260DC">
            <w:pPr>
              <w:jc w:val="center"/>
              <w:rPr>
                <w:sz w:val="18"/>
                <w:szCs w:val="18"/>
              </w:rPr>
            </w:pPr>
          </w:p>
        </w:tc>
      </w:tr>
      <w:tr w:rsidR="00434D0C" w:rsidRPr="00100925" w14:paraId="0858F0C8" w14:textId="77777777" w:rsidTr="0012157B">
        <w:tblPrEx>
          <w:tblCellMar>
            <w:top w:w="57" w:type="dxa"/>
            <w:left w:w="57" w:type="dxa"/>
            <w:bottom w:w="57" w:type="dxa"/>
            <w:right w:w="57" w:type="dxa"/>
          </w:tblCellMar>
        </w:tblPrEx>
        <w:tc>
          <w:tcPr>
            <w:tcW w:w="1491" w:type="dxa"/>
            <w:vMerge/>
            <w:tcBorders>
              <w:bottom w:val="single" w:sz="12" w:space="0" w:color="0D0D0D" w:themeColor="text1" w:themeTint="F2"/>
            </w:tcBorders>
            <w:shd w:val="clear" w:color="auto" w:fill="FBFBFB"/>
            <w:hideMark/>
          </w:tcPr>
          <w:p w14:paraId="2E7F84D4" w14:textId="77777777" w:rsidR="00434D0C" w:rsidRPr="00100925" w:rsidRDefault="00434D0C" w:rsidP="00A260DC">
            <w:pPr>
              <w:rPr>
                <w:sz w:val="18"/>
                <w:szCs w:val="18"/>
              </w:rPr>
            </w:pPr>
          </w:p>
        </w:tc>
        <w:tc>
          <w:tcPr>
            <w:tcW w:w="1344" w:type="dxa"/>
            <w:tcBorders>
              <w:bottom w:val="single" w:sz="12" w:space="0" w:color="0D0D0D" w:themeColor="text1" w:themeTint="F2"/>
            </w:tcBorders>
            <w:shd w:val="clear" w:color="auto" w:fill="FBFBFB"/>
            <w:hideMark/>
          </w:tcPr>
          <w:p w14:paraId="6D178C42" w14:textId="77777777" w:rsidR="00434D0C" w:rsidRPr="00100925" w:rsidRDefault="00434D0C" w:rsidP="00A260DC">
            <w:pPr>
              <w:pStyle w:val="NormalWeb"/>
              <w:jc w:val="center"/>
              <w:rPr>
                <w:sz w:val="18"/>
                <w:szCs w:val="18"/>
              </w:rPr>
            </w:pPr>
            <w:r w:rsidRPr="00100925">
              <w:rPr>
                <w:sz w:val="18"/>
                <w:szCs w:val="18"/>
              </w:rPr>
              <w:t>WA</w:t>
            </w:r>
          </w:p>
        </w:tc>
        <w:tc>
          <w:tcPr>
            <w:tcW w:w="1639" w:type="dxa"/>
            <w:tcBorders>
              <w:bottom w:val="single" w:sz="12" w:space="0" w:color="0D0D0D" w:themeColor="text1" w:themeTint="F2"/>
            </w:tcBorders>
            <w:shd w:val="clear" w:color="auto" w:fill="FBFBFB"/>
            <w:hideMark/>
          </w:tcPr>
          <w:p w14:paraId="3B6CB89D" w14:textId="77777777" w:rsidR="00434D0C" w:rsidRPr="00100925" w:rsidRDefault="00434D0C" w:rsidP="00A260DC">
            <w:pPr>
              <w:pStyle w:val="NormalWeb"/>
              <w:jc w:val="center"/>
              <w:rPr>
                <w:sz w:val="18"/>
                <w:szCs w:val="18"/>
              </w:rPr>
            </w:pPr>
            <w:r w:rsidRPr="00100925">
              <w:rPr>
                <w:sz w:val="18"/>
                <w:szCs w:val="18"/>
              </w:rPr>
              <w:t>3 (2, 5)</w:t>
            </w:r>
          </w:p>
        </w:tc>
        <w:tc>
          <w:tcPr>
            <w:tcW w:w="2472" w:type="dxa"/>
            <w:tcBorders>
              <w:bottom w:val="single" w:sz="12" w:space="0" w:color="0D0D0D" w:themeColor="text1" w:themeTint="F2"/>
            </w:tcBorders>
            <w:shd w:val="clear" w:color="auto" w:fill="FBFBFB"/>
            <w:hideMark/>
          </w:tcPr>
          <w:p w14:paraId="54F32398" w14:textId="77777777" w:rsidR="00434D0C" w:rsidRPr="00100925" w:rsidRDefault="00434D0C" w:rsidP="00A260DC">
            <w:pPr>
              <w:pStyle w:val="NormalWeb"/>
              <w:jc w:val="center"/>
              <w:rPr>
                <w:sz w:val="18"/>
                <w:szCs w:val="18"/>
              </w:rPr>
            </w:pPr>
            <w:r w:rsidRPr="00100925">
              <w:rPr>
                <w:sz w:val="18"/>
                <w:szCs w:val="18"/>
              </w:rPr>
              <w:t>19.92</w:t>
            </w:r>
          </w:p>
        </w:tc>
        <w:tc>
          <w:tcPr>
            <w:tcW w:w="511" w:type="dxa"/>
            <w:tcBorders>
              <w:bottom w:val="single" w:sz="12" w:space="0" w:color="0D0D0D" w:themeColor="text1" w:themeTint="F2"/>
            </w:tcBorders>
            <w:shd w:val="clear" w:color="auto" w:fill="FBFBFB"/>
            <w:hideMark/>
          </w:tcPr>
          <w:p w14:paraId="0EA95FC7" w14:textId="77777777" w:rsidR="00434D0C" w:rsidRPr="00100925" w:rsidRDefault="00434D0C" w:rsidP="00A260DC">
            <w:pPr>
              <w:pStyle w:val="NormalWeb"/>
              <w:jc w:val="center"/>
              <w:rPr>
                <w:sz w:val="18"/>
                <w:szCs w:val="18"/>
              </w:rPr>
            </w:pPr>
            <w:r w:rsidRPr="00100925">
              <w:rPr>
                <w:sz w:val="18"/>
                <w:szCs w:val="18"/>
              </w:rPr>
              <w:t>0.31</w:t>
            </w:r>
          </w:p>
        </w:tc>
        <w:tc>
          <w:tcPr>
            <w:tcW w:w="1491" w:type="dxa"/>
            <w:tcBorders>
              <w:bottom w:val="single" w:sz="12" w:space="0" w:color="0D0D0D" w:themeColor="text1" w:themeTint="F2"/>
            </w:tcBorders>
            <w:shd w:val="clear" w:color="auto" w:fill="FBFBFB"/>
            <w:hideMark/>
          </w:tcPr>
          <w:p w14:paraId="12CC1BCE" w14:textId="77777777" w:rsidR="00434D0C" w:rsidRPr="00100925" w:rsidRDefault="00434D0C" w:rsidP="00A260DC">
            <w:pPr>
              <w:pStyle w:val="NormalWeb"/>
              <w:jc w:val="center"/>
              <w:rPr>
                <w:sz w:val="18"/>
                <w:szCs w:val="18"/>
              </w:rPr>
            </w:pPr>
            <w:r w:rsidRPr="00100925">
              <w:rPr>
                <w:sz w:val="18"/>
                <w:szCs w:val="18"/>
              </w:rPr>
              <w:t>0.30, 0.33</w:t>
            </w:r>
          </w:p>
        </w:tc>
        <w:tc>
          <w:tcPr>
            <w:tcW w:w="1492" w:type="dxa"/>
            <w:vMerge/>
            <w:tcBorders>
              <w:bottom w:val="single" w:sz="12" w:space="0" w:color="0D0D0D" w:themeColor="text1" w:themeTint="F2"/>
            </w:tcBorders>
            <w:shd w:val="clear" w:color="auto" w:fill="FBFBFB"/>
            <w:hideMark/>
          </w:tcPr>
          <w:p w14:paraId="3B535E64" w14:textId="77777777" w:rsidR="00434D0C" w:rsidRPr="00100925" w:rsidRDefault="00434D0C" w:rsidP="00A260DC">
            <w:pPr>
              <w:jc w:val="center"/>
              <w:rPr>
                <w:sz w:val="18"/>
                <w:szCs w:val="18"/>
              </w:rPr>
            </w:pPr>
          </w:p>
        </w:tc>
      </w:tr>
      <w:tr w:rsidR="00434D0C" w:rsidRPr="00100925" w14:paraId="1D22EC71" w14:textId="77777777" w:rsidTr="0012157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491" w:type="dxa"/>
            <w:vMerge w:val="restart"/>
            <w:tcBorders>
              <w:top w:val="single" w:sz="12" w:space="0" w:color="0D0D0D" w:themeColor="text1" w:themeTint="F2"/>
              <w:bottom w:val="single" w:sz="12" w:space="0" w:color="0D0D0D" w:themeColor="text1" w:themeTint="F2"/>
            </w:tcBorders>
            <w:shd w:val="clear" w:color="auto" w:fill="FBFBFB"/>
            <w:hideMark/>
          </w:tcPr>
          <w:p w14:paraId="5719E2F3" w14:textId="77777777" w:rsidR="00434D0C" w:rsidRPr="00100925" w:rsidRDefault="00434D0C" w:rsidP="00A260DC">
            <w:pPr>
              <w:pStyle w:val="NormalWeb"/>
              <w:rPr>
                <w:sz w:val="18"/>
                <w:szCs w:val="18"/>
              </w:rPr>
            </w:pPr>
            <w:r w:rsidRPr="00100925">
              <w:rPr>
                <w:sz w:val="18"/>
                <w:szCs w:val="18"/>
              </w:rPr>
              <w:t>All participants</w:t>
            </w:r>
          </w:p>
        </w:tc>
        <w:tc>
          <w:tcPr>
            <w:tcW w:w="1344" w:type="dxa"/>
            <w:tcBorders>
              <w:top w:val="single" w:sz="12" w:space="0" w:color="0D0D0D" w:themeColor="text1" w:themeTint="F2"/>
              <w:bottom w:val="single" w:sz="2" w:space="0" w:color="0D0D0D" w:themeColor="text1" w:themeTint="F2"/>
            </w:tcBorders>
            <w:shd w:val="clear" w:color="auto" w:fill="FBFBFB"/>
            <w:hideMark/>
          </w:tcPr>
          <w:p w14:paraId="17246A42" w14:textId="77777777" w:rsidR="00434D0C" w:rsidRPr="00100925" w:rsidRDefault="00434D0C" w:rsidP="00A260DC">
            <w:pPr>
              <w:pStyle w:val="NormalWeb"/>
              <w:jc w:val="center"/>
              <w:rPr>
                <w:sz w:val="18"/>
                <w:szCs w:val="18"/>
              </w:rPr>
            </w:pPr>
            <w:r w:rsidRPr="00100925">
              <w:rPr>
                <w:sz w:val="18"/>
                <w:szCs w:val="18"/>
              </w:rPr>
              <w:t>March 2021</w:t>
            </w:r>
          </w:p>
        </w:tc>
        <w:tc>
          <w:tcPr>
            <w:tcW w:w="1639" w:type="dxa"/>
            <w:tcBorders>
              <w:top w:val="single" w:sz="12" w:space="0" w:color="0D0D0D" w:themeColor="text1" w:themeTint="F2"/>
              <w:bottom w:val="single" w:sz="2" w:space="0" w:color="0D0D0D" w:themeColor="text1" w:themeTint="F2"/>
            </w:tcBorders>
            <w:shd w:val="clear" w:color="auto" w:fill="FBFBFB"/>
            <w:hideMark/>
          </w:tcPr>
          <w:p w14:paraId="6B0D219E" w14:textId="77777777" w:rsidR="00434D0C" w:rsidRPr="00100925" w:rsidRDefault="00434D0C" w:rsidP="00A260DC">
            <w:pPr>
              <w:pStyle w:val="NormalWeb"/>
              <w:jc w:val="center"/>
              <w:rPr>
                <w:sz w:val="18"/>
                <w:szCs w:val="18"/>
              </w:rPr>
            </w:pPr>
            <w:r w:rsidRPr="00100925">
              <w:rPr>
                <w:sz w:val="18"/>
                <w:szCs w:val="18"/>
              </w:rPr>
              <w:t>2 (1, 3)</w:t>
            </w:r>
          </w:p>
        </w:tc>
        <w:tc>
          <w:tcPr>
            <w:tcW w:w="2472" w:type="dxa"/>
            <w:tcBorders>
              <w:top w:val="single" w:sz="12" w:space="0" w:color="0D0D0D" w:themeColor="text1" w:themeTint="F2"/>
              <w:bottom w:val="single" w:sz="2" w:space="0" w:color="0D0D0D" w:themeColor="text1" w:themeTint="F2"/>
            </w:tcBorders>
            <w:shd w:val="clear" w:color="auto" w:fill="FBFBFB"/>
            <w:hideMark/>
          </w:tcPr>
          <w:p w14:paraId="71CF9AB7" w14:textId="77777777" w:rsidR="00434D0C" w:rsidRPr="00100925" w:rsidRDefault="00434D0C" w:rsidP="00A260DC">
            <w:pPr>
              <w:pStyle w:val="NormalWeb"/>
              <w:jc w:val="center"/>
              <w:rPr>
                <w:sz w:val="18"/>
                <w:szCs w:val="18"/>
              </w:rPr>
            </w:pPr>
            <w:r w:rsidRPr="00100925">
              <w:rPr>
                <w:sz w:val="18"/>
                <w:szCs w:val="18"/>
              </w:rPr>
              <w:t>38.08</w:t>
            </w:r>
          </w:p>
        </w:tc>
        <w:tc>
          <w:tcPr>
            <w:tcW w:w="511" w:type="dxa"/>
            <w:tcBorders>
              <w:top w:val="single" w:sz="12" w:space="0" w:color="0D0D0D" w:themeColor="text1" w:themeTint="F2"/>
              <w:bottom w:val="single" w:sz="2" w:space="0" w:color="0D0D0D" w:themeColor="text1" w:themeTint="F2"/>
            </w:tcBorders>
            <w:shd w:val="clear" w:color="auto" w:fill="FBFBFB"/>
            <w:hideMark/>
          </w:tcPr>
          <w:p w14:paraId="446F431C" w14:textId="77777777" w:rsidR="00434D0C" w:rsidRPr="00100925" w:rsidRDefault="00434D0C" w:rsidP="00A260DC">
            <w:pPr>
              <w:pStyle w:val="NormalWeb"/>
              <w:jc w:val="center"/>
              <w:rPr>
                <w:sz w:val="18"/>
                <w:szCs w:val="18"/>
              </w:rPr>
            </w:pPr>
            <w:r w:rsidRPr="00100925">
              <w:rPr>
                <w:sz w:val="18"/>
                <w:szCs w:val="18"/>
              </w:rPr>
              <w:t>Ref</w:t>
            </w:r>
          </w:p>
        </w:tc>
        <w:tc>
          <w:tcPr>
            <w:tcW w:w="1491" w:type="dxa"/>
            <w:tcBorders>
              <w:top w:val="single" w:sz="12" w:space="0" w:color="0D0D0D" w:themeColor="text1" w:themeTint="F2"/>
              <w:bottom w:val="single" w:sz="2" w:space="0" w:color="0D0D0D" w:themeColor="text1" w:themeTint="F2"/>
            </w:tcBorders>
            <w:shd w:val="clear" w:color="auto" w:fill="FBFBFB"/>
            <w:hideMark/>
          </w:tcPr>
          <w:p w14:paraId="7B6E60E9" w14:textId="77777777" w:rsidR="00434D0C" w:rsidRPr="00100925" w:rsidRDefault="00434D0C" w:rsidP="00A260DC">
            <w:pPr>
              <w:jc w:val="center"/>
              <w:rPr>
                <w:sz w:val="18"/>
                <w:szCs w:val="18"/>
              </w:rPr>
            </w:pPr>
          </w:p>
        </w:tc>
        <w:tc>
          <w:tcPr>
            <w:tcW w:w="1492" w:type="dxa"/>
            <w:vMerge w:val="restart"/>
            <w:tcBorders>
              <w:top w:val="single" w:sz="12" w:space="0" w:color="0D0D0D" w:themeColor="text1" w:themeTint="F2"/>
              <w:bottom w:val="single" w:sz="12" w:space="0" w:color="0D0D0D" w:themeColor="text1" w:themeTint="F2"/>
            </w:tcBorders>
            <w:shd w:val="clear" w:color="auto" w:fill="FBFBFB"/>
            <w:hideMark/>
          </w:tcPr>
          <w:p w14:paraId="5488BF62" w14:textId="77777777" w:rsidR="00434D0C" w:rsidRPr="00100925" w:rsidRDefault="00434D0C" w:rsidP="00A260DC">
            <w:pPr>
              <w:pStyle w:val="NormalWeb"/>
              <w:jc w:val="center"/>
              <w:rPr>
                <w:sz w:val="18"/>
                <w:szCs w:val="18"/>
              </w:rPr>
            </w:pPr>
            <w:r w:rsidRPr="00732DB8">
              <w:rPr>
                <w:i/>
                <w:iCs/>
                <w:sz w:val="18"/>
                <w:szCs w:val="18"/>
              </w:rPr>
              <w:t>p</w:t>
            </w:r>
            <w:r w:rsidRPr="00100925">
              <w:rPr>
                <w:sz w:val="18"/>
                <w:szCs w:val="18"/>
              </w:rPr>
              <w:t xml:space="preserve"> &lt; 0.01</w:t>
            </w:r>
          </w:p>
        </w:tc>
      </w:tr>
      <w:tr w:rsidR="00434D0C" w:rsidRPr="00100925" w14:paraId="1AC9CF7E" w14:textId="77777777" w:rsidTr="0012157B">
        <w:tblPrEx>
          <w:tblCellMar>
            <w:top w:w="57" w:type="dxa"/>
            <w:left w:w="57" w:type="dxa"/>
            <w:bottom w:w="57" w:type="dxa"/>
            <w:right w:w="57" w:type="dxa"/>
          </w:tblCellMar>
        </w:tblPrEx>
        <w:tc>
          <w:tcPr>
            <w:tcW w:w="1491" w:type="dxa"/>
            <w:vMerge/>
            <w:tcBorders>
              <w:bottom w:val="single" w:sz="12" w:space="0" w:color="0D0D0D" w:themeColor="text1" w:themeTint="F2"/>
            </w:tcBorders>
            <w:shd w:val="clear" w:color="auto" w:fill="FBFBFB"/>
            <w:hideMark/>
          </w:tcPr>
          <w:p w14:paraId="5FD57CB9" w14:textId="77777777" w:rsidR="00434D0C" w:rsidRPr="00100925" w:rsidRDefault="00434D0C" w:rsidP="00A260DC">
            <w:pPr>
              <w:rPr>
                <w:sz w:val="18"/>
                <w:szCs w:val="18"/>
              </w:rPr>
            </w:pPr>
          </w:p>
        </w:tc>
        <w:tc>
          <w:tcPr>
            <w:tcW w:w="1344" w:type="dxa"/>
            <w:tcBorders>
              <w:bottom w:val="single" w:sz="12" w:space="0" w:color="0D0D0D" w:themeColor="text1" w:themeTint="F2"/>
            </w:tcBorders>
            <w:shd w:val="clear" w:color="auto" w:fill="FBFBFB"/>
            <w:hideMark/>
          </w:tcPr>
          <w:p w14:paraId="1C1E9E99" w14:textId="77777777" w:rsidR="00434D0C" w:rsidRPr="00100925" w:rsidRDefault="00434D0C" w:rsidP="00A260DC">
            <w:pPr>
              <w:pStyle w:val="NormalWeb"/>
              <w:jc w:val="center"/>
              <w:rPr>
                <w:sz w:val="18"/>
                <w:szCs w:val="18"/>
              </w:rPr>
            </w:pPr>
            <w:r w:rsidRPr="00100925">
              <w:rPr>
                <w:sz w:val="18"/>
                <w:szCs w:val="18"/>
              </w:rPr>
              <w:t>August 2021</w:t>
            </w:r>
          </w:p>
        </w:tc>
        <w:tc>
          <w:tcPr>
            <w:tcW w:w="1639" w:type="dxa"/>
            <w:tcBorders>
              <w:bottom w:val="single" w:sz="12" w:space="0" w:color="0D0D0D" w:themeColor="text1" w:themeTint="F2"/>
            </w:tcBorders>
            <w:shd w:val="clear" w:color="auto" w:fill="FBFBFB"/>
            <w:hideMark/>
          </w:tcPr>
          <w:p w14:paraId="5DB721CE" w14:textId="77777777" w:rsidR="00434D0C" w:rsidRPr="00100925" w:rsidRDefault="00434D0C" w:rsidP="00A260DC">
            <w:pPr>
              <w:pStyle w:val="NormalWeb"/>
              <w:jc w:val="center"/>
              <w:rPr>
                <w:sz w:val="18"/>
                <w:szCs w:val="18"/>
              </w:rPr>
            </w:pPr>
            <w:r w:rsidRPr="00100925">
              <w:rPr>
                <w:sz w:val="18"/>
                <w:szCs w:val="18"/>
              </w:rPr>
              <w:t>1 (1,3)</w:t>
            </w:r>
          </w:p>
        </w:tc>
        <w:tc>
          <w:tcPr>
            <w:tcW w:w="2472" w:type="dxa"/>
            <w:tcBorders>
              <w:bottom w:val="single" w:sz="12" w:space="0" w:color="0D0D0D" w:themeColor="text1" w:themeTint="F2"/>
            </w:tcBorders>
            <w:shd w:val="clear" w:color="auto" w:fill="FBFBFB"/>
            <w:hideMark/>
          </w:tcPr>
          <w:p w14:paraId="5598CDF3" w14:textId="77777777" w:rsidR="00434D0C" w:rsidRPr="00100925" w:rsidRDefault="00434D0C" w:rsidP="00A260DC">
            <w:pPr>
              <w:pStyle w:val="NormalWeb"/>
              <w:jc w:val="center"/>
              <w:rPr>
                <w:sz w:val="18"/>
                <w:szCs w:val="18"/>
              </w:rPr>
            </w:pPr>
            <w:r w:rsidRPr="00100925">
              <w:rPr>
                <w:sz w:val="18"/>
                <w:szCs w:val="18"/>
              </w:rPr>
              <w:t>50.55</w:t>
            </w:r>
          </w:p>
        </w:tc>
        <w:tc>
          <w:tcPr>
            <w:tcW w:w="511" w:type="dxa"/>
            <w:tcBorders>
              <w:bottom w:val="single" w:sz="12" w:space="0" w:color="0D0D0D" w:themeColor="text1" w:themeTint="F2"/>
            </w:tcBorders>
            <w:shd w:val="clear" w:color="auto" w:fill="FBFBFB"/>
            <w:hideMark/>
          </w:tcPr>
          <w:p w14:paraId="6221D59E" w14:textId="77777777" w:rsidR="00434D0C" w:rsidRPr="00100925" w:rsidRDefault="00434D0C" w:rsidP="00A260DC">
            <w:pPr>
              <w:pStyle w:val="NormalWeb"/>
              <w:jc w:val="center"/>
              <w:rPr>
                <w:sz w:val="18"/>
                <w:szCs w:val="18"/>
              </w:rPr>
            </w:pPr>
            <w:r w:rsidRPr="00100925">
              <w:rPr>
                <w:sz w:val="18"/>
                <w:szCs w:val="18"/>
              </w:rPr>
              <w:t>1.66</w:t>
            </w:r>
          </w:p>
        </w:tc>
        <w:tc>
          <w:tcPr>
            <w:tcW w:w="1491" w:type="dxa"/>
            <w:tcBorders>
              <w:bottom w:val="single" w:sz="12" w:space="0" w:color="0D0D0D" w:themeColor="text1" w:themeTint="F2"/>
            </w:tcBorders>
            <w:shd w:val="clear" w:color="auto" w:fill="FBFBFB"/>
            <w:hideMark/>
          </w:tcPr>
          <w:p w14:paraId="470CEF48" w14:textId="77777777" w:rsidR="00434D0C" w:rsidRPr="00100925" w:rsidRDefault="00434D0C" w:rsidP="00A260DC">
            <w:pPr>
              <w:pStyle w:val="NormalWeb"/>
              <w:jc w:val="center"/>
              <w:rPr>
                <w:sz w:val="18"/>
                <w:szCs w:val="18"/>
              </w:rPr>
            </w:pPr>
            <w:r w:rsidRPr="00100925">
              <w:rPr>
                <w:sz w:val="18"/>
                <w:szCs w:val="18"/>
              </w:rPr>
              <w:t>1.62, 1.71</w:t>
            </w:r>
          </w:p>
        </w:tc>
        <w:tc>
          <w:tcPr>
            <w:tcW w:w="1492" w:type="dxa"/>
            <w:vMerge/>
            <w:tcBorders>
              <w:bottom w:val="single" w:sz="12" w:space="0" w:color="0D0D0D" w:themeColor="text1" w:themeTint="F2"/>
            </w:tcBorders>
            <w:shd w:val="clear" w:color="auto" w:fill="FBFBFB"/>
            <w:hideMark/>
          </w:tcPr>
          <w:p w14:paraId="564471AD" w14:textId="77777777" w:rsidR="00434D0C" w:rsidRPr="00100925" w:rsidRDefault="00434D0C" w:rsidP="00A260DC">
            <w:pPr>
              <w:jc w:val="center"/>
              <w:rPr>
                <w:sz w:val="18"/>
                <w:szCs w:val="18"/>
              </w:rPr>
            </w:pPr>
          </w:p>
        </w:tc>
      </w:tr>
      <w:tr w:rsidR="00434D0C" w:rsidRPr="00100925" w14:paraId="2573216F" w14:textId="77777777" w:rsidTr="0012157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491" w:type="dxa"/>
            <w:vMerge w:val="restart"/>
            <w:tcBorders>
              <w:bottom w:val="single" w:sz="12" w:space="0" w:color="0D0D0D" w:themeColor="text1" w:themeTint="F2"/>
            </w:tcBorders>
            <w:shd w:val="clear" w:color="auto" w:fill="FBFBFB"/>
            <w:hideMark/>
          </w:tcPr>
          <w:p w14:paraId="4B29DFDA" w14:textId="77777777" w:rsidR="00434D0C" w:rsidRPr="00100925" w:rsidRDefault="00434D0C" w:rsidP="00A260DC">
            <w:pPr>
              <w:pStyle w:val="NormalWeb"/>
              <w:rPr>
                <w:sz w:val="18"/>
                <w:szCs w:val="18"/>
              </w:rPr>
            </w:pPr>
            <w:r w:rsidRPr="00100925">
              <w:rPr>
                <w:sz w:val="18"/>
                <w:szCs w:val="18"/>
              </w:rPr>
              <w:t>NSW and Vic.</w:t>
            </w:r>
          </w:p>
        </w:tc>
        <w:tc>
          <w:tcPr>
            <w:tcW w:w="1344" w:type="dxa"/>
            <w:tcBorders>
              <w:top w:val="single" w:sz="12" w:space="0" w:color="0D0D0D" w:themeColor="text1" w:themeTint="F2"/>
              <w:bottom w:val="single" w:sz="2" w:space="0" w:color="0D0D0D" w:themeColor="text1" w:themeTint="F2"/>
            </w:tcBorders>
            <w:shd w:val="clear" w:color="auto" w:fill="FBFBFB"/>
            <w:hideMark/>
          </w:tcPr>
          <w:p w14:paraId="207D8830" w14:textId="77777777" w:rsidR="00434D0C" w:rsidRPr="00100925" w:rsidRDefault="00434D0C" w:rsidP="00A260DC">
            <w:pPr>
              <w:pStyle w:val="NormalWeb"/>
              <w:jc w:val="center"/>
              <w:rPr>
                <w:sz w:val="18"/>
                <w:szCs w:val="18"/>
              </w:rPr>
            </w:pPr>
            <w:r w:rsidRPr="00100925">
              <w:rPr>
                <w:sz w:val="18"/>
                <w:szCs w:val="18"/>
              </w:rPr>
              <w:t>March 2021</w:t>
            </w:r>
          </w:p>
        </w:tc>
        <w:tc>
          <w:tcPr>
            <w:tcW w:w="1639" w:type="dxa"/>
            <w:tcBorders>
              <w:top w:val="single" w:sz="12" w:space="0" w:color="0D0D0D" w:themeColor="text1" w:themeTint="F2"/>
              <w:bottom w:val="single" w:sz="2" w:space="0" w:color="0D0D0D" w:themeColor="text1" w:themeTint="F2"/>
            </w:tcBorders>
            <w:shd w:val="clear" w:color="auto" w:fill="FBFBFB"/>
            <w:hideMark/>
          </w:tcPr>
          <w:p w14:paraId="0ADE52B0" w14:textId="77777777" w:rsidR="00434D0C" w:rsidRPr="00100925" w:rsidRDefault="00434D0C" w:rsidP="00A260DC">
            <w:pPr>
              <w:pStyle w:val="NormalWeb"/>
              <w:jc w:val="center"/>
              <w:rPr>
                <w:sz w:val="18"/>
                <w:szCs w:val="18"/>
              </w:rPr>
            </w:pPr>
            <w:r w:rsidRPr="00100925">
              <w:rPr>
                <w:sz w:val="18"/>
                <w:szCs w:val="18"/>
              </w:rPr>
              <w:t>2 (1, 3)</w:t>
            </w:r>
          </w:p>
        </w:tc>
        <w:tc>
          <w:tcPr>
            <w:tcW w:w="2472" w:type="dxa"/>
            <w:tcBorders>
              <w:top w:val="single" w:sz="12" w:space="0" w:color="0D0D0D" w:themeColor="text1" w:themeTint="F2"/>
              <w:bottom w:val="single" w:sz="2" w:space="0" w:color="0D0D0D" w:themeColor="text1" w:themeTint="F2"/>
            </w:tcBorders>
            <w:shd w:val="clear" w:color="auto" w:fill="FBFBFB"/>
            <w:hideMark/>
          </w:tcPr>
          <w:p w14:paraId="0E16D4BA" w14:textId="77777777" w:rsidR="00434D0C" w:rsidRPr="00100925" w:rsidRDefault="00434D0C" w:rsidP="00A260DC">
            <w:pPr>
              <w:pStyle w:val="NormalWeb"/>
              <w:jc w:val="center"/>
              <w:rPr>
                <w:sz w:val="18"/>
                <w:szCs w:val="18"/>
              </w:rPr>
            </w:pPr>
            <w:r w:rsidRPr="00100925">
              <w:rPr>
                <w:sz w:val="18"/>
                <w:szCs w:val="18"/>
              </w:rPr>
              <w:t>42.76</w:t>
            </w:r>
          </w:p>
        </w:tc>
        <w:tc>
          <w:tcPr>
            <w:tcW w:w="511" w:type="dxa"/>
            <w:tcBorders>
              <w:top w:val="single" w:sz="12" w:space="0" w:color="0D0D0D" w:themeColor="text1" w:themeTint="F2"/>
              <w:bottom w:val="single" w:sz="2" w:space="0" w:color="0D0D0D" w:themeColor="text1" w:themeTint="F2"/>
            </w:tcBorders>
            <w:shd w:val="clear" w:color="auto" w:fill="FBFBFB"/>
            <w:hideMark/>
          </w:tcPr>
          <w:p w14:paraId="1CEB8C2F" w14:textId="77777777" w:rsidR="00434D0C" w:rsidRPr="00100925" w:rsidRDefault="00434D0C" w:rsidP="00A260DC">
            <w:pPr>
              <w:pStyle w:val="NormalWeb"/>
              <w:jc w:val="center"/>
              <w:rPr>
                <w:sz w:val="18"/>
                <w:szCs w:val="18"/>
              </w:rPr>
            </w:pPr>
            <w:r w:rsidRPr="00100925">
              <w:rPr>
                <w:sz w:val="18"/>
                <w:szCs w:val="18"/>
              </w:rPr>
              <w:t>Ref</w:t>
            </w:r>
          </w:p>
        </w:tc>
        <w:tc>
          <w:tcPr>
            <w:tcW w:w="1491" w:type="dxa"/>
            <w:tcBorders>
              <w:top w:val="single" w:sz="12" w:space="0" w:color="0D0D0D" w:themeColor="text1" w:themeTint="F2"/>
              <w:bottom w:val="single" w:sz="2" w:space="0" w:color="0D0D0D" w:themeColor="text1" w:themeTint="F2"/>
            </w:tcBorders>
            <w:shd w:val="clear" w:color="auto" w:fill="FBFBFB"/>
            <w:hideMark/>
          </w:tcPr>
          <w:p w14:paraId="136DABC9" w14:textId="77777777" w:rsidR="00434D0C" w:rsidRPr="00100925" w:rsidRDefault="00434D0C" w:rsidP="00A260DC">
            <w:pPr>
              <w:jc w:val="center"/>
              <w:rPr>
                <w:sz w:val="18"/>
                <w:szCs w:val="18"/>
              </w:rPr>
            </w:pPr>
          </w:p>
        </w:tc>
        <w:tc>
          <w:tcPr>
            <w:tcW w:w="1492" w:type="dxa"/>
            <w:vMerge w:val="restart"/>
            <w:tcBorders>
              <w:bottom w:val="single" w:sz="12" w:space="0" w:color="0D0D0D" w:themeColor="text1" w:themeTint="F2"/>
            </w:tcBorders>
            <w:shd w:val="clear" w:color="auto" w:fill="FBFBFB"/>
            <w:hideMark/>
          </w:tcPr>
          <w:p w14:paraId="71640726" w14:textId="77777777" w:rsidR="00434D0C" w:rsidRPr="00100925" w:rsidRDefault="00434D0C" w:rsidP="00A260DC">
            <w:pPr>
              <w:pStyle w:val="NormalWeb"/>
              <w:jc w:val="center"/>
              <w:rPr>
                <w:sz w:val="18"/>
                <w:szCs w:val="18"/>
              </w:rPr>
            </w:pPr>
            <w:r w:rsidRPr="00732DB8">
              <w:rPr>
                <w:i/>
                <w:iCs/>
                <w:sz w:val="18"/>
                <w:szCs w:val="18"/>
              </w:rPr>
              <w:t>p</w:t>
            </w:r>
            <w:r w:rsidRPr="00100925">
              <w:rPr>
                <w:sz w:val="18"/>
                <w:szCs w:val="18"/>
              </w:rPr>
              <w:t xml:space="preserve"> &lt; 0.01</w:t>
            </w:r>
          </w:p>
        </w:tc>
      </w:tr>
      <w:tr w:rsidR="00434D0C" w:rsidRPr="00100925" w14:paraId="70352A00" w14:textId="77777777" w:rsidTr="0012157B">
        <w:tblPrEx>
          <w:tblCellMar>
            <w:top w:w="57" w:type="dxa"/>
            <w:left w:w="57" w:type="dxa"/>
            <w:bottom w:w="57" w:type="dxa"/>
            <w:right w:w="57" w:type="dxa"/>
          </w:tblCellMar>
        </w:tblPrEx>
        <w:tc>
          <w:tcPr>
            <w:tcW w:w="1491" w:type="dxa"/>
            <w:vMerge/>
            <w:tcBorders>
              <w:bottom w:val="single" w:sz="12" w:space="0" w:color="0D0D0D" w:themeColor="text1" w:themeTint="F2"/>
            </w:tcBorders>
            <w:shd w:val="clear" w:color="auto" w:fill="FBFBFB"/>
            <w:hideMark/>
          </w:tcPr>
          <w:p w14:paraId="4CD67711" w14:textId="77777777" w:rsidR="00434D0C" w:rsidRPr="00100925" w:rsidRDefault="00434D0C" w:rsidP="00A260DC">
            <w:pPr>
              <w:rPr>
                <w:sz w:val="18"/>
                <w:szCs w:val="18"/>
              </w:rPr>
            </w:pPr>
          </w:p>
        </w:tc>
        <w:tc>
          <w:tcPr>
            <w:tcW w:w="1344" w:type="dxa"/>
            <w:tcBorders>
              <w:bottom w:val="single" w:sz="12" w:space="0" w:color="0D0D0D" w:themeColor="text1" w:themeTint="F2"/>
            </w:tcBorders>
            <w:shd w:val="clear" w:color="auto" w:fill="FBFBFB"/>
            <w:hideMark/>
          </w:tcPr>
          <w:p w14:paraId="5AA2958D" w14:textId="77777777" w:rsidR="00434D0C" w:rsidRPr="00100925" w:rsidRDefault="00434D0C" w:rsidP="00A260DC">
            <w:pPr>
              <w:pStyle w:val="NormalWeb"/>
              <w:jc w:val="center"/>
              <w:rPr>
                <w:sz w:val="18"/>
                <w:szCs w:val="18"/>
              </w:rPr>
            </w:pPr>
            <w:r w:rsidRPr="00100925">
              <w:rPr>
                <w:sz w:val="18"/>
                <w:szCs w:val="18"/>
              </w:rPr>
              <w:t>August 2021</w:t>
            </w:r>
          </w:p>
        </w:tc>
        <w:tc>
          <w:tcPr>
            <w:tcW w:w="1639" w:type="dxa"/>
            <w:tcBorders>
              <w:bottom w:val="single" w:sz="12" w:space="0" w:color="0D0D0D" w:themeColor="text1" w:themeTint="F2"/>
            </w:tcBorders>
            <w:shd w:val="clear" w:color="auto" w:fill="FBFBFB"/>
            <w:hideMark/>
          </w:tcPr>
          <w:p w14:paraId="2A501BEA" w14:textId="77777777" w:rsidR="00434D0C" w:rsidRPr="00100925" w:rsidRDefault="00434D0C" w:rsidP="00A260DC">
            <w:pPr>
              <w:pStyle w:val="NormalWeb"/>
              <w:jc w:val="center"/>
              <w:rPr>
                <w:sz w:val="18"/>
                <w:szCs w:val="18"/>
              </w:rPr>
            </w:pPr>
            <w:r w:rsidRPr="00100925">
              <w:rPr>
                <w:sz w:val="18"/>
                <w:szCs w:val="18"/>
              </w:rPr>
              <w:t>1 (0, 2)</w:t>
            </w:r>
          </w:p>
        </w:tc>
        <w:tc>
          <w:tcPr>
            <w:tcW w:w="2472" w:type="dxa"/>
            <w:tcBorders>
              <w:bottom w:val="single" w:sz="12" w:space="0" w:color="0D0D0D" w:themeColor="text1" w:themeTint="F2"/>
            </w:tcBorders>
            <w:shd w:val="clear" w:color="auto" w:fill="FBFBFB"/>
            <w:hideMark/>
          </w:tcPr>
          <w:p w14:paraId="5E4BA3BE" w14:textId="77777777" w:rsidR="00434D0C" w:rsidRPr="00100925" w:rsidRDefault="00434D0C" w:rsidP="00A260DC">
            <w:pPr>
              <w:pStyle w:val="NormalWeb"/>
              <w:jc w:val="center"/>
              <w:rPr>
                <w:sz w:val="18"/>
                <w:szCs w:val="18"/>
              </w:rPr>
            </w:pPr>
            <w:r w:rsidRPr="00100925">
              <w:rPr>
                <w:sz w:val="18"/>
                <w:szCs w:val="18"/>
              </w:rPr>
              <w:t>60.03</w:t>
            </w:r>
          </w:p>
        </w:tc>
        <w:tc>
          <w:tcPr>
            <w:tcW w:w="511" w:type="dxa"/>
            <w:tcBorders>
              <w:bottom w:val="single" w:sz="12" w:space="0" w:color="0D0D0D" w:themeColor="text1" w:themeTint="F2"/>
            </w:tcBorders>
            <w:shd w:val="clear" w:color="auto" w:fill="FBFBFB"/>
            <w:hideMark/>
          </w:tcPr>
          <w:p w14:paraId="16D591A8" w14:textId="77777777" w:rsidR="00434D0C" w:rsidRPr="00100925" w:rsidRDefault="00434D0C" w:rsidP="00A260DC">
            <w:pPr>
              <w:pStyle w:val="NormalWeb"/>
              <w:jc w:val="center"/>
              <w:rPr>
                <w:sz w:val="18"/>
                <w:szCs w:val="18"/>
              </w:rPr>
            </w:pPr>
            <w:r w:rsidRPr="00100925">
              <w:rPr>
                <w:sz w:val="18"/>
                <w:szCs w:val="18"/>
              </w:rPr>
              <w:t>2.01</w:t>
            </w:r>
          </w:p>
        </w:tc>
        <w:tc>
          <w:tcPr>
            <w:tcW w:w="1491" w:type="dxa"/>
            <w:tcBorders>
              <w:bottom w:val="single" w:sz="12" w:space="0" w:color="0D0D0D" w:themeColor="text1" w:themeTint="F2"/>
            </w:tcBorders>
            <w:shd w:val="clear" w:color="auto" w:fill="FBFBFB"/>
            <w:hideMark/>
          </w:tcPr>
          <w:p w14:paraId="1A41A782" w14:textId="77777777" w:rsidR="00434D0C" w:rsidRPr="00100925" w:rsidRDefault="00434D0C" w:rsidP="00A260DC">
            <w:pPr>
              <w:pStyle w:val="NormalWeb"/>
              <w:jc w:val="center"/>
              <w:rPr>
                <w:sz w:val="18"/>
                <w:szCs w:val="18"/>
              </w:rPr>
            </w:pPr>
            <w:r w:rsidRPr="00100925">
              <w:rPr>
                <w:sz w:val="18"/>
                <w:szCs w:val="18"/>
              </w:rPr>
              <w:t>1.95, 2.08</w:t>
            </w:r>
          </w:p>
        </w:tc>
        <w:tc>
          <w:tcPr>
            <w:tcW w:w="1492" w:type="dxa"/>
            <w:vMerge/>
            <w:tcBorders>
              <w:bottom w:val="single" w:sz="12" w:space="0" w:color="0D0D0D" w:themeColor="text1" w:themeTint="F2"/>
            </w:tcBorders>
            <w:shd w:val="clear" w:color="auto" w:fill="FBFBFB"/>
            <w:hideMark/>
          </w:tcPr>
          <w:p w14:paraId="63C3F905" w14:textId="77777777" w:rsidR="00434D0C" w:rsidRPr="00100925" w:rsidRDefault="00434D0C" w:rsidP="00A260DC">
            <w:pPr>
              <w:jc w:val="center"/>
              <w:rPr>
                <w:sz w:val="18"/>
                <w:szCs w:val="18"/>
              </w:rPr>
            </w:pPr>
          </w:p>
        </w:tc>
      </w:tr>
      <w:tr w:rsidR="00434D0C" w:rsidRPr="00100925" w14:paraId="6BB72071" w14:textId="77777777" w:rsidTr="0012157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491" w:type="dxa"/>
            <w:vMerge w:val="restart"/>
            <w:tcBorders>
              <w:bottom w:val="single" w:sz="12" w:space="0" w:color="0D0D0D" w:themeColor="text1" w:themeTint="F2"/>
            </w:tcBorders>
            <w:shd w:val="clear" w:color="auto" w:fill="FBFBFB"/>
            <w:hideMark/>
          </w:tcPr>
          <w:p w14:paraId="42994580" w14:textId="77777777" w:rsidR="00434D0C" w:rsidRPr="00100925" w:rsidRDefault="00434D0C" w:rsidP="00A260DC">
            <w:pPr>
              <w:pStyle w:val="NormalWeb"/>
              <w:rPr>
                <w:sz w:val="18"/>
                <w:szCs w:val="18"/>
              </w:rPr>
            </w:pPr>
            <w:r w:rsidRPr="00100925">
              <w:rPr>
                <w:sz w:val="18"/>
                <w:szCs w:val="18"/>
              </w:rPr>
              <w:t xml:space="preserve">Qld, SA, </w:t>
            </w:r>
            <w:proofErr w:type="gramStart"/>
            <w:r w:rsidRPr="00100925">
              <w:rPr>
                <w:sz w:val="18"/>
                <w:szCs w:val="18"/>
              </w:rPr>
              <w:t>WA</w:t>
            </w:r>
            <w:proofErr w:type="gramEnd"/>
            <w:r w:rsidRPr="00100925">
              <w:rPr>
                <w:sz w:val="18"/>
                <w:szCs w:val="18"/>
              </w:rPr>
              <w:t xml:space="preserve"> and Tas.</w:t>
            </w:r>
          </w:p>
        </w:tc>
        <w:tc>
          <w:tcPr>
            <w:tcW w:w="1344" w:type="dxa"/>
            <w:tcBorders>
              <w:top w:val="single" w:sz="12" w:space="0" w:color="0D0D0D" w:themeColor="text1" w:themeTint="F2"/>
              <w:bottom w:val="single" w:sz="2" w:space="0" w:color="0D0D0D" w:themeColor="text1" w:themeTint="F2"/>
            </w:tcBorders>
            <w:shd w:val="clear" w:color="auto" w:fill="FBFBFB"/>
            <w:hideMark/>
          </w:tcPr>
          <w:p w14:paraId="0D0C10F3" w14:textId="77777777" w:rsidR="00434D0C" w:rsidRPr="00100925" w:rsidRDefault="00434D0C" w:rsidP="00A260DC">
            <w:pPr>
              <w:pStyle w:val="NormalWeb"/>
              <w:jc w:val="center"/>
              <w:rPr>
                <w:sz w:val="18"/>
                <w:szCs w:val="18"/>
              </w:rPr>
            </w:pPr>
            <w:r w:rsidRPr="00100925">
              <w:rPr>
                <w:sz w:val="18"/>
                <w:szCs w:val="18"/>
              </w:rPr>
              <w:t>March 2021</w:t>
            </w:r>
          </w:p>
        </w:tc>
        <w:tc>
          <w:tcPr>
            <w:tcW w:w="1639" w:type="dxa"/>
            <w:tcBorders>
              <w:top w:val="single" w:sz="12" w:space="0" w:color="0D0D0D" w:themeColor="text1" w:themeTint="F2"/>
              <w:bottom w:val="single" w:sz="2" w:space="0" w:color="0D0D0D" w:themeColor="text1" w:themeTint="F2"/>
            </w:tcBorders>
            <w:shd w:val="clear" w:color="auto" w:fill="FBFBFB"/>
            <w:hideMark/>
          </w:tcPr>
          <w:p w14:paraId="22F2FEC4" w14:textId="77777777" w:rsidR="00434D0C" w:rsidRPr="00100925" w:rsidRDefault="00434D0C" w:rsidP="00A260DC">
            <w:pPr>
              <w:pStyle w:val="NormalWeb"/>
              <w:jc w:val="center"/>
              <w:rPr>
                <w:sz w:val="18"/>
                <w:szCs w:val="18"/>
              </w:rPr>
            </w:pPr>
            <w:r w:rsidRPr="00100925">
              <w:rPr>
                <w:sz w:val="18"/>
                <w:szCs w:val="18"/>
              </w:rPr>
              <w:t>2 (1, 4)</w:t>
            </w:r>
          </w:p>
        </w:tc>
        <w:tc>
          <w:tcPr>
            <w:tcW w:w="2472" w:type="dxa"/>
            <w:tcBorders>
              <w:top w:val="single" w:sz="12" w:space="0" w:color="0D0D0D" w:themeColor="text1" w:themeTint="F2"/>
              <w:bottom w:val="single" w:sz="2" w:space="0" w:color="0D0D0D" w:themeColor="text1" w:themeTint="F2"/>
            </w:tcBorders>
            <w:shd w:val="clear" w:color="auto" w:fill="FBFBFB"/>
            <w:hideMark/>
          </w:tcPr>
          <w:p w14:paraId="5F24596D" w14:textId="77777777" w:rsidR="00434D0C" w:rsidRPr="00100925" w:rsidRDefault="00434D0C" w:rsidP="00A260DC">
            <w:pPr>
              <w:pStyle w:val="NormalWeb"/>
              <w:jc w:val="center"/>
              <w:rPr>
                <w:sz w:val="18"/>
                <w:szCs w:val="18"/>
              </w:rPr>
            </w:pPr>
            <w:r w:rsidRPr="00100925">
              <w:rPr>
                <w:sz w:val="18"/>
                <w:szCs w:val="18"/>
              </w:rPr>
              <w:t>29.90</w:t>
            </w:r>
          </w:p>
        </w:tc>
        <w:tc>
          <w:tcPr>
            <w:tcW w:w="511" w:type="dxa"/>
            <w:tcBorders>
              <w:top w:val="single" w:sz="12" w:space="0" w:color="0D0D0D" w:themeColor="text1" w:themeTint="F2"/>
              <w:bottom w:val="single" w:sz="2" w:space="0" w:color="0D0D0D" w:themeColor="text1" w:themeTint="F2"/>
            </w:tcBorders>
            <w:shd w:val="clear" w:color="auto" w:fill="FBFBFB"/>
            <w:hideMark/>
          </w:tcPr>
          <w:p w14:paraId="10879B98" w14:textId="77777777" w:rsidR="00434D0C" w:rsidRPr="00100925" w:rsidRDefault="00434D0C" w:rsidP="00A260DC">
            <w:pPr>
              <w:pStyle w:val="NormalWeb"/>
              <w:jc w:val="center"/>
              <w:rPr>
                <w:sz w:val="18"/>
                <w:szCs w:val="18"/>
              </w:rPr>
            </w:pPr>
            <w:r w:rsidRPr="00100925">
              <w:rPr>
                <w:sz w:val="18"/>
                <w:szCs w:val="18"/>
              </w:rPr>
              <w:t>Ref</w:t>
            </w:r>
          </w:p>
        </w:tc>
        <w:tc>
          <w:tcPr>
            <w:tcW w:w="1491" w:type="dxa"/>
            <w:tcBorders>
              <w:top w:val="single" w:sz="12" w:space="0" w:color="0D0D0D" w:themeColor="text1" w:themeTint="F2"/>
              <w:bottom w:val="single" w:sz="2" w:space="0" w:color="0D0D0D" w:themeColor="text1" w:themeTint="F2"/>
            </w:tcBorders>
            <w:shd w:val="clear" w:color="auto" w:fill="FBFBFB"/>
            <w:hideMark/>
          </w:tcPr>
          <w:p w14:paraId="3D68C666" w14:textId="77777777" w:rsidR="00434D0C" w:rsidRPr="00100925" w:rsidRDefault="00434D0C" w:rsidP="00A260DC">
            <w:pPr>
              <w:jc w:val="center"/>
              <w:rPr>
                <w:sz w:val="18"/>
                <w:szCs w:val="18"/>
              </w:rPr>
            </w:pPr>
          </w:p>
        </w:tc>
        <w:tc>
          <w:tcPr>
            <w:tcW w:w="1492" w:type="dxa"/>
            <w:vMerge w:val="restart"/>
            <w:tcBorders>
              <w:bottom w:val="single" w:sz="12" w:space="0" w:color="0D0D0D" w:themeColor="text1" w:themeTint="F2"/>
            </w:tcBorders>
            <w:shd w:val="clear" w:color="auto" w:fill="FBFBFB"/>
            <w:hideMark/>
          </w:tcPr>
          <w:p w14:paraId="77900906" w14:textId="77777777" w:rsidR="00434D0C" w:rsidRPr="00100925" w:rsidRDefault="00434D0C" w:rsidP="00A260DC">
            <w:pPr>
              <w:pStyle w:val="NormalWeb"/>
              <w:jc w:val="center"/>
              <w:rPr>
                <w:sz w:val="18"/>
                <w:szCs w:val="18"/>
              </w:rPr>
            </w:pPr>
            <w:r w:rsidRPr="00732DB8">
              <w:rPr>
                <w:i/>
                <w:iCs/>
                <w:sz w:val="18"/>
                <w:szCs w:val="18"/>
              </w:rPr>
              <w:t>p</w:t>
            </w:r>
            <w:r w:rsidRPr="00100925">
              <w:rPr>
                <w:sz w:val="18"/>
                <w:szCs w:val="18"/>
              </w:rPr>
              <w:t xml:space="preserve"> &lt; 0.01</w:t>
            </w:r>
          </w:p>
        </w:tc>
      </w:tr>
      <w:tr w:rsidR="00434D0C" w:rsidRPr="00100925" w14:paraId="55795E8F" w14:textId="77777777" w:rsidTr="0012157B">
        <w:tblPrEx>
          <w:tblCellMar>
            <w:top w:w="57" w:type="dxa"/>
            <w:left w:w="57" w:type="dxa"/>
            <w:bottom w:w="57" w:type="dxa"/>
            <w:right w:w="57" w:type="dxa"/>
          </w:tblCellMar>
        </w:tblPrEx>
        <w:tc>
          <w:tcPr>
            <w:tcW w:w="1491" w:type="dxa"/>
            <w:vMerge/>
            <w:tcBorders>
              <w:bottom w:val="single" w:sz="12" w:space="0" w:color="0D0D0D" w:themeColor="text1" w:themeTint="F2"/>
            </w:tcBorders>
            <w:shd w:val="clear" w:color="auto" w:fill="FBFBFB"/>
            <w:hideMark/>
          </w:tcPr>
          <w:p w14:paraId="6B64733A" w14:textId="77777777" w:rsidR="00434D0C" w:rsidRPr="00100925" w:rsidRDefault="00434D0C" w:rsidP="00A260DC">
            <w:pPr>
              <w:rPr>
                <w:sz w:val="18"/>
                <w:szCs w:val="18"/>
              </w:rPr>
            </w:pPr>
          </w:p>
        </w:tc>
        <w:tc>
          <w:tcPr>
            <w:tcW w:w="1344" w:type="dxa"/>
            <w:tcBorders>
              <w:bottom w:val="single" w:sz="12" w:space="0" w:color="0D0D0D" w:themeColor="text1" w:themeTint="F2"/>
            </w:tcBorders>
            <w:shd w:val="clear" w:color="auto" w:fill="FBFBFB"/>
            <w:hideMark/>
          </w:tcPr>
          <w:p w14:paraId="07A572BB" w14:textId="77777777" w:rsidR="00434D0C" w:rsidRPr="00100925" w:rsidRDefault="00434D0C" w:rsidP="00A260DC">
            <w:pPr>
              <w:pStyle w:val="NormalWeb"/>
              <w:jc w:val="center"/>
              <w:rPr>
                <w:sz w:val="18"/>
                <w:szCs w:val="18"/>
              </w:rPr>
            </w:pPr>
            <w:r w:rsidRPr="00100925">
              <w:rPr>
                <w:sz w:val="18"/>
                <w:szCs w:val="18"/>
              </w:rPr>
              <w:t>August 2021</w:t>
            </w:r>
          </w:p>
        </w:tc>
        <w:tc>
          <w:tcPr>
            <w:tcW w:w="1639" w:type="dxa"/>
            <w:tcBorders>
              <w:bottom w:val="single" w:sz="12" w:space="0" w:color="0D0D0D" w:themeColor="text1" w:themeTint="F2"/>
            </w:tcBorders>
            <w:shd w:val="clear" w:color="auto" w:fill="FBFBFB"/>
            <w:hideMark/>
          </w:tcPr>
          <w:p w14:paraId="712F30BE" w14:textId="77777777" w:rsidR="00434D0C" w:rsidRPr="00100925" w:rsidRDefault="00434D0C" w:rsidP="00A260DC">
            <w:pPr>
              <w:pStyle w:val="NormalWeb"/>
              <w:jc w:val="center"/>
              <w:rPr>
                <w:sz w:val="18"/>
                <w:szCs w:val="18"/>
              </w:rPr>
            </w:pPr>
            <w:r w:rsidRPr="00100925">
              <w:rPr>
                <w:sz w:val="18"/>
                <w:szCs w:val="18"/>
              </w:rPr>
              <w:t>2 (1, 4)</w:t>
            </w:r>
          </w:p>
        </w:tc>
        <w:tc>
          <w:tcPr>
            <w:tcW w:w="2472" w:type="dxa"/>
            <w:tcBorders>
              <w:bottom w:val="single" w:sz="12" w:space="0" w:color="0D0D0D" w:themeColor="text1" w:themeTint="F2"/>
            </w:tcBorders>
            <w:shd w:val="clear" w:color="auto" w:fill="FBFBFB"/>
            <w:hideMark/>
          </w:tcPr>
          <w:p w14:paraId="3A6DEDCC" w14:textId="77777777" w:rsidR="00434D0C" w:rsidRPr="00100925" w:rsidRDefault="00434D0C" w:rsidP="00A260DC">
            <w:pPr>
              <w:pStyle w:val="NormalWeb"/>
              <w:jc w:val="center"/>
              <w:rPr>
                <w:sz w:val="18"/>
                <w:szCs w:val="18"/>
              </w:rPr>
            </w:pPr>
            <w:r w:rsidRPr="00100925">
              <w:rPr>
                <w:sz w:val="18"/>
                <w:szCs w:val="18"/>
              </w:rPr>
              <w:t>31.78</w:t>
            </w:r>
          </w:p>
        </w:tc>
        <w:tc>
          <w:tcPr>
            <w:tcW w:w="511" w:type="dxa"/>
            <w:tcBorders>
              <w:bottom w:val="single" w:sz="12" w:space="0" w:color="0D0D0D" w:themeColor="text1" w:themeTint="F2"/>
            </w:tcBorders>
            <w:shd w:val="clear" w:color="auto" w:fill="FBFBFB"/>
            <w:hideMark/>
          </w:tcPr>
          <w:p w14:paraId="26487FDB" w14:textId="77777777" w:rsidR="00434D0C" w:rsidRPr="00100925" w:rsidRDefault="00434D0C" w:rsidP="00A260DC">
            <w:pPr>
              <w:pStyle w:val="NormalWeb"/>
              <w:jc w:val="center"/>
              <w:rPr>
                <w:sz w:val="18"/>
                <w:szCs w:val="18"/>
              </w:rPr>
            </w:pPr>
            <w:r w:rsidRPr="00100925">
              <w:rPr>
                <w:sz w:val="18"/>
                <w:szCs w:val="18"/>
              </w:rPr>
              <w:t>1.09</w:t>
            </w:r>
          </w:p>
        </w:tc>
        <w:tc>
          <w:tcPr>
            <w:tcW w:w="1491" w:type="dxa"/>
            <w:tcBorders>
              <w:bottom w:val="single" w:sz="12" w:space="0" w:color="0D0D0D" w:themeColor="text1" w:themeTint="F2"/>
            </w:tcBorders>
            <w:shd w:val="clear" w:color="auto" w:fill="FBFBFB"/>
            <w:hideMark/>
          </w:tcPr>
          <w:p w14:paraId="465DB8BE" w14:textId="77777777" w:rsidR="00434D0C" w:rsidRPr="00100925" w:rsidRDefault="00434D0C" w:rsidP="00A260DC">
            <w:pPr>
              <w:pStyle w:val="NormalWeb"/>
              <w:jc w:val="center"/>
              <w:rPr>
                <w:sz w:val="18"/>
                <w:szCs w:val="18"/>
              </w:rPr>
            </w:pPr>
            <w:r w:rsidRPr="00100925">
              <w:rPr>
                <w:sz w:val="18"/>
                <w:szCs w:val="18"/>
              </w:rPr>
              <w:t>1.04, 1.15</w:t>
            </w:r>
          </w:p>
        </w:tc>
        <w:tc>
          <w:tcPr>
            <w:tcW w:w="1492" w:type="dxa"/>
            <w:vMerge/>
            <w:tcBorders>
              <w:bottom w:val="single" w:sz="12" w:space="0" w:color="0D0D0D" w:themeColor="text1" w:themeTint="F2"/>
            </w:tcBorders>
            <w:shd w:val="clear" w:color="auto" w:fill="FBFBFB"/>
            <w:hideMark/>
          </w:tcPr>
          <w:p w14:paraId="1485361B" w14:textId="77777777" w:rsidR="00434D0C" w:rsidRPr="00100925" w:rsidRDefault="00434D0C" w:rsidP="00A260DC">
            <w:pPr>
              <w:jc w:val="center"/>
              <w:rPr>
                <w:sz w:val="18"/>
                <w:szCs w:val="18"/>
              </w:rPr>
            </w:pPr>
          </w:p>
        </w:tc>
      </w:tr>
    </w:tbl>
    <w:p w14:paraId="2C2D68FF" w14:textId="77777777" w:rsidR="00434D0C" w:rsidRDefault="00434D0C" w:rsidP="00434D0C">
      <w:pPr>
        <w:pStyle w:val="CDIfootnotes"/>
        <w:rPr>
          <w:lang w:val="en-GB"/>
        </w:rPr>
      </w:pPr>
      <w:r>
        <w:rPr>
          <w:lang w:val="en-GB"/>
        </w:rPr>
        <w:t>a</w:t>
      </w:r>
      <w:r>
        <w:rPr>
          <w:lang w:val="en-GB"/>
        </w:rPr>
        <w:tab/>
        <w:t xml:space="preserve">Chi-square </w:t>
      </w:r>
      <w:r w:rsidRPr="00732DB8">
        <w:rPr>
          <w:i/>
          <w:iCs/>
          <w:lang w:val="en-GB"/>
        </w:rPr>
        <w:t>p</w:t>
      </w:r>
      <w:r>
        <w:rPr>
          <w:lang w:val="en-GB"/>
        </w:rPr>
        <w:t xml:space="preserve"> value.</w:t>
      </w:r>
    </w:p>
    <w:p w14:paraId="6521B854" w14:textId="77777777" w:rsidR="00434D0C" w:rsidRDefault="00434D0C" w:rsidP="00434D0C">
      <w:pPr>
        <w:pStyle w:val="CDIfootnotes"/>
        <w:rPr>
          <w:lang w:val="en-GB"/>
        </w:rPr>
      </w:pPr>
      <w:r>
        <w:rPr>
          <w:lang w:val="en-GB"/>
        </w:rPr>
        <w:t>b</w:t>
      </w:r>
      <w:r>
        <w:rPr>
          <w:lang w:val="en-GB"/>
        </w:rPr>
        <w:tab/>
        <w:t>ACT: Australian Capital Territory; NSW: New South Wales; NT: Northern Territory; Qld: Queensland; SA: South Australia; Tas.: Tasmania; Vic.: Victoria; WA: Western Australia.</w:t>
      </w:r>
    </w:p>
    <w:p w14:paraId="429F28A6" w14:textId="77777777" w:rsidR="0038799F" w:rsidRDefault="0038799F">
      <w:pPr>
        <w:rPr>
          <w:rFonts w:asciiTheme="majorHAnsi" w:eastAsiaTheme="majorEastAsia" w:hAnsiTheme="majorHAnsi" w:cstheme="majorBidi"/>
          <w:b/>
          <w:bCs/>
          <w:sz w:val="26"/>
          <w:szCs w:val="26"/>
        </w:rPr>
      </w:pPr>
      <w:r>
        <w:br w:type="page"/>
      </w:r>
    </w:p>
    <w:p w14:paraId="6EE749EF" w14:textId="77777777" w:rsidR="0038799F" w:rsidRPr="00377A54" w:rsidRDefault="0038799F" w:rsidP="0038799F">
      <w:pPr>
        <w:pStyle w:val="CDIFigures"/>
      </w:pPr>
      <w:r w:rsidRPr="00377A54">
        <w:rPr>
          <w:rStyle w:val="Strong"/>
          <w:b/>
          <w:bCs w:val="0"/>
        </w:rPr>
        <w:lastRenderedPageBreak/>
        <w:t>Table 3: Factors associated with presentation to a GP respiratory clinic within one day of symptom onset on multivariable analysis, 1 February to 31 August 2021</w:t>
      </w:r>
    </w:p>
    <w:tbl>
      <w:tblPr>
        <w:tblStyle w:val="CDI-StandardTable"/>
        <w:tblW w:w="0" w:type="auto"/>
        <w:tblBorders>
          <w:insideH w:val="single" w:sz="2" w:space="0" w:color="auto"/>
        </w:tblBorders>
        <w:shd w:val="clear" w:color="auto" w:fill="FBFBFB"/>
        <w:tblLook w:val="04A0" w:firstRow="1" w:lastRow="0" w:firstColumn="1" w:lastColumn="0" w:noHBand="0" w:noVBand="1"/>
        <w:tblDescription w:val="Table 3 shows the adjusted odds ratios, with 95% confidence intervals and robust standard errors, of presenting to a GP respiratory clinic within one day, adjusted for sex, age, Indigenous status, urban or rural location, state or territory and month of encounter.&#10;"/>
      </w:tblPr>
      <w:tblGrid>
        <w:gridCol w:w="2610"/>
        <w:gridCol w:w="2610"/>
        <w:gridCol w:w="2610"/>
        <w:gridCol w:w="2610"/>
      </w:tblGrid>
      <w:tr w:rsidR="0038799F" w:rsidRPr="00641B15" w14:paraId="28512BF0" w14:textId="77777777" w:rsidTr="0012157B">
        <w:trPr>
          <w:cnfStyle w:val="100000000000" w:firstRow="1" w:lastRow="0" w:firstColumn="0" w:lastColumn="0" w:oddVBand="0" w:evenVBand="0" w:oddHBand="0" w:evenHBand="0" w:firstRowFirstColumn="0" w:firstRowLastColumn="0" w:lastRowFirstColumn="0" w:lastRowLastColumn="0"/>
          <w:tblHeader/>
        </w:trPr>
        <w:tc>
          <w:tcPr>
            <w:tcW w:w="2610" w:type="dxa"/>
            <w:tcBorders>
              <w:top w:val="nil"/>
              <w:bottom w:val="single" w:sz="12" w:space="0" w:color="auto"/>
            </w:tcBorders>
            <w:shd w:val="clear" w:color="auto" w:fill="FBFBFB"/>
            <w:hideMark/>
          </w:tcPr>
          <w:p w14:paraId="3A0C49AA" w14:textId="77777777" w:rsidR="0038799F" w:rsidRPr="00641B15" w:rsidRDefault="0038799F" w:rsidP="00A260DC">
            <w:pPr>
              <w:pStyle w:val="NormalWeb"/>
              <w:rPr>
                <w:sz w:val="18"/>
                <w:szCs w:val="18"/>
              </w:rPr>
            </w:pPr>
            <w:r w:rsidRPr="00641B15">
              <w:rPr>
                <w:sz w:val="18"/>
                <w:szCs w:val="18"/>
              </w:rPr>
              <w:t> </w:t>
            </w:r>
          </w:p>
        </w:tc>
        <w:tc>
          <w:tcPr>
            <w:tcW w:w="2610" w:type="dxa"/>
            <w:tcBorders>
              <w:top w:val="nil"/>
              <w:bottom w:val="single" w:sz="12" w:space="0" w:color="auto"/>
            </w:tcBorders>
            <w:shd w:val="clear" w:color="auto" w:fill="FBFBFB"/>
            <w:hideMark/>
          </w:tcPr>
          <w:p w14:paraId="0472D1B5" w14:textId="77777777" w:rsidR="0038799F" w:rsidRPr="00641B15" w:rsidRDefault="0038799F" w:rsidP="00A260DC">
            <w:pPr>
              <w:jc w:val="center"/>
              <w:rPr>
                <w:sz w:val="18"/>
                <w:szCs w:val="18"/>
              </w:rPr>
            </w:pPr>
          </w:p>
        </w:tc>
        <w:tc>
          <w:tcPr>
            <w:tcW w:w="2610" w:type="dxa"/>
            <w:tcBorders>
              <w:top w:val="nil"/>
              <w:bottom w:val="single" w:sz="12" w:space="0" w:color="auto"/>
            </w:tcBorders>
            <w:shd w:val="clear" w:color="auto" w:fill="FBFBFB"/>
            <w:hideMark/>
          </w:tcPr>
          <w:p w14:paraId="43E3C327" w14:textId="77777777" w:rsidR="0038799F" w:rsidRPr="00641B15" w:rsidRDefault="0038799F" w:rsidP="00A260DC">
            <w:pPr>
              <w:pStyle w:val="NormalWeb"/>
              <w:jc w:val="center"/>
              <w:rPr>
                <w:sz w:val="18"/>
                <w:szCs w:val="18"/>
              </w:rPr>
            </w:pPr>
            <w:r w:rsidRPr="00641B15">
              <w:rPr>
                <w:sz w:val="18"/>
                <w:szCs w:val="18"/>
              </w:rPr>
              <w:t xml:space="preserve">Adjusted odds </w:t>
            </w:r>
            <w:proofErr w:type="spellStart"/>
            <w:r w:rsidRPr="00641B15">
              <w:rPr>
                <w:sz w:val="18"/>
                <w:szCs w:val="18"/>
              </w:rPr>
              <w:t>ratio</w:t>
            </w:r>
            <w:r w:rsidRPr="00641B15">
              <w:rPr>
                <w:sz w:val="18"/>
                <w:szCs w:val="18"/>
                <w:vertAlign w:val="superscript"/>
              </w:rPr>
              <w:t>a</w:t>
            </w:r>
            <w:proofErr w:type="spellEnd"/>
          </w:p>
        </w:tc>
        <w:tc>
          <w:tcPr>
            <w:tcW w:w="2610" w:type="dxa"/>
            <w:tcBorders>
              <w:top w:val="nil"/>
              <w:bottom w:val="single" w:sz="12" w:space="0" w:color="auto"/>
            </w:tcBorders>
            <w:shd w:val="clear" w:color="auto" w:fill="FBFBFB"/>
            <w:hideMark/>
          </w:tcPr>
          <w:p w14:paraId="13C28411" w14:textId="77777777" w:rsidR="0038799F" w:rsidRPr="00641B15" w:rsidRDefault="0038799F" w:rsidP="00A260DC">
            <w:pPr>
              <w:pStyle w:val="NormalWeb"/>
              <w:jc w:val="center"/>
              <w:rPr>
                <w:sz w:val="18"/>
                <w:szCs w:val="18"/>
              </w:rPr>
            </w:pPr>
            <w:r w:rsidRPr="00641B15">
              <w:rPr>
                <w:sz w:val="18"/>
                <w:szCs w:val="18"/>
              </w:rPr>
              <w:t>95% Confidence Interval</w:t>
            </w:r>
          </w:p>
        </w:tc>
      </w:tr>
      <w:tr w:rsidR="0038799F" w:rsidRPr="00641B15" w14:paraId="33D47F3F" w14:textId="77777777" w:rsidTr="0012157B">
        <w:tblPrEx>
          <w:tblCellMar>
            <w:top w:w="57" w:type="dxa"/>
            <w:left w:w="57" w:type="dxa"/>
            <w:bottom w:w="57" w:type="dxa"/>
            <w:right w:w="57" w:type="dxa"/>
          </w:tblCellMar>
        </w:tblPrEx>
        <w:tc>
          <w:tcPr>
            <w:tcW w:w="2610" w:type="dxa"/>
            <w:vMerge w:val="restart"/>
            <w:tcBorders>
              <w:top w:val="single" w:sz="12" w:space="0" w:color="auto"/>
              <w:bottom w:val="single" w:sz="12" w:space="0" w:color="auto"/>
            </w:tcBorders>
            <w:shd w:val="clear" w:color="auto" w:fill="FBFBFB"/>
            <w:hideMark/>
          </w:tcPr>
          <w:p w14:paraId="4D0F4CA9" w14:textId="77777777" w:rsidR="0038799F" w:rsidRPr="00641B15" w:rsidRDefault="0038799F" w:rsidP="00A260DC">
            <w:pPr>
              <w:pStyle w:val="NormalWeb"/>
              <w:rPr>
                <w:sz w:val="18"/>
                <w:szCs w:val="18"/>
              </w:rPr>
            </w:pPr>
            <w:r w:rsidRPr="00641B15">
              <w:rPr>
                <w:sz w:val="18"/>
                <w:szCs w:val="18"/>
              </w:rPr>
              <w:t>Sex</w:t>
            </w:r>
          </w:p>
        </w:tc>
        <w:tc>
          <w:tcPr>
            <w:tcW w:w="2610" w:type="dxa"/>
            <w:tcBorders>
              <w:top w:val="single" w:sz="12" w:space="0" w:color="auto"/>
              <w:bottom w:val="single" w:sz="2" w:space="0" w:color="auto"/>
            </w:tcBorders>
            <w:shd w:val="clear" w:color="auto" w:fill="FBFBFB"/>
            <w:hideMark/>
          </w:tcPr>
          <w:p w14:paraId="5EFCCB41" w14:textId="77777777" w:rsidR="0038799F" w:rsidRPr="00641B15" w:rsidRDefault="0038799F" w:rsidP="00A260DC">
            <w:pPr>
              <w:pStyle w:val="NormalWeb"/>
              <w:jc w:val="center"/>
              <w:rPr>
                <w:sz w:val="18"/>
                <w:szCs w:val="18"/>
              </w:rPr>
            </w:pPr>
            <w:r w:rsidRPr="00641B15">
              <w:rPr>
                <w:sz w:val="18"/>
                <w:szCs w:val="18"/>
              </w:rPr>
              <w:t>Female</w:t>
            </w:r>
          </w:p>
        </w:tc>
        <w:tc>
          <w:tcPr>
            <w:tcW w:w="2610" w:type="dxa"/>
            <w:tcBorders>
              <w:top w:val="single" w:sz="12" w:space="0" w:color="auto"/>
              <w:bottom w:val="single" w:sz="2" w:space="0" w:color="auto"/>
            </w:tcBorders>
            <w:shd w:val="clear" w:color="auto" w:fill="FBFBFB"/>
            <w:hideMark/>
          </w:tcPr>
          <w:p w14:paraId="230E70FB" w14:textId="77777777" w:rsidR="0038799F" w:rsidRPr="00641B15" w:rsidRDefault="0038799F" w:rsidP="00A260DC">
            <w:pPr>
              <w:pStyle w:val="NormalWeb"/>
              <w:jc w:val="center"/>
              <w:rPr>
                <w:sz w:val="18"/>
                <w:szCs w:val="18"/>
              </w:rPr>
            </w:pPr>
            <w:r w:rsidRPr="00641B15">
              <w:rPr>
                <w:sz w:val="18"/>
                <w:szCs w:val="18"/>
              </w:rPr>
              <w:t>0.92</w:t>
            </w:r>
          </w:p>
        </w:tc>
        <w:tc>
          <w:tcPr>
            <w:tcW w:w="2610" w:type="dxa"/>
            <w:tcBorders>
              <w:top w:val="single" w:sz="12" w:space="0" w:color="auto"/>
              <w:bottom w:val="single" w:sz="2" w:space="0" w:color="auto"/>
            </w:tcBorders>
            <w:shd w:val="clear" w:color="auto" w:fill="FBFBFB"/>
            <w:hideMark/>
          </w:tcPr>
          <w:p w14:paraId="7C110407" w14:textId="77777777" w:rsidR="0038799F" w:rsidRPr="00641B15" w:rsidRDefault="0038799F" w:rsidP="00A260DC">
            <w:pPr>
              <w:pStyle w:val="NormalWeb"/>
              <w:jc w:val="center"/>
              <w:rPr>
                <w:sz w:val="18"/>
                <w:szCs w:val="18"/>
              </w:rPr>
            </w:pPr>
            <w:r w:rsidRPr="00641B15">
              <w:rPr>
                <w:sz w:val="18"/>
                <w:szCs w:val="18"/>
              </w:rPr>
              <w:t>0.90, 0.93</w:t>
            </w:r>
          </w:p>
        </w:tc>
      </w:tr>
      <w:tr w:rsidR="0038799F" w:rsidRPr="00641B15" w14:paraId="23A5DADA" w14:textId="77777777" w:rsidTr="0012157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610" w:type="dxa"/>
            <w:vMerge/>
            <w:tcBorders>
              <w:top w:val="single" w:sz="2" w:space="0" w:color="auto"/>
              <w:bottom w:val="single" w:sz="12" w:space="0" w:color="auto"/>
            </w:tcBorders>
            <w:shd w:val="clear" w:color="auto" w:fill="FBFBFB"/>
            <w:hideMark/>
          </w:tcPr>
          <w:p w14:paraId="7A2273B7" w14:textId="77777777" w:rsidR="0038799F" w:rsidRPr="00641B15" w:rsidRDefault="0038799F" w:rsidP="00A260DC">
            <w:pPr>
              <w:rPr>
                <w:sz w:val="18"/>
                <w:szCs w:val="18"/>
              </w:rPr>
            </w:pPr>
          </w:p>
        </w:tc>
        <w:tc>
          <w:tcPr>
            <w:tcW w:w="2610" w:type="dxa"/>
            <w:tcBorders>
              <w:top w:val="single" w:sz="2" w:space="0" w:color="auto"/>
              <w:bottom w:val="single" w:sz="12" w:space="0" w:color="auto"/>
            </w:tcBorders>
            <w:shd w:val="clear" w:color="auto" w:fill="FBFBFB"/>
            <w:hideMark/>
          </w:tcPr>
          <w:p w14:paraId="16BE3FE6" w14:textId="77777777" w:rsidR="0038799F" w:rsidRPr="00641B15" w:rsidRDefault="0038799F" w:rsidP="00A260DC">
            <w:pPr>
              <w:pStyle w:val="NormalWeb"/>
              <w:jc w:val="center"/>
              <w:rPr>
                <w:sz w:val="18"/>
                <w:szCs w:val="18"/>
              </w:rPr>
            </w:pPr>
            <w:r w:rsidRPr="00641B15">
              <w:rPr>
                <w:sz w:val="18"/>
                <w:szCs w:val="18"/>
              </w:rPr>
              <w:t>Male</w:t>
            </w:r>
          </w:p>
        </w:tc>
        <w:tc>
          <w:tcPr>
            <w:tcW w:w="2610" w:type="dxa"/>
            <w:tcBorders>
              <w:top w:val="single" w:sz="2" w:space="0" w:color="auto"/>
              <w:bottom w:val="single" w:sz="12" w:space="0" w:color="auto"/>
            </w:tcBorders>
            <w:shd w:val="clear" w:color="auto" w:fill="FBFBFB"/>
            <w:hideMark/>
          </w:tcPr>
          <w:p w14:paraId="1BA61D51" w14:textId="77777777" w:rsidR="0038799F" w:rsidRPr="00641B15" w:rsidRDefault="0038799F" w:rsidP="00A260DC">
            <w:pPr>
              <w:pStyle w:val="NormalWeb"/>
              <w:jc w:val="center"/>
              <w:rPr>
                <w:sz w:val="18"/>
                <w:szCs w:val="18"/>
              </w:rPr>
            </w:pPr>
            <w:r w:rsidRPr="00641B15">
              <w:rPr>
                <w:sz w:val="18"/>
                <w:szCs w:val="18"/>
              </w:rPr>
              <w:t>Ref</w:t>
            </w:r>
          </w:p>
        </w:tc>
        <w:tc>
          <w:tcPr>
            <w:tcW w:w="2610" w:type="dxa"/>
            <w:tcBorders>
              <w:top w:val="single" w:sz="2" w:space="0" w:color="auto"/>
              <w:bottom w:val="single" w:sz="12" w:space="0" w:color="auto"/>
            </w:tcBorders>
            <w:shd w:val="clear" w:color="auto" w:fill="FBFBFB"/>
            <w:hideMark/>
          </w:tcPr>
          <w:p w14:paraId="4EBF8032" w14:textId="77777777" w:rsidR="0038799F" w:rsidRPr="00641B15" w:rsidRDefault="0038799F" w:rsidP="00A260DC">
            <w:pPr>
              <w:jc w:val="center"/>
              <w:rPr>
                <w:sz w:val="18"/>
                <w:szCs w:val="18"/>
              </w:rPr>
            </w:pPr>
          </w:p>
        </w:tc>
      </w:tr>
      <w:tr w:rsidR="0038799F" w:rsidRPr="00641B15" w14:paraId="7961985F" w14:textId="77777777" w:rsidTr="0012157B">
        <w:tblPrEx>
          <w:tblCellMar>
            <w:top w:w="57" w:type="dxa"/>
            <w:left w:w="57" w:type="dxa"/>
            <w:bottom w:w="57" w:type="dxa"/>
            <w:right w:w="57" w:type="dxa"/>
          </w:tblCellMar>
        </w:tblPrEx>
        <w:tc>
          <w:tcPr>
            <w:tcW w:w="2610" w:type="dxa"/>
            <w:vMerge w:val="restart"/>
            <w:tcBorders>
              <w:top w:val="single" w:sz="2" w:space="0" w:color="auto"/>
              <w:bottom w:val="single" w:sz="12" w:space="0" w:color="auto"/>
            </w:tcBorders>
            <w:shd w:val="clear" w:color="auto" w:fill="FBFBFB"/>
            <w:hideMark/>
          </w:tcPr>
          <w:p w14:paraId="2CC9AB1F" w14:textId="77777777" w:rsidR="0038799F" w:rsidRPr="00641B15" w:rsidRDefault="0038799F" w:rsidP="00A260DC">
            <w:pPr>
              <w:pStyle w:val="NormalWeb"/>
              <w:rPr>
                <w:sz w:val="18"/>
                <w:szCs w:val="18"/>
              </w:rPr>
            </w:pPr>
            <w:r w:rsidRPr="00641B15">
              <w:rPr>
                <w:sz w:val="18"/>
                <w:szCs w:val="18"/>
              </w:rPr>
              <w:t>Indigenous status</w:t>
            </w:r>
          </w:p>
        </w:tc>
        <w:tc>
          <w:tcPr>
            <w:tcW w:w="2610" w:type="dxa"/>
            <w:tcBorders>
              <w:top w:val="single" w:sz="12" w:space="0" w:color="auto"/>
              <w:bottom w:val="single" w:sz="2" w:space="0" w:color="auto"/>
            </w:tcBorders>
            <w:shd w:val="clear" w:color="auto" w:fill="FBFBFB"/>
            <w:hideMark/>
          </w:tcPr>
          <w:p w14:paraId="4FB69A81" w14:textId="77777777" w:rsidR="0038799F" w:rsidRPr="00641B15" w:rsidRDefault="0038799F" w:rsidP="00A260DC">
            <w:pPr>
              <w:pStyle w:val="NormalWeb"/>
              <w:jc w:val="center"/>
              <w:rPr>
                <w:sz w:val="18"/>
                <w:szCs w:val="18"/>
              </w:rPr>
            </w:pPr>
            <w:r w:rsidRPr="00641B15">
              <w:rPr>
                <w:sz w:val="18"/>
                <w:szCs w:val="18"/>
              </w:rPr>
              <w:t>Indigenous</w:t>
            </w:r>
          </w:p>
        </w:tc>
        <w:tc>
          <w:tcPr>
            <w:tcW w:w="2610" w:type="dxa"/>
            <w:tcBorders>
              <w:top w:val="single" w:sz="12" w:space="0" w:color="auto"/>
              <w:bottom w:val="single" w:sz="2" w:space="0" w:color="auto"/>
            </w:tcBorders>
            <w:shd w:val="clear" w:color="auto" w:fill="FBFBFB"/>
            <w:hideMark/>
          </w:tcPr>
          <w:p w14:paraId="2B522354" w14:textId="77777777" w:rsidR="0038799F" w:rsidRPr="00641B15" w:rsidRDefault="0038799F" w:rsidP="00A260DC">
            <w:pPr>
              <w:pStyle w:val="NormalWeb"/>
              <w:jc w:val="center"/>
              <w:rPr>
                <w:sz w:val="18"/>
                <w:szCs w:val="18"/>
              </w:rPr>
            </w:pPr>
            <w:r w:rsidRPr="00641B15">
              <w:rPr>
                <w:sz w:val="18"/>
                <w:szCs w:val="18"/>
              </w:rPr>
              <w:t>0.82</w:t>
            </w:r>
          </w:p>
        </w:tc>
        <w:tc>
          <w:tcPr>
            <w:tcW w:w="2610" w:type="dxa"/>
            <w:tcBorders>
              <w:top w:val="single" w:sz="12" w:space="0" w:color="auto"/>
              <w:bottom w:val="single" w:sz="2" w:space="0" w:color="auto"/>
            </w:tcBorders>
            <w:shd w:val="clear" w:color="auto" w:fill="FBFBFB"/>
            <w:hideMark/>
          </w:tcPr>
          <w:p w14:paraId="0922068A" w14:textId="77777777" w:rsidR="0038799F" w:rsidRPr="00641B15" w:rsidRDefault="0038799F" w:rsidP="00A260DC">
            <w:pPr>
              <w:pStyle w:val="NormalWeb"/>
              <w:jc w:val="center"/>
              <w:rPr>
                <w:sz w:val="18"/>
                <w:szCs w:val="18"/>
              </w:rPr>
            </w:pPr>
            <w:r w:rsidRPr="00641B15">
              <w:rPr>
                <w:sz w:val="18"/>
                <w:szCs w:val="18"/>
              </w:rPr>
              <w:t>0.79, 0.85</w:t>
            </w:r>
          </w:p>
        </w:tc>
      </w:tr>
      <w:tr w:rsidR="0038799F" w:rsidRPr="00641B15" w14:paraId="34355CAF" w14:textId="77777777" w:rsidTr="0012157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610" w:type="dxa"/>
            <w:vMerge/>
            <w:tcBorders>
              <w:top w:val="single" w:sz="2" w:space="0" w:color="auto"/>
              <w:bottom w:val="single" w:sz="12" w:space="0" w:color="auto"/>
            </w:tcBorders>
            <w:shd w:val="clear" w:color="auto" w:fill="FBFBFB"/>
            <w:hideMark/>
          </w:tcPr>
          <w:p w14:paraId="301F7637" w14:textId="77777777" w:rsidR="0038799F" w:rsidRPr="00641B15" w:rsidRDefault="0038799F" w:rsidP="00A260DC">
            <w:pPr>
              <w:rPr>
                <w:sz w:val="18"/>
                <w:szCs w:val="18"/>
              </w:rPr>
            </w:pPr>
          </w:p>
        </w:tc>
        <w:tc>
          <w:tcPr>
            <w:tcW w:w="2610" w:type="dxa"/>
            <w:tcBorders>
              <w:top w:val="single" w:sz="2" w:space="0" w:color="auto"/>
              <w:bottom w:val="single" w:sz="12" w:space="0" w:color="auto"/>
            </w:tcBorders>
            <w:shd w:val="clear" w:color="auto" w:fill="FBFBFB"/>
            <w:hideMark/>
          </w:tcPr>
          <w:p w14:paraId="4206DFA4" w14:textId="77777777" w:rsidR="0038799F" w:rsidRPr="00641B15" w:rsidRDefault="0038799F" w:rsidP="00A260DC">
            <w:pPr>
              <w:pStyle w:val="NormalWeb"/>
              <w:jc w:val="center"/>
              <w:rPr>
                <w:sz w:val="18"/>
                <w:szCs w:val="18"/>
              </w:rPr>
            </w:pPr>
            <w:r w:rsidRPr="00641B15">
              <w:rPr>
                <w:sz w:val="18"/>
                <w:szCs w:val="18"/>
              </w:rPr>
              <w:t>Non-Indigenous</w:t>
            </w:r>
          </w:p>
        </w:tc>
        <w:tc>
          <w:tcPr>
            <w:tcW w:w="2610" w:type="dxa"/>
            <w:tcBorders>
              <w:top w:val="single" w:sz="2" w:space="0" w:color="auto"/>
              <w:bottom w:val="single" w:sz="12" w:space="0" w:color="auto"/>
            </w:tcBorders>
            <w:shd w:val="clear" w:color="auto" w:fill="FBFBFB"/>
            <w:hideMark/>
          </w:tcPr>
          <w:p w14:paraId="1CBE713E" w14:textId="77777777" w:rsidR="0038799F" w:rsidRPr="00641B15" w:rsidRDefault="0038799F" w:rsidP="00A260DC">
            <w:pPr>
              <w:pStyle w:val="NormalWeb"/>
              <w:jc w:val="center"/>
              <w:rPr>
                <w:sz w:val="18"/>
                <w:szCs w:val="18"/>
              </w:rPr>
            </w:pPr>
            <w:r w:rsidRPr="00641B15">
              <w:rPr>
                <w:sz w:val="18"/>
                <w:szCs w:val="18"/>
              </w:rPr>
              <w:t>Ref</w:t>
            </w:r>
          </w:p>
        </w:tc>
        <w:tc>
          <w:tcPr>
            <w:tcW w:w="2610" w:type="dxa"/>
            <w:tcBorders>
              <w:top w:val="single" w:sz="2" w:space="0" w:color="auto"/>
              <w:bottom w:val="single" w:sz="12" w:space="0" w:color="auto"/>
            </w:tcBorders>
            <w:shd w:val="clear" w:color="auto" w:fill="FBFBFB"/>
            <w:hideMark/>
          </w:tcPr>
          <w:p w14:paraId="510B291F" w14:textId="77777777" w:rsidR="0038799F" w:rsidRPr="00641B15" w:rsidRDefault="0038799F" w:rsidP="00A260DC">
            <w:pPr>
              <w:jc w:val="center"/>
              <w:rPr>
                <w:sz w:val="18"/>
                <w:szCs w:val="18"/>
              </w:rPr>
            </w:pPr>
          </w:p>
        </w:tc>
      </w:tr>
      <w:tr w:rsidR="0038799F" w:rsidRPr="00641B15" w14:paraId="68F9AD1E" w14:textId="77777777" w:rsidTr="0012157B">
        <w:tblPrEx>
          <w:tblCellMar>
            <w:top w:w="57" w:type="dxa"/>
            <w:left w:w="57" w:type="dxa"/>
            <w:bottom w:w="57" w:type="dxa"/>
            <w:right w:w="57" w:type="dxa"/>
          </w:tblCellMar>
        </w:tblPrEx>
        <w:tc>
          <w:tcPr>
            <w:tcW w:w="2610" w:type="dxa"/>
            <w:vMerge w:val="restart"/>
            <w:tcBorders>
              <w:top w:val="single" w:sz="2" w:space="0" w:color="auto"/>
              <w:bottom w:val="single" w:sz="12" w:space="0" w:color="auto"/>
            </w:tcBorders>
            <w:shd w:val="clear" w:color="auto" w:fill="FBFBFB"/>
            <w:hideMark/>
          </w:tcPr>
          <w:p w14:paraId="7E3177EB" w14:textId="77777777" w:rsidR="0038799F" w:rsidRPr="00641B15" w:rsidRDefault="0038799F" w:rsidP="00A260DC">
            <w:pPr>
              <w:pStyle w:val="NormalWeb"/>
              <w:rPr>
                <w:sz w:val="18"/>
                <w:szCs w:val="18"/>
              </w:rPr>
            </w:pPr>
            <w:r w:rsidRPr="00641B15">
              <w:rPr>
                <w:sz w:val="18"/>
                <w:szCs w:val="18"/>
              </w:rPr>
              <w:t>Age group (years)</w:t>
            </w:r>
          </w:p>
        </w:tc>
        <w:tc>
          <w:tcPr>
            <w:tcW w:w="2610" w:type="dxa"/>
            <w:tcBorders>
              <w:top w:val="single" w:sz="12" w:space="0" w:color="auto"/>
            </w:tcBorders>
            <w:shd w:val="clear" w:color="auto" w:fill="FBFBFB"/>
            <w:hideMark/>
          </w:tcPr>
          <w:p w14:paraId="4AD2641D" w14:textId="77777777" w:rsidR="0038799F" w:rsidRPr="00641B15" w:rsidRDefault="0038799F" w:rsidP="00A260DC">
            <w:pPr>
              <w:pStyle w:val="NormalWeb"/>
              <w:jc w:val="center"/>
              <w:rPr>
                <w:sz w:val="18"/>
                <w:szCs w:val="18"/>
              </w:rPr>
            </w:pPr>
            <w:r w:rsidRPr="00641B15">
              <w:rPr>
                <w:sz w:val="18"/>
                <w:szCs w:val="18"/>
              </w:rPr>
              <w:t>&lt; 15</w:t>
            </w:r>
          </w:p>
        </w:tc>
        <w:tc>
          <w:tcPr>
            <w:tcW w:w="2610" w:type="dxa"/>
            <w:tcBorders>
              <w:top w:val="single" w:sz="12" w:space="0" w:color="auto"/>
            </w:tcBorders>
            <w:shd w:val="clear" w:color="auto" w:fill="FBFBFB"/>
            <w:hideMark/>
          </w:tcPr>
          <w:p w14:paraId="04577C30" w14:textId="77777777" w:rsidR="0038799F" w:rsidRPr="00641B15" w:rsidRDefault="0038799F" w:rsidP="00A260DC">
            <w:pPr>
              <w:pStyle w:val="NormalWeb"/>
              <w:jc w:val="center"/>
              <w:rPr>
                <w:sz w:val="18"/>
                <w:szCs w:val="18"/>
              </w:rPr>
            </w:pPr>
            <w:r w:rsidRPr="00641B15">
              <w:rPr>
                <w:sz w:val="18"/>
                <w:szCs w:val="18"/>
              </w:rPr>
              <w:t>Ref</w:t>
            </w:r>
          </w:p>
        </w:tc>
        <w:tc>
          <w:tcPr>
            <w:tcW w:w="2610" w:type="dxa"/>
            <w:tcBorders>
              <w:top w:val="single" w:sz="12" w:space="0" w:color="auto"/>
            </w:tcBorders>
            <w:shd w:val="clear" w:color="auto" w:fill="FBFBFB"/>
            <w:hideMark/>
          </w:tcPr>
          <w:p w14:paraId="2B43F423" w14:textId="77777777" w:rsidR="0038799F" w:rsidRPr="00641B15" w:rsidRDefault="0038799F" w:rsidP="00A260DC">
            <w:pPr>
              <w:jc w:val="center"/>
              <w:rPr>
                <w:sz w:val="18"/>
                <w:szCs w:val="18"/>
              </w:rPr>
            </w:pPr>
          </w:p>
        </w:tc>
      </w:tr>
      <w:tr w:rsidR="0038799F" w:rsidRPr="00641B15" w14:paraId="6741F5BD" w14:textId="77777777" w:rsidTr="0012157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610" w:type="dxa"/>
            <w:vMerge/>
            <w:tcBorders>
              <w:top w:val="single" w:sz="2" w:space="0" w:color="auto"/>
              <w:bottom w:val="single" w:sz="12" w:space="0" w:color="auto"/>
            </w:tcBorders>
            <w:shd w:val="clear" w:color="auto" w:fill="FBFBFB"/>
            <w:hideMark/>
          </w:tcPr>
          <w:p w14:paraId="4D733FE6" w14:textId="77777777" w:rsidR="0038799F" w:rsidRPr="00641B15" w:rsidRDefault="0038799F" w:rsidP="00A260DC">
            <w:pPr>
              <w:rPr>
                <w:sz w:val="18"/>
                <w:szCs w:val="18"/>
              </w:rPr>
            </w:pPr>
          </w:p>
        </w:tc>
        <w:tc>
          <w:tcPr>
            <w:tcW w:w="2610" w:type="dxa"/>
            <w:tcBorders>
              <w:bottom w:val="single" w:sz="2" w:space="0" w:color="auto"/>
            </w:tcBorders>
            <w:shd w:val="clear" w:color="auto" w:fill="FBFBFB"/>
            <w:hideMark/>
          </w:tcPr>
          <w:p w14:paraId="596738E3" w14:textId="77777777" w:rsidR="0038799F" w:rsidRPr="00641B15" w:rsidRDefault="0038799F" w:rsidP="00A260DC">
            <w:pPr>
              <w:pStyle w:val="NormalWeb"/>
              <w:jc w:val="center"/>
              <w:rPr>
                <w:sz w:val="18"/>
                <w:szCs w:val="18"/>
              </w:rPr>
            </w:pPr>
            <w:r w:rsidRPr="00641B15">
              <w:rPr>
                <w:sz w:val="18"/>
                <w:szCs w:val="18"/>
              </w:rPr>
              <w:t>15–64</w:t>
            </w:r>
          </w:p>
        </w:tc>
        <w:tc>
          <w:tcPr>
            <w:tcW w:w="2610" w:type="dxa"/>
            <w:tcBorders>
              <w:bottom w:val="single" w:sz="2" w:space="0" w:color="auto"/>
            </w:tcBorders>
            <w:shd w:val="clear" w:color="auto" w:fill="FBFBFB"/>
            <w:hideMark/>
          </w:tcPr>
          <w:p w14:paraId="67FE509A" w14:textId="77777777" w:rsidR="0038799F" w:rsidRPr="00641B15" w:rsidRDefault="0038799F" w:rsidP="00A260DC">
            <w:pPr>
              <w:pStyle w:val="NormalWeb"/>
              <w:jc w:val="center"/>
              <w:rPr>
                <w:sz w:val="18"/>
                <w:szCs w:val="18"/>
              </w:rPr>
            </w:pPr>
            <w:r w:rsidRPr="00641B15">
              <w:rPr>
                <w:sz w:val="18"/>
                <w:szCs w:val="18"/>
              </w:rPr>
              <w:t>1.68</w:t>
            </w:r>
          </w:p>
        </w:tc>
        <w:tc>
          <w:tcPr>
            <w:tcW w:w="2610" w:type="dxa"/>
            <w:tcBorders>
              <w:bottom w:val="single" w:sz="2" w:space="0" w:color="auto"/>
            </w:tcBorders>
            <w:shd w:val="clear" w:color="auto" w:fill="FBFBFB"/>
            <w:hideMark/>
          </w:tcPr>
          <w:p w14:paraId="2267129E" w14:textId="77777777" w:rsidR="0038799F" w:rsidRPr="00641B15" w:rsidRDefault="0038799F" w:rsidP="00A260DC">
            <w:pPr>
              <w:pStyle w:val="NormalWeb"/>
              <w:jc w:val="center"/>
              <w:rPr>
                <w:sz w:val="18"/>
                <w:szCs w:val="18"/>
              </w:rPr>
            </w:pPr>
            <w:r w:rsidRPr="00641B15">
              <w:rPr>
                <w:sz w:val="18"/>
                <w:szCs w:val="18"/>
              </w:rPr>
              <w:t>1.65, 1.71</w:t>
            </w:r>
          </w:p>
        </w:tc>
      </w:tr>
      <w:tr w:rsidR="0038799F" w:rsidRPr="00641B15" w14:paraId="640ACBD0" w14:textId="77777777" w:rsidTr="0012157B">
        <w:tblPrEx>
          <w:tblCellMar>
            <w:top w:w="57" w:type="dxa"/>
            <w:left w:w="57" w:type="dxa"/>
            <w:bottom w:w="57" w:type="dxa"/>
            <w:right w:w="57" w:type="dxa"/>
          </w:tblCellMar>
        </w:tblPrEx>
        <w:tc>
          <w:tcPr>
            <w:tcW w:w="2610" w:type="dxa"/>
            <w:vMerge/>
            <w:tcBorders>
              <w:top w:val="single" w:sz="2" w:space="0" w:color="auto"/>
              <w:bottom w:val="single" w:sz="12" w:space="0" w:color="auto"/>
            </w:tcBorders>
            <w:shd w:val="clear" w:color="auto" w:fill="FBFBFB"/>
            <w:hideMark/>
          </w:tcPr>
          <w:p w14:paraId="687D324B" w14:textId="77777777" w:rsidR="0038799F" w:rsidRPr="00641B15" w:rsidRDefault="0038799F" w:rsidP="00A260DC">
            <w:pPr>
              <w:rPr>
                <w:sz w:val="18"/>
                <w:szCs w:val="18"/>
              </w:rPr>
            </w:pPr>
          </w:p>
        </w:tc>
        <w:tc>
          <w:tcPr>
            <w:tcW w:w="2610" w:type="dxa"/>
            <w:tcBorders>
              <w:top w:val="single" w:sz="2" w:space="0" w:color="auto"/>
              <w:bottom w:val="single" w:sz="12" w:space="0" w:color="auto"/>
            </w:tcBorders>
            <w:shd w:val="clear" w:color="auto" w:fill="FBFBFB"/>
            <w:hideMark/>
          </w:tcPr>
          <w:p w14:paraId="25FF50E6" w14:textId="77777777" w:rsidR="0038799F" w:rsidRPr="00641B15" w:rsidRDefault="0038799F" w:rsidP="00A260DC">
            <w:pPr>
              <w:pStyle w:val="NormalWeb"/>
              <w:jc w:val="center"/>
              <w:rPr>
                <w:sz w:val="18"/>
                <w:szCs w:val="18"/>
              </w:rPr>
            </w:pPr>
            <w:r w:rsidRPr="00641B15">
              <w:rPr>
                <w:sz w:val="18"/>
                <w:szCs w:val="18"/>
              </w:rPr>
              <w:t>&gt; 64</w:t>
            </w:r>
          </w:p>
        </w:tc>
        <w:tc>
          <w:tcPr>
            <w:tcW w:w="2610" w:type="dxa"/>
            <w:tcBorders>
              <w:top w:val="single" w:sz="2" w:space="0" w:color="auto"/>
              <w:bottom w:val="single" w:sz="12" w:space="0" w:color="auto"/>
            </w:tcBorders>
            <w:shd w:val="clear" w:color="auto" w:fill="FBFBFB"/>
            <w:hideMark/>
          </w:tcPr>
          <w:p w14:paraId="4ECF3F60" w14:textId="77777777" w:rsidR="0038799F" w:rsidRPr="00641B15" w:rsidRDefault="0038799F" w:rsidP="00A260DC">
            <w:pPr>
              <w:pStyle w:val="NormalWeb"/>
              <w:jc w:val="center"/>
              <w:rPr>
                <w:sz w:val="18"/>
                <w:szCs w:val="18"/>
              </w:rPr>
            </w:pPr>
            <w:r w:rsidRPr="00641B15">
              <w:rPr>
                <w:sz w:val="18"/>
                <w:szCs w:val="18"/>
              </w:rPr>
              <w:t>1.14</w:t>
            </w:r>
          </w:p>
        </w:tc>
        <w:tc>
          <w:tcPr>
            <w:tcW w:w="2610" w:type="dxa"/>
            <w:tcBorders>
              <w:top w:val="single" w:sz="2" w:space="0" w:color="auto"/>
              <w:bottom w:val="single" w:sz="12" w:space="0" w:color="auto"/>
            </w:tcBorders>
            <w:shd w:val="clear" w:color="auto" w:fill="FBFBFB"/>
            <w:hideMark/>
          </w:tcPr>
          <w:p w14:paraId="7FBF2C13" w14:textId="77777777" w:rsidR="0038799F" w:rsidRPr="00641B15" w:rsidRDefault="0038799F" w:rsidP="00A260DC">
            <w:pPr>
              <w:pStyle w:val="NormalWeb"/>
              <w:jc w:val="center"/>
              <w:rPr>
                <w:sz w:val="18"/>
                <w:szCs w:val="18"/>
              </w:rPr>
            </w:pPr>
            <w:r w:rsidRPr="00641B15">
              <w:rPr>
                <w:sz w:val="18"/>
                <w:szCs w:val="18"/>
              </w:rPr>
              <w:t>1.10, 1.18</w:t>
            </w:r>
          </w:p>
        </w:tc>
      </w:tr>
      <w:tr w:rsidR="0038799F" w:rsidRPr="00641B15" w14:paraId="185861EB" w14:textId="77777777" w:rsidTr="0012157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610" w:type="dxa"/>
            <w:vMerge w:val="restart"/>
            <w:tcBorders>
              <w:top w:val="single" w:sz="2" w:space="0" w:color="auto"/>
              <w:bottom w:val="single" w:sz="12" w:space="0" w:color="auto"/>
            </w:tcBorders>
            <w:shd w:val="clear" w:color="auto" w:fill="FBFBFB"/>
            <w:hideMark/>
          </w:tcPr>
          <w:p w14:paraId="0D39CE98" w14:textId="77777777" w:rsidR="0038799F" w:rsidRPr="00641B15" w:rsidRDefault="0038799F" w:rsidP="00A260DC">
            <w:pPr>
              <w:pStyle w:val="NormalWeb"/>
              <w:rPr>
                <w:sz w:val="18"/>
                <w:szCs w:val="18"/>
              </w:rPr>
            </w:pPr>
            <w:r w:rsidRPr="00641B15">
              <w:rPr>
                <w:sz w:val="18"/>
                <w:szCs w:val="18"/>
              </w:rPr>
              <w:t>Location</w:t>
            </w:r>
          </w:p>
        </w:tc>
        <w:tc>
          <w:tcPr>
            <w:tcW w:w="2610" w:type="dxa"/>
            <w:tcBorders>
              <w:top w:val="single" w:sz="12" w:space="0" w:color="auto"/>
              <w:bottom w:val="single" w:sz="2" w:space="0" w:color="auto"/>
            </w:tcBorders>
            <w:shd w:val="clear" w:color="auto" w:fill="FBFBFB"/>
            <w:hideMark/>
          </w:tcPr>
          <w:p w14:paraId="7DB76380" w14:textId="77777777" w:rsidR="0038799F" w:rsidRPr="00641B15" w:rsidRDefault="0038799F" w:rsidP="00A260DC">
            <w:pPr>
              <w:pStyle w:val="NormalWeb"/>
              <w:jc w:val="center"/>
              <w:rPr>
                <w:sz w:val="18"/>
                <w:szCs w:val="18"/>
              </w:rPr>
            </w:pPr>
            <w:r w:rsidRPr="00641B15">
              <w:rPr>
                <w:sz w:val="18"/>
                <w:szCs w:val="18"/>
              </w:rPr>
              <w:t>Urban</w:t>
            </w:r>
          </w:p>
        </w:tc>
        <w:tc>
          <w:tcPr>
            <w:tcW w:w="2610" w:type="dxa"/>
            <w:tcBorders>
              <w:top w:val="single" w:sz="12" w:space="0" w:color="auto"/>
              <w:bottom w:val="single" w:sz="2" w:space="0" w:color="auto"/>
            </w:tcBorders>
            <w:shd w:val="clear" w:color="auto" w:fill="FBFBFB"/>
            <w:hideMark/>
          </w:tcPr>
          <w:p w14:paraId="7F710DDF" w14:textId="77777777" w:rsidR="0038799F" w:rsidRPr="00641B15" w:rsidRDefault="0038799F" w:rsidP="00A260DC">
            <w:pPr>
              <w:pStyle w:val="NormalWeb"/>
              <w:jc w:val="center"/>
              <w:rPr>
                <w:sz w:val="18"/>
                <w:szCs w:val="18"/>
              </w:rPr>
            </w:pPr>
            <w:r w:rsidRPr="00641B15">
              <w:rPr>
                <w:sz w:val="18"/>
                <w:szCs w:val="18"/>
              </w:rPr>
              <w:t>1.25</w:t>
            </w:r>
          </w:p>
        </w:tc>
        <w:tc>
          <w:tcPr>
            <w:tcW w:w="2610" w:type="dxa"/>
            <w:tcBorders>
              <w:top w:val="single" w:sz="12" w:space="0" w:color="auto"/>
              <w:bottom w:val="single" w:sz="2" w:space="0" w:color="auto"/>
            </w:tcBorders>
            <w:shd w:val="clear" w:color="auto" w:fill="FBFBFB"/>
            <w:hideMark/>
          </w:tcPr>
          <w:p w14:paraId="2F2E2544" w14:textId="77777777" w:rsidR="0038799F" w:rsidRPr="00641B15" w:rsidRDefault="0038799F" w:rsidP="00A260DC">
            <w:pPr>
              <w:pStyle w:val="NormalWeb"/>
              <w:jc w:val="center"/>
              <w:rPr>
                <w:sz w:val="18"/>
                <w:szCs w:val="18"/>
              </w:rPr>
            </w:pPr>
            <w:r w:rsidRPr="00641B15">
              <w:rPr>
                <w:sz w:val="18"/>
                <w:szCs w:val="18"/>
              </w:rPr>
              <w:t>1.23, 1.27</w:t>
            </w:r>
          </w:p>
        </w:tc>
      </w:tr>
      <w:tr w:rsidR="0038799F" w:rsidRPr="00641B15" w14:paraId="6CDD06AF" w14:textId="77777777" w:rsidTr="0012157B">
        <w:tblPrEx>
          <w:tblCellMar>
            <w:top w:w="57" w:type="dxa"/>
            <w:left w:w="57" w:type="dxa"/>
            <w:bottom w:w="57" w:type="dxa"/>
            <w:right w:w="57" w:type="dxa"/>
          </w:tblCellMar>
        </w:tblPrEx>
        <w:tc>
          <w:tcPr>
            <w:tcW w:w="2610" w:type="dxa"/>
            <w:vMerge/>
            <w:tcBorders>
              <w:top w:val="single" w:sz="2" w:space="0" w:color="auto"/>
              <w:bottom w:val="single" w:sz="12" w:space="0" w:color="auto"/>
            </w:tcBorders>
            <w:shd w:val="clear" w:color="auto" w:fill="FBFBFB"/>
            <w:hideMark/>
          </w:tcPr>
          <w:p w14:paraId="11B14167" w14:textId="77777777" w:rsidR="0038799F" w:rsidRPr="00641B15" w:rsidRDefault="0038799F" w:rsidP="00A260DC">
            <w:pPr>
              <w:rPr>
                <w:sz w:val="18"/>
                <w:szCs w:val="18"/>
              </w:rPr>
            </w:pPr>
          </w:p>
        </w:tc>
        <w:tc>
          <w:tcPr>
            <w:tcW w:w="2610" w:type="dxa"/>
            <w:tcBorders>
              <w:top w:val="single" w:sz="2" w:space="0" w:color="auto"/>
              <w:bottom w:val="single" w:sz="12" w:space="0" w:color="auto"/>
            </w:tcBorders>
            <w:shd w:val="clear" w:color="auto" w:fill="FBFBFB"/>
            <w:hideMark/>
          </w:tcPr>
          <w:p w14:paraId="5826B567" w14:textId="77777777" w:rsidR="0038799F" w:rsidRPr="00641B15" w:rsidRDefault="0038799F" w:rsidP="00A260DC">
            <w:pPr>
              <w:pStyle w:val="NormalWeb"/>
              <w:jc w:val="center"/>
              <w:rPr>
                <w:sz w:val="18"/>
                <w:szCs w:val="18"/>
              </w:rPr>
            </w:pPr>
            <w:r w:rsidRPr="00641B15">
              <w:rPr>
                <w:sz w:val="18"/>
                <w:szCs w:val="18"/>
              </w:rPr>
              <w:t>Rural</w:t>
            </w:r>
          </w:p>
        </w:tc>
        <w:tc>
          <w:tcPr>
            <w:tcW w:w="2610" w:type="dxa"/>
            <w:tcBorders>
              <w:top w:val="single" w:sz="2" w:space="0" w:color="auto"/>
              <w:bottom w:val="single" w:sz="12" w:space="0" w:color="auto"/>
            </w:tcBorders>
            <w:shd w:val="clear" w:color="auto" w:fill="FBFBFB"/>
            <w:hideMark/>
          </w:tcPr>
          <w:p w14:paraId="600A17F8" w14:textId="77777777" w:rsidR="0038799F" w:rsidRPr="00641B15" w:rsidRDefault="0038799F" w:rsidP="00A260DC">
            <w:pPr>
              <w:pStyle w:val="NormalWeb"/>
              <w:jc w:val="center"/>
              <w:rPr>
                <w:sz w:val="18"/>
                <w:szCs w:val="18"/>
              </w:rPr>
            </w:pPr>
            <w:r w:rsidRPr="00641B15">
              <w:rPr>
                <w:sz w:val="18"/>
                <w:szCs w:val="18"/>
              </w:rPr>
              <w:t>Ref</w:t>
            </w:r>
          </w:p>
        </w:tc>
        <w:tc>
          <w:tcPr>
            <w:tcW w:w="2610" w:type="dxa"/>
            <w:tcBorders>
              <w:top w:val="single" w:sz="2" w:space="0" w:color="auto"/>
              <w:bottom w:val="single" w:sz="12" w:space="0" w:color="auto"/>
            </w:tcBorders>
            <w:shd w:val="clear" w:color="auto" w:fill="FBFBFB"/>
            <w:hideMark/>
          </w:tcPr>
          <w:p w14:paraId="7E465FFA" w14:textId="77777777" w:rsidR="0038799F" w:rsidRPr="00641B15" w:rsidRDefault="0038799F" w:rsidP="00A260DC">
            <w:pPr>
              <w:jc w:val="center"/>
              <w:rPr>
                <w:sz w:val="18"/>
                <w:szCs w:val="18"/>
              </w:rPr>
            </w:pPr>
          </w:p>
        </w:tc>
      </w:tr>
      <w:tr w:rsidR="0038799F" w:rsidRPr="00641B15" w14:paraId="20B4B9D8" w14:textId="77777777" w:rsidTr="0012157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610" w:type="dxa"/>
            <w:vMerge w:val="restart"/>
            <w:tcBorders>
              <w:top w:val="single" w:sz="12" w:space="0" w:color="auto"/>
              <w:bottom w:val="single" w:sz="12" w:space="0" w:color="auto"/>
            </w:tcBorders>
            <w:shd w:val="clear" w:color="auto" w:fill="FBFBFB"/>
            <w:hideMark/>
          </w:tcPr>
          <w:p w14:paraId="765653FE" w14:textId="77777777" w:rsidR="0038799F" w:rsidRPr="00641B15" w:rsidRDefault="0038799F" w:rsidP="00A260DC">
            <w:pPr>
              <w:pStyle w:val="NormalWeb"/>
              <w:rPr>
                <w:sz w:val="18"/>
                <w:szCs w:val="18"/>
              </w:rPr>
            </w:pPr>
            <w:proofErr w:type="spellStart"/>
            <w:r w:rsidRPr="00641B15">
              <w:rPr>
                <w:sz w:val="18"/>
                <w:szCs w:val="18"/>
              </w:rPr>
              <w:t>Jurisdiction</w:t>
            </w:r>
            <w:r w:rsidRPr="00C07CF6">
              <w:rPr>
                <w:sz w:val="18"/>
                <w:szCs w:val="18"/>
                <w:vertAlign w:val="superscript"/>
              </w:rPr>
              <w:t>b</w:t>
            </w:r>
            <w:proofErr w:type="spellEnd"/>
          </w:p>
        </w:tc>
        <w:tc>
          <w:tcPr>
            <w:tcW w:w="2610" w:type="dxa"/>
            <w:tcBorders>
              <w:top w:val="single" w:sz="12" w:space="0" w:color="auto"/>
            </w:tcBorders>
            <w:shd w:val="clear" w:color="auto" w:fill="FBFBFB"/>
            <w:hideMark/>
          </w:tcPr>
          <w:p w14:paraId="68E1312E" w14:textId="77777777" w:rsidR="0038799F" w:rsidRPr="00641B15" w:rsidRDefault="0038799F" w:rsidP="00A260DC">
            <w:pPr>
              <w:pStyle w:val="NormalWeb"/>
              <w:jc w:val="center"/>
              <w:rPr>
                <w:sz w:val="18"/>
                <w:szCs w:val="18"/>
              </w:rPr>
            </w:pPr>
            <w:r w:rsidRPr="00641B15">
              <w:rPr>
                <w:sz w:val="18"/>
                <w:szCs w:val="18"/>
              </w:rPr>
              <w:t>ACT</w:t>
            </w:r>
          </w:p>
        </w:tc>
        <w:tc>
          <w:tcPr>
            <w:tcW w:w="2610" w:type="dxa"/>
            <w:tcBorders>
              <w:top w:val="single" w:sz="12" w:space="0" w:color="auto"/>
            </w:tcBorders>
            <w:shd w:val="clear" w:color="auto" w:fill="FBFBFB"/>
            <w:hideMark/>
          </w:tcPr>
          <w:p w14:paraId="22289FEF" w14:textId="77777777" w:rsidR="0038799F" w:rsidRPr="00641B15" w:rsidRDefault="0038799F" w:rsidP="00A260DC">
            <w:pPr>
              <w:pStyle w:val="NormalWeb"/>
              <w:jc w:val="center"/>
              <w:rPr>
                <w:sz w:val="18"/>
                <w:szCs w:val="18"/>
              </w:rPr>
            </w:pPr>
            <w:r w:rsidRPr="00641B15">
              <w:rPr>
                <w:sz w:val="18"/>
                <w:szCs w:val="18"/>
              </w:rPr>
              <w:t>0.42</w:t>
            </w:r>
          </w:p>
        </w:tc>
        <w:tc>
          <w:tcPr>
            <w:tcW w:w="2610" w:type="dxa"/>
            <w:tcBorders>
              <w:top w:val="single" w:sz="12" w:space="0" w:color="auto"/>
            </w:tcBorders>
            <w:shd w:val="clear" w:color="auto" w:fill="FBFBFB"/>
            <w:hideMark/>
          </w:tcPr>
          <w:p w14:paraId="0B8C4EB9" w14:textId="77777777" w:rsidR="0038799F" w:rsidRPr="00641B15" w:rsidRDefault="0038799F" w:rsidP="00A260DC">
            <w:pPr>
              <w:pStyle w:val="NormalWeb"/>
              <w:jc w:val="center"/>
              <w:rPr>
                <w:sz w:val="18"/>
                <w:szCs w:val="18"/>
              </w:rPr>
            </w:pPr>
            <w:r w:rsidRPr="00641B15">
              <w:rPr>
                <w:sz w:val="18"/>
                <w:szCs w:val="18"/>
              </w:rPr>
              <w:t>0.36, 0.48</w:t>
            </w:r>
          </w:p>
        </w:tc>
      </w:tr>
      <w:tr w:rsidR="0038799F" w:rsidRPr="00641B15" w14:paraId="467BDE0E" w14:textId="77777777" w:rsidTr="0012157B">
        <w:tblPrEx>
          <w:tblCellMar>
            <w:top w:w="57" w:type="dxa"/>
            <w:left w:w="57" w:type="dxa"/>
            <w:bottom w:w="57" w:type="dxa"/>
            <w:right w:w="57" w:type="dxa"/>
          </w:tblCellMar>
        </w:tblPrEx>
        <w:tc>
          <w:tcPr>
            <w:tcW w:w="2610" w:type="dxa"/>
            <w:vMerge/>
            <w:tcBorders>
              <w:top w:val="single" w:sz="2" w:space="0" w:color="auto"/>
              <w:bottom w:val="single" w:sz="12" w:space="0" w:color="auto"/>
            </w:tcBorders>
            <w:shd w:val="clear" w:color="auto" w:fill="FBFBFB"/>
            <w:hideMark/>
          </w:tcPr>
          <w:p w14:paraId="504A5481" w14:textId="77777777" w:rsidR="0038799F" w:rsidRPr="00641B15" w:rsidRDefault="0038799F" w:rsidP="00A260DC">
            <w:pPr>
              <w:rPr>
                <w:sz w:val="18"/>
                <w:szCs w:val="18"/>
              </w:rPr>
            </w:pPr>
          </w:p>
        </w:tc>
        <w:tc>
          <w:tcPr>
            <w:tcW w:w="2610" w:type="dxa"/>
            <w:shd w:val="clear" w:color="auto" w:fill="FBFBFB"/>
            <w:hideMark/>
          </w:tcPr>
          <w:p w14:paraId="4E98CC2D" w14:textId="77777777" w:rsidR="0038799F" w:rsidRPr="00641B15" w:rsidRDefault="0038799F" w:rsidP="00A260DC">
            <w:pPr>
              <w:pStyle w:val="NormalWeb"/>
              <w:jc w:val="center"/>
              <w:rPr>
                <w:sz w:val="18"/>
                <w:szCs w:val="18"/>
              </w:rPr>
            </w:pPr>
            <w:r w:rsidRPr="00641B15">
              <w:rPr>
                <w:sz w:val="18"/>
                <w:szCs w:val="18"/>
              </w:rPr>
              <w:t>NSW</w:t>
            </w:r>
          </w:p>
        </w:tc>
        <w:tc>
          <w:tcPr>
            <w:tcW w:w="2610" w:type="dxa"/>
            <w:shd w:val="clear" w:color="auto" w:fill="FBFBFB"/>
            <w:hideMark/>
          </w:tcPr>
          <w:p w14:paraId="56DDC917" w14:textId="77777777" w:rsidR="0038799F" w:rsidRPr="00641B15" w:rsidRDefault="0038799F" w:rsidP="00A260DC">
            <w:pPr>
              <w:pStyle w:val="NormalWeb"/>
              <w:jc w:val="center"/>
              <w:rPr>
                <w:sz w:val="18"/>
                <w:szCs w:val="18"/>
              </w:rPr>
            </w:pPr>
            <w:r w:rsidRPr="00641B15">
              <w:rPr>
                <w:sz w:val="18"/>
                <w:szCs w:val="18"/>
              </w:rPr>
              <w:t>Ref</w:t>
            </w:r>
          </w:p>
        </w:tc>
        <w:tc>
          <w:tcPr>
            <w:tcW w:w="2610" w:type="dxa"/>
            <w:shd w:val="clear" w:color="auto" w:fill="FBFBFB"/>
            <w:hideMark/>
          </w:tcPr>
          <w:p w14:paraId="15786308" w14:textId="77777777" w:rsidR="0038799F" w:rsidRPr="00641B15" w:rsidRDefault="0038799F" w:rsidP="00A260DC">
            <w:pPr>
              <w:jc w:val="center"/>
              <w:rPr>
                <w:sz w:val="18"/>
                <w:szCs w:val="18"/>
              </w:rPr>
            </w:pPr>
          </w:p>
        </w:tc>
      </w:tr>
      <w:tr w:rsidR="0038799F" w:rsidRPr="00641B15" w14:paraId="7AD03AE3" w14:textId="77777777" w:rsidTr="0012157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610" w:type="dxa"/>
            <w:vMerge/>
            <w:tcBorders>
              <w:top w:val="single" w:sz="2" w:space="0" w:color="auto"/>
              <w:bottom w:val="single" w:sz="12" w:space="0" w:color="auto"/>
            </w:tcBorders>
            <w:shd w:val="clear" w:color="auto" w:fill="FBFBFB"/>
            <w:hideMark/>
          </w:tcPr>
          <w:p w14:paraId="1902A91D" w14:textId="77777777" w:rsidR="0038799F" w:rsidRPr="00641B15" w:rsidRDefault="0038799F" w:rsidP="00A260DC">
            <w:pPr>
              <w:rPr>
                <w:sz w:val="18"/>
                <w:szCs w:val="18"/>
              </w:rPr>
            </w:pPr>
          </w:p>
        </w:tc>
        <w:tc>
          <w:tcPr>
            <w:tcW w:w="2610" w:type="dxa"/>
            <w:shd w:val="clear" w:color="auto" w:fill="FBFBFB"/>
            <w:hideMark/>
          </w:tcPr>
          <w:p w14:paraId="161E71D7" w14:textId="77777777" w:rsidR="0038799F" w:rsidRPr="00641B15" w:rsidRDefault="0038799F" w:rsidP="00A260DC">
            <w:pPr>
              <w:pStyle w:val="NormalWeb"/>
              <w:jc w:val="center"/>
              <w:rPr>
                <w:sz w:val="18"/>
                <w:szCs w:val="18"/>
              </w:rPr>
            </w:pPr>
            <w:r w:rsidRPr="00641B15">
              <w:rPr>
                <w:sz w:val="18"/>
                <w:szCs w:val="18"/>
              </w:rPr>
              <w:t>NT</w:t>
            </w:r>
          </w:p>
        </w:tc>
        <w:tc>
          <w:tcPr>
            <w:tcW w:w="2610" w:type="dxa"/>
            <w:shd w:val="clear" w:color="auto" w:fill="FBFBFB"/>
            <w:hideMark/>
          </w:tcPr>
          <w:p w14:paraId="2901F057" w14:textId="77777777" w:rsidR="0038799F" w:rsidRPr="00641B15" w:rsidRDefault="0038799F" w:rsidP="00A260DC">
            <w:pPr>
              <w:pStyle w:val="NormalWeb"/>
              <w:jc w:val="center"/>
              <w:rPr>
                <w:sz w:val="18"/>
                <w:szCs w:val="18"/>
              </w:rPr>
            </w:pPr>
            <w:r w:rsidRPr="00641B15">
              <w:rPr>
                <w:sz w:val="18"/>
                <w:szCs w:val="18"/>
              </w:rPr>
              <w:t>0.44</w:t>
            </w:r>
          </w:p>
        </w:tc>
        <w:tc>
          <w:tcPr>
            <w:tcW w:w="2610" w:type="dxa"/>
            <w:shd w:val="clear" w:color="auto" w:fill="FBFBFB"/>
            <w:hideMark/>
          </w:tcPr>
          <w:p w14:paraId="4A6E0C07" w14:textId="77777777" w:rsidR="0038799F" w:rsidRPr="00641B15" w:rsidRDefault="0038799F" w:rsidP="00A260DC">
            <w:pPr>
              <w:pStyle w:val="NormalWeb"/>
              <w:jc w:val="center"/>
              <w:rPr>
                <w:sz w:val="18"/>
                <w:szCs w:val="18"/>
              </w:rPr>
            </w:pPr>
            <w:r w:rsidRPr="00641B15">
              <w:rPr>
                <w:sz w:val="18"/>
                <w:szCs w:val="18"/>
              </w:rPr>
              <w:t>0.41, 0.48</w:t>
            </w:r>
          </w:p>
        </w:tc>
      </w:tr>
      <w:tr w:rsidR="0038799F" w:rsidRPr="00641B15" w14:paraId="402BDF91" w14:textId="77777777" w:rsidTr="0012157B">
        <w:tblPrEx>
          <w:tblCellMar>
            <w:top w:w="57" w:type="dxa"/>
            <w:left w:w="57" w:type="dxa"/>
            <w:bottom w:w="57" w:type="dxa"/>
            <w:right w:w="57" w:type="dxa"/>
          </w:tblCellMar>
        </w:tblPrEx>
        <w:tc>
          <w:tcPr>
            <w:tcW w:w="2610" w:type="dxa"/>
            <w:vMerge/>
            <w:tcBorders>
              <w:top w:val="single" w:sz="2" w:space="0" w:color="auto"/>
              <w:bottom w:val="single" w:sz="12" w:space="0" w:color="auto"/>
            </w:tcBorders>
            <w:shd w:val="clear" w:color="auto" w:fill="FBFBFB"/>
            <w:hideMark/>
          </w:tcPr>
          <w:p w14:paraId="21700835" w14:textId="77777777" w:rsidR="0038799F" w:rsidRPr="00641B15" w:rsidRDefault="0038799F" w:rsidP="00A260DC">
            <w:pPr>
              <w:rPr>
                <w:sz w:val="18"/>
                <w:szCs w:val="18"/>
              </w:rPr>
            </w:pPr>
          </w:p>
        </w:tc>
        <w:tc>
          <w:tcPr>
            <w:tcW w:w="2610" w:type="dxa"/>
            <w:shd w:val="clear" w:color="auto" w:fill="FBFBFB"/>
            <w:hideMark/>
          </w:tcPr>
          <w:p w14:paraId="61F7A8E7" w14:textId="77777777" w:rsidR="0038799F" w:rsidRPr="00641B15" w:rsidRDefault="0038799F" w:rsidP="00A260DC">
            <w:pPr>
              <w:pStyle w:val="NormalWeb"/>
              <w:jc w:val="center"/>
              <w:rPr>
                <w:sz w:val="18"/>
                <w:szCs w:val="18"/>
              </w:rPr>
            </w:pPr>
            <w:r w:rsidRPr="00641B15">
              <w:rPr>
                <w:sz w:val="18"/>
                <w:szCs w:val="18"/>
              </w:rPr>
              <w:t>Qld</w:t>
            </w:r>
          </w:p>
        </w:tc>
        <w:tc>
          <w:tcPr>
            <w:tcW w:w="2610" w:type="dxa"/>
            <w:shd w:val="clear" w:color="auto" w:fill="FBFBFB"/>
            <w:hideMark/>
          </w:tcPr>
          <w:p w14:paraId="751782FA" w14:textId="77777777" w:rsidR="0038799F" w:rsidRPr="00641B15" w:rsidRDefault="0038799F" w:rsidP="00A260DC">
            <w:pPr>
              <w:pStyle w:val="NormalWeb"/>
              <w:jc w:val="center"/>
              <w:rPr>
                <w:sz w:val="18"/>
                <w:szCs w:val="18"/>
              </w:rPr>
            </w:pPr>
            <w:r w:rsidRPr="00641B15">
              <w:rPr>
                <w:sz w:val="18"/>
                <w:szCs w:val="18"/>
              </w:rPr>
              <w:t>0.56</w:t>
            </w:r>
          </w:p>
        </w:tc>
        <w:tc>
          <w:tcPr>
            <w:tcW w:w="2610" w:type="dxa"/>
            <w:shd w:val="clear" w:color="auto" w:fill="FBFBFB"/>
            <w:hideMark/>
          </w:tcPr>
          <w:p w14:paraId="2208A197" w14:textId="77777777" w:rsidR="0038799F" w:rsidRPr="00641B15" w:rsidRDefault="0038799F" w:rsidP="00A260DC">
            <w:pPr>
              <w:pStyle w:val="NormalWeb"/>
              <w:jc w:val="center"/>
              <w:rPr>
                <w:sz w:val="18"/>
                <w:szCs w:val="18"/>
              </w:rPr>
            </w:pPr>
            <w:r w:rsidRPr="00641B15">
              <w:rPr>
                <w:sz w:val="18"/>
                <w:szCs w:val="18"/>
              </w:rPr>
              <w:t>0.55, 0.58</w:t>
            </w:r>
          </w:p>
        </w:tc>
      </w:tr>
      <w:tr w:rsidR="0038799F" w:rsidRPr="00641B15" w14:paraId="7A993ECF" w14:textId="77777777" w:rsidTr="0012157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610" w:type="dxa"/>
            <w:vMerge/>
            <w:tcBorders>
              <w:top w:val="single" w:sz="2" w:space="0" w:color="auto"/>
              <w:bottom w:val="single" w:sz="12" w:space="0" w:color="auto"/>
            </w:tcBorders>
            <w:shd w:val="clear" w:color="auto" w:fill="FBFBFB"/>
            <w:hideMark/>
          </w:tcPr>
          <w:p w14:paraId="6E2CA2FA" w14:textId="77777777" w:rsidR="0038799F" w:rsidRPr="00641B15" w:rsidRDefault="0038799F" w:rsidP="00A260DC">
            <w:pPr>
              <w:rPr>
                <w:sz w:val="18"/>
                <w:szCs w:val="18"/>
              </w:rPr>
            </w:pPr>
          </w:p>
        </w:tc>
        <w:tc>
          <w:tcPr>
            <w:tcW w:w="2610" w:type="dxa"/>
            <w:shd w:val="clear" w:color="auto" w:fill="FBFBFB"/>
            <w:hideMark/>
          </w:tcPr>
          <w:p w14:paraId="417540D7" w14:textId="77777777" w:rsidR="0038799F" w:rsidRPr="00641B15" w:rsidRDefault="0038799F" w:rsidP="00A260DC">
            <w:pPr>
              <w:pStyle w:val="NormalWeb"/>
              <w:jc w:val="center"/>
              <w:rPr>
                <w:sz w:val="18"/>
                <w:szCs w:val="18"/>
              </w:rPr>
            </w:pPr>
            <w:r w:rsidRPr="00641B15">
              <w:rPr>
                <w:sz w:val="18"/>
                <w:szCs w:val="18"/>
              </w:rPr>
              <w:t>SA</w:t>
            </w:r>
          </w:p>
        </w:tc>
        <w:tc>
          <w:tcPr>
            <w:tcW w:w="2610" w:type="dxa"/>
            <w:shd w:val="clear" w:color="auto" w:fill="FBFBFB"/>
            <w:hideMark/>
          </w:tcPr>
          <w:p w14:paraId="4A4540DC" w14:textId="77777777" w:rsidR="0038799F" w:rsidRPr="00641B15" w:rsidRDefault="0038799F" w:rsidP="00A260DC">
            <w:pPr>
              <w:pStyle w:val="NormalWeb"/>
              <w:jc w:val="center"/>
              <w:rPr>
                <w:sz w:val="18"/>
                <w:szCs w:val="18"/>
              </w:rPr>
            </w:pPr>
            <w:r w:rsidRPr="00641B15">
              <w:rPr>
                <w:sz w:val="18"/>
                <w:szCs w:val="18"/>
              </w:rPr>
              <w:t>0.47</w:t>
            </w:r>
          </w:p>
        </w:tc>
        <w:tc>
          <w:tcPr>
            <w:tcW w:w="2610" w:type="dxa"/>
            <w:shd w:val="clear" w:color="auto" w:fill="FBFBFB"/>
            <w:hideMark/>
          </w:tcPr>
          <w:p w14:paraId="5DD62012" w14:textId="77777777" w:rsidR="0038799F" w:rsidRPr="00641B15" w:rsidRDefault="0038799F" w:rsidP="00A260DC">
            <w:pPr>
              <w:pStyle w:val="NormalWeb"/>
              <w:jc w:val="center"/>
              <w:rPr>
                <w:sz w:val="18"/>
                <w:szCs w:val="18"/>
              </w:rPr>
            </w:pPr>
            <w:r w:rsidRPr="00641B15">
              <w:rPr>
                <w:sz w:val="18"/>
                <w:szCs w:val="18"/>
              </w:rPr>
              <w:t>0.45, 0.49</w:t>
            </w:r>
          </w:p>
        </w:tc>
      </w:tr>
      <w:tr w:rsidR="0038799F" w:rsidRPr="00641B15" w14:paraId="36F391CA" w14:textId="77777777" w:rsidTr="0012157B">
        <w:tblPrEx>
          <w:tblCellMar>
            <w:top w:w="57" w:type="dxa"/>
            <w:left w:w="57" w:type="dxa"/>
            <w:bottom w:w="57" w:type="dxa"/>
            <w:right w:w="57" w:type="dxa"/>
          </w:tblCellMar>
        </w:tblPrEx>
        <w:tc>
          <w:tcPr>
            <w:tcW w:w="2610" w:type="dxa"/>
            <w:vMerge/>
            <w:tcBorders>
              <w:top w:val="single" w:sz="2" w:space="0" w:color="auto"/>
              <w:bottom w:val="single" w:sz="12" w:space="0" w:color="auto"/>
            </w:tcBorders>
            <w:shd w:val="clear" w:color="auto" w:fill="FBFBFB"/>
            <w:hideMark/>
          </w:tcPr>
          <w:p w14:paraId="640B7718" w14:textId="77777777" w:rsidR="0038799F" w:rsidRPr="00641B15" w:rsidRDefault="0038799F" w:rsidP="00A260DC">
            <w:pPr>
              <w:rPr>
                <w:sz w:val="18"/>
                <w:szCs w:val="18"/>
              </w:rPr>
            </w:pPr>
          </w:p>
        </w:tc>
        <w:tc>
          <w:tcPr>
            <w:tcW w:w="2610" w:type="dxa"/>
            <w:shd w:val="clear" w:color="auto" w:fill="FBFBFB"/>
            <w:hideMark/>
          </w:tcPr>
          <w:p w14:paraId="26E4C324" w14:textId="77777777" w:rsidR="0038799F" w:rsidRPr="00641B15" w:rsidRDefault="0038799F" w:rsidP="00A260DC">
            <w:pPr>
              <w:pStyle w:val="NormalWeb"/>
              <w:jc w:val="center"/>
              <w:rPr>
                <w:sz w:val="18"/>
                <w:szCs w:val="18"/>
              </w:rPr>
            </w:pPr>
            <w:r w:rsidRPr="00641B15">
              <w:rPr>
                <w:sz w:val="18"/>
                <w:szCs w:val="18"/>
              </w:rPr>
              <w:t>Tas.</w:t>
            </w:r>
          </w:p>
        </w:tc>
        <w:tc>
          <w:tcPr>
            <w:tcW w:w="2610" w:type="dxa"/>
            <w:shd w:val="clear" w:color="auto" w:fill="FBFBFB"/>
            <w:hideMark/>
          </w:tcPr>
          <w:p w14:paraId="311EF360" w14:textId="77777777" w:rsidR="0038799F" w:rsidRPr="00641B15" w:rsidRDefault="0038799F" w:rsidP="00A260DC">
            <w:pPr>
              <w:pStyle w:val="NormalWeb"/>
              <w:jc w:val="center"/>
              <w:rPr>
                <w:sz w:val="18"/>
                <w:szCs w:val="18"/>
              </w:rPr>
            </w:pPr>
            <w:r w:rsidRPr="00641B15">
              <w:rPr>
                <w:sz w:val="18"/>
                <w:szCs w:val="18"/>
              </w:rPr>
              <w:t>0.24</w:t>
            </w:r>
          </w:p>
        </w:tc>
        <w:tc>
          <w:tcPr>
            <w:tcW w:w="2610" w:type="dxa"/>
            <w:shd w:val="clear" w:color="auto" w:fill="FBFBFB"/>
            <w:hideMark/>
          </w:tcPr>
          <w:p w14:paraId="0B6B85AA" w14:textId="77777777" w:rsidR="0038799F" w:rsidRPr="00641B15" w:rsidRDefault="0038799F" w:rsidP="00A260DC">
            <w:pPr>
              <w:pStyle w:val="NormalWeb"/>
              <w:jc w:val="center"/>
              <w:rPr>
                <w:sz w:val="18"/>
                <w:szCs w:val="18"/>
              </w:rPr>
            </w:pPr>
            <w:r w:rsidRPr="00641B15">
              <w:rPr>
                <w:sz w:val="18"/>
                <w:szCs w:val="18"/>
              </w:rPr>
              <w:t>0.22, 0.26</w:t>
            </w:r>
          </w:p>
        </w:tc>
      </w:tr>
      <w:tr w:rsidR="0038799F" w:rsidRPr="00641B15" w14:paraId="66861921" w14:textId="77777777" w:rsidTr="0012157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610" w:type="dxa"/>
            <w:vMerge/>
            <w:tcBorders>
              <w:top w:val="single" w:sz="2" w:space="0" w:color="auto"/>
              <w:bottom w:val="single" w:sz="12" w:space="0" w:color="auto"/>
            </w:tcBorders>
            <w:shd w:val="clear" w:color="auto" w:fill="FBFBFB"/>
            <w:hideMark/>
          </w:tcPr>
          <w:p w14:paraId="392CD3B7" w14:textId="77777777" w:rsidR="0038799F" w:rsidRPr="00641B15" w:rsidRDefault="0038799F" w:rsidP="00A260DC">
            <w:pPr>
              <w:rPr>
                <w:sz w:val="18"/>
                <w:szCs w:val="18"/>
              </w:rPr>
            </w:pPr>
          </w:p>
        </w:tc>
        <w:tc>
          <w:tcPr>
            <w:tcW w:w="2610" w:type="dxa"/>
            <w:tcBorders>
              <w:bottom w:val="single" w:sz="2" w:space="0" w:color="auto"/>
            </w:tcBorders>
            <w:shd w:val="clear" w:color="auto" w:fill="FBFBFB"/>
            <w:hideMark/>
          </w:tcPr>
          <w:p w14:paraId="07C2EB73" w14:textId="77777777" w:rsidR="0038799F" w:rsidRPr="00641B15" w:rsidRDefault="0038799F" w:rsidP="00A260DC">
            <w:pPr>
              <w:pStyle w:val="NormalWeb"/>
              <w:jc w:val="center"/>
              <w:rPr>
                <w:sz w:val="18"/>
                <w:szCs w:val="18"/>
              </w:rPr>
            </w:pPr>
            <w:r w:rsidRPr="00641B15">
              <w:rPr>
                <w:sz w:val="18"/>
                <w:szCs w:val="18"/>
              </w:rPr>
              <w:t>Vic.</w:t>
            </w:r>
          </w:p>
        </w:tc>
        <w:tc>
          <w:tcPr>
            <w:tcW w:w="2610" w:type="dxa"/>
            <w:tcBorders>
              <w:bottom w:val="single" w:sz="2" w:space="0" w:color="auto"/>
            </w:tcBorders>
            <w:shd w:val="clear" w:color="auto" w:fill="FBFBFB"/>
            <w:hideMark/>
          </w:tcPr>
          <w:p w14:paraId="5BCF57B1" w14:textId="77777777" w:rsidR="0038799F" w:rsidRPr="00641B15" w:rsidRDefault="0038799F" w:rsidP="00A260DC">
            <w:pPr>
              <w:pStyle w:val="NormalWeb"/>
              <w:jc w:val="center"/>
              <w:rPr>
                <w:sz w:val="18"/>
                <w:szCs w:val="18"/>
              </w:rPr>
            </w:pPr>
            <w:r w:rsidRPr="00641B15">
              <w:rPr>
                <w:sz w:val="18"/>
                <w:szCs w:val="18"/>
              </w:rPr>
              <w:t>1.13</w:t>
            </w:r>
          </w:p>
        </w:tc>
        <w:tc>
          <w:tcPr>
            <w:tcW w:w="2610" w:type="dxa"/>
            <w:tcBorders>
              <w:bottom w:val="single" w:sz="2" w:space="0" w:color="auto"/>
            </w:tcBorders>
            <w:shd w:val="clear" w:color="auto" w:fill="FBFBFB"/>
            <w:hideMark/>
          </w:tcPr>
          <w:p w14:paraId="3C6414FE" w14:textId="77777777" w:rsidR="0038799F" w:rsidRPr="00641B15" w:rsidRDefault="0038799F" w:rsidP="00A260DC">
            <w:pPr>
              <w:pStyle w:val="NormalWeb"/>
              <w:jc w:val="center"/>
              <w:rPr>
                <w:sz w:val="18"/>
                <w:szCs w:val="18"/>
              </w:rPr>
            </w:pPr>
            <w:r w:rsidRPr="00641B15">
              <w:rPr>
                <w:sz w:val="18"/>
                <w:szCs w:val="18"/>
              </w:rPr>
              <w:t>1.11, 1.15</w:t>
            </w:r>
          </w:p>
        </w:tc>
      </w:tr>
      <w:tr w:rsidR="0038799F" w:rsidRPr="00641B15" w14:paraId="564EC41F" w14:textId="77777777" w:rsidTr="0012157B">
        <w:tblPrEx>
          <w:tblCellMar>
            <w:top w:w="57" w:type="dxa"/>
            <w:left w:w="57" w:type="dxa"/>
            <w:bottom w:w="57" w:type="dxa"/>
            <w:right w:w="57" w:type="dxa"/>
          </w:tblCellMar>
        </w:tblPrEx>
        <w:tc>
          <w:tcPr>
            <w:tcW w:w="2610" w:type="dxa"/>
            <w:vMerge/>
            <w:tcBorders>
              <w:top w:val="single" w:sz="2" w:space="0" w:color="auto"/>
              <w:bottom w:val="single" w:sz="12" w:space="0" w:color="auto"/>
            </w:tcBorders>
            <w:shd w:val="clear" w:color="auto" w:fill="FBFBFB"/>
            <w:hideMark/>
          </w:tcPr>
          <w:p w14:paraId="417F046B" w14:textId="77777777" w:rsidR="0038799F" w:rsidRPr="00641B15" w:rsidRDefault="0038799F" w:rsidP="00A260DC">
            <w:pPr>
              <w:rPr>
                <w:sz w:val="18"/>
                <w:szCs w:val="18"/>
              </w:rPr>
            </w:pPr>
          </w:p>
        </w:tc>
        <w:tc>
          <w:tcPr>
            <w:tcW w:w="2610" w:type="dxa"/>
            <w:tcBorders>
              <w:top w:val="single" w:sz="2" w:space="0" w:color="auto"/>
              <w:bottom w:val="single" w:sz="12" w:space="0" w:color="auto"/>
            </w:tcBorders>
            <w:shd w:val="clear" w:color="auto" w:fill="FBFBFB"/>
            <w:hideMark/>
          </w:tcPr>
          <w:p w14:paraId="40D95942" w14:textId="77777777" w:rsidR="0038799F" w:rsidRPr="00641B15" w:rsidRDefault="0038799F" w:rsidP="00A260DC">
            <w:pPr>
              <w:pStyle w:val="NormalWeb"/>
              <w:jc w:val="center"/>
              <w:rPr>
                <w:sz w:val="18"/>
                <w:szCs w:val="18"/>
              </w:rPr>
            </w:pPr>
            <w:r w:rsidRPr="00641B15">
              <w:rPr>
                <w:sz w:val="18"/>
                <w:szCs w:val="18"/>
              </w:rPr>
              <w:t>WA</w:t>
            </w:r>
          </w:p>
        </w:tc>
        <w:tc>
          <w:tcPr>
            <w:tcW w:w="2610" w:type="dxa"/>
            <w:tcBorders>
              <w:top w:val="single" w:sz="2" w:space="0" w:color="auto"/>
              <w:bottom w:val="single" w:sz="12" w:space="0" w:color="auto"/>
            </w:tcBorders>
            <w:shd w:val="clear" w:color="auto" w:fill="FBFBFB"/>
            <w:hideMark/>
          </w:tcPr>
          <w:p w14:paraId="6D421164" w14:textId="77777777" w:rsidR="0038799F" w:rsidRPr="00641B15" w:rsidRDefault="0038799F" w:rsidP="00A260DC">
            <w:pPr>
              <w:pStyle w:val="NormalWeb"/>
              <w:jc w:val="center"/>
              <w:rPr>
                <w:sz w:val="18"/>
                <w:szCs w:val="18"/>
              </w:rPr>
            </w:pPr>
            <w:r w:rsidRPr="00641B15">
              <w:rPr>
                <w:sz w:val="18"/>
                <w:szCs w:val="18"/>
              </w:rPr>
              <w:t>0.31</w:t>
            </w:r>
          </w:p>
        </w:tc>
        <w:tc>
          <w:tcPr>
            <w:tcW w:w="2610" w:type="dxa"/>
            <w:tcBorders>
              <w:top w:val="single" w:sz="2" w:space="0" w:color="auto"/>
              <w:bottom w:val="single" w:sz="12" w:space="0" w:color="auto"/>
            </w:tcBorders>
            <w:shd w:val="clear" w:color="auto" w:fill="FBFBFB"/>
            <w:hideMark/>
          </w:tcPr>
          <w:p w14:paraId="1AA2100F" w14:textId="77777777" w:rsidR="0038799F" w:rsidRPr="00641B15" w:rsidRDefault="0038799F" w:rsidP="00A260DC">
            <w:pPr>
              <w:pStyle w:val="NormalWeb"/>
              <w:jc w:val="center"/>
              <w:rPr>
                <w:sz w:val="18"/>
                <w:szCs w:val="18"/>
              </w:rPr>
            </w:pPr>
            <w:r w:rsidRPr="00641B15">
              <w:rPr>
                <w:sz w:val="18"/>
                <w:szCs w:val="18"/>
              </w:rPr>
              <w:t>0.29, 0.33</w:t>
            </w:r>
          </w:p>
        </w:tc>
      </w:tr>
      <w:tr w:rsidR="0038799F" w:rsidRPr="00641B15" w14:paraId="4BE6A4EB" w14:textId="77777777" w:rsidTr="0012157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610" w:type="dxa"/>
            <w:vMerge w:val="restart"/>
            <w:tcBorders>
              <w:top w:val="single" w:sz="12" w:space="0" w:color="auto"/>
              <w:bottom w:val="single" w:sz="12" w:space="0" w:color="auto"/>
            </w:tcBorders>
            <w:shd w:val="clear" w:color="auto" w:fill="FBFBFB"/>
            <w:hideMark/>
          </w:tcPr>
          <w:p w14:paraId="26C6CDB4" w14:textId="77777777" w:rsidR="0038799F" w:rsidRPr="00641B15" w:rsidRDefault="0038799F" w:rsidP="00A260DC">
            <w:pPr>
              <w:pStyle w:val="NormalWeb"/>
              <w:rPr>
                <w:sz w:val="18"/>
                <w:szCs w:val="18"/>
              </w:rPr>
            </w:pPr>
            <w:r w:rsidRPr="00641B15">
              <w:rPr>
                <w:sz w:val="18"/>
                <w:szCs w:val="18"/>
              </w:rPr>
              <w:t>Month of encounter</w:t>
            </w:r>
          </w:p>
        </w:tc>
        <w:tc>
          <w:tcPr>
            <w:tcW w:w="2610" w:type="dxa"/>
            <w:tcBorders>
              <w:top w:val="single" w:sz="12" w:space="0" w:color="auto"/>
            </w:tcBorders>
            <w:shd w:val="clear" w:color="auto" w:fill="FBFBFB"/>
            <w:hideMark/>
          </w:tcPr>
          <w:p w14:paraId="33CE3035" w14:textId="77777777" w:rsidR="0038799F" w:rsidRPr="00641B15" w:rsidRDefault="0038799F" w:rsidP="00A260DC">
            <w:pPr>
              <w:pStyle w:val="NormalWeb"/>
              <w:jc w:val="center"/>
              <w:rPr>
                <w:sz w:val="18"/>
                <w:szCs w:val="18"/>
              </w:rPr>
            </w:pPr>
            <w:r w:rsidRPr="00641B15">
              <w:rPr>
                <w:sz w:val="18"/>
                <w:szCs w:val="18"/>
              </w:rPr>
              <w:t>February</w:t>
            </w:r>
          </w:p>
        </w:tc>
        <w:tc>
          <w:tcPr>
            <w:tcW w:w="2610" w:type="dxa"/>
            <w:tcBorders>
              <w:top w:val="single" w:sz="12" w:space="0" w:color="auto"/>
            </w:tcBorders>
            <w:shd w:val="clear" w:color="auto" w:fill="FBFBFB"/>
            <w:hideMark/>
          </w:tcPr>
          <w:p w14:paraId="081C357A" w14:textId="77777777" w:rsidR="0038799F" w:rsidRPr="00641B15" w:rsidRDefault="0038799F" w:rsidP="00A260DC">
            <w:pPr>
              <w:pStyle w:val="NormalWeb"/>
              <w:jc w:val="center"/>
              <w:rPr>
                <w:sz w:val="18"/>
                <w:szCs w:val="18"/>
              </w:rPr>
            </w:pPr>
            <w:r w:rsidRPr="00641B15">
              <w:rPr>
                <w:sz w:val="18"/>
                <w:szCs w:val="18"/>
              </w:rPr>
              <w:t>0.76</w:t>
            </w:r>
          </w:p>
        </w:tc>
        <w:tc>
          <w:tcPr>
            <w:tcW w:w="2610" w:type="dxa"/>
            <w:tcBorders>
              <w:top w:val="single" w:sz="12" w:space="0" w:color="auto"/>
            </w:tcBorders>
            <w:shd w:val="clear" w:color="auto" w:fill="FBFBFB"/>
            <w:hideMark/>
          </w:tcPr>
          <w:p w14:paraId="3D3C4317" w14:textId="77777777" w:rsidR="0038799F" w:rsidRPr="00641B15" w:rsidRDefault="0038799F" w:rsidP="00A260DC">
            <w:pPr>
              <w:pStyle w:val="NormalWeb"/>
              <w:jc w:val="center"/>
              <w:rPr>
                <w:sz w:val="18"/>
                <w:szCs w:val="18"/>
              </w:rPr>
            </w:pPr>
            <w:r w:rsidRPr="00641B15">
              <w:rPr>
                <w:sz w:val="18"/>
                <w:szCs w:val="18"/>
              </w:rPr>
              <w:t>0.74, 0.78</w:t>
            </w:r>
          </w:p>
        </w:tc>
      </w:tr>
      <w:tr w:rsidR="0038799F" w:rsidRPr="00641B15" w14:paraId="20E5C525" w14:textId="77777777" w:rsidTr="0012157B">
        <w:tblPrEx>
          <w:tblCellMar>
            <w:top w:w="57" w:type="dxa"/>
            <w:left w:w="57" w:type="dxa"/>
            <w:bottom w:w="57" w:type="dxa"/>
            <w:right w:w="57" w:type="dxa"/>
          </w:tblCellMar>
        </w:tblPrEx>
        <w:tc>
          <w:tcPr>
            <w:tcW w:w="2610" w:type="dxa"/>
            <w:vMerge/>
            <w:tcBorders>
              <w:top w:val="single" w:sz="2" w:space="0" w:color="auto"/>
              <w:bottom w:val="single" w:sz="12" w:space="0" w:color="auto"/>
            </w:tcBorders>
            <w:shd w:val="clear" w:color="auto" w:fill="FBFBFB"/>
            <w:hideMark/>
          </w:tcPr>
          <w:p w14:paraId="6A51A3DC" w14:textId="77777777" w:rsidR="0038799F" w:rsidRPr="00641B15" w:rsidRDefault="0038799F" w:rsidP="00A260DC">
            <w:pPr>
              <w:rPr>
                <w:sz w:val="18"/>
                <w:szCs w:val="18"/>
              </w:rPr>
            </w:pPr>
          </w:p>
        </w:tc>
        <w:tc>
          <w:tcPr>
            <w:tcW w:w="2610" w:type="dxa"/>
            <w:shd w:val="clear" w:color="auto" w:fill="FBFBFB"/>
            <w:hideMark/>
          </w:tcPr>
          <w:p w14:paraId="59081C9E" w14:textId="77777777" w:rsidR="0038799F" w:rsidRPr="00641B15" w:rsidRDefault="0038799F" w:rsidP="00A260DC">
            <w:pPr>
              <w:pStyle w:val="NormalWeb"/>
              <w:jc w:val="center"/>
              <w:rPr>
                <w:sz w:val="18"/>
                <w:szCs w:val="18"/>
              </w:rPr>
            </w:pPr>
            <w:r w:rsidRPr="00641B15">
              <w:rPr>
                <w:sz w:val="18"/>
                <w:szCs w:val="18"/>
              </w:rPr>
              <w:t>March</w:t>
            </w:r>
          </w:p>
        </w:tc>
        <w:tc>
          <w:tcPr>
            <w:tcW w:w="2610" w:type="dxa"/>
            <w:shd w:val="clear" w:color="auto" w:fill="FBFBFB"/>
            <w:hideMark/>
          </w:tcPr>
          <w:p w14:paraId="273EB03E" w14:textId="77777777" w:rsidR="0038799F" w:rsidRPr="00641B15" w:rsidRDefault="0038799F" w:rsidP="00A260DC">
            <w:pPr>
              <w:pStyle w:val="NormalWeb"/>
              <w:jc w:val="center"/>
              <w:rPr>
                <w:sz w:val="18"/>
                <w:szCs w:val="18"/>
              </w:rPr>
            </w:pPr>
            <w:r w:rsidRPr="00641B15">
              <w:rPr>
                <w:sz w:val="18"/>
                <w:szCs w:val="18"/>
              </w:rPr>
              <w:t>0.60</w:t>
            </w:r>
          </w:p>
        </w:tc>
        <w:tc>
          <w:tcPr>
            <w:tcW w:w="2610" w:type="dxa"/>
            <w:shd w:val="clear" w:color="auto" w:fill="FBFBFB"/>
            <w:hideMark/>
          </w:tcPr>
          <w:p w14:paraId="2AFC0202" w14:textId="77777777" w:rsidR="0038799F" w:rsidRPr="00641B15" w:rsidRDefault="0038799F" w:rsidP="00A260DC">
            <w:pPr>
              <w:pStyle w:val="NormalWeb"/>
              <w:jc w:val="center"/>
              <w:rPr>
                <w:sz w:val="18"/>
                <w:szCs w:val="18"/>
              </w:rPr>
            </w:pPr>
            <w:r w:rsidRPr="00641B15">
              <w:rPr>
                <w:sz w:val="18"/>
                <w:szCs w:val="18"/>
              </w:rPr>
              <w:t>0.59, 0.62</w:t>
            </w:r>
          </w:p>
        </w:tc>
      </w:tr>
      <w:tr w:rsidR="0038799F" w:rsidRPr="00641B15" w14:paraId="1471AF7D" w14:textId="77777777" w:rsidTr="0012157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610" w:type="dxa"/>
            <w:vMerge/>
            <w:tcBorders>
              <w:top w:val="single" w:sz="2" w:space="0" w:color="auto"/>
              <w:bottom w:val="single" w:sz="12" w:space="0" w:color="auto"/>
            </w:tcBorders>
            <w:shd w:val="clear" w:color="auto" w:fill="FBFBFB"/>
            <w:hideMark/>
          </w:tcPr>
          <w:p w14:paraId="29C8DBAF" w14:textId="77777777" w:rsidR="0038799F" w:rsidRPr="00641B15" w:rsidRDefault="0038799F" w:rsidP="00A260DC">
            <w:pPr>
              <w:rPr>
                <w:sz w:val="18"/>
                <w:szCs w:val="18"/>
              </w:rPr>
            </w:pPr>
          </w:p>
        </w:tc>
        <w:tc>
          <w:tcPr>
            <w:tcW w:w="2610" w:type="dxa"/>
            <w:shd w:val="clear" w:color="auto" w:fill="FBFBFB"/>
            <w:hideMark/>
          </w:tcPr>
          <w:p w14:paraId="19A087BE" w14:textId="77777777" w:rsidR="0038799F" w:rsidRPr="00641B15" w:rsidRDefault="0038799F" w:rsidP="00A260DC">
            <w:pPr>
              <w:pStyle w:val="NormalWeb"/>
              <w:jc w:val="center"/>
              <w:rPr>
                <w:sz w:val="18"/>
                <w:szCs w:val="18"/>
              </w:rPr>
            </w:pPr>
            <w:r w:rsidRPr="00641B15">
              <w:rPr>
                <w:sz w:val="18"/>
                <w:szCs w:val="18"/>
              </w:rPr>
              <w:t>April</w:t>
            </w:r>
          </w:p>
        </w:tc>
        <w:tc>
          <w:tcPr>
            <w:tcW w:w="2610" w:type="dxa"/>
            <w:shd w:val="clear" w:color="auto" w:fill="FBFBFB"/>
            <w:hideMark/>
          </w:tcPr>
          <w:p w14:paraId="3E843C38" w14:textId="77777777" w:rsidR="0038799F" w:rsidRPr="00641B15" w:rsidRDefault="0038799F" w:rsidP="00A260DC">
            <w:pPr>
              <w:pStyle w:val="NormalWeb"/>
              <w:jc w:val="center"/>
              <w:rPr>
                <w:sz w:val="18"/>
                <w:szCs w:val="18"/>
              </w:rPr>
            </w:pPr>
            <w:r w:rsidRPr="00641B15">
              <w:rPr>
                <w:sz w:val="18"/>
                <w:szCs w:val="18"/>
              </w:rPr>
              <w:t>0.51</w:t>
            </w:r>
          </w:p>
        </w:tc>
        <w:tc>
          <w:tcPr>
            <w:tcW w:w="2610" w:type="dxa"/>
            <w:shd w:val="clear" w:color="auto" w:fill="FBFBFB"/>
            <w:hideMark/>
          </w:tcPr>
          <w:p w14:paraId="72071306" w14:textId="77777777" w:rsidR="0038799F" w:rsidRPr="00641B15" w:rsidRDefault="0038799F" w:rsidP="00A260DC">
            <w:pPr>
              <w:pStyle w:val="NormalWeb"/>
              <w:jc w:val="center"/>
              <w:rPr>
                <w:sz w:val="18"/>
                <w:szCs w:val="18"/>
              </w:rPr>
            </w:pPr>
            <w:r w:rsidRPr="00641B15">
              <w:rPr>
                <w:sz w:val="18"/>
                <w:szCs w:val="18"/>
              </w:rPr>
              <w:t>0.49, 0.52</w:t>
            </w:r>
          </w:p>
        </w:tc>
      </w:tr>
      <w:tr w:rsidR="0038799F" w:rsidRPr="00641B15" w14:paraId="00C4C911" w14:textId="77777777" w:rsidTr="0012157B">
        <w:tblPrEx>
          <w:tblCellMar>
            <w:top w:w="57" w:type="dxa"/>
            <w:left w:w="57" w:type="dxa"/>
            <w:bottom w:w="57" w:type="dxa"/>
            <w:right w:w="57" w:type="dxa"/>
          </w:tblCellMar>
        </w:tblPrEx>
        <w:tc>
          <w:tcPr>
            <w:tcW w:w="2610" w:type="dxa"/>
            <w:vMerge/>
            <w:tcBorders>
              <w:top w:val="single" w:sz="2" w:space="0" w:color="auto"/>
              <w:bottom w:val="single" w:sz="12" w:space="0" w:color="auto"/>
            </w:tcBorders>
            <w:shd w:val="clear" w:color="auto" w:fill="FBFBFB"/>
            <w:hideMark/>
          </w:tcPr>
          <w:p w14:paraId="68660DDF" w14:textId="77777777" w:rsidR="0038799F" w:rsidRPr="00641B15" w:rsidRDefault="0038799F" w:rsidP="00A260DC">
            <w:pPr>
              <w:rPr>
                <w:sz w:val="18"/>
                <w:szCs w:val="18"/>
              </w:rPr>
            </w:pPr>
          </w:p>
        </w:tc>
        <w:tc>
          <w:tcPr>
            <w:tcW w:w="2610" w:type="dxa"/>
            <w:shd w:val="clear" w:color="auto" w:fill="FBFBFB"/>
            <w:hideMark/>
          </w:tcPr>
          <w:p w14:paraId="2E2F1E72" w14:textId="77777777" w:rsidR="0038799F" w:rsidRPr="00641B15" w:rsidRDefault="0038799F" w:rsidP="00A260DC">
            <w:pPr>
              <w:pStyle w:val="NormalWeb"/>
              <w:jc w:val="center"/>
              <w:rPr>
                <w:sz w:val="18"/>
                <w:szCs w:val="18"/>
              </w:rPr>
            </w:pPr>
            <w:r w:rsidRPr="00641B15">
              <w:rPr>
                <w:sz w:val="18"/>
                <w:szCs w:val="18"/>
              </w:rPr>
              <w:t>May</w:t>
            </w:r>
          </w:p>
        </w:tc>
        <w:tc>
          <w:tcPr>
            <w:tcW w:w="2610" w:type="dxa"/>
            <w:shd w:val="clear" w:color="auto" w:fill="FBFBFB"/>
            <w:hideMark/>
          </w:tcPr>
          <w:p w14:paraId="60AFCD9C" w14:textId="77777777" w:rsidR="0038799F" w:rsidRPr="00641B15" w:rsidRDefault="0038799F" w:rsidP="00A260DC">
            <w:pPr>
              <w:pStyle w:val="NormalWeb"/>
              <w:jc w:val="center"/>
              <w:rPr>
                <w:sz w:val="18"/>
                <w:szCs w:val="18"/>
              </w:rPr>
            </w:pPr>
            <w:r w:rsidRPr="00641B15">
              <w:rPr>
                <w:sz w:val="18"/>
                <w:szCs w:val="18"/>
              </w:rPr>
              <w:t>0.44</w:t>
            </w:r>
          </w:p>
        </w:tc>
        <w:tc>
          <w:tcPr>
            <w:tcW w:w="2610" w:type="dxa"/>
            <w:shd w:val="clear" w:color="auto" w:fill="FBFBFB"/>
            <w:hideMark/>
          </w:tcPr>
          <w:p w14:paraId="536FBD7A" w14:textId="77777777" w:rsidR="0038799F" w:rsidRPr="00641B15" w:rsidRDefault="0038799F" w:rsidP="00A260DC">
            <w:pPr>
              <w:pStyle w:val="NormalWeb"/>
              <w:jc w:val="center"/>
              <w:rPr>
                <w:sz w:val="18"/>
                <w:szCs w:val="18"/>
              </w:rPr>
            </w:pPr>
            <w:r w:rsidRPr="00641B15">
              <w:rPr>
                <w:sz w:val="18"/>
                <w:szCs w:val="18"/>
              </w:rPr>
              <w:t>0.43, 0.45</w:t>
            </w:r>
          </w:p>
        </w:tc>
      </w:tr>
      <w:tr w:rsidR="0038799F" w:rsidRPr="00641B15" w14:paraId="4BA552CC" w14:textId="77777777" w:rsidTr="0012157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610" w:type="dxa"/>
            <w:vMerge/>
            <w:tcBorders>
              <w:top w:val="single" w:sz="2" w:space="0" w:color="auto"/>
              <w:bottom w:val="single" w:sz="12" w:space="0" w:color="auto"/>
            </w:tcBorders>
            <w:shd w:val="clear" w:color="auto" w:fill="FBFBFB"/>
            <w:hideMark/>
          </w:tcPr>
          <w:p w14:paraId="18623931" w14:textId="77777777" w:rsidR="0038799F" w:rsidRPr="00641B15" w:rsidRDefault="0038799F" w:rsidP="00A260DC">
            <w:pPr>
              <w:rPr>
                <w:sz w:val="18"/>
                <w:szCs w:val="18"/>
              </w:rPr>
            </w:pPr>
          </w:p>
        </w:tc>
        <w:tc>
          <w:tcPr>
            <w:tcW w:w="2610" w:type="dxa"/>
            <w:shd w:val="clear" w:color="auto" w:fill="FBFBFB"/>
            <w:hideMark/>
          </w:tcPr>
          <w:p w14:paraId="0B38C022" w14:textId="77777777" w:rsidR="0038799F" w:rsidRPr="00641B15" w:rsidRDefault="0038799F" w:rsidP="00A260DC">
            <w:pPr>
              <w:pStyle w:val="NormalWeb"/>
              <w:jc w:val="center"/>
              <w:rPr>
                <w:sz w:val="18"/>
                <w:szCs w:val="18"/>
              </w:rPr>
            </w:pPr>
            <w:r w:rsidRPr="00641B15">
              <w:rPr>
                <w:sz w:val="18"/>
                <w:szCs w:val="18"/>
              </w:rPr>
              <w:t>June</w:t>
            </w:r>
          </w:p>
        </w:tc>
        <w:tc>
          <w:tcPr>
            <w:tcW w:w="2610" w:type="dxa"/>
            <w:shd w:val="clear" w:color="auto" w:fill="FBFBFB"/>
            <w:hideMark/>
          </w:tcPr>
          <w:p w14:paraId="1B2F813A" w14:textId="77777777" w:rsidR="0038799F" w:rsidRPr="00641B15" w:rsidRDefault="0038799F" w:rsidP="00A260DC">
            <w:pPr>
              <w:pStyle w:val="NormalWeb"/>
              <w:jc w:val="center"/>
              <w:rPr>
                <w:sz w:val="18"/>
                <w:szCs w:val="18"/>
              </w:rPr>
            </w:pPr>
            <w:r w:rsidRPr="00641B15">
              <w:rPr>
                <w:sz w:val="18"/>
                <w:szCs w:val="18"/>
              </w:rPr>
              <w:t>0.48</w:t>
            </w:r>
          </w:p>
        </w:tc>
        <w:tc>
          <w:tcPr>
            <w:tcW w:w="2610" w:type="dxa"/>
            <w:shd w:val="clear" w:color="auto" w:fill="FBFBFB"/>
            <w:hideMark/>
          </w:tcPr>
          <w:p w14:paraId="087D57FE" w14:textId="77777777" w:rsidR="0038799F" w:rsidRPr="00641B15" w:rsidRDefault="0038799F" w:rsidP="00A260DC">
            <w:pPr>
              <w:pStyle w:val="NormalWeb"/>
              <w:jc w:val="center"/>
              <w:rPr>
                <w:sz w:val="18"/>
                <w:szCs w:val="18"/>
              </w:rPr>
            </w:pPr>
            <w:r w:rsidRPr="00641B15">
              <w:rPr>
                <w:sz w:val="18"/>
                <w:szCs w:val="18"/>
              </w:rPr>
              <w:t>0.47, 0.49</w:t>
            </w:r>
          </w:p>
        </w:tc>
      </w:tr>
      <w:tr w:rsidR="0038799F" w:rsidRPr="00641B15" w14:paraId="23792548" w14:textId="77777777" w:rsidTr="0012157B">
        <w:tblPrEx>
          <w:tblCellMar>
            <w:top w:w="57" w:type="dxa"/>
            <w:left w:w="57" w:type="dxa"/>
            <w:bottom w:w="57" w:type="dxa"/>
            <w:right w:w="57" w:type="dxa"/>
          </w:tblCellMar>
        </w:tblPrEx>
        <w:tc>
          <w:tcPr>
            <w:tcW w:w="2610" w:type="dxa"/>
            <w:vMerge/>
            <w:tcBorders>
              <w:top w:val="single" w:sz="2" w:space="0" w:color="auto"/>
              <w:bottom w:val="single" w:sz="12" w:space="0" w:color="auto"/>
            </w:tcBorders>
            <w:shd w:val="clear" w:color="auto" w:fill="FBFBFB"/>
            <w:hideMark/>
          </w:tcPr>
          <w:p w14:paraId="2066420D" w14:textId="77777777" w:rsidR="0038799F" w:rsidRPr="00641B15" w:rsidRDefault="0038799F" w:rsidP="00A260DC">
            <w:pPr>
              <w:rPr>
                <w:sz w:val="18"/>
                <w:szCs w:val="18"/>
              </w:rPr>
            </w:pPr>
          </w:p>
        </w:tc>
        <w:tc>
          <w:tcPr>
            <w:tcW w:w="2610" w:type="dxa"/>
            <w:tcBorders>
              <w:bottom w:val="single" w:sz="2" w:space="0" w:color="auto"/>
            </w:tcBorders>
            <w:shd w:val="clear" w:color="auto" w:fill="FBFBFB"/>
            <w:hideMark/>
          </w:tcPr>
          <w:p w14:paraId="0E00B81B" w14:textId="77777777" w:rsidR="0038799F" w:rsidRPr="00641B15" w:rsidRDefault="0038799F" w:rsidP="00A260DC">
            <w:pPr>
              <w:pStyle w:val="NormalWeb"/>
              <w:jc w:val="center"/>
              <w:rPr>
                <w:sz w:val="18"/>
                <w:szCs w:val="18"/>
              </w:rPr>
            </w:pPr>
            <w:r w:rsidRPr="00641B15">
              <w:rPr>
                <w:sz w:val="18"/>
                <w:szCs w:val="18"/>
              </w:rPr>
              <w:t>July</w:t>
            </w:r>
          </w:p>
        </w:tc>
        <w:tc>
          <w:tcPr>
            <w:tcW w:w="2610" w:type="dxa"/>
            <w:tcBorders>
              <w:bottom w:val="single" w:sz="2" w:space="0" w:color="auto"/>
            </w:tcBorders>
            <w:shd w:val="clear" w:color="auto" w:fill="FBFBFB"/>
            <w:hideMark/>
          </w:tcPr>
          <w:p w14:paraId="4CA38CF2" w14:textId="77777777" w:rsidR="0038799F" w:rsidRPr="00641B15" w:rsidRDefault="0038799F" w:rsidP="00A260DC">
            <w:pPr>
              <w:pStyle w:val="NormalWeb"/>
              <w:jc w:val="center"/>
              <w:rPr>
                <w:sz w:val="18"/>
                <w:szCs w:val="18"/>
              </w:rPr>
            </w:pPr>
            <w:r w:rsidRPr="00641B15">
              <w:rPr>
                <w:sz w:val="18"/>
                <w:szCs w:val="18"/>
              </w:rPr>
              <w:t>0.69</w:t>
            </w:r>
          </w:p>
        </w:tc>
        <w:tc>
          <w:tcPr>
            <w:tcW w:w="2610" w:type="dxa"/>
            <w:tcBorders>
              <w:bottom w:val="single" w:sz="2" w:space="0" w:color="auto"/>
            </w:tcBorders>
            <w:shd w:val="clear" w:color="auto" w:fill="FBFBFB"/>
            <w:hideMark/>
          </w:tcPr>
          <w:p w14:paraId="3962EF0A" w14:textId="77777777" w:rsidR="0038799F" w:rsidRPr="00641B15" w:rsidRDefault="0038799F" w:rsidP="00A260DC">
            <w:pPr>
              <w:pStyle w:val="NormalWeb"/>
              <w:jc w:val="center"/>
              <w:rPr>
                <w:sz w:val="18"/>
                <w:szCs w:val="18"/>
              </w:rPr>
            </w:pPr>
            <w:r w:rsidRPr="00641B15">
              <w:rPr>
                <w:sz w:val="18"/>
                <w:szCs w:val="18"/>
              </w:rPr>
              <w:t>0.68, 0.71</w:t>
            </w:r>
          </w:p>
        </w:tc>
      </w:tr>
      <w:tr w:rsidR="0038799F" w:rsidRPr="00641B15" w14:paraId="6C5E4FE5" w14:textId="77777777" w:rsidTr="0012157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610" w:type="dxa"/>
            <w:vMerge/>
            <w:tcBorders>
              <w:top w:val="single" w:sz="2" w:space="0" w:color="auto"/>
              <w:bottom w:val="single" w:sz="12" w:space="0" w:color="auto"/>
            </w:tcBorders>
            <w:shd w:val="clear" w:color="auto" w:fill="FBFBFB"/>
            <w:hideMark/>
          </w:tcPr>
          <w:p w14:paraId="7997FC0A" w14:textId="77777777" w:rsidR="0038799F" w:rsidRPr="00641B15" w:rsidRDefault="0038799F" w:rsidP="00A260DC">
            <w:pPr>
              <w:rPr>
                <w:sz w:val="18"/>
                <w:szCs w:val="18"/>
              </w:rPr>
            </w:pPr>
          </w:p>
        </w:tc>
        <w:tc>
          <w:tcPr>
            <w:tcW w:w="2610" w:type="dxa"/>
            <w:tcBorders>
              <w:top w:val="single" w:sz="2" w:space="0" w:color="auto"/>
              <w:bottom w:val="single" w:sz="12" w:space="0" w:color="auto"/>
            </w:tcBorders>
            <w:shd w:val="clear" w:color="auto" w:fill="FBFBFB"/>
            <w:hideMark/>
          </w:tcPr>
          <w:p w14:paraId="56AD175F" w14:textId="77777777" w:rsidR="0038799F" w:rsidRPr="00641B15" w:rsidRDefault="0038799F" w:rsidP="00A260DC">
            <w:pPr>
              <w:pStyle w:val="NormalWeb"/>
              <w:jc w:val="center"/>
              <w:rPr>
                <w:sz w:val="18"/>
                <w:szCs w:val="18"/>
              </w:rPr>
            </w:pPr>
            <w:r w:rsidRPr="00641B15">
              <w:rPr>
                <w:sz w:val="18"/>
                <w:szCs w:val="18"/>
              </w:rPr>
              <w:t>August</w:t>
            </w:r>
          </w:p>
        </w:tc>
        <w:tc>
          <w:tcPr>
            <w:tcW w:w="2610" w:type="dxa"/>
            <w:tcBorders>
              <w:top w:val="single" w:sz="2" w:space="0" w:color="auto"/>
              <w:bottom w:val="single" w:sz="12" w:space="0" w:color="auto"/>
            </w:tcBorders>
            <w:shd w:val="clear" w:color="auto" w:fill="FBFBFB"/>
            <w:hideMark/>
          </w:tcPr>
          <w:p w14:paraId="49668E93" w14:textId="77777777" w:rsidR="0038799F" w:rsidRPr="00641B15" w:rsidRDefault="0038799F" w:rsidP="00A260DC">
            <w:pPr>
              <w:pStyle w:val="NormalWeb"/>
              <w:jc w:val="center"/>
              <w:rPr>
                <w:sz w:val="18"/>
                <w:szCs w:val="18"/>
              </w:rPr>
            </w:pPr>
            <w:r w:rsidRPr="00641B15">
              <w:rPr>
                <w:sz w:val="18"/>
                <w:szCs w:val="18"/>
              </w:rPr>
              <w:t>Ref</w:t>
            </w:r>
          </w:p>
        </w:tc>
        <w:tc>
          <w:tcPr>
            <w:tcW w:w="2610" w:type="dxa"/>
            <w:tcBorders>
              <w:top w:val="single" w:sz="2" w:space="0" w:color="auto"/>
              <w:bottom w:val="single" w:sz="12" w:space="0" w:color="auto"/>
            </w:tcBorders>
            <w:shd w:val="clear" w:color="auto" w:fill="FBFBFB"/>
            <w:hideMark/>
          </w:tcPr>
          <w:p w14:paraId="7E7868ED" w14:textId="77777777" w:rsidR="0038799F" w:rsidRPr="00641B15" w:rsidRDefault="0038799F" w:rsidP="00A260DC">
            <w:pPr>
              <w:jc w:val="center"/>
              <w:rPr>
                <w:sz w:val="18"/>
                <w:szCs w:val="18"/>
              </w:rPr>
            </w:pPr>
          </w:p>
        </w:tc>
      </w:tr>
    </w:tbl>
    <w:p w14:paraId="792BF182" w14:textId="77777777" w:rsidR="0038799F" w:rsidRDefault="0038799F" w:rsidP="0038799F">
      <w:pPr>
        <w:pStyle w:val="CDIfootnotes"/>
        <w:rPr>
          <w:sz w:val="24"/>
          <w:szCs w:val="24"/>
          <w:lang w:val="en-GB"/>
        </w:rPr>
      </w:pPr>
      <w:proofErr w:type="spellStart"/>
      <w:proofErr w:type="gramStart"/>
      <w:r>
        <w:rPr>
          <w:lang w:val="en-GB"/>
        </w:rPr>
        <w:t>a</w:t>
      </w:r>
      <w:proofErr w:type="spellEnd"/>
      <w:proofErr w:type="gramEnd"/>
      <w:r>
        <w:rPr>
          <w:lang w:val="en-GB"/>
        </w:rPr>
        <w:tab/>
        <w:t>Adjusted for sex, age, Indigenous status, location (urban or rural), state or territory and month of encounter.</w:t>
      </w:r>
    </w:p>
    <w:p w14:paraId="25DD0908" w14:textId="77777777" w:rsidR="0038799F" w:rsidRDefault="0038799F" w:rsidP="0038799F">
      <w:pPr>
        <w:pStyle w:val="CDIfootnotes"/>
        <w:rPr>
          <w:lang w:val="en-GB"/>
        </w:rPr>
      </w:pPr>
      <w:r>
        <w:rPr>
          <w:lang w:val="en-US"/>
        </w:rPr>
        <w:t>b</w:t>
      </w:r>
      <w:r>
        <w:rPr>
          <w:lang w:val="en-US"/>
        </w:rPr>
        <w:tab/>
      </w:r>
      <w:r>
        <w:rPr>
          <w:lang w:val="en-GB"/>
        </w:rPr>
        <w:t>ACT: Australian Capital Territory; NSW: New South Wales; NT: Northern Territory; Qld: Queensland; SA: South Australia; Tas.: Tasmania; Vic.: Victoria; WA: Western Australia.</w:t>
      </w:r>
    </w:p>
    <w:p w14:paraId="022F7DB9" w14:textId="4FE295F1" w:rsidR="000D3A71" w:rsidRPr="000D3A71" w:rsidRDefault="000D3A71" w:rsidP="000D3A71">
      <w:pPr>
        <w:pStyle w:val="Heading2"/>
      </w:pPr>
      <w:r w:rsidRPr="000D3A71">
        <w:t xml:space="preserve">Effect of a COVID-19 outbreak </w:t>
      </w:r>
    </w:p>
    <w:p w14:paraId="72F6C6EC" w14:textId="77777777" w:rsidR="000D3A71" w:rsidRDefault="000D3A71" w:rsidP="000D3A71">
      <w:r>
        <w:t xml:space="preserve">Participants in New South Wales and Victoria had twice the odds (OR 2.01; 95% CI: 2.59, 2.85) of presenting at a GP respiratory clinic within one day of symptom onset in August 2021, when there was a COVID-19 outbreak in those states, </w:t>
      </w:r>
      <w:proofErr w:type="gramStart"/>
      <w:r>
        <w:t>than</w:t>
      </w:r>
      <w:proofErr w:type="gramEnd"/>
      <w:r>
        <w:t xml:space="preserve"> in March 2021, when there was no COVID-19 outbreak in Australia. Participants in Western Australia, South Australia, </w:t>
      </w:r>
      <w:proofErr w:type="gramStart"/>
      <w:r>
        <w:t>Queensland</w:t>
      </w:r>
      <w:proofErr w:type="gramEnd"/>
      <w:r>
        <w:t xml:space="preserve"> and Tasmania, which did not have COVID-19 outbreaks in either March or August 2021, had higher odds of presenting within one day during August 2021 than in March 2021 (OR 1.09; 95% CI: 1.04, 1.15). </w:t>
      </w:r>
    </w:p>
    <w:p w14:paraId="003A313A" w14:textId="77777777" w:rsidR="000D3A71" w:rsidRPr="000D3A71" w:rsidRDefault="000D3A71" w:rsidP="000D3A71">
      <w:pPr>
        <w:pStyle w:val="Heading2"/>
      </w:pPr>
      <w:r w:rsidRPr="000D3A71">
        <w:t xml:space="preserve">Multivariable analysis </w:t>
      </w:r>
    </w:p>
    <w:p w14:paraId="537F2EFF" w14:textId="585B298E" w:rsidR="000D3A71" w:rsidRDefault="000D3A71" w:rsidP="000D3A71">
      <w:r>
        <w:t xml:space="preserve">The results from the univariate analysis were largely unchanged on multivariable analysis. The positive effect of COVID-19 outbreaks on the odds of presenting within one day to a GP respiratory clinic was maintained when the analysis was adjusted for other variables, including sex, Indigenous status, age, location, state or territory and month </w:t>
      </w:r>
      <w:r>
        <w:lastRenderedPageBreak/>
        <w:t xml:space="preserve">of encounter. Participants who presented in urban areas, those who presented during the month of August 2021, as well as participants who presented in New South Wales and Victoria, had higher odds of presenting within one day than other participants. Being of working age also had a sizable effect on the odds of presenting within one day. Participants aged 15 to 64 years had higher odds of presenting within one day than did both participants aged under 15 years (adjusted odds ratio, AOR 1.68; 95% CI: 1.65, 1.71) and participants aged 65 years and older (AOR 1.44; 95% CI: 1.40, 1.48). Conversely, Aboriginal </w:t>
      </w:r>
      <w:r w:rsidR="00865DAC" w:rsidRPr="00865DAC">
        <w:t>and/or</w:t>
      </w:r>
      <w:r w:rsidR="00865DAC">
        <w:t xml:space="preserve"> </w:t>
      </w:r>
      <w:r>
        <w:t xml:space="preserve">Torres Strait Islander participants had lower odds of presenting within one day than did non-Indigenous participants. </w:t>
      </w:r>
    </w:p>
    <w:p w14:paraId="513ADDEE" w14:textId="77777777" w:rsidR="000D3A71" w:rsidRDefault="000D3A71" w:rsidP="000D3A71">
      <w:r>
        <w:t>When analysis was limited to New South Wales in August 2021 (</w:t>
      </w:r>
      <w:proofErr w:type="gramStart"/>
      <w:r>
        <w:t>i.e.</w:t>
      </w:r>
      <w:proofErr w:type="gramEnd"/>
      <w:r>
        <w:t xml:space="preserve"> during an outbreak), the adjusted odds ratios by different factors, including Indigenous status, sex, region and age were not markedly different, with the overall pattern being maintained. </w:t>
      </w:r>
    </w:p>
    <w:p w14:paraId="5A60CDE6" w14:textId="77777777" w:rsidR="000D3A71" w:rsidRPr="000D3A71" w:rsidRDefault="000D3A71" w:rsidP="000D3A71">
      <w:pPr>
        <w:pStyle w:val="Heading1"/>
      </w:pPr>
      <w:r w:rsidRPr="000D3A71">
        <w:t xml:space="preserve">Discussion </w:t>
      </w:r>
    </w:p>
    <w:p w14:paraId="4EC7D39C" w14:textId="6C11F2D6" w:rsidR="000D3A71" w:rsidRDefault="000D3A71" w:rsidP="000D3A71">
      <w:r>
        <w:t xml:space="preserve">This study found that, generally, the interval between development of symptoms and presentation to a GP respiratory clinic was short, with a median of two days. This is an important finding as there is little published research in this </w:t>
      </w:r>
      <w:proofErr w:type="gramStart"/>
      <w:r>
        <w:t>area, and</w:t>
      </w:r>
      <w:proofErr w:type="gramEnd"/>
      <w:r>
        <w:t xml:space="preserve"> encouraging a large proportion of COVID-19 cases to isolate and test as soon as they develop symptoms is important to reduce transmission in the community, both from the initial case and from contacts of that case through early contact tracing. A previous Canadian study found that the median time taken for patients with mild respiratory symptoms to present to their general practitioner was seven days.</w:t>
      </w:r>
      <w:r>
        <w:rPr>
          <w:vertAlign w:val="superscript"/>
        </w:rPr>
        <w:t>16</w:t>
      </w:r>
      <w:r>
        <w:t xml:space="preserve"> However, the applicability of these findings to the current setting are limited, as the Canadian study was not conducted during a pandemic where motivations to attend and have a diagnostic test for respiratory symptoms were markedly</w:t>
      </w:r>
      <w:r w:rsidR="00717CF3">
        <w:t> </w:t>
      </w:r>
      <w:r>
        <w:t xml:space="preserve">different. </w:t>
      </w:r>
    </w:p>
    <w:p w14:paraId="630DE674" w14:textId="51AC521C" w:rsidR="000D3A71" w:rsidRDefault="000D3A71" w:rsidP="000D3A71">
      <w:r>
        <w:t>Our study found that 39.9% of participants were tested within one day of symptom onset. This is a lower rate than that reported during the COVID-19 outbreak in New South Wales between June and September 2021, where between 50% and 60% of cases were reported to have isolated within one day of symptom onset.</w:t>
      </w:r>
      <w:r>
        <w:rPr>
          <w:vertAlign w:val="superscript"/>
        </w:rPr>
        <w:t>17</w:t>
      </w:r>
      <w:r>
        <w:t xml:space="preserve"> However, the latter range would have included </w:t>
      </w:r>
      <w:proofErr w:type="gramStart"/>
      <w:r>
        <w:t>a large number of</w:t>
      </w:r>
      <w:proofErr w:type="gramEnd"/>
      <w:r>
        <w:t xml:space="preserve"> individuals who were being tested because they were close contacts and so may largely be a measure of contact tracing effectiveness. A particular strength of our study is that it gives an indication of the willingness of a population with, overall, a low pre-test probability of COVID-19, to get tested when they have symptoms only, rather than getting tested because they have been identified as being close</w:t>
      </w:r>
      <w:r w:rsidR="00717CF3">
        <w:t> </w:t>
      </w:r>
      <w:r>
        <w:t xml:space="preserve">contacts. </w:t>
      </w:r>
    </w:p>
    <w:p w14:paraId="274EE7BA" w14:textId="77777777" w:rsidR="000D3A71" w:rsidRDefault="000D3A71" w:rsidP="000D3A71">
      <w:r>
        <w:t>The strongest independent factor for presentation within one day in this study was that of being in a state or territory with an active outbreak. A reason for this association may have been that participants were more likely to recognise and attribute their symptoms to COVID-19 if there were known cases in their community. Previous studies have indicated that barriers to SARS-CoV-2 testing include lack of recognition of symptoms as being potentially caused by COVID-19.</w:t>
      </w:r>
      <w:r>
        <w:rPr>
          <w:vertAlign w:val="superscript"/>
        </w:rPr>
        <w:t>18–21</w:t>
      </w:r>
      <w:r>
        <w:t xml:space="preserve"> Clear communication to the public regarding the potential symptoms of COVID-19, which can include very mild symptoms, is important to assist people to recognise the possibility of COVID-19 and so to present for testing for public health surveillance purposes. </w:t>
      </w:r>
    </w:p>
    <w:p w14:paraId="191CA084" w14:textId="77777777" w:rsidR="000D3A71" w:rsidRDefault="000D3A71" w:rsidP="000D3A71">
      <w:r>
        <w:t>Previous studies have identified that barriers to timely presentation for COVID-19 testing include asymptomatic infection; lack of access to testing; perception of ineligibility for testing; fear of the test itself; and concerns regarding the consequences of a positive result, such as the requirement to isolate or a negative impact on their employment due to no paid sick leave.</w:t>
      </w:r>
      <w:r>
        <w:rPr>
          <w:vertAlign w:val="superscript"/>
        </w:rPr>
        <w:t>18–20,22,23</w:t>
      </w:r>
      <w:r>
        <w:t xml:space="preserve"> Regions affected by COVID-19 outbreaks during August 2021 were subject to public health restrictions, including stay-at-home orders.</w:t>
      </w:r>
      <w:r>
        <w:rPr>
          <w:vertAlign w:val="superscript"/>
        </w:rPr>
        <w:t>24,25</w:t>
      </w:r>
      <w:r>
        <w:t xml:space="preserve"> This may have reduced participants’ concerns regarding consequences of testing, such as the requirement to isolate. </w:t>
      </w:r>
    </w:p>
    <w:p w14:paraId="2455F1EF" w14:textId="77777777" w:rsidR="00592CBC" w:rsidRDefault="000D3A71" w:rsidP="00592CBC">
      <w:pPr>
        <w:autoSpaceDE w:val="0"/>
        <w:autoSpaceDN w:val="0"/>
        <w:adjustRightInd w:val="0"/>
        <w:spacing w:after="0" w:line="240" w:lineRule="auto"/>
        <w:rPr>
          <w:rFonts w:ascii="Segoe UI" w:hAnsi="Segoe UI" w:cs="Segoe UI"/>
          <w:sz w:val="20"/>
          <w:szCs w:val="20"/>
        </w:rPr>
      </w:pPr>
      <w:r>
        <w:lastRenderedPageBreak/>
        <w:t xml:space="preserve">Factors found to be associated with lower odds of presenting within one day included rural location, children aged younger than 15 years, adults older than 64 years and being of Aboriginal </w:t>
      </w:r>
      <w:r w:rsidR="00697882" w:rsidRPr="00697882">
        <w:t>and/or</w:t>
      </w:r>
      <w:r w:rsidR="00697882">
        <w:t xml:space="preserve"> </w:t>
      </w:r>
      <w:r>
        <w:t>Torres Strait Islander origin. Lower odds of presenting within one day in rural areas compared with urban areas may reflect reduced access to healthcare in rural areas.</w:t>
      </w:r>
      <w:r>
        <w:rPr>
          <w:vertAlign w:val="superscript"/>
        </w:rPr>
        <w:t>26</w:t>
      </w:r>
      <w:r>
        <w:t xml:space="preserve"> Although it is difficult to determine from the results of this study, Aboriginal </w:t>
      </w:r>
      <w:r w:rsidR="00592CBC">
        <w:rPr>
          <w:rFonts w:ascii="Segoe UI" w:hAnsi="Segoe UI" w:cs="Segoe UI"/>
          <w:color w:val="000000"/>
          <w:sz w:val="21"/>
          <w:szCs w:val="21"/>
        </w:rPr>
        <w:t>and/or</w:t>
      </w:r>
    </w:p>
    <w:p w14:paraId="7A46A88A" w14:textId="0D7EFD8F" w:rsidR="000D3A71" w:rsidRDefault="00592CBC" w:rsidP="000D3A71">
      <w:r>
        <w:t xml:space="preserve"> </w:t>
      </w:r>
      <w:r w:rsidR="000D3A71">
        <w:t>Torres Strait Islander participants may have been less likely to present within one day than non-Indigenous participants due to factors including: inequity in access to healthcare; reluctance to use mainstream health services; reduced access to social supports; and distrust of Government.</w:t>
      </w:r>
      <w:r w:rsidR="000D3A71">
        <w:rPr>
          <w:vertAlign w:val="superscript"/>
        </w:rPr>
        <w:t>27</w:t>
      </w:r>
      <w:r w:rsidR="000D3A71">
        <w:t xml:space="preserve"> These findings underpin the importance of ensuring culturally appropriate and accessible testing. </w:t>
      </w:r>
    </w:p>
    <w:p w14:paraId="03BCA601" w14:textId="77777777" w:rsidR="000D3A71" w:rsidRDefault="000D3A71" w:rsidP="000D3A71">
      <w:r>
        <w:t>Several factors may explain the higher odds of presenting within one day among participants aged 15 to 64 years than among children and older adults. Participants in the 15–</w:t>
      </w:r>
      <w:proofErr w:type="gramStart"/>
      <w:r>
        <w:t>64 year</w:t>
      </w:r>
      <w:proofErr w:type="gramEnd"/>
      <w:r>
        <w:t xml:space="preserve"> age group may have been more likely to be required to leave home to fulfil essential work commitments, so increasing their perceived and actual risk of exposure to COVID-19. This age group may also have had financial incentives to present earlier for testing, including lack of paid sick leave, and they may have also required a negative COVID-19 test before returning to work. This may also be supported by the finding that participants aged 15 to 64 years had increased adjusted odds of presenting within one day during an outbreak compared to younger and older age groups. </w:t>
      </w:r>
    </w:p>
    <w:p w14:paraId="77392F2E" w14:textId="77777777" w:rsidR="000D3A71" w:rsidRDefault="000D3A71" w:rsidP="000D3A71">
      <w:r>
        <w:t>This study highlights that early presentation for testing, following development of symptoms, is important and achievable. Early detection and isolation of cases is essential to help reduce community transmission of COVID-19.</w:t>
      </w:r>
      <w:r>
        <w:rPr>
          <w:vertAlign w:val="superscript"/>
        </w:rPr>
        <w:t>28</w:t>
      </w:r>
      <w:r>
        <w:t xml:space="preserve"> Even as Australia has moved towards a ‘living with COVID-19’ phase, early identification of cases and contact tracing will continue to be important.</w:t>
      </w:r>
      <w:r>
        <w:rPr>
          <w:vertAlign w:val="superscript"/>
        </w:rPr>
        <w:t>29</w:t>
      </w:r>
      <w:r>
        <w:t xml:space="preserve"> Effective communication regarding the importance of testing for symptomatic individuals—including targeted messaging to higher risk groups—and ensuring that testing is easily accessible are essential. Further, several novel treatments for COVID-19 require early initiation of treatment to provide optimum benefit.</w:t>
      </w:r>
      <w:r>
        <w:rPr>
          <w:vertAlign w:val="superscript"/>
        </w:rPr>
        <w:t>30</w:t>
      </w:r>
      <w:r>
        <w:t xml:space="preserve"> These individuals therefore require early testing so they can be identified and managed appropriately. Further studies examining reasons for delayed presentation would be useful to improve early identification of positive cases, leading to reduced transmission and timely treatment. </w:t>
      </w:r>
    </w:p>
    <w:p w14:paraId="67D3E81A" w14:textId="77777777" w:rsidR="000D3A71" w:rsidRPr="000D3A71" w:rsidRDefault="000D3A71" w:rsidP="000D3A71">
      <w:pPr>
        <w:pStyle w:val="Heading2"/>
      </w:pPr>
      <w:r w:rsidRPr="000D3A71">
        <w:t xml:space="preserve">Limitations </w:t>
      </w:r>
    </w:p>
    <w:p w14:paraId="477C18F8" w14:textId="77777777" w:rsidR="000D3A71" w:rsidRDefault="000D3A71" w:rsidP="000D3A71">
      <w:r>
        <w:t>This study involved analysis of a large dataset comprising 314,148 assessments conducted in GP respiratory clinics, which are located throughout Australia.</w:t>
      </w:r>
      <w:r>
        <w:rPr>
          <w:vertAlign w:val="superscript"/>
        </w:rPr>
        <w:t>14</w:t>
      </w:r>
      <w:r>
        <w:t xml:space="preserve"> Although this represents fewer than 5% of all COVID-19 tests conducted during the study period in Australia, one of the strengths of this dataset are that they are systematically collected as part of the patient assessment. Only 45% of assessments conducted during the period examined in this study recorded a symptom onset date, leading to potential selection bias. Analysis of the characteristics of eligible population and participants analysed showed that the demographic features of each group were similar. However, there was a difference in relation to location, with 67% of all individuals assessed in GP respiratory clinics during the study period presenting at an urban location compared with 54% of the participants included in this study presenting at an urban location. It is unlikely that this difference reduces the validity of this study on the basis that failure to record the symptom onset date was not linked with individual characteristics of participants. </w:t>
      </w:r>
    </w:p>
    <w:p w14:paraId="7ED6AEAB" w14:textId="77777777" w:rsidR="000D3A71" w:rsidRDefault="000D3A71" w:rsidP="000D3A71">
      <w:r>
        <w:t xml:space="preserve">Measurement bias is possible both in relation to recording of data by each GP respiratory clinic and in the recall of symptom onset dates by participants. While data were collected according to systematic pro-forma, variability is likely due to multiple data collectors across multiple clinics. The overall impact of these factors is unknown. However, we do not expect there to be systematic bias that would alter the main finding of time to presentation. </w:t>
      </w:r>
    </w:p>
    <w:p w14:paraId="7413D29F" w14:textId="77777777" w:rsidR="00E13D35" w:rsidRDefault="00E13D35">
      <w:pPr>
        <w:rPr>
          <w:rFonts w:asciiTheme="majorHAnsi" w:eastAsiaTheme="majorEastAsia" w:hAnsiTheme="majorHAnsi" w:cstheme="majorBidi"/>
          <w:b/>
          <w:bCs/>
          <w:sz w:val="32"/>
          <w:szCs w:val="28"/>
        </w:rPr>
      </w:pPr>
      <w:r>
        <w:br w:type="page"/>
      </w:r>
    </w:p>
    <w:p w14:paraId="0CF7C864" w14:textId="4BA7812F" w:rsidR="000D3A71" w:rsidRPr="000D3A71" w:rsidRDefault="000D3A71" w:rsidP="000D3A71">
      <w:pPr>
        <w:pStyle w:val="Heading1"/>
      </w:pPr>
      <w:r w:rsidRPr="000D3A71">
        <w:lastRenderedPageBreak/>
        <w:t xml:space="preserve">Conclusion </w:t>
      </w:r>
    </w:p>
    <w:p w14:paraId="18CF57F5" w14:textId="77777777" w:rsidR="000D3A71" w:rsidRDefault="000D3A71" w:rsidP="000D3A71">
      <w:r>
        <w:t>This study demonstrated that the median number of days to presentation at a GP respiratory clinic following onset of symptoms was relatively short. This study’s findings of the groups less likely to present in a timely fashion highlights the importance of recognising COVID-19 as a potential cause of symptoms as well as providing easily accessible, and culturally appropriate, testing facilities for the population. Continued efforts should be made to direct clear and effective messages to target populations to encourage early presentation for testing to allow better control of COVID-19 outbreaks.</w:t>
      </w:r>
    </w:p>
    <w:p w14:paraId="656E0B3F" w14:textId="77777777" w:rsidR="000D3A71" w:rsidRPr="000D3A71" w:rsidRDefault="000D3A71" w:rsidP="000D3A71">
      <w:pPr>
        <w:pStyle w:val="Heading1"/>
      </w:pPr>
      <w:r w:rsidRPr="000D3A71">
        <w:t xml:space="preserve">Author details </w:t>
      </w:r>
    </w:p>
    <w:p w14:paraId="49B26766" w14:textId="77777777" w:rsidR="000D3A71" w:rsidRDefault="000D3A71" w:rsidP="000D3A71">
      <w:pPr>
        <w:pStyle w:val="NoSpacing"/>
      </w:pPr>
      <w:r>
        <w:t>Dr Victoria E Mansell</w:t>
      </w:r>
      <w:r>
        <w:rPr>
          <w:vertAlign w:val="superscript"/>
        </w:rPr>
        <w:t xml:space="preserve">1,2 </w:t>
      </w:r>
    </w:p>
    <w:p w14:paraId="5C358307" w14:textId="77777777" w:rsidR="000D3A71" w:rsidRDefault="000D3A71" w:rsidP="000D3A71">
      <w:pPr>
        <w:pStyle w:val="NoSpacing"/>
      </w:pPr>
      <w:r>
        <w:t>Dr Theophilus I Emeto</w:t>
      </w:r>
      <w:r>
        <w:rPr>
          <w:vertAlign w:val="superscript"/>
        </w:rPr>
        <w:t xml:space="preserve">3 </w:t>
      </w:r>
    </w:p>
    <w:p w14:paraId="0BF08E9E" w14:textId="77777777" w:rsidR="000D3A71" w:rsidRDefault="000D3A71" w:rsidP="000D3A71">
      <w:pPr>
        <w:pStyle w:val="NoSpacing"/>
      </w:pPr>
      <w:r>
        <w:t>Dr Stephanie Davis</w:t>
      </w:r>
      <w:r>
        <w:rPr>
          <w:vertAlign w:val="superscript"/>
        </w:rPr>
        <w:t xml:space="preserve">4 </w:t>
      </w:r>
    </w:p>
    <w:p w14:paraId="269C0C88" w14:textId="77777777" w:rsidR="000D3A71" w:rsidRPr="00692E1C" w:rsidRDefault="000D3A71" w:rsidP="00692E1C">
      <w:pPr>
        <w:pStyle w:val="ListParagraph"/>
        <w:numPr>
          <w:ilvl w:val="0"/>
          <w:numId w:val="11"/>
        </w:numPr>
        <w:rPr>
          <w:rFonts w:eastAsia="Times New Roman"/>
        </w:rPr>
      </w:pPr>
      <w:r w:rsidRPr="00692E1C">
        <w:rPr>
          <w:rFonts w:eastAsia="Times New Roman"/>
        </w:rPr>
        <w:t xml:space="preserve">Master of Public Health student, James Cook University </w:t>
      </w:r>
    </w:p>
    <w:p w14:paraId="4B997BAC" w14:textId="77777777" w:rsidR="000D3A71" w:rsidRPr="00692E1C" w:rsidRDefault="000D3A71" w:rsidP="00692E1C">
      <w:pPr>
        <w:pStyle w:val="ListParagraph"/>
        <w:numPr>
          <w:ilvl w:val="0"/>
          <w:numId w:val="11"/>
        </w:numPr>
        <w:rPr>
          <w:rFonts w:eastAsia="Times New Roman"/>
        </w:rPr>
      </w:pPr>
      <w:r w:rsidRPr="00692E1C">
        <w:rPr>
          <w:rFonts w:eastAsia="Times New Roman"/>
        </w:rPr>
        <w:t xml:space="preserve">Medical Officer, Australian Government Department of Health </w:t>
      </w:r>
    </w:p>
    <w:p w14:paraId="5A2A4D26" w14:textId="77777777" w:rsidR="000D3A71" w:rsidRPr="00692E1C" w:rsidRDefault="000D3A71" w:rsidP="00692E1C">
      <w:pPr>
        <w:pStyle w:val="ListParagraph"/>
        <w:numPr>
          <w:ilvl w:val="0"/>
          <w:numId w:val="11"/>
        </w:numPr>
        <w:rPr>
          <w:rFonts w:eastAsia="Times New Roman"/>
        </w:rPr>
      </w:pPr>
      <w:r w:rsidRPr="00692E1C">
        <w:rPr>
          <w:rFonts w:eastAsia="Times New Roman"/>
        </w:rPr>
        <w:t xml:space="preserve">Senior Lecturer Biostatistics, Team Leader Public Health &amp; Tropical Medicine Research Methods Group, Public Health and Tropical Medicine, College of Public Health, James Cook University </w:t>
      </w:r>
    </w:p>
    <w:p w14:paraId="23DE9894" w14:textId="77777777" w:rsidR="000D3A71" w:rsidRPr="00692E1C" w:rsidRDefault="000D3A71" w:rsidP="00692E1C">
      <w:pPr>
        <w:pStyle w:val="ListParagraph"/>
        <w:numPr>
          <w:ilvl w:val="0"/>
          <w:numId w:val="11"/>
        </w:numPr>
        <w:rPr>
          <w:rFonts w:eastAsia="Times New Roman"/>
        </w:rPr>
      </w:pPr>
      <w:r w:rsidRPr="00692E1C">
        <w:rPr>
          <w:rFonts w:eastAsia="Times New Roman"/>
        </w:rPr>
        <w:t>Deputy Chief Medical Officer, Australian Government Department of Health</w:t>
      </w:r>
    </w:p>
    <w:p w14:paraId="022860A3" w14:textId="5047870C" w:rsidR="000D3A71" w:rsidRDefault="000D3A71" w:rsidP="00166EB7">
      <w:pPr>
        <w:pStyle w:val="Heading2"/>
      </w:pPr>
      <w:r w:rsidRPr="000D3A71">
        <w:t xml:space="preserve">Corresponding author </w:t>
      </w:r>
    </w:p>
    <w:p w14:paraId="6314C01B" w14:textId="77777777" w:rsidR="00166EB7" w:rsidRPr="00166EB7" w:rsidRDefault="00166EB7" w:rsidP="00166EB7"/>
    <w:p w14:paraId="0CBD8A58" w14:textId="38968991" w:rsidR="000D3A71" w:rsidRDefault="000D3A71" w:rsidP="00166EB7">
      <w:r>
        <w:t xml:space="preserve">Dr Victoria E Mansell </w:t>
      </w:r>
    </w:p>
    <w:p w14:paraId="5E7110C2" w14:textId="77777777" w:rsidR="000D3A71" w:rsidRDefault="000D3A71" w:rsidP="00166EB7">
      <w:r>
        <w:t xml:space="preserve">Office of Health Protection and Response, Australian Government Department of Health </w:t>
      </w:r>
    </w:p>
    <w:p w14:paraId="329CC48F" w14:textId="675EBD71" w:rsidR="000D3A71" w:rsidRDefault="000D3A71" w:rsidP="00166EB7">
      <w:r w:rsidRPr="00167B88">
        <w:rPr>
          <w:b/>
          <w:bCs/>
        </w:rPr>
        <w:t>Telephone:</w:t>
      </w:r>
      <w:r>
        <w:t xml:space="preserve"> 0412 552 333</w:t>
      </w:r>
      <w:r>
        <w:br/>
      </w:r>
      <w:r w:rsidRPr="00167B88">
        <w:rPr>
          <w:b/>
          <w:bCs/>
        </w:rPr>
        <w:t>Email:</w:t>
      </w:r>
      <w:r>
        <w:t xml:space="preserve"> vemansell@gmail.com</w:t>
      </w:r>
    </w:p>
    <w:p w14:paraId="432D72DF" w14:textId="77777777" w:rsidR="000D3A71" w:rsidRPr="000D3A71" w:rsidRDefault="000D3A71" w:rsidP="000D3A71">
      <w:pPr>
        <w:pStyle w:val="Heading1"/>
      </w:pPr>
      <w:r w:rsidRPr="000D3A71">
        <w:t xml:space="preserve">References </w:t>
      </w:r>
    </w:p>
    <w:p w14:paraId="419CB572" w14:textId="77777777" w:rsidR="000D3A71" w:rsidRPr="000D3A71" w:rsidRDefault="000D3A71" w:rsidP="000D3A71">
      <w:pPr>
        <w:pStyle w:val="ListParagraph"/>
        <w:numPr>
          <w:ilvl w:val="0"/>
          <w:numId w:val="10"/>
        </w:numPr>
        <w:rPr>
          <w:rFonts w:eastAsia="Times New Roman"/>
        </w:rPr>
      </w:pPr>
      <w:r w:rsidRPr="000D3A71">
        <w:rPr>
          <w:rFonts w:eastAsia="Times New Roman"/>
        </w:rPr>
        <w:t xml:space="preserve">Huang C, Wang Y, Li X, Ren L, Zhao J, Hu Y et al. Clinical features of patients infected with 2019 novel coronavirus in Wuhan, China. </w:t>
      </w:r>
      <w:r w:rsidRPr="000D3A71">
        <w:rPr>
          <w:rStyle w:val="Emphasis"/>
          <w:rFonts w:eastAsia="Times New Roman"/>
          <w:b w:val="0"/>
          <w:bCs w:val="0"/>
        </w:rPr>
        <w:t>Lancet</w:t>
      </w:r>
      <w:r w:rsidRPr="000D3A71">
        <w:rPr>
          <w:rFonts w:eastAsia="Times New Roman"/>
        </w:rPr>
        <w:t xml:space="preserve">. 2020;395(10223):497–506. </w:t>
      </w:r>
      <w:proofErr w:type="spellStart"/>
      <w:r w:rsidRPr="000D3A71">
        <w:rPr>
          <w:rFonts w:eastAsia="Times New Roman"/>
        </w:rPr>
        <w:t>doi</w:t>
      </w:r>
      <w:proofErr w:type="spellEnd"/>
      <w:r w:rsidRPr="000D3A71">
        <w:rPr>
          <w:rFonts w:eastAsia="Times New Roman"/>
        </w:rPr>
        <w:t xml:space="preserve">: https://doi.org/10.1016/S0140-6736(20)30183-5. </w:t>
      </w:r>
    </w:p>
    <w:p w14:paraId="33E9A77D" w14:textId="77777777" w:rsidR="000D3A71" w:rsidRPr="000D3A71" w:rsidRDefault="000D3A71" w:rsidP="000D3A71">
      <w:pPr>
        <w:pStyle w:val="ListParagraph"/>
        <w:numPr>
          <w:ilvl w:val="0"/>
          <w:numId w:val="10"/>
        </w:numPr>
        <w:rPr>
          <w:rFonts w:eastAsia="Times New Roman"/>
        </w:rPr>
      </w:pPr>
      <w:r w:rsidRPr="000D3A71">
        <w:rPr>
          <w:rFonts w:eastAsia="Times New Roman"/>
        </w:rPr>
        <w:t xml:space="preserve">Wei WE, Li Z, </w:t>
      </w:r>
      <w:proofErr w:type="spellStart"/>
      <w:r w:rsidRPr="000D3A71">
        <w:rPr>
          <w:rFonts w:eastAsia="Times New Roman"/>
        </w:rPr>
        <w:t>Chiew</w:t>
      </w:r>
      <w:proofErr w:type="spellEnd"/>
      <w:r w:rsidRPr="000D3A71">
        <w:rPr>
          <w:rFonts w:eastAsia="Times New Roman"/>
        </w:rPr>
        <w:t xml:space="preserve"> CJ, Yong SE, </w:t>
      </w:r>
      <w:proofErr w:type="spellStart"/>
      <w:r w:rsidRPr="000D3A71">
        <w:rPr>
          <w:rFonts w:eastAsia="Times New Roman"/>
        </w:rPr>
        <w:t>Toh</w:t>
      </w:r>
      <w:proofErr w:type="spellEnd"/>
      <w:r w:rsidRPr="000D3A71">
        <w:rPr>
          <w:rFonts w:eastAsia="Times New Roman"/>
        </w:rPr>
        <w:t xml:space="preserve"> MP, Lee VJ. </w:t>
      </w:r>
      <w:proofErr w:type="spellStart"/>
      <w:r w:rsidRPr="000D3A71">
        <w:rPr>
          <w:rFonts w:eastAsia="Times New Roman"/>
        </w:rPr>
        <w:t>Presymptomatic</w:t>
      </w:r>
      <w:proofErr w:type="spellEnd"/>
      <w:r w:rsidRPr="000D3A71">
        <w:rPr>
          <w:rFonts w:eastAsia="Times New Roman"/>
        </w:rPr>
        <w:t xml:space="preserve"> transmission of SARS-CoV-2 — Singapore, January 23–March 16, 2020. </w:t>
      </w:r>
      <w:r w:rsidRPr="000D3A71">
        <w:rPr>
          <w:rStyle w:val="Emphasis"/>
          <w:rFonts w:eastAsia="Times New Roman"/>
          <w:b w:val="0"/>
          <w:bCs w:val="0"/>
        </w:rPr>
        <w:t xml:space="preserve">MMWR </w:t>
      </w:r>
      <w:proofErr w:type="spellStart"/>
      <w:r w:rsidRPr="000D3A71">
        <w:rPr>
          <w:rStyle w:val="Emphasis"/>
          <w:rFonts w:eastAsia="Times New Roman"/>
          <w:b w:val="0"/>
          <w:bCs w:val="0"/>
        </w:rPr>
        <w:t>Morb</w:t>
      </w:r>
      <w:proofErr w:type="spellEnd"/>
      <w:r w:rsidRPr="000D3A71">
        <w:rPr>
          <w:rStyle w:val="Emphasis"/>
          <w:rFonts w:eastAsia="Times New Roman"/>
          <w:b w:val="0"/>
          <w:bCs w:val="0"/>
        </w:rPr>
        <w:t xml:space="preserve"> Mortal </w:t>
      </w:r>
      <w:proofErr w:type="spellStart"/>
      <w:r w:rsidRPr="000D3A71">
        <w:rPr>
          <w:rStyle w:val="Emphasis"/>
          <w:rFonts w:eastAsia="Times New Roman"/>
          <w:b w:val="0"/>
          <w:bCs w:val="0"/>
        </w:rPr>
        <w:t>Wkly</w:t>
      </w:r>
      <w:proofErr w:type="spellEnd"/>
      <w:r w:rsidRPr="000D3A71">
        <w:rPr>
          <w:rStyle w:val="Emphasis"/>
          <w:rFonts w:eastAsia="Times New Roman"/>
          <w:b w:val="0"/>
          <w:bCs w:val="0"/>
        </w:rPr>
        <w:t xml:space="preserve"> Rep</w:t>
      </w:r>
      <w:r w:rsidRPr="000D3A71">
        <w:rPr>
          <w:rFonts w:eastAsia="Times New Roman"/>
        </w:rPr>
        <w:t xml:space="preserve">. 2020;69(14):411–5. </w:t>
      </w:r>
      <w:proofErr w:type="spellStart"/>
      <w:r w:rsidRPr="000D3A71">
        <w:rPr>
          <w:rFonts w:eastAsia="Times New Roman"/>
        </w:rPr>
        <w:t>doi</w:t>
      </w:r>
      <w:proofErr w:type="spellEnd"/>
      <w:r w:rsidRPr="000D3A71">
        <w:rPr>
          <w:rFonts w:eastAsia="Times New Roman"/>
        </w:rPr>
        <w:t xml:space="preserve">: https://doi.org/10.15585/mmwr.mm6914e1. </w:t>
      </w:r>
    </w:p>
    <w:p w14:paraId="25CB2E6B" w14:textId="77777777" w:rsidR="000D3A71" w:rsidRPr="000D3A71" w:rsidRDefault="000D3A71" w:rsidP="000D3A71">
      <w:pPr>
        <w:pStyle w:val="ListParagraph"/>
        <w:numPr>
          <w:ilvl w:val="0"/>
          <w:numId w:val="10"/>
        </w:numPr>
        <w:rPr>
          <w:rFonts w:eastAsia="Times New Roman"/>
        </w:rPr>
      </w:pPr>
      <w:r w:rsidRPr="000D3A71">
        <w:rPr>
          <w:rFonts w:eastAsia="Times New Roman"/>
        </w:rPr>
        <w:t xml:space="preserve">Xin H, Li Y, Wu P, Li Z, Lau EHY, Qin Y et al. Estimating the latent period of coronavirus disease 2019 (COVID-19). </w:t>
      </w:r>
      <w:r w:rsidRPr="000D3A71">
        <w:rPr>
          <w:rStyle w:val="Emphasis"/>
          <w:rFonts w:eastAsia="Times New Roman"/>
          <w:b w:val="0"/>
          <w:bCs w:val="0"/>
        </w:rPr>
        <w:t>Clin Infect Dis</w:t>
      </w:r>
      <w:r w:rsidRPr="000D3A71">
        <w:rPr>
          <w:rFonts w:eastAsia="Times New Roman"/>
        </w:rPr>
        <w:t xml:space="preserve">. 2021. </w:t>
      </w:r>
      <w:proofErr w:type="spellStart"/>
      <w:r w:rsidRPr="000D3A71">
        <w:rPr>
          <w:rFonts w:eastAsia="Times New Roman"/>
        </w:rPr>
        <w:t>doi</w:t>
      </w:r>
      <w:proofErr w:type="spellEnd"/>
      <w:r w:rsidRPr="000D3A71">
        <w:rPr>
          <w:rFonts w:eastAsia="Times New Roman"/>
        </w:rPr>
        <w:t xml:space="preserve">: https://doi.org/10.1093/cid/ciab746. </w:t>
      </w:r>
    </w:p>
    <w:p w14:paraId="7EC087B3" w14:textId="77777777" w:rsidR="000D3A71" w:rsidRPr="000D3A71" w:rsidRDefault="000D3A71" w:rsidP="000D3A71">
      <w:pPr>
        <w:pStyle w:val="ListParagraph"/>
        <w:numPr>
          <w:ilvl w:val="0"/>
          <w:numId w:val="10"/>
        </w:numPr>
        <w:rPr>
          <w:rFonts w:eastAsia="Times New Roman"/>
        </w:rPr>
      </w:pPr>
      <w:r w:rsidRPr="000D3A71">
        <w:rPr>
          <w:rFonts w:eastAsia="Times New Roman"/>
        </w:rPr>
        <w:t xml:space="preserve">Bae S, Lim JS, Kim JY, Jung J, Kim S-H. Transmission characteristics of SARS-CoV-2 that hinder effective control. </w:t>
      </w:r>
      <w:r w:rsidRPr="000D3A71">
        <w:rPr>
          <w:rStyle w:val="Emphasis"/>
          <w:rFonts w:eastAsia="Times New Roman"/>
          <w:b w:val="0"/>
          <w:bCs w:val="0"/>
        </w:rPr>
        <w:t xml:space="preserve">Immune </w:t>
      </w:r>
      <w:proofErr w:type="spellStart"/>
      <w:r w:rsidRPr="000D3A71">
        <w:rPr>
          <w:rStyle w:val="Emphasis"/>
          <w:rFonts w:eastAsia="Times New Roman"/>
          <w:b w:val="0"/>
          <w:bCs w:val="0"/>
        </w:rPr>
        <w:t>Netw</w:t>
      </w:r>
      <w:proofErr w:type="spellEnd"/>
      <w:r w:rsidRPr="000D3A71">
        <w:rPr>
          <w:rFonts w:eastAsia="Times New Roman"/>
        </w:rPr>
        <w:t xml:space="preserve">. 2021;21(1). </w:t>
      </w:r>
      <w:proofErr w:type="spellStart"/>
      <w:r w:rsidRPr="000D3A71">
        <w:rPr>
          <w:rFonts w:eastAsia="Times New Roman"/>
        </w:rPr>
        <w:t>doi</w:t>
      </w:r>
      <w:proofErr w:type="spellEnd"/>
      <w:r w:rsidRPr="000D3A71">
        <w:rPr>
          <w:rFonts w:eastAsia="Times New Roman"/>
        </w:rPr>
        <w:t xml:space="preserve">: https://doi.org/10.4110/in.2021.21.e9. </w:t>
      </w:r>
    </w:p>
    <w:p w14:paraId="3B22CD26" w14:textId="77777777" w:rsidR="000D3A71" w:rsidRPr="000D3A71" w:rsidRDefault="000D3A71" w:rsidP="000D3A71">
      <w:pPr>
        <w:pStyle w:val="ListParagraph"/>
        <w:numPr>
          <w:ilvl w:val="0"/>
          <w:numId w:val="10"/>
        </w:numPr>
        <w:rPr>
          <w:rFonts w:eastAsia="Times New Roman"/>
        </w:rPr>
      </w:pPr>
      <w:r w:rsidRPr="000D3A71">
        <w:rPr>
          <w:rFonts w:eastAsia="Times New Roman"/>
        </w:rPr>
        <w:t xml:space="preserve">He X, Lau EHY, Wu P, Deng X, Wang J, Hao X et al. Temporal dynamics in viral shedding and transmissibility of COVID-19. </w:t>
      </w:r>
      <w:r w:rsidRPr="000D3A71">
        <w:rPr>
          <w:rStyle w:val="Emphasis"/>
          <w:rFonts w:eastAsia="Times New Roman"/>
          <w:b w:val="0"/>
          <w:bCs w:val="0"/>
        </w:rPr>
        <w:t>Nat Med</w:t>
      </w:r>
      <w:r w:rsidRPr="000D3A71">
        <w:rPr>
          <w:rFonts w:eastAsia="Times New Roman"/>
        </w:rPr>
        <w:t xml:space="preserve">. 2020;26(5):672–5. </w:t>
      </w:r>
      <w:proofErr w:type="spellStart"/>
      <w:r w:rsidRPr="000D3A71">
        <w:rPr>
          <w:rFonts w:eastAsia="Times New Roman"/>
        </w:rPr>
        <w:t>doi</w:t>
      </w:r>
      <w:proofErr w:type="spellEnd"/>
      <w:r w:rsidRPr="000D3A71">
        <w:rPr>
          <w:rFonts w:eastAsia="Times New Roman"/>
        </w:rPr>
        <w:t xml:space="preserve">: https://doi.org/10.1038/s41591-020-0869-5. </w:t>
      </w:r>
    </w:p>
    <w:p w14:paraId="4124ECAB" w14:textId="77777777" w:rsidR="000D3A71" w:rsidRPr="000D3A71" w:rsidRDefault="000D3A71" w:rsidP="000D3A71">
      <w:pPr>
        <w:pStyle w:val="ListParagraph"/>
        <w:numPr>
          <w:ilvl w:val="0"/>
          <w:numId w:val="10"/>
        </w:numPr>
        <w:rPr>
          <w:rFonts w:eastAsia="Times New Roman"/>
        </w:rPr>
      </w:pPr>
      <w:r w:rsidRPr="000D3A71">
        <w:rPr>
          <w:rFonts w:eastAsia="Times New Roman"/>
        </w:rPr>
        <w:lastRenderedPageBreak/>
        <w:t>Casey-</w:t>
      </w:r>
      <w:proofErr w:type="spellStart"/>
      <w:r w:rsidRPr="000D3A71">
        <w:rPr>
          <w:rFonts w:eastAsia="Times New Roman"/>
        </w:rPr>
        <w:t>Bryars</w:t>
      </w:r>
      <w:proofErr w:type="spellEnd"/>
      <w:r w:rsidRPr="000D3A71">
        <w:rPr>
          <w:rFonts w:eastAsia="Times New Roman"/>
        </w:rPr>
        <w:t xml:space="preserve"> M, Griffin J, McAloon C, Byrne A, Madden J, Mc </w:t>
      </w:r>
      <w:proofErr w:type="spellStart"/>
      <w:r w:rsidRPr="000D3A71">
        <w:rPr>
          <w:rFonts w:eastAsia="Times New Roman"/>
        </w:rPr>
        <w:t>Evoy</w:t>
      </w:r>
      <w:proofErr w:type="spellEnd"/>
      <w:r w:rsidRPr="000D3A71">
        <w:rPr>
          <w:rFonts w:eastAsia="Times New Roman"/>
        </w:rPr>
        <w:t xml:space="preserve"> D et al. </w:t>
      </w:r>
      <w:proofErr w:type="spellStart"/>
      <w:r w:rsidRPr="000D3A71">
        <w:rPr>
          <w:rFonts w:eastAsia="Times New Roman"/>
        </w:rPr>
        <w:t>Presymptomatic</w:t>
      </w:r>
      <w:proofErr w:type="spellEnd"/>
      <w:r w:rsidRPr="000D3A71">
        <w:rPr>
          <w:rFonts w:eastAsia="Times New Roman"/>
        </w:rPr>
        <w:t xml:space="preserve"> transmission of SARS-CoV-2 infection: a secondary analysis using published data. </w:t>
      </w:r>
      <w:r w:rsidRPr="000D3A71">
        <w:rPr>
          <w:rStyle w:val="Emphasis"/>
          <w:rFonts w:eastAsia="Times New Roman"/>
          <w:b w:val="0"/>
          <w:bCs w:val="0"/>
        </w:rPr>
        <w:t>BMJ Open</w:t>
      </w:r>
      <w:r w:rsidRPr="000D3A71">
        <w:rPr>
          <w:rFonts w:eastAsia="Times New Roman"/>
        </w:rPr>
        <w:t>. 2021;11(6</w:t>
      </w:r>
      <w:proofErr w:type="gramStart"/>
      <w:r w:rsidRPr="000D3A71">
        <w:rPr>
          <w:rFonts w:eastAsia="Times New Roman"/>
        </w:rPr>
        <w:t>):e</w:t>
      </w:r>
      <w:proofErr w:type="gramEnd"/>
      <w:r w:rsidRPr="000D3A71">
        <w:rPr>
          <w:rFonts w:eastAsia="Times New Roman"/>
        </w:rPr>
        <w:t xml:space="preserve">041240. </w:t>
      </w:r>
      <w:proofErr w:type="spellStart"/>
      <w:r w:rsidRPr="000D3A71">
        <w:rPr>
          <w:rFonts w:eastAsia="Times New Roman"/>
        </w:rPr>
        <w:t>doi</w:t>
      </w:r>
      <w:proofErr w:type="spellEnd"/>
      <w:r w:rsidRPr="000D3A71">
        <w:rPr>
          <w:rFonts w:eastAsia="Times New Roman"/>
        </w:rPr>
        <w:t xml:space="preserve">: https://doi.org/10.1136/bmjopen-2020-041240. </w:t>
      </w:r>
    </w:p>
    <w:p w14:paraId="409828FF" w14:textId="77777777" w:rsidR="000D3A71" w:rsidRPr="000D3A71" w:rsidRDefault="000D3A71" w:rsidP="000D3A71">
      <w:pPr>
        <w:pStyle w:val="ListParagraph"/>
        <w:numPr>
          <w:ilvl w:val="0"/>
          <w:numId w:val="10"/>
        </w:numPr>
        <w:rPr>
          <w:rFonts w:eastAsia="Times New Roman"/>
        </w:rPr>
      </w:pPr>
      <w:r w:rsidRPr="000D3A71">
        <w:rPr>
          <w:rFonts w:eastAsia="Times New Roman"/>
        </w:rPr>
        <w:t xml:space="preserve">Johansson MA, </w:t>
      </w:r>
      <w:proofErr w:type="spellStart"/>
      <w:r w:rsidRPr="000D3A71">
        <w:rPr>
          <w:rFonts w:eastAsia="Times New Roman"/>
        </w:rPr>
        <w:t>Quandelacy</w:t>
      </w:r>
      <w:proofErr w:type="spellEnd"/>
      <w:r w:rsidRPr="000D3A71">
        <w:rPr>
          <w:rFonts w:eastAsia="Times New Roman"/>
        </w:rPr>
        <w:t xml:space="preserve"> TM, </w:t>
      </w:r>
      <w:proofErr w:type="spellStart"/>
      <w:r w:rsidRPr="000D3A71">
        <w:rPr>
          <w:rFonts w:eastAsia="Times New Roman"/>
        </w:rPr>
        <w:t>Kada</w:t>
      </w:r>
      <w:proofErr w:type="spellEnd"/>
      <w:r w:rsidRPr="000D3A71">
        <w:rPr>
          <w:rFonts w:eastAsia="Times New Roman"/>
        </w:rPr>
        <w:t xml:space="preserve"> S, Prasad PV, Steele M, Brooks JT et al. SARS-CoV-2 transmission from people without COVID-19 symptoms. </w:t>
      </w:r>
      <w:r w:rsidRPr="000D3A71">
        <w:rPr>
          <w:rStyle w:val="Emphasis"/>
          <w:rFonts w:eastAsia="Times New Roman"/>
          <w:b w:val="0"/>
          <w:bCs w:val="0"/>
        </w:rPr>
        <w:t xml:space="preserve">JAMA </w:t>
      </w:r>
      <w:proofErr w:type="spellStart"/>
      <w:r w:rsidRPr="000D3A71">
        <w:rPr>
          <w:rStyle w:val="Emphasis"/>
          <w:rFonts w:eastAsia="Times New Roman"/>
          <w:b w:val="0"/>
          <w:bCs w:val="0"/>
        </w:rPr>
        <w:t>Netw</w:t>
      </w:r>
      <w:proofErr w:type="spellEnd"/>
      <w:r w:rsidRPr="000D3A71">
        <w:rPr>
          <w:rStyle w:val="Emphasis"/>
          <w:rFonts w:eastAsia="Times New Roman"/>
          <w:b w:val="0"/>
          <w:bCs w:val="0"/>
        </w:rPr>
        <w:t xml:space="preserve"> Open</w:t>
      </w:r>
      <w:r w:rsidRPr="000D3A71">
        <w:rPr>
          <w:rFonts w:eastAsia="Times New Roman"/>
        </w:rPr>
        <w:t>. 2021;4(1</w:t>
      </w:r>
      <w:proofErr w:type="gramStart"/>
      <w:r w:rsidRPr="000D3A71">
        <w:rPr>
          <w:rFonts w:eastAsia="Times New Roman"/>
        </w:rPr>
        <w:t>):e</w:t>
      </w:r>
      <w:proofErr w:type="gramEnd"/>
      <w:r w:rsidRPr="000D3A71">
        <w:rPr>
          <w:rFonts w:eastAsia="Times New Roman"/>
        </w:rPr>
        <w:t xml:space="preserve">2035057-e. </w:t>
      </w:r>
      <w:proofErr w:type="spellStart"/>
      <w:r w:rsidRPr="000D3A71">
        <w:rPr>
          <w:rFonts w:eastAsia="Times New Roman"/>
        </w:rPr>
        <w:t>doi</w:t>
      </w:r>
      <w:proofErr w:type="spellEnd"/>
      <w:r w:rsidRPr="000D3A71">
        <w:rPr>
          <w:rFonts w:eastAsia="Times New Roman"/>
        </w:rPr>
        <w:t xml:space="preserve">: https://doi.org/10.1001/jamanetworkopen.2020.35057. </w:t>
      </w:r>
    </w:p>
    <w:p w14:paraId="2869A66A" w14:textId="77777777" w:rsidR="000D3A71" w:rsidRPr="000D3A71" w:rsidRDefault="000D3A71" w:rsidP="000D3A71">
      <w:pPr>
        <w:pStyle w:val="ListParagraph"/>
        <w:numPr>
          <w:ilvl w:val="0"/>
          <w:numId w:val="10"/>
        </w:numPr>
        <w:rPr>
          <w:rFonts w:eastAsia="Times New Roman"/>
        </w:rPr>
      </w:pPr>
      <w:proofErr w:type="spellStart"/>
      <w:r w:rsidRPr="000D3A71">
        <w:rPr>
          <w:rFonts w:eastAsia="Times New Roman"/>
        </w:rPr>
        <w:t>Moghadas</w:t>
      </w:r>
      <w:proofErr w:type="spellEnd"/>
      <w:r w:rsidRPr="000D3A71">
        <w:rPr>
          <w:rFonts w:eastAsia="Times New Roman"/>
        </w:rPr>
        <w:t xml:space="preserve"> SM, Fitzpatrick MC, Sah P, Pandey A, </w:t>
      </w:r>
      <w:proofErr w:type="spellStart"/>
      <w:r w:rsidRPr="000D3A71">
        <w:rPr>
          <w:rFonts w:eastAsia="Times New Roman"/>
        </w:rPr>
        <w:t>Shoukat</w:t>
      </w:r>
      <w:proofErr w:type="spellEnd"/>
      <w:r w:rsidRPr="000D3A71">
        <w:rPr>
          <w:rFonts w:eastAsia="Times New Roman"/>
        </w:rPr>
        <w:t xml:space="preserve"> A, Singer BH et al. The implications of silent transmission for the control of COVID-19 outbreaks. </w:t>
      </w:r>
      <w:r w:rsidRPr="000D3A71">
        <w:rPr>
          <w:rStyle w:val="Emphasis"/>
          <w:rFonts w:eastAsia="Times New Roman"/>
          <w:b w:val="0"/>
          <w:bCs w:val="0"/>
        </w:rPr>
        <w:t xml:space="preserve">Proc Natl </w:t>
      </w:r>
      <w:proofErr w:type="spellStart"/>
      <w:r w:rsidRPr="000D3A71">
        <w:rPr>
          <w:rStyle w:val="Emphasis"/>
          <w:rFonts w:eastAsia="Times New Roman"/>
          <w:b w:val="0"/>
          <w:bCs w:val="0"/>
        </w:rPr>
        <w:t>Acad</w:t>
      </w:r>
      <w:proofErr w:type="spellEnd"/>
      <w:r w:rsidRPr="000D3A71">
        <w:rPr>
          <w:rStyle w:val="Emphasis"/>
          <w:rFonts w:eastAsia="Times New Roman"/>
          <w:b w:val="0"/>
          <w:bCs w:val="0"/>
        </w:rPr>
        <w:t xml:space="preserve"> Sci U S A</w:t>
      </w:r>
      <w:r w:rsidRPr="000D3A71">
        <w:rPr>
          <w:rFonts w:eastAsia="Times New Roman"/>
        </w:rPr>
        <w:t xml:space="preserve">. 2020;117(30):17513–5. </w:t>
      </w:r>
      <w:proofErr w:type="spellStart"/>
      <w:r w:rsidRPr="000D3A71">
        <w:rPr>
          <w:rFonts w:eastAsia="Times New Roman"/>
        </w:rPr>
        <w:t>doi</w:t>
      </w:r>
      <w:proofErr w:type="spellEnd"/>
      <w:r w:rsidRPr="000D3A71">
        <w:rPr>
          <w:rFonts w:eastAsia="Times New Roman"/>
        </w:rPr>
        <w:t xml:space="preserve">: https://doi.org/10.1073/pnas.2008373117. </w:t>
      </w:r>
    </w:p>
    <w:p w14:paraId="7821F9EF" w14:textId="77777777" w:rsidR="000D3A71" w:rsidRPr="000D3A71" w:rsidRDefault="000D3A71" w:rsidP="000D3A71">
      <w:pPr>
        <w:pStyle w:val="ListParagraph"/>
        <w:numPr>
          <w:ilvl w:val="0"/>
          <w:numId w:val="10"/>
        </w:numPr>
        <w:rPr>
          <w:rFonts w:eastAsia="Times New Roman"/>
        </w:rPr>
      </w:pPr>
      <w:r w:rsidRPr="000D3A71">
        <w:rPr>
          <w:rFonts w:eastAsia="Times New Roman"/>
        </w:rPr>
        <w:t xml:space="preserve">Australian Government Department of Health, Communicable Diseases Network Australia (CDNA). Coronavirus disease 2019 (COVID-19): CDNA national guidelines for public health units. [Internet.] Canberra: Australian Government Department of Health; 2021. Available from: https://www1.health.gov.au/internet/main/publishing.nsf/Content/cdna-song-novel- coronavirus.htm. </w:t>
      </w:r>
    </w:p>
    <w:p w14:paraId="4A7E4653" w14:textId="77777777" w:rsidR="000D3A71" w:rsidRPr="000D3A71" w:rsidRDefault="000D3A71" w:rsidP="000D3A71">
      <w:pPr>
        <w:pStyle w:val="ListParagraph"/>
        <w:numPr>
          <w:ilvl w:val="0"/>
          <w:numId w:val="10"/>
        </w:numPr>
        <w:rPr>
          <w:rFonts w:eastAsia="Times New Roman"/>
        </w:rPr>
      </w:pPr>
      <w:r w:rsidRPr="000D3A71">
        <w:rPr>
          <w:rFonts w:eastAsia="Times New Roman"/>
        </w:rPr>
        <w:t xml:space="preserve">Australian Government Department of Health. What you need to know about coronavirus (COVID-19): how to get tested. [Internet.] Canberra: Australian Government Department of Health; 11 August 2021. Available from: https://www.health.gov.au/news/health-alerts/novel-coronavirus-2019-ncov-health-alert/ongoing-support-during-coronavirus-covid-19/what-you-need-to-know-about-coronavirus-covid-19#how-to-get-tested. </w:t>
      </w:r>
    </w:p>
    <w:p w14:paraId="695CCBC5" w14:textId="77777777" w:rsidR="000D3A71" w:rsidRPr="000D3A71" w:rsidRDefault="000D3A71" w:rsidP="000D3A71">
      <w:pPr>
        <w:pStyle w:val="ListParagraph"/>
        <w:numPr>
          <w:ilvl w:val="0"/>
          <w:numId w:val="10"/>
        </w:numPr>
        <w:rPr>
          <w:rFonts w:eastAsia="Times New Roman"/>
        </w:rPr>
      </w:pPr>
      <w:r w:rsidRPr="000D3A71">
        <w:rPr>
          <w:rFonts w:eastAsia="Times New Roman"/>
        </w:rPr>
        <w:t xml:space="preserve">Reddy KP, </w:t>
      </w:r>
      <w:proofErr w:type="spellStart"/>
      <w:r w:rsidRPr="000D3A71">
        <w:rPr>
          <w:rFonts w:eastAsia="Times New Roman"/>
        </w:rPr>
        <w:t>Shebl</w:t>
      </w:r>
      <w:proofErr w:type="spellEnd"/>
      <w:r w:rsidRPr="000D3A71">
        <w:rPr>
          <w:rFonts w:eastAsia="Times New Roman"/>
        </w:rPr>
        <w:t xml:space="preserve"> FM, Foote JHA, Harling G, Scott JA, </w:t>
      </w:r>
      <w:proofErr w:type="spellStart"/>
      <w:r w:rsidRPr="000D3A71">
        <w:rPr>
          <w:rFonts w:eastAsia="Times New Roman"/>
        </w:rPr>
        <w:t>Panella</w:t>
      </w:r>
      <w:proofErr w:type="spellEnd"/>
      <w:r w:rsidRPr="000D3A71">
        <w:rPr>
          <w:rFonts w:eastAsia="Times New Roman"/>
        </w:rPr>
        <w:t xml:space="preserve"> C et al. Cost-effectiveness of public health strategies for COVID-19 epidemic control in South Africa: a microsimulation modelling study. </w:t>
      </w:r>
      <w:r w:rsidRPr="000D3A71">
        <w:rPr>
          <w:rStyle w:val="Emphasis"/>
          <w:rFonts w:eastAsia="Times New Roman"/>
          <w:b w:val="0"/>
          <w:bCs w:val="0"/>
        </w:rPr>
        <w:t>Lancet Glob Health</w:t>
      </w:r>
      <w:r w:rsidRPr="000D3A71">
        <w:rPr>
          <w:rFonts w:eastAsia="Times New Roman"/>
        </w:rPr>
        <w:t>. 2021;9(2</w:t>
      </w:r>
      <w:proofErr w:type="gramStart"/>
      <w:r w:rsidRPr="000D3A71">
        <w:rPr>
          <w:rFonts w:eastAsia="Times New Roman"/>
        </w:rPr>
        <w:t>):e</w:t>
      </w:r>
      <w:proofErr w:type="gramEnd"/>
      <w:r w:rsidRPr="000D3A71">
        <w:rPr>
          <w:rFonts w:eastAsia="Times New Roman"/>
        </w:rPr>
        <w:t xml:space="preserve">120–9. </w:t>
      </w:r>
      <w:proofErr w:type="spellStart"/>
      <w:r w:rsidRPr="000D3A71">
        <w:rPr>
          <w:rFonts w:eastAsia="Times New Roman"/>
        </w:rPr>
        <w:t>doi</w:t>
      </w:r>
      <w:proofErr w:type="spellEnd"/>
      <w:r w:rsidRPr="000D3A71">
        <w:rPr>
          <w:rFonts w:eastAsia="Times New Roman"/>
        </w:rPr>
        <w:t xml:space="preserve">: https://doi.org/10.1016/S2214-109X(20)30452-6. </w:t>
      </w:r>
    </w:p>
    <w:p w14:paraId="28023ACE" w14:textId="77777777" w:rsidR="000D3A71" w:rsidRPr="000D3A71" w:rsidRDefault="000D3A71" w:rsidP="000D3A71">
      <w:pPr>
        <w:pStyle w:val="ListParagraph"/>
        <w:numPr>
          <w:ilvl w:val="0"/>
          <w:numId w:val="10"/>
        </w:numPr>
        <w:rPr>
          <w:rFonts w:eastAsia="Times New Roman"/>
        </w:rPr>
      </w:pPr>
      <w:r w:rsidRPr="000D3A71">
        <w:rPr>
          <w:rFonts w:eastAsia="Times New Roman"/>
        </w:rPr>
        <w:t xml:space="preserve">Kretzschmar ME, </w:t>
      </w:r>
      <w:proofErr w:type="spellStart"/>
      <w:r w:rsidRPr="000D3A71">
        <w:rPr>
          <w:rFonts w:eastAsia="Times New Roman"/>
        </w:rPr>
        <w:t>Rozhnova</w:t>
      </w:r>
      <w:proofErr w:type="spellEnd"/>
      <w:r w:rsidRPr="000D3A71">
        <w:rPr>
          <w:rFonts w:eastAsia="Times New Roman"/>
        </w:rPr>
        <w:t xml:space="preserve"> G, Bootsma MCJ, van Boven M, van de </w:t>
      </w:r>
      <w:proofErr w:type="spellStart"/>
      <w:r w:rsidRPr="000D3A71">
        <w:rPr>
          <w:rFonts w:eastAsia="Times New Roman"/>
        </w:rPr>
        <w:t>Wijgert</w:t>
      </w:r>
      <w:proofErr w:type="spellEnd"/>
      <w:r w:rsidRPr="000D3A71">
        <w:rPr>
          <w:rFonts w:eastAsia="Times New Roman"/>
        </w:rPr>
        <w:t xml:space="preserve"> JHHM, </w:t>
      </w:r>
      <w:proofErr w:type="spellStart"/>
      <w:r w:rsidRPr="000D3A71">
        <w:rPr>
          <w:rFonts w:eastAsia="Times New Roman"/>
        </w:rPr>
        <w:t>Bonten</w:t>
      </w:r>
      <w:proofErr w:type="spellEnd"/>
      <w:r w:rsidRPr="000D3A71">
        <w:rPr>
          <w:rFonts w:eastAsia="Times New Roman"/>
        </w:rPr>
        <w:t xml:space="preserve"> MJM. Impact of delays on effectiveness of contact tracing strategies for COVID-19: a modelling study. </w:t>
      </w:r>
      <w:r w:rsidRPr="000D3A71">
        <w:rPr>
          <w:rStyle w:val="Emphasis"/>
          <w:rFonts w:eastAsia="Times New Roman"/>
          <w:b w:val="0"/>
          <w:bCs w:val="0"/>
        </w:rPr>
        <w:t>Lancet Public Health</w:t>
      </w:r>
      <w:r w:rsidRPr="000D3A71">
        <w:rPr>
          <w:rFonts w:eastAsia="Times New Roman"/>
        </w:rPr>
        <w:t>. 2020;5(8</w:t>
      </w:r>
      <w:proofErr w:type="gramStart"/>
      <w:r w:rsidRPr="000D3A71">
        <w:rPr>
          <w:rFonts w:eastAsia="Times New Roman"/>
        </w:rPr>
        <w:t>):e</w:t>
      </w:r>
      <w:proofErr w:type="gramEnd"/>
      <w:r w:rsidRPr="000D3A71">
        <w:rPr>
          <w:rFonts w:eastAsia="Times New Roman"/>
        </w:rPr>
        <w:t xml:space="preserve">452–9. </w:t>
      </w:r>
      <w:proofErr w:type="spellStart"/>
      <w:r w:rsidRPr="000D3A71">
        <w:rPr>
          <w:rFonts w:eastAsia="Times New Roman"/>
        </w:rPr>
        <w:t>doi</w:t>
      </w:r>
      <w:proofErr w:type="spellEnd"/>
      <w:r w:rsidRPr="000D3A71">
        <w:rPr>
          <w:rFonts w:eastAsia="Times New Roman"/>
        </w:rPr>
        <w:t xml:space="preserve">: https://doi.org/10.1016/S2468-2667(20)30157-2. </w:t>
      </w:r>
    </w:p>
    <w:p w14:paraId="7896BC6F" w14:textId="77777777" w:rsidR="000D3A71" w:rsidRPr="000D3A71" w:rsidRDefault="000D3A71" w:rsidP="000D3A71">
      <w:pPr>
        <w:pStyle w:val="ListParagraph"/>
        <w:numPr>
          <w:ilvl w:val="0"/>
          <w:numId w:val="10"/>
        </w:numPr>
        <w:rPr>
          <w:rFonts w:eastAsia="Times New Roman"/>
        </w:rPr>
      </w:pPr>
      <w:r w:rsidRPr="000D3A71">
        <w:rPr>
          <w:rFonts w:eastAsia="Times New Roman"/>
        </w:rPr>
        <w:t xml:space="preserve">Department of the Prime Minister and Cabinet. Media release: 11 Mar 2020. Canberra: Australian Government Department of the Prime Minister and Cabinet; 11 March 2020. Available from: https://www.pm.gov.au/media/24-billion-health-plan-fight-covid-19#:~:text=The%20Australian%20Government%20has%20unveiled,coronavirus%20(COVID%2D19). </w:t>
      </w:r>
    </w:p>
    <w:p w14:paraId="49C7F917" w14:textId="77777777" w:rsidR="000D3A71" w:rsidRPr="000D3A71" w:rsidRDefault="000D3A71" w:rsidP="000D3A71">
      <w:pPr>
        <w:pStyle w:val="ListParagraph"/>
        <w:numPr>
          <w:ilvl w:val="0"/>
          <w:numId w:val="10"/>
        </w:numPr>
        <w:rPr>
          <w:rFonts w:eastAsia="Times New Roman"/>
        </w:rPr>
      </w:pPr>
      <w:r w:rsidRPr="000D3A71">
        <w:rPr>
          <w:rFonts w:eastAsia="Times New Roman"/>
        </w:rPr>
        <w:t xml:space="preserve">Australian Government Department of Health. Coronavirus (COVID-19) GP respiratory clinics. [Internet.] Canberra: Australian Government Department of Health; 9 October 2020. Available from: https://www.health.gov.au/initiatives-and-programs/coronavirus-covid-19-gp-respiratory-clinics. </w:t>
      </w:r>
    </w:p>
    <w:p w14:paraId="17ABD07C" w14:textId="77777777" w:rsidR="000D3A71" w:rsidRPr="000D3A71" w:rsidRDefault="000D3A71" w:rsidP="000D3A71">
      <w:pPr>
        <w:pStyle w:val="ListParagraph"/>
        <w:numPr>
          <w:ilvl w:val="0"/>
          <w:numId w:val="10"/>
        </w:numPr>
        <w:rPr>
          <w:rFonts w:eastAsia="Times New Roman"/>
        </w:rPr>
      </w:pPr>
      <w:proofErr w:type="spellStart"/>
      <w:r w:rsidRPr="000D3A71">
        <w:rPr>
          <w:rFonts w:eastAsia="Times New Roman"/>
        </w:rPr>
        <w:t>StataCorp</w:t>
      </w:r>
      <w:proofErr w:type="spellEnd"/>
      <w:r w:rsidRPr="000D3A71">
        <w:rPr>
          <w:rFonts w:eastAsia="Times New Roman"/>
        </w:rPr>
        <w:t xml:space="preserve">. Stata: Release 17. Statistical Software. College Station, TX: </w:t>
      </w:r>
      <w:proofErr w:type="spellStart"/>
      <w:r w:rsidRPr="000D3A71">
        <w:rPr>
          <w:rFonts w:eastAsia="Times New Roman"/>
        </w:rPr>
        <w:t>StataCorp</w:t>
      </w:r>
      <w:proofErr w:type="spellEnd"/>
      <w:r w:rsidRPr="000D3A71">
        <w:rPr>
          <w:rFonts w:eastAsia="Times New Roman"/>
        </w:rPr>
        <w:t xml:space="preserve"> LLC; 2021. </w:t>
      </w:r>
    </w:p>
    <w:p w14:paraId="3569D274" w14:textId="77777777" w:rsidR="000D3A71" w:rsidRPr="000D3A71" w:rsidRDefault="000D3A71" w:rsidP="000D3A71">
      <w:pPr>
        <w:pStyle w:val="ListParagraph"/>
        <w:numPr>
          <w:ilvl w:val="0"/>
          <w:numId w:val="10"/>
        </w:numPr>
        <w:rPr>
          <w:rFonts w:eastAsia="Times New Roman"/>
        </w:rPr>
      </w:pPr>
      <w:proofErr w:type="spellStart"/>
      <w:r w:rsidRPr="000D3A71">
        <w:rPr>
          <w:rFonts w:eastAsia="Times New Roman"/>
        </w:rPr>
        <w:t>Keast</w:t>
      </w:r>
      <w:proofErr w:type="spellEnd"/>
      <w:r w:rsidRPr="000D3A71">
        <w:rPr>
          <w:rFonts w:eastAsia="Times New Roman"/>
        </w:rPr>
        <w:t xml:space="preserve"> DH, Marshall JN, Stewart MA, Orr V. Why do patients seek family physicians’ services for cold symptoms? </w:t>
      </w:r>
      <w:r w:rsidRPr="000D3A71">
        <w:rPr>
          <w:rStyle w:val="Emphasis"/>
          <w:rFonts w:eastAsia="Times New Roman"/>
          <w:b w:val="0"/>
          <w:bCs w:val="0"/>
        </w:rPr>
        <w:t>Can Fam Physician</w:t>
      </w:r>
      <w:r w:rsidRPr="000D3A71">
        <w:rPr>
          <w:rFonts w:eastAsia="Times New Roman"/>
        </w:rPr>
        <w:t xml:space="preserve">. </w:t>
      </w:r>
      <w:proofErr w:type="gramStart"/>
      <w:r w:rsidRPr="000D3A71">
        <w:rPr>
          <w:rFonts w:eastAsia="Times New Roman"/>
        </w:rPr>
        <w:t>1999;45:335</w:t>
      </w:r>
      <w:proofErr w:type="gramEnd"/>
      <w:r w:rsidRPr="000D3A71">
        <w:rPr>
          <w:rFonts w:eastAsia="Times New Roman"/>
        </w:rPr>
        <w:t xml:space="preserve">–40. </w:t>
      </w:r>
    </w:p>
    <w:p w14:paraId="37BB88D4" w14:textId="77777777" w:rsidR="000D3A71" w:rsidRPr="000D3A71" w:rsidRDefault="000D3A71" w:rsidP="000D3A71">
      <w:pPr>
        <w:pStyle w:val="ListParagraph"/>
        <w:numPr>
          <w:ilvl w:val="0"/>
          <w:numId w:val="10"/>
        </w:numPr>
        <w:rPr>
          <w:rFonts w:eastAsia="Times New Roman"/>
        </w:rPr>
      </w:pPr>
      <w:r w:rsidRPr="000D3A71">
        <w:rPr>
          <w:rFonts w:eastAsia="Times New Roman"/>
        </w:rPr>
        <w:t xml:space="preserve">New South Wales Government, Agency for Clinical Innovation. COVID-19 Risk Monitoring Dashboard. [Webpage.] Sydney: New South Wales Department of Health; 2021. Available from: https://aci.health.nsw.gov.au/covid-19/critical-intelligence-unit/dashboard. </w:t>
      </w:r>
    </w:p>
    <w:p w14:paraId="307CFAF1" w14:textId="77777777" w:rsidR="000D3A71" w:rsidRPr="000D3A71" w:rsidRDefault="000D3A71" w:rsidP="000D3A71">
      <w:pPr>
        <w:pStyle w:val="ListParagraph"/>
        <w:numPr>
          <w:ilvl w:val="0"/>
          <w:numId w:val="10"/>
        </w:numPr>
        <w:rPr>
          <w:rFonts w:eastAsia="Times New Roman"/>
        </w:rPr>
      </w:pPr>
      <w:r w:rsidRPr="000D3A71">
        <w:rPr>
          <w:rFonts w:eastAsia="Times New Roman"/>
        </w:rPr>
        <w:t xml:space="preserve">Mowbray F, Woodland L, Smith LE, </w:t>
      </w:r>
      <w:proofErr w:type="spellStart"/>
      <w:r w:rsidRPr="000D3A71">
        <w:rPr>
          <w:rFonts w:eastAsia="Times New Roman"/>
        </w:rPr>
        <w:t>Amlôt</w:t>
      </w:r>
      <w:proofErr w:type="spellEnd"/>
      <w:r w:rsidRPr="000D3A71">
        <w:rPr>
          <w:rFonts w:eastAsia="Times New Roman"/>
        </w:rPr>
        <w:t xml:space="preserve"> R, Rubin GJ. Is my cough a cold or covid? A qualitative study of COVID-19 symptom recognition and attitudes toward testing in the UK. </w:t>
      </w:r>
      <w:r w:rsidRPr="000D3A71">
        <w:rPr>
          <w:rStyle w:val="Emphasis"/>
          <w:rFonts w:eastAsia="Times New Roman"/>
          <w:b w:val="0"/>
          <w:bCs w:val="0"/>
        </w:rPr>
        <w:t>Front Public Health</w:t>
      </w:r>
      <w:r w:rsidRPr="000D3A71">
        <w:rPr>
          <w:rFonts w:eastAsia="Times New Roman"/>
        </w:rPr>
        <w:t xml:space="preserve">. </w:t>
      </w:r>
      <w:proofErr w:type="gramStart"/>
      <w:r w:rsidRPr="000D3A71">
        <w:rPr>
          <w:rFonts w:eastAsia="Times New Roman"/>
        </w:rPr>
        <w:t>2021;9:716421</w:t>
      </w:r>
      <w:proofErr w:type="gramEnd"/>
      <w:r w:rsidRPr="000D3A71">
        <w:rPr>
          <w:rFonts w:eastAsia="Times New Roman"/>
        </w:rPr>
        <w:t xml:space="preserve">. </w:t>
      </w:r>
      <w:proofErr w:type="spellStart"/>
      <w:r w:rsidRPr="000D3A71">
        <w:rPr>
          <w:rFonts w:eastAsia="Times New Roman"/>
        </w:rPr>
        <w:t>doi</w:t>
      </w:r>
      <w:proofErr w:type="spellEnd"/>
      <w:r w:rsidRPr="000D3A71">
        <w:rPr>
          <w:rFonts w:eastAsia="Times New Roman"/>
        </w:rPr>
        <w:t xml:space="preserve">: https://doi.org/10.3389/fpubh.2021.716421. </w:t>
      </w:r>
    </w:p>
    <w:p w14:paraId="45B3C5CB" w14:textId="77777777" w:rsidR="000D3A71" w:rsidRPr="000D3A71" w:rsidRDefault="000D3A71" w:rsidP="000D3A71">
      <w:pPr>
        <w:pStyle w:val="ListParagraph"/>
        <w:numPr>
          <w:ilvl w:val="0"/>
          <w:numId w:val="10"/>
        </w:numPr>
        <w:rPr>
          <w:rFonts w:eastAsia="Times New Roman"/>
        </w:rPr>
      </w:pPr>
      <w:r w:rsidRPr="000D3A71">
        <w:rPr>
          <w:rFonts w:eastAsia="Times New Roman"/>
        </w:rPr>
        <w:t xml:space="preserve">Rubin GJ, Smith LE, Melendez-Torres GJ, Yardley L. Improving adherence to ‘test, trace and isolate’. </w:t>
      </w:r>
      <w:r w:rsidRPr="000D3A71">
        <w:rPr>
          <w:rStyle w:val="Emphasis"/>
          <w:rFonts w:eastAsia="Times New Roman"/>
          <w:b w:val="0"/>
          <w:bCs w:val="0"/>
        </w:rPr>
        <w:t>J R Soc Med</w:t>
      </w:r>
      <w:r w:rsidRPr="000D3A71">
        <w:rPr>
          <w:rFonts w:eastAsia="Times New Roman"/>
        </w:rPr>
        <w:t xml:space="preserve">. 2020;113(9):335–8. </w:t>
      </w:r>
      <w:proofErr w:type="spellStart"/>
      <w:r w:rsidRPr="000D3A71">
        <w:rPr>
          <w:rFonts w:eastAsia="Times New Roman"/>
        </w:rPr>
        <w:t>doi</w:t>
      </w:r>
      <w:proofErr w:type="spellEnd"/>
      <w:r w:rsidRPr="000D3A71">
        <w:rPr>
          <w:rFonts w:eastAsia="Times New Roman"/>
        </w:rPr>
        <w:t xml:space="preserve">: https://doi.org/10.1177/0141076820956824. </w:t>
      </w:r>
    </w:p>
    <w:p w14:paraId="1CB7D936" w14:textId="77777777" w:rsidR="000D3A71" w:rsidRPr="000D3A71" w:rsidRDefault="000D3A71" w:rsidP="000D3A71">
      <w:pPr>
        <w:pStyle w:val="ListParagraph"/>
        <w:numPr>
          <w:ilvl w:val="0"/>
          <w:numId w:val="10"/>
        </w:numPr>
        <w:rPr>
          <w:rFonts w:eastAsia="Times New Roman"/>
        </w:rPr>
      </w:pPr>
      <w:r w:rsidRPr="000D3A71">
        <w:rPr>
          <w:rFonts w:eastAsia="Times New Roman"/>
        </w:rPr>
        <w:t xml:space="preserve">Smith LE, Potts HWW, </w:t>
      </w:r>
      <w:proofErr w:type="spellStart"/>
      <w:r w:rsidRPr="000D3A71">
        <w:rPr>
          <w:rFonts w:eastAsia="Times New Roman"/>
        </w:rPr>
        <w:t>Amlôt</w:t>
      </w:r>
      <w:proofErr w:type="spellEnd"/>
      <w:r w:rsidRPr="000D3A71">
        <w:rPr>
          <w:rFonts w:eastAsia="Times New Roman"/>
        </w:rPr>
        <w:t xml:space="preserve"> R, Fear NT, Michie S, Rubin GJ. Adherence to the test, trace, and isolate system in the UK: results from 37 nationally representative surveys. </w:t>
      </w:r>
      <w:r w:rsidRPr="000D3A71">
        <w:rPr>
          <w:rStyle w:val="Emphasis"/>
          <w:rFonts w:eastAsia="Times New Roman"/>
          <w:b w:val="0"/>
          <w:bCs w:val="0"/>
        </w:rPr>
        <w:t>BMJ</w:t>
      </w:r>
      <w:r w:rsidRPr="000D3A71">
        <w:rPr>
          <w:rFonts w:eastAsia="Times New Roman"/>
        </w:rPr>
        <w:t>. 2021;</w:t>
      </w:r>
      <w:proofErr w:type="gramStart"/>
      <w:r w:rsidRPr="000D3A71">
        <w:rPr>
          <w:rFonts w:eastAsia="Times New Roman"/>
        </w:rPr>
        <w:t>372:n</w:t>
      </w:r>
      <w:proofErr w:type="gramEnd"/>
      <w:r w:rsidRPr="000D3A71">
        <w:rPr>
          <w:rFonts w:eastAsia="Times New Roman"/>
        </w:rPr>
        <w:t xml:space="preserve">608. </w:t>
      </w:r>
      <w:proofErr w:type="spellStart"/>
      <w:r w:rsidRPr="000D3A71">
        <w:rPr>
          <w:rFonts w:eastAsia="Times New Roman"/>
        </w:rPr>
        <w:t>doi</w:t>
      </w:r>
      <w:proofErr w:type="spellEnd"/>
      <w:r w:rsidRPr="000D3A71">
        <w:rPr>
          <w:rFonts w:eastAsia="Times New Roman"/>
        </w:rPr>
        <w:t xml:space="preserve">: https://doi.org/10.1136/bmj.n608. </w:t>
      </w:r>
    </w:p>
    <w:p w14:paraId="5414A5A3" w14:textId="77777777" w:rsidR="000D3A71" w:rsidRPr="000D3A71" w:rsidRDefault="000D3A71" w:rsidP="000D3A71">
      <w:pPr>
        <w:pStyle w:val="ListParagraph"/>
        <w:numPr>
          <w:ilvl w:val="0"/>
          <w:numId w:val="10"/>
        </w:numPr>
        <w:rPr>
          <w:rFonts w:eastAsia="Times New Roman"/>
        </w:rPr>
      </w:pPr>
      <w:proofErr w:type="spellStart"/>
      <w:r w:rsidRPr="000D3A71">
        <w:rPr>
          <w:rFonts w:eastAsia="Times New Roman"/>
        </w:rPr>
        <w:lastRenderedPageBreak/>
        <w:t>Clipman</w:t>
      </w:r>
      <w:proofErr w:type="spellEnd"/>
      <w:r w:rsidRPr="000D3A71">
        <w:rPr>
          <w:rFonts w:eastAsia="Times New Roman"/>
        </w:rPr>
        <w:t xml:space="preserve"> SJ, </w:t>
      </w:r>
      <w:proofErr w:type="spellStart"/>
      <w:r w:rsidRPr="000D3A71">
        <w:rPr>
          <w:rFonts w:eastAsia="Times New Roman"/>
        </w:rPr>
        <w:t>Wesolowski</w:t>
      </w:r>
      <w:proofErr w:type="spellEnd"/>
      <w:r w:rsidRPr="000D3A71">
        <w:rPr>
          <w:rFonts w:eastAsia="Times New Roman"/>
        </w:rPr>
        <w:t xml:space="preserve"> A, Mehta SH, </w:t>
      </w:r>
      <w:proofErr w:type="spellStart"/>
      <w:r w:rsidRPr="000D3A71">
        <w:rPr>
          <w:rFonts w:eastAsia="Times New Roman"/>
        </w:rPr>
        <w:t>Cobey</w:t>
      </w:r>
      <w:proofErr w:type="spellEnd"/>
      <w:r w:rsidRPr="000D3A71">
        <w:rPr>
          <w:rFonts w:eastAsia="Times New Roman"/>
        </w:rPr>
        <w:t xml:space="preserve"> S, Cummings DAT, Solomon SS. Improvements in SARS-CoV-2 testing cascade in the US: data from serial cross-sectional assessments. </w:t>
      </w:r>
      <w:r w:rsidRPr="000D3A71">
        <w:rPr>
          <w:rStyle w:val="Emphasis"/>
          <w:rFonts w:eastAsia="Times New Roman"/>
          <w:b w:val="0"/>
          <w:bCs w:val="0"/>
        </w:rPr>
        <w:t>Clin Infect Dis</w:t>
      </w:r>
      <w:r w:rsidRPr="000D3A71">
        <w:rPr>
          <w:rFonts w:eastAsia="Times New Roman"/>
        </w:rPr>
        <w:t xml:space="preserve">. 2021. </w:t>
      </w:r>
      <w:proofErr w:type="spellStart"/>
      <w:r w:rsidRPr="000D3A71">
        <w:rPr>
          <w:rFonts w:eastAsia="Times New Roman"/>
        </w:rPr>
        <w:t>doi</w:t>
      </w:r>
      <w:proofErr w:type="spellEnd"/>
      <w:r w:rsidRPr="000D3A71">
        <w:rPr>
          <w:rFonts w:eastAsia="Times New Roman"/>
        </w:rPr>
        <w:t xml:space="preserve">: https://doi.org/10.1093/cid/ciab683. </w:t>
      </w:r>
    </w:p>
    <w:p w14:paraId="372340D2" w14:textId="77777777" w:rsidR="000D3A71" w:rsidRPr="000D3A71" w:rsidRDefault="000D3A71" w:rsidP="000D3A71">
      <w:pPr>
        <w:pStyle w:val="ListParagraph"/>
        <w:numPr>
          <w:ilvl w:val="0"/>
          <w:numId w:val="10"/>
        </w:numPr>
        <w:rPr>
          <w:rFonts w:eastAsia="Times New Roman"/>
        </w:rPr>
      </w:pPr>
      <w:r w:rsidRPr="000D3A71">
        <w:rPr>
          <w:rFonts w:eastAsia="Times New Roman"/>
        </w:rPr>
        <w:t xml:space="preserve">Bevan I, Stage Baxter M, Stagg HR, Street A. Knowledge, attitudes, and </w:t>
      </w:r>
      <w:proofErr w:type="spellStart"/>
      <w:r w:rsidRPr="000D3A71">
        <w:rPr>
          <w:rFonts w:eastAsia="Times New Roman"/>
        </w:rPr>
        <w:t>behavior</w:t>
      </w:r>
      <w:proofErr w:type="spellEnd"/>
      <w:r w:rsidRPr="000D3A71">
        <w:rPr>
          <w:rFonts w:eastAsia="Times New Roman"/>
        </w:rPr>
        <w:t xml:space="preserve"> related to COVID-19 testing: a rapid scoping review. </w:t>
      </w:r>
      <w:r w:rsidRPr="000D3A71">
        <w:rPr>
          <w:rStyle w:val="Emphasis"/>
          <w:rFonts w:eastAsia="Times New Roman"/>
          <w:b w:val="0"/>
          <w:bCs w:val="0"/>
        </w:rPr>
        <w:t>Diagnostics (Basel)</w:t>
      </w:r>
      <w:r w:rsidRPr="000D3A71">
        <w:rPr>
          <w:rFonts w:eastAsia="Times New Roman"/>
        </w:rPr>
        <w:t xml:space="preserve">. 2021;11(9). </w:t>
      </w:r>
      <w:proofErr w:type="spellStart"/>
      <w:r w:rsidRPr="000D3A71">
        <w:rPr>
          <w:rFonts w:eastAsia="Times New Roman"/>
        </w:rPr>
        <w:t>doi</w:t>
      </w:r>
      <w:proofErr w:type="spellEnd"/>
      <w:r w:rsidRPr="000D3A71">
        <w:rPr>
          <w:rFonts w:eastAsia="Times New Roman"/>
        </w:rPr>
        <w:t xml:space="preserve">: https://doi.org/10.3390/diagnostics11091685. </w:t>
      </w:r>
    </w:p>
    <w:p w14:paraId="5E7A93A0" w14:textId="77777777" w:rsidR="000D3A71" w:rsidRPr="000D3A71" w:rsidRDefault="000D3A71" w:rsidP="000D3A71">
      <w:pPr>
        <w:pStyle w:val="ListParagraph"/>
        <w:numPr>
          <w:ilvl w:val="0"/>
          <w:numId w:val="10"/>
        </w:numPr>
        <w:rPr>
          <w:rFonts w:eastAsia="Times New Roman"/>
        </w:rPr>
      </w:pPr>
      <w:r w:rsidRPr="000D3A71">
        <w:rPr>
          <w:rFonts w:eastAsia="Times New Roman"/>
        </w:rPr>
        <w:t xml:space="preserve">Carter P, </w:t>
      </w:r>
      <w:proofErr w:type="spellStart"/>
      <w:r w:rsidRPr="000D3A71">
        <w:rPr>
          <w:rFonts w:eastAsia="Times New Roman"/>
        </w:rPr>
        <w:t>Megnin-Viggars</w:t>
      </w:r>
      <w:proofErr w:type="spellEnd"/>
      <w:r w:rsidRPr="000D3A71">
        <w:rPr>
          <w:rFonts w:eastAsia="Times New Roman"/>
        </w:rPr>
        <w:t xml:space="preserve"> O, Rubin GJ. What factors influence symptom reporting and access to healthcare during an emerging infectious disease outbreak? A rapid review of the evidence. </w:t>
      </w:r>
      <w:r w:rsidRPr="000D3A71">
        <w:rPr>
          <w:rStyle w:val="Emphasis"/>
          <w:rFonts w:eastAsia="Times New Roman"/>
          <w:b w:val="0"/>
          <w:bCs w:val="0"/>
        </w:rPr>
        <w:t xml:space="preserve">Health </w:t>
      </w:r>
      <w:proofErr w:type="spellStart"/>
      <w:r w:rsidRPr="000D3A71">
        <w:rPr>
          <w:rStyle w:val="Emphasis"/>
          <w:rFonts w:eastAsia="Times New Roman"/>
          <w:b w:val="0"/>
          <w:bCs w:val="0"/>
        </w:rPr>
        <w:t>Secur</w:t>
      </w:r>
      <w:proofErr w:type="spellEnd"/>
      <w:r w:rsidRPr="000D3A71">
        <w:rPr>
          <w:rFonts w:eastAsia="Times New Roman"/>
        </w:rPr>
        <w:t xml:space="preserve">. 2021;19(4):353–63. </w:t>
      </w:r>
      <w:proofErr w:type="spellStart"/>
      <w:r w:rsidRPr="000D3A71">
        <w:rPr>
          <w:rFonts w:eastAsia="Times New Roman"/>
        </w:rPr>
        <w:t>doi</w:t>
      </w:r>
      <w:proofErr w:type="spellEnd"/>
      <w:r w:rsidRPr="000D3A71">
        <w:rPr>
          <w:rFonts w:eastAsia="Times New Roman"/>
        </w:rPr>
        <w:t xml:space="preserve">: https://doi.org/10.1089/hs.2020.0126. </w:t>
      </w:r>
    </w:p>
    <w:p w14:paraId="1F7E4B13" w14:textId="77777777" w:rsidR="000D3A71" w:rsidRPr="000D3A71" w:rsidRDefault="000D3A71" w:rsidP="000D3A71">
      <w:pPr>
        <w:pStyle w:val="ListParagraph"/>
        <w:numPr>
          <w:ilvl w:val="0"/>
          <w:numId w:val="10"/>
        </w:numPr>
        <w:rPr>
          <w:rFonts w:eastAsia="Times New Roman"/>
        </w:rPr>
      </w:pPr>
      <w:r w:rsidRPr="000D3A71">
        <w:rPr>
          <w:rFonts w:eastAsia="Times New Roman"/>
        </w:rPr>
        <w:t xml:space="preserve">Government of New South Wales. COVID-19 restrictions tightened across Greater Sydney. [Internet.] Sydney: Government of New South Wales; 9 July 2021. Available from: https://www.nsw.gov.au/media-releases/covid-19-restrictions-tightened-across-greater-sydney. </w:t>
      </w:r>
    </w:p>
    <w:p w14:paraId="4B12EB99" w14:textId="77777777" w:rsidR="000D3A71" w:rsidRPr="000D3A71" w:rsidRDefault="000D3A71" w:rsidP="000D3A71">
      <w:pPr>
        <w:pStyle w:val="ListParagraph"/>
        <w:numPr>
          <w:ilvl w:val="0"/>
          <w:numId w:val="10"/>
        </w:numPr>
        <w:rPr>
          <w:rFonts w:eastAsia="Times New Roman"/>
        </w:rPr>
      </w:pPr>
      <w:r w:rsidRPr="000D3A71">
        <w:rPr>
          <w:rFonts w:eastAsia="Times New Roman"/>
        </w:rPr>
        <w:t xml:space="preserve">Premier of Victoria. </w:t>
      </w:r>
      <w:proofErr w:type="gramStart"/>
      <w:r w:rsidRPr="000D3A71">
        <w:rPr>
          <w:rFonts w:eastAsia="Times New Roman"/>
        </w:rPr>
        <w:t>Seven day</w:t>
      </w:r>
      <w:proofErr w:type="gramEnd"/>
      <w:r w:rsidRPr="000D3A71">
        <w:rPr>
          <w:rFonts w:eastAsia="Times New Roman"/>
        </w:rPr>
        <w:t xml:space="preserve"> lockdown to keep Victorians safe. [Internet.] Melbourne: Victoria State Government, Premier of Victoria; 5 August 2021. Available from: https://www.premier.vic.gov.au/seven-day-lockdown-keep-victorians-safe. </w:t>
      </w:r>
    </w:p>
    <w:p w14:paraId="2FE5224D" w14:textId="77777777" w:rsidR="000D3A71" w:rsidRPr="000D3A71" w:rsidRDefault="000D3A71" w:rsidP="000D3A71">
      <w:pPr>
        <w:pStyle w:val="ListParagraph"/>
        <w:numPr>
          <w:ilvl w:val="0"/>
          <w:numId w:val="10"/>
        </w:numPr>
        <w:rPr>
          <w:rFonts w:eastAsia="Times New Roman"/>
        </w:rPr>
      </w:pPr>
      <w:r w:rsidRPr="000D3A71">
        <w:rPr>
          <w:rFonts w:eastAsia="Times New Roman"/>
        </w:rPr>
        <w:t xml:space="preserve">Australian Institute of Health and Welfare (AIHW). </w:t>
      </w:r>
      <w:r w:rsidRPr="000D3A71">
        <w:rPr>
          <w:rStyle w:val="Emphasis"/>
          <w:rFonts w:eastAsia="Times New Roman"/>
          <w:b w:val="0"/>
          <w:bCs w:val="0"/>
        </w:rPr>
        <w:t>Rural &amp; remote health</w:t>
      </w:r>
      <w:r w:rsidRPr="000D3A71">
        <w:rPr>
          <w:rFonts w:eastAsia="Times New Roman"/>
        </w:rPr>
        <w:t xml:space="preserve">. Canberra: Australian Government, AIHW; 22 October 2019. Available from: https://www.aihw.gov.au/reports/rural-remote-australians/rural-remote-health/contents/summary. </w:t>
      </w:r>
    </w:p>
    <w:p w14:paraId="0461B606" w14:textId="77777777" w:rsidR="000D3A71" w:rsidRPr="000D3A71" w:rsidRDefault="000D3A71" w:rsidP="000D3A71">
      <w:pPr>
        <w:pStyle w:val="ListParagraph"/>
        <w:numPr>
          <w:ilvl w:val="0"/>
          <w:numId w:val="10"/>
        </w:numPr>
        <w:rPr>
          <w:rFonts w:eastAsia="Times New Roman"/>
        </w:rPr>
      </w:pPr>
      <w:r w:rsidRPr="000D3A71">
        <w:rPr>
          <w:rFonts w:eastAsia="Times New Roman"/>
        </w:rPr>
        <w:t xml:space="preserve">Stanley F, Langton M, Ward J, </w:t>
      </w:r>
      <w:proofErr w:type="spellStart"/>
      <w:r w:rsidRPr="000D3A71">
        <w:rPr>
          <w:rFonts w:eastAsia="Times New Roman"/>
        </w:rPr>
        <w:t>McAullay</w:t>
      </w:r>
      <w:proofErr w:type="spellEnd"/>
      <w:r w:rsidRPr="000D3A71">
        <w:rPr>
          <w:rFonts w:eastAsia="Times New Roman"/>
        </w:rPr>
        <w:t xml:space="preserve"> D, </w:t>
      </w:r>
      <w:proofErr w:type="spellStart"/>
      <w:r w:rsidRPr="000D3A71">
        <w:rPr>
          <w:rFonts w:eastAsia="Times New Roman"/>
        </w:rPr>
        <w:t>Eades</w:t>
      </w:r>
      <w:proofErr w:type="spellEnd"/>
      <w:r w:rsidRPr="000D3A71">
        <w:rPr>
          <w:rFonts w:eastAsia="Times New Roman"/>
        </w:rPr>
        <w:t xml:space="preserve"> S. Australian First Nations response to the pandemic: a dramatic reversal of the ‘gap’. </w:t>
      </w:r>
      <w:r w:rsidRPr="000D3A71">
        <w:rPr>
          <w:rStyle w:val="Emphasis"/>
          <w:rFonts w:eastAsia="Times New Roman"/>
          <w:b w:val="0"/>
          <w:bCs w:val="0"/>
        </w:rPr>
        <w:t xml:space="preserve">J </w:t>
      </w:r>
      <w:proofErr w:type="spellStart"/>
      <w:r w:rsidRPr="000D3A71">
        <w:rPr>
          <w:rStyle w:val="Emphasis"/>
          <w:rFonts w:eastAsia="Times New Roman"/>
          <w:b w:val="0"/>
          <w:bCs w:val="0"/>
        </w:rPr>
        <w:t>Paediatr</w:t>
      </w:r>
      <w:proofErr w:type="spellEnd"/>
      <w:r w:rsidRPr="000D3A71">
        <w:rPr>
          <w:rStyle w:val="Emphasis"/>
          <w:rFonts w:eastAsia="Times New Roman"/>
          <w:b w:val="0"/>
          <w:bCs w:val="0"/>
        </w:rPr>
        <w:t xml:space="preserve"> Child Health</w:t>
      </w:r>
      <w:r w:rsidRPr="000D3A71">
        <w:rPr>
          <w:rFonts w:eastAsia="Times New Roman"/>
        </w:rPr>
        <w:t xml:space="preserve">. 2021. </w:t>
      </w:r>
      <w:proofErr w:type="spellStart"/>
      <w:r w:rsidRPr="000D3A71">
        <w:rPr>
          <w:rFonts w:eastAsia="Times New Roman"/>
        </w:rPr>
        <w:t>doi</w:t>
      </w:r>
      <w:proofErr w:type="spellEnd"/>
      <w:r w:rsidRPr="000D3A71">
        <w:rPr>
          <w:rFonts w:eastAsia="Times New Roman"/>
        </w:rPr>
        <w:t xml:space="preserve">: https://doi.org/10.1111/jpc.15701. </w:t>
      </w:r>
    </w:p>
    <w:p w14:paraId="3390B3AF" w14:textId="77777777" w:rsidR="000D3A71" w:rsidRPr="000D3A71" w:rsidRDefault="000D3A71" w:rsidP="000D3A71">
      <w:pPr>
        <w:pStyle w:val="ListParagraph"/>
        <w:numPr>
          <w:ilvl w:val="0"/>
          <w:numId w:val="10"/>
        </w:numPr>
        <w:rPr>
          <w:rFonts w:eastAsia="Times New Roman"/>
        </w:rPr>
      </w:pPr>
      <w:r w:rsidRPr="000D3A71">
        <w:rPr>
          <w:rFonts w:eastAsia="Times New Roman"/>
        </w:rPr>
        <w:t xml:space="preserve">He B, Zaidi S, </w:t>
      </w:r>
      <w:proofErr w:type="spellStart"/>
      <w:r w:rsidRPr="000D3A71">
        <w:rPr>
          <w:rFonts w:eastAsia="Times New Roman"/>
        </w:rPr>
        <w:t>Elesedy</w:t>
      </w:r>
      <w:proofErr w:type="spellEnd"/>
      <w:r w:rsidRPr="000D3A71">
        <w:rPr>
          <w:rFonts w:eastAsia="Times New Roman"/>
        </w:rPr>
        <w:t xml:space="preserve"> B, Hutchinson M, </w:t>
      </w:r>
      <w:proofErr w:type="spellStart"/>
      <w:r w:rsidRPr="000D3A71">
        <w:rPr>
          <w:rFonts w:eastAsia="Times New Roman"/>
        </w:rPr>
        <w:t>Paleyes</w:t>
      </w:r>
      <w:proofErr w:type="spellEnd"/>
      <w:r w:rsidRPr="000D3A71">
        <w:rPr>
          <w:rFonts w:eastAsia="Times New Roman"/>
        </w:rPr>
        <w:t xml:space="preserve"> A, Harling G et al. Effectiveness and resource requirements of test, </w:t>
      </w:r>
      <w:proofErr w:type="gramStart"/>
      <w:r w:rsidRPr="000D3A71">
        <w:rPr>
          <w:rFonts w:eastAsia="Times New Roman"/>
        </w:rPr>
        <w:t>trace</w:t>
      </w:r>
      <w:proofErr w:type="gramEnd"/>
      <w:r w:rsidRPr="000D3A71">
        <w:rPr>
          <w:rFonts w:eastAsia="Times New Roman"/>
        </w:rPr>
        <w:t xml:space="preserve"> and isolate strategies for COVID in the UK. </w:t>
      </w:r>
      <w:r w:rsidRPr="000D3A71">
        <w:rPr>
          <w:rStyle w:val="Emphasis"/>
          <w:rFonts w:eastAsia="Times New Roman"/>
          <w:b w:val="0"/>
          <w:bCs w:val="0"/>
        </w:rPr>
        <w:t>R Soc Open Sci</w:t>
      </w:r>
      <w:r w:rsidRPr="000D3A71">
        <w:rPr>
          <w:rFonts w:eastAsia="Times New Roman"/>
        </w:rPr>
        <w:t xml:space="preserve">. 2021;8(3):201491. </w:t>
      </w:r>
      <w:proofErr w:type="spellStart"/>
      <w:r w:rsidRPr="000D3A71">
        <w:rPr>
          <w:rFonts w:eastAsia="Times New Roman"/>
        </w:rPr>
        <w:t>doi</w:t>
      </w:r>
      <w:proofErr w:type="spellEnd"/>
      <w:r w:rsidRPr="000D3A71">
        <w:rPr>
          <w:rFonts w:eastAsia="Times New Roman"/>
        </w:rPr>
        <w:t xml:space="preserve">: https://doi.org/10.1098/rsos.201491. </w:t>
      </w:r>
    </w:p>
    <w:p w14:paraId="514A208E" w14:textId="77777777" w:rsidR="000D3A71" w:rsidRPr="000D3A71" w:rsidRDefault="000D3A71" w:rsidP="000D3A71">
      <w:pPr>
        <w:pStyle w:val="ListParagraph"/>
        <w:numPr>
          <w:ilvl w:val="0"/>
          <w:numId w:val="10"/>
        </w:numPr>
        <w:rPr>
          <w:rFonts w:eastAsia="Times New Roman"/>
        </w:rPr>
      </w:pPr>
      <w:r w:rsidRPr="000D3A71">
        <w:rPr>
          <w:rFonts w:eastAsia="Times New Roman"/>
        </w:rPr>
        <w:t xml:space="preserve">Department of the Prime Minister and Cabinet. </w:t>
      </w:r>
      <w:r w:rsidRPr="000D3A71">
        <w:rPr>
          <w:rStyle w:val="Emphasis"/>
          <w:rFonts w:eastAsia="Times New Roman"/>
          <w:b w:val="0"/>
          <w:bCs w:val="0"/>
        </w:rPr>
        <w:t>National plan to transition Australia’s national COVID-19 response</w:t>
      </w:r>
      <w:r w:rsidRPr="000D3A71">
        <w:rPr>
          <w:rFonts w:eastAsia="Times New Roman"/>
        </w:rPr>
        <w:t xml:space="preserve">. Canberra: Australian Government Department of the Prime Minister and Cabinet; 6 August 2021. Available from: https://www.pm.gov.au/sites/default/files/media/national-plan-to-transition-australias-national-covid-19-response-30-july-2021.pdf. </w:t>
      </w:r>
    </w:p>
    <w:p w14:paraId="23CFDB94" w14:textId="77777777" w:rsidR="000D3A71" w:rsidRPr="000D3A71" w:rsidRDefault="000D3A71" w:rsidP="000D3A71">
      <w:pPr>
        <w:pStyle w:val="ListParagraph"/>
        <w:numPr>
          <w:ilvl w:val="0"/>
          <w:numId w:val="10"/>
        </w:numPr>
        <w:rPr>
          <w:rFonts w:eastAsia="Times New Roman"/>
        </w:rPr>
      </w:pPr>
      <w:r w:rsidRPr="000D3A71">
        <w:rPr>
          <w:rFonts w:eastAsia="Times New Roman"/>
        </w:rPr>
        <w:t xml:space="preserve">Gupta A, Gonzalez-Rojas Y, Juarez E, </w:t>
      </w:r>
      <w:proofErr w:type="spellStart"/>
      <w:r w:rsidRPr="000D3A71">
        <w:rPr>
          <w:rFonts w:eastAsia="Times New Roman"/>
        </w:rPr>
        <w:t>Casal</w:t>
      </w:r>
      <w:proofErr w:type="spellEnd"/>
      <w:r w:rsidRPr="000D3A71">
        <w:rPr>
          <w:rFonts w:eastAsia="Times New Roman"/>
        </w:rPr>
        <w:t xml:space="preserve"> MC, Moya J, </w:t>
      </w:r>
      <w:proofErr w:type="spellStart"/>
      <w:r w:rsidRPr="000D3A71">
        <w:rPr>
          <w:rFonts w:eastAsia="Times New Roman"/>
        </w:rPr>
        <w:t>Falci</w:t>
      </w:r>
      <w:proofErr w:type="spellEnd"/>
      <w:r w:rsidRPr="000D3A71">
        <w:rPr>
          <w:rFonts w:eastAsia="Times New Roman"/>
        </w:rPr>
        <w:t xml:space="preserve"> DR et al. Early Covid-19 treatment with SARS-CoV-2 neutralizing antibody </w:t>
      </w:r>
      <w:proofErr w:type="spellStart"/>
      <w:r w:rsidRPr="000D3A71">
        <w:rPr>
          <w:rFonts w:eastAsia="Times New Roman"/>
        </w:rPr>
        <w:t>sotrovimab</w:t>
      </w:r>
      <w:proofErr w:type="spellEnd"/>
      <w:r w:rsidRPr="000D3A71">
        <w:rPr>
          <w:rFonts w:eastAsia="Times New Roman"/>
        </w:rPr>
        <w:t xml:space="preserve">. </w:t>
      </w:r>
      <w:r w:rsidRPr="000D3A71">
        <w:rPr>
          <w:rStyle w:val="Emphasis"/>
          <w:rFonts w:eastAsia="Times New Roman"/>
          <w:b w:val="0"/>
          <w:bCs w:val="0"/>
        </w:rPr>
        <w:t xml:space="preserve">N </w:t>
      </w:r>
      <w:proofErr w:type="spellStart"/>
      <w:r w:rsidRPr="000D3A71">
        <w:rPr>
          <w:rStyle w:val="Emphasis"/>
          <w:rFonts w:eastAsia="Times New Roman"/>
          <w:b w:val="0"/>
          <w:bCs w:val="0"/>
        </w:rPr>
        <w:t>Engl</w:t>
      </w:r>
      <w:proofErr w:type="spellEnd"/>
      <w:r w:rsidRPr="000D3A71">
        <w:rPr>
          <w:rStyle w:val="Emphasis"/>
          <w:rFonts w:eastAsia="Times New Roman"/>
          <w:b w:val="0"/>
          <w:bCs w:val="0"/>
        </w:rPr>
        <w:t xml:space="preserve"> J Med</w:t>
      </w:r>
      <w:r w:rsidRPr="000D3A71">
        <w:rPr>
          <w:rFonts w:eastAsia="Times New Roman"/>
        </w:rPr>
        <w:t xml:space="preserve">. 2021;385(21):1941–50. </w:t>
      </w:r>
      <w:proofErr w:type="spellStart"/>
      <w:r w:rsidRPr="000D3A71">
        <w:rPr>
          <w:rFonts w:eastAsia="Times New Roman"/>
        </w:rPr>
        <w:t>doi</w:t>
      </w:r>
      <w:proofErr w:type="spellEnd"/>
      <w:r w:rsidRPr="000D3A71">
        <w:rPr>
          <w:rFonts w:eastAsia="Times New Roman"/>
        </w:rPr>
        <w:t>: https://doi.org/10.1056/NEJMoa2107934.</w:t>
      </w:r>
    </w:p>
    <w:p w14:paraId="1AB27D11" w14:textId="72213F69" w:rsidR="008B5348" w:rsidRDefault="008B5348">
      <w:pPr>
        <w:rPr>
          <w:rStyle w:val="A10"/>
        </w:rPr>
        <w:sectPr w:rsidR="008B5348" w:rsidSect="00A30C37">
          <w:headerReference w:type="default" r:id="rId10"/>
          <w:footerReference w:type="default" r:id="rId11"/>
          <w:footerReference w:type="first" r:id="rId12"/>
          <w:pgSz w:w="11906" w:h="16838"/>
          <w:pgMar w:top="720" w:right="720" w:bottom="1134" w:left="720" w:header="709" w:footer="284" w:gutter="0"/>
          <w:cols w:space="708"/>
          <w:titlePg/>
          <w:docGrid w:linePitch="360"/>
        </w:sectPr>
      </w:pPr>
    </w:p>
    <w:p w14:paraId="4C74A9ED"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32A7BE24"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68364B22" w14:textId="77777777" w:rsidR="000A5F42" w:rsidRPr="000606CC" w:rsidRDefault="000A5F42" w:rsidP="000A5F42">
      <w:pPr>
        <w:pStyle w:val="NoSpacing"/>
        <w:rPr>
          <w:rStyle w:val="URI"/>
          <w:rFonts w:cstheme="minorHAnsi"/>
          <w:sz w:val="20"/>
          <w:szCs w:val="18"/>
        </w:rPr>
      </w:pPr>
    </w:p>
    <w:p w14:paraId="05ED5250"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xml:space="preserve">,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7C7B7D4F" w14:textId="77777777" w:rsidR="000A5F42" w:rsidRPr="000606CC" w:rsidRDefault="000A5F42" w:rsidP="000A5F42">
      <w:pPr>
        <w:pStyle w:val="NoSpacing"/>
        <w:rPr>
          <w:rStyle w:val="Strong"/>
          <w:rFonts w:cstheme="minorHAnsi"/>
          <w:sz w:val="20"/>
          <w:szCs w:val="18"/>
        </w:rPr>
      </w:pPr>
    </w:p>
    <w:p w14:paraId="28832D05" w14:textId="7F5FC3C9"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5C66A6" w:rsidRPr="005C66A6">
        <w:rPr>
          <w:rFonts w:cstheme="minorHAnsi"/>
          <w:sz w:val="20"/>
          <w:szCs w:val="18"/>
        </w:rPr>
        <w:t>Jennie Hood</w:t>
      </w:r>
      <w:r w:rsidR="0012157B">
        <w:rPr>
          <w:rFonts w:cstheme="minorHAnsi"/>
          <w:sz w:val="20"/>
          <w:szCs w:val="18"/>
        </w:rPr>
        <w:t xml:space="preserve"> and </w:t>
      </w:r>
      <w:r w:rsidR="0012157B" w:rsidRPr="0012157B">
        <w:rPr>
          <w:rFonts w:cstheme="minorHAnsi"/>
          <w:sz w:val="20"/>
          <w:szCs w:val="18"/>
        </w:rPr>
        <w:t xml:space="preserve">Noel </w:t>
      </w:r>
      <w:proofErr w:type="spellStart"/>
      <w:r w:rsidR="0012157B" w:rsidRPr="0012157B">
        <w:rPr>
          <w:rFonts w:cstheme="minorHAnsi"/>
          <w:sz w:val="20"/>
          <w:szCs w:val="18"/>
        </w:rPr>
        <w:t>Lally</w:t>
      </w:r>
      <w:proofErr w:type="spellEnd"/>
    </w:p>
    <w:p w14:paraId="4B62F341"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2E1AE7AB"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593669E7"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w:t>
      </w:r>
      <w:proofErr w:type="spellStart"/>
      <w:r w:rsidRPr="000606CC">
        <w:rPr>
          <w:rFonts w:cstheme="minorHAnsi"/>
          <w:sz w:val="20"/>
          <w:szCs w:val="18"/>
        </w:rPr>
        <w:t>Durrheim</w:t>
      </w:r>
      <w:proofErr w:type="spellEnd"/>
      <w:r w:rsidRPr="000606CC">
        <w:rPr>
          <w:rFonts w:cstheme="minorHAnsi"/>
          <w:sz w:val="20"/>
          <w:szCs w:val="18"/>
        </w:rPr>
        <w:t xml:space="preserve">, </w:t>
      </w:r>
      <w:r w:rsidRPr="000606CC">
        <w:rPr>
          <w:rStyle w:val="nobreak"/>
          <w:rFonts w:cstheme="minorHAnsi"/>
          <w:sz w:val="20"/>
          <w:szCs w:val="18"/>
        </w:rPr>
        <w:t xml:space="preserve">Mark </w:t>
      </w:r>
      <w:proofErr w:type="spellStart"/>
      <w:r w:rsidRPr="000606CC">
        <w:rPr>
          <w:rStyle w:val="nobreak"/>
          <w:rFonts w:cstheme="minorHAnsi"/>
          <w:sz w:val="20"/>
          <w:szCs w:val="18"/>
        </w:rPr>
        <w:t>Ferson</w:t>
      </w:r>
      <w:proofErr w:type="spellEnd"/>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Selvey</w:t>
      </w:r>
    </w:p>
    <w:p w14:paraId="1789BA82" w14:textId="77777777" w:rsidR="000A5F42" w:rsidRPr="000606CC" w:rsidRDefault="000A5F42" w:rsidP="000A5F42">
      <w:pPr>
        <w:pStyle w:val="NoSpacing"/>
        <w:rPr>
          <w:rStyle w:val="Strong"/>
          <w:rFonts w:cstheme="minorHAnsi"/>
          <w:sz w:val="20"/>
          <w:szCs w:val="18"/>
        </w:rPr>
      </w:pPr>
    </w:p>
    <w:p w14:paraId="19C4BCCF" w14:textId="238C3F31"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3"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2B8C11CA" w14:textId="77777777" w:rsidR="000A5F42" w:rsidRPr="000606CC" w:rsidRDefault="000A5F42" w:rsidP="000A5F42">
      <w:pPr>
        <w:pStyle w:val="NoSpacing"/>
        <w:rPr>
          <w:rStyle w:val="Strong"/>
          <w:rFonts w:cstheme="minorHAnsi"/>
          <w:sz w:val="20"/>
          <w:szCs w:val="18"/>
        </w:rPr>
      </w:pPr>
    </w:p>
    <w:p w14:paraId="37933BE3"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266D5493" w14:textId="77777777" w:rsidR="000A5F42" w:rsidRPr="000606CC" w:rsidRDefault="000A5F42" w:rsidP="000A5F42">
      <w:pPr>
        <w:pStyle w:val="NoSpacing"/>
        <w:rPr>
          <w:rStyle w:val="Strong"/>
          <w:rFonts w:cstheme="minorHAnsi"/>
          <w:sz w:val="20"/>
          <w:szCs w:val="18"/>
        </w:rPr>
      </w:pPr>
    </w:p>
    <w:p w14:paraId="4B524E76" w14:textId="26ADCD59"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4"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2F98F483" w14:textId="77777777" w:rsidR="000A5F42" w:rsidRPr="000606CC" w:rsidRDefault="000A5F42" w:rsidP="000A5F42">
      <w:pPr>
        <w:pStyle w:val="NoSpacing"/>
        <w:rPr>
          <w:rStyle w:val="Strong"/>
          <w:rFonts w:cstheme="minorHAnsi"/>
          <w:sz w:val="20"/>
          <w:szCs w:val="18"/>
        </w:rPr>
      </w:pPr>
    </w:p>
    <w:p w14:paraId="19E911CB" w14:textId="56657122"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5"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1D5C682C" w14:textId="0AB8850C"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6" w:history="1">
        <w:r w:rsidRPr="000606CC">
          <w:rPr>
            <w:rStyle w:val="Hyperlink"/>
            <w:rFonts w:cstheme="minorHAnsi"/>
            <w:sz w:val="20"/>
            <w:szCs w:val="18"/>
          </w:rPr>
          <w:t>cdi.editor@health.gov.au</w:t>
        </w:r>
      </w:hyperlink>
      <w:r w:rsidRPr="000606CC">
        <w:rPr>
          <w:rFonts w:cstheme="minorHAnsi"/>
          <w:sz w:val="20"/>
          <w:szCs w:val="18"/>
        </w:rPr>
        <w:t>.</w:t>
      </w:r>
    </w:p>
    <w:p w14:paraId="7D152823" w14:textId="77777777" w:rsidR="000A5F42" w:rsidRPr="000606CC" w:rsidRDefault="000A5F42" w:rsidP="000A5F42">
      <w:pPr>
        <w:pStyle w:val="NoSpacing"/>
        <w:pBdr>
          <w:bottom w:val="single" w:sz="6" w:space="1" w:color="auto"/>
        </w:pBdr>
        <w:rPr>
          <w:rStyle w:val="Strong"/>
          <w:rFonts w:cstheme="minorHAnsi"/>
          <w:sz w:val="12"/>
          <w:szCs w:val="18"/>
        </w:rPr>
      </w:pPr>
    </w:p>
    <w:p w14:paraId="2FB1C3D9" w14:textId="77777777" w:rsidR="000A5F42" w:rsidRPr="000606CC" w:rsidRDefault="000A5F42" w:rsidP="000A5F42">
      <w:pPr>
        <w:pStyle w:val="NoSpacing"/>
        <w:rPr>
          <w:rFonts w:cstheme="minorHAnsi"/>
          <w:sz w:val="20"/>
          <w:szCs w:val="18"/>
        </w:rPr>
      </w:pPr>
    </w:p>
    <w:p w14:paraId="51B31C7F"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5F59049C" w14:textId="77777777" w:rsidR="000A5F42" w:rsidRPr="000606CC" w:rsidRDefault="000A5F42" w:rsidP="000A5F42">
      <w:pPr>
        <w:pStyle w:val="NoSpacing"/>
        <w:rPr>
          <w:rFonts w:cstheme="minorHAnsi"/>
          <w:sz w:val="20"/>
          <w:szCs w:val="18"/>
        </w:rPr>
      </w:pPr>
    </w:p>
    <w:p w14:paraId="7512B1A8"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693663D4"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DA4379">
        <w:rPr>
          <w:rFonts w:cstheme="minorHAnsi"/>
          <w:sz w:val="20"/>
          <w:szCs w:val="18"/>
        </w:rPr>
        <w:t>2022</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Commonwealth of Australia as represented by the Department of Health</w:t>
      </w:r>
    </w:p>
    <w:p w14:paraId="66A0A823" w14:textId="3ADEC2F3"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7"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3C5F24AD" w14:textId="77777777" w:rsidR="000A5F42" w:rsidRPr="000606CC" w:rsidRDefault="000A5F42" w:rsidP="000A5F42">
      <w:pPr>
        <w:pStyle w:val="NoSpacing"/>
        <w:rPr>
          <w:rFonts w:cstheme="minorHAnsi"/>
          <w:sz w:val="20"/>
          <w:szCs w:val="18"/>
        </w:rPr>
      </w:pPr>
    </w:p>
    <w:p w14:paraId="290ED226"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38A0B25A" w14:textId="17AB7F38"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8" w:tooltip="Australian Honours system website" w:history="1">
        <w:r w:rsidRPr="000606CC">
          <w:rPr>
            <w:rStyle w:val="Hyperlink"/>
            <w:rFonts w:cstheme="minorHAnsi"/>
            <w:sz w:val="20"/>
            <w:szCs w:val="18"/>
          </w:rPr>
          <w:t>www.itsanhonour.gov.au</w:t>
        </w:r>
      </w:hyperlink>
      <w:proofErr w:type="gramStart"/>
      <w:r w:rsidRPr="000606CC">
        <w:rPr>
          <w:rStyle w:val="URI"/>
          <w:rFonts w:cstheme="minorHAnsi"/>
          <w:sz w:val="20"/>
          <w:szCs w:val="18"/>
          <w:u w:val="none"/>
        </w:rPr>
        <w:t>)</w:t>
      </w:r>
      <w:r w:rsidRPr="000606CC">
        <w:rPr>
          <w:rFonts w:cstheme="minorHAnsi"/>
          <w:sz w:val="20"/>
          <w:szCs w:val="18"/>
        </w:rPr>
        <w:t>;</w:t>
      </w:r>
      <w:proofErr w:type="gramEnd"/>
      <w:r w:rsidRPr="000606CC">
        <w:rPr>
          <w:rFonts w:cstheme="minorHAnsi"/>
          <w:sz w:val="20"/>
          <w:szCs w:val="18"/>
        </w:rPr>
        <w:t xml:space="preserve">  </w:t>
      </w:r>
    </w:p>
    <w:p w14:paraId="07E7098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456549E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59D1C052"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5ECBDE9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4E27D1D3" w14:textId="77777777" w:rsidR="000A5F42" w:rsidRPr="000606CC" w:rsidRDefault="000A5F42" w:rsidP="000A5F42">
      <w:pPr>
        <w:pStyle w:val="NoSpacing"/>
        <w:rPr>
          <w:rStyle w:val="Strong"/>
          <w:rFonts w:cstheme="minorHAnsi"/>
          <w:sz w:val="20"/>
          <w:szCs w:val="18"/>
        </w:rPr>
      </w:pPr>
    </w:p>
    <w:p w14:paraId="68A96C9B"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46B87829" w14:textId="77777777" w:rsidR="000A5F42" w:rsidRPr="000606CC" w:rsidRDefault="000A5F42" w:rsidP="000A5F42">
      <w:pPr>
        <w:pStyle w:val="NoSpacing"/>
        <w:rPr>
          <w:rStyle w:val="Strong"/>
          <w:rFonts w:cstheme="minorHAnsi"/>
          <w:sz w:val="20"/>
          <w:szCs w:val="18"/>
        </w:rPr>
      </w:pPr>
    </w:p>
    <w:p w14:paraId="2DE68E6B" w14:textId="64838F34"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9"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00F26A54" w14:textId="77777777" w:rsidR="000A5F42" w:rsidRPr="000606CC" w:rsidRDefault="000A5F42" w:rsidP="000A5F42">
      <w:pPr>
        <w:pStyle w:val="NoSpacing"/>
        <w:rPr>
          <w:rStyle w:val="URI"/>
          <w:rFonts w:cstheme="minorHAnsi"/>
          <w:sz w:val="20"/>
          <w:szCs w:val="18"/>
        </w:rPr>
      </w:pPr>
    </w:p>
    <w:p w14:paraId="6EE5C89E" w14:textId="6F1DEEFB"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0" w:tooltip="Communicable Diseases Network Australia website" w:history="1">
        <w:r w:rsidRPr="000606CC">
          <w:rPr>
            <w:rStyle w:val="Hyperlink"/>
            <w:rFonts w:cstheme="minorHAnsi"/>
            <w:sz w:val="20"/>
            <w:szCs w:val="18"/>
          </w:rPr>
          <w:t>http://www.health.gov.au/cdna</w:t>
        </w:r>
      </w:hyperlink>
    </w:p>
    <w:p w14:paraId="004E46C5" w14:textId="77777777" w:rsidR="001B37B8" w:rsidRPr="00E92237" w:rsidRDefault="001B37B8" w:rsidP="001B37B8">
      <w:pPr>
        <w:rPr>
          <w:rFonts w:cs="Myriad Pro"/>
          <w:color w:val="211D1E"/>
          <w:sz w:val="20"/>
          <w:szCs w:val="20"/>
        </w:rPr>
      </w:pPr>
    </w:p>
    <w:sectPr w:rsidR="001B37B8" w:rsidRPr="00E92237" w:rsidSect="002B75A9">
      <w:headerReference w:type="default" r:id="rId21"/>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0986CC" w14:textId="77777777" w:rsidR="00DA4379" w:rsidRDefault="00DA4379" w:rsidP="00E54DBA">
      <w:r>
        <w:separator/>
      </w:r>
    </w:p>
    <w:p w14:paraId="1E84EE0B" w14:textId="77777777" w:rsidR="00DA4379" w:rsidRDefault="00DA4379"/>
    <w:p w14:paraId="6CACDCBB" w14:textId="77777777" w:rsidR="00DA4379" w:rsidRDefault="00DA4379" w:rsidP="008714B0"/>
  </w:endnote>
  <w:endnote w:type="continuationSeparator" w:id="0">
    <w:p w14:paraId="25A5FE9A" w14:textId="77777777" w:rsidR="00DA4379" w:rsidRDefault="00DA4379" w:rsidP="00E54DBA">
      <w:r>
        <w:continuationSeparator/>
      </w:r>
    </w:p>
    <w:p w14:paraId="6C2524B9" w14:textId="77777777" w:rsidR="00DA4379" w:rsidRDefault="00DA4379"/>
    <w:p w14:paraId="67FEB1AF" w14:textId="77777777" w:rsidR="00DA4379" w:rsidRDefault="00DA4379"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44A19" w14:textId="39E19514"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0D3A71">
      <w:rPr>
        <w:i/>
        <w:sz w:val="18"/>
      </w:rPr>
      <w:t>Commun</w:t>
    </w:r>
    <w:proofErr w:type="spellEnd"/>
    <w:r w:rsidR="00CE342B" w:rsidRPr="000D3A71">
      <w:rPr>
        <w:i/>
        <w:sz w:val="18"/>
      </w:rPr>
      <w:t xml:space="preserve"> Dis </w:t>
    </w:r>
    <w:proofErr w:type="spellStart"/>
    <w:r w:rsidR="00CE342B" w:rsidRPr="000D3A71">
      <w:rPr>
        <w:i/>
        <w:sz w:val="18"/>
      </w:rPr>
      <w:t>Intell</w:t>
    </w:r>
    <w:proofErr w:type="spellEnd"/>
    <w:r w:rsidR="00CE342B" w:rsidRPr="000D3A71">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DA4379">
      <w:rPr>
        <w:sz w:val="18"/>
      </w:rPr>
      <w:t>2022</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DA4379">
      <w:rPr>
        <w:sz w:val="18"/>
      </w:rPr>
      <w:t>46</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4202E7">
      <w:rPr>
        <w:sz w:val="18"/>
      </w:rPr>
      <w:t>https://doi.org/10.33321/cdi.2022.46.20</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4202E7">
      <w:rPr>
        <w:sz w:val="18"/>
      </w:rPr>
      <w:t>26/4/2022</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FF142" w14:textId="1F4690B9"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0D3A71">
      <w:rPr>
        <w:i/>
        <w:sz w:val="18"/>
      </w:rPr>
      <w:t>Commun</w:t>
    </w:r>
    <w:proofErr w:type="spellEnd"/>
    <w:r w:rsidR="00A164D5" w:rsidRPr="000D3A71">
      <w:rPr>
        <w:i/>
        <w:sz w:val="18"/>
      </w:rPr>
      <w:t xml:space="preserve"> Dis </w:t>
    </w:r>
    <w:proofErr w:type="spellStart"/>
    <w:r w:rsidR="00A164D5" w:rsidRPr="000D3A71">
      <w:rPr>
        <w:i/>
        <w:sz w:val="18"/>
      </w:rPr>
      <w:t>Intell</w:t>
    </w:r>
    <w:proofErr w:type="spellEnd"/>
    <w:r w:rsidR="00A164D5" w:rsidRPr="000D3A71">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DA4379">
      <w:rPr>
        <w:sz w:val="18"/>
      </w:rPr>
      <w:t>2022</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DA4379">
      <w:rPr>
        <w:sz w:val="18"/>
      </w:rPr>
      <w:t>46</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4202E7">
      <w:rPr>
        <w:sz w:val="18"/>
      </w:rPr>
      <w:t>https://doi.org/10.33321/cdi.2022.46.20</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4202E7">
      <w:rPr>
        <w:sz w:val="18"/>
      </w:rPr>
      <w:t>26/4/2022</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B61A64" w14:textId="77777777" w:rsidR="00DA4379" w:rsidRPr="00B91FB5" w:rsidRDefault="00DA4379" w:rsidP="00B91FB5">
      <w:pPr>
        <w:spacing w:after="0" w:line="240" w:lineRule="auto"/>
        <w:rPr>
          <w:sz w:val="18"/>
          <w:szCs w:val="18"/>
        </w:rPr>
      </w:pPr>
      <w:r w:rsidRPr="00B91FB5">
        <w:rPr>
          <w:sz w:val="18"/>
          <w:szCs w:val="18"/>
        </w:rPr>
        <w:separator/>
      </w:r>
    </w:p>
  </w:footnote>
  <w:footnote w:type="continuationSeparator" w:id="0">
    <w:p w14:paraId="35EF0B0A" w14:textId="77777777" w:rsidR="00DA4379" w:rsidRDefault="00DA4379" w:rsidP="00E54DBA">
      <w:r>
        <w:continuationSeparator/>
      </w:r>
    </w:p>
  </w:footnote>
  <w:footnote w:type="continuationNotice" w:id="1">
    <w:p w14:paraId="1568F906" w14:textId="77777777" w:rsidR="00DA4379" w:rsidRPr="00224EFF" w:rsidRDefault="00DA4379"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F2DA5" w14:textId="282C4E96" w:rsidR="00257484" w:rsidRPr="00A153B6" w:rsidRDefault="00AF7374"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AB4598">
          <w:t>Original Article</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71731"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1BB01025" wp14:editId="4C682937">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7A0395"/>
    <w:multiLevelType w:val="hybridMultilevel"/>
    <w:tmpl w:val="24E81C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2333001"/>
    <w:multiLevelType w:val="multilevel"/>
    <w:tmpl w:val="8500D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5105C62"/>
    <w:multiLevelType w:val="hybridMultilevel"/>
    <w:tmpl w:val="CDF845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E297A2F"/>
    <w:multiLevelType w:val="multilevel"/>
    <w:tmpl w:val="4D2C2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870564"/>
    <w:multiLevelType w:val="hybridMultilevel"/>
    <w:tmpl w:val="FF2AAF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0"/>
  </w:num>
  <w:num w:numId="5">
    <w:abstractNumId w:val="7"/>
  </w:num>
  <w:num w:numId="6">
    <w:abstractNumId w:val="8"/>
  </w:num>
  <w:num w:numId="7">
    <w:abstractNumId w:val="9"/>
  </w:num>
  <w:num w:numId="8">
    <w:abstractNumId w:val="2"/>
  </w:num>
  <w:num w:numId="9">
    <w:abstractNumId w:val="4"/>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noPunctuationKerning/>
  <w:characterSpacingControl w:val="doNotCompress"/>
  <w:hdrShapeDefaults>
    <o:shapedefaults v:ext="edit" spidmax="1228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379"/>
    <w:rsid w:val="00000B5B"/>
    <w:rsid w:val="00001611"/>
    <w:rsid w:val="000104A8"/>
    <w:rsid w:val="0001246E"/>
    <w:rsid w:val="000124B1"/>
    <w:rsid w:val="00016FE6"/>
    <w:rsid w:val="00030519"/>
    <w:rsid w:val="00031064"/>
    <w:rsid w:val="00031692"/>
    <w:rsid w:val="00032531"/>
    <w:rsid w:val="000325A0"/>
    <w:rsid w:val="000471BF"/>
    <w:rsid w:val="00047B68"/>
    <w:rsid w:val="00052600"/>
    <w:rsid w:val="0005643C"/>
    <w:rsid w:val="0006264A"/>
    <w:rsid w:val="00073D77"/>
    <w:rsid w:val="00081655"/>
    <w:rsid w:val="000864E0"/>
    <w:rsid w:val="000969B3"/>
    <w:rsid w:val="000A5F42"/>
    <w:rsid w:val="000D3A71"/>
    <w:rsid w:val="000D4B4D"/>
    <w:rsid w:val="00113D58"/>
    <w:rsid w:val="001200CB"/>
    <w:rsid w:val="0012157B"/>
    <w:rsid w:val="001378A3"/>
    <w:rsid w:val="00155582"/>
    <w:rsid w:val="00161590"/>
    <w:rsid w:val="00166EB7"/>
    <w:rsid w:val="00167B88"/>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1E1F3D"/>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78"/>
    <w:rsid w:val="00280594"/>
    <w:rsid w:val="00281EE3"/>
    <w:rsid w:val="00284E4A"/>
    <w:rsid w:val="0029550D"/>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46D42"/>
    <w:rsid w:val="00346E11"/>
    <w:rsid w:val="003601C0"/>
    <w:rsid w:val="003635F5"/>
    <w:rsid w:val="00372A88"/>
    <w:rsid w:val="00381A0F"/>
    <w:rsid w:val="0038799F"/>
    <w:rsid w:val="003A1B3A"/>
    <w:rsid w:val="003A40F5"/>
    <w:rsid w:val="003B5B8C"/>
    <w:rsid w:val="003D79B1"/>
    <w:rsid w:val="003E74EE"/>
    <w:rsid w:val="003F0552"/>
    <w:rsid w:val="003F3BC2"/>
    <w:rsid w:val="00401ED1"/>
    <w:rsid w:val="0040224C"/>
    <w:rsid w:val="00413EE1"/>
    <w:rsid w:val="004164BB"/>
    <w:rsid w:val="0042000E"/>
    <w:rsid w:val="004202E7"/>
    <w:rsid w:val="00421ECE"/>
    <w:rsid w:val="00422FEB"/>
    <w:rsid w:val="0042435E"/>
    <w:rsid w:val="004315F5"/>
    <w:rsid w:val="00433456"/>
    <w:rsid w:val="00433DFA"/>
    <w:rsid w:val="00434D0C"/>
    <w:rsid w:val="00435D67"/>
    <w:rsid w:val="00464A58"/>
    <w:rsid w:val="00473D2D"/>
    <w:rsid w:val="004A2125"/>
    <w:rsid w:val="004A38F6"/>
    <w:rsid w:val="004B4EB6"/>
    <w:rsid w:val="004C083C"/>
    <w:rsid w:val="004C67C6"/>
    <w:rsid w:val="004D29DE"/>
    <w:rsid w:val="00510EAC"/>
    <w:rsid w:val="00542A57"/>
    <w:rsid w:val="00565974"/>
    <w:rsid w:val="005732C0"/>
    <w:rsid w:val="0057336D"/>
    <w:rsid w:val="0057489A"/>
    <w:rsid w:val="00574ACF"/>
    <w:rsid w:val="00581588"/>
    <w:rsid w:val="0058540B"/>
    <w:rsid w:val="00587C87"/>
    <w:rsid w:val="00590B80"/>
    <w:rsid w:val="00592CBC"/>
    <w:rsid w:val="005B3134"/>
    <w:rsid w:val="005B4E61"/>
    <w:rsid w:val="005B595A"/>
    <w:rsid w:val="005B66C2"/>
    <w:rsid w:val="005C66A6"/>
    <w:rsid w:val="005D2465"/>
    <w:rsid w:val="005E066B"/>
    <w:rsid w:val="005E33DD"/>
    <w:rsid w:val="005E4229"/>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63EA5"/>
    <w:rsid w:val="00692E1C"/>
    <w:rsid w:val="006971F3"/>
    <w:rsid w:val="00697882"/>
    <w:rsid w:val="006C74A3"/>
    <w:rsid w:val="006D1381"/>
    <w:rsid w:val="006D31BC"/>
    <w:rsid w:val="006E7943"/>
    <w:rsid w:val="006F24EA"/>
    <w:rsid w:val="00704CA9"/>
    <w:rsid w:val="0071048D"/>
    <w:rsid w:val="00710F86"/>
    <w:rsid w:val="007111A8"/>
    <w:rsid w:val="00717CF3"/>
    <w:rsid w:val="00731BC3"/>
    <w:rsid w:val="00732DB8"/>
    <w:rsid w:val="00741192"/>
    <w:rsid w:val="00743A33"/>
    <w:rsid w:val="00746080"/>
    <w:rsid w:val="0075144A"/>
    <w:rsid w:val="00765DAF"/>
    <w:rsid w:val="00786329"/>
    <w:rsid w:val="00792C7D"/>
    <w:rsid w:val="00794A4D"/>
    <w:rsid w:val="007A5234"/>
    <w:rsid w:val="007B7854"/>
    <w:rsid w:val="007C56A1"/>
    <w:rsid w:val="007C6008"/>
    <w:rsid w:val="007C6454"/>
    <w:rsid w:val="007E01E0"/>
    <w:rsid w:val="007F0B93"/>
    <w:rsid w:val="007F2ECA"/>
    <w:rsid w:val="0080421D"/>
    <w:rsid w:val="00811708"/>
    <w:rsid w:val="00816B90"/>
    <w:rsid w:val="00817799"/>
    <w:rsid w:val="00822F5F"/>
    <w:rsid w:val="00824FD3"/>
    <w:rsid w:val="00826589"/>
    <w:rsid w:val="00834BCC"/>
    <w:rsid w:val="00850D54"/>
    <w:rsid w:val="00852E2B"/>
    <w:rsid w:val="00865DAC"/>
    <w:rsid w:val="008714B0"/>
    <w:rsid w:val="00876331"/>
    <w:rsid w:val="00880726"/>
    <w:rsid w:val="008A3544"/>
    <w:rsid w:val="008B48B8"/>
    <w:rsid w:val="008B5348"/>
    <w:rsid w:val="008B58F8"/>
    <w:rsid w:val="008C0712"/>
    <w:rsid w:val="008C4520"/>
    <w:rsid w:val="008C5F09"/>
    <w:rsid w:val="008D470F"/>
    <w:rsid w:val="008E1F8F"/>
    <w:rsid w:val="008E4768"/>
    <w:rsid w:val="008E6FC1"/>
    <w:rsid w:val="008E761E"/>
    <w:rsid w:val="008F77B3"/>
    <w:rsid w:val="009008F5"/>
    <w:rsid w:val="00904CC1"/>
    <w:rsid w:val="009066AF"/>
    <w:rsid w:val="00912050"/>
    <w:rsid w:val="00912E48"/>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E2423"/>
    <w:rsid w:val="009E55D7"/>
    <w:rsid w:val="009F3A64"/>
    <w:rsid w:val="009F4150"/>
    <w:rsid w:val="009F5665"/>
    <w:rsid w:val="009F5DAD"/>
    <w:rsid w:val="00A01BCA"/>
    <w:rsid w:val="00A10458"/>
    <w:rsid w:val="00A13A31"/>
    <w:rsid w:val="00A153B6"/>
    <w:rsid w:val="00A164D5"/>
    <w:rsid w:val="00A273C3"/>
    <w:rsid w:val="00A30C37"/>
    <w:rsid w:val="00A36C65"/>
    <w:rsid w:val="00A41BBE"/>
    <w:rsid w:val="00A443E3"/>
    <w:rsid w:val="00A45BDD"/>
    <w:rsid w:val="00A46A0A"/>
    <w:rsid w:val="00A553F8"/>
    <w:rsid w:val="00A6708F"/>
    <w:rsid w:val="00A71BF6"/>
    <w:rsid w:val="00A72AF9"/>
    <w:rsid w:val="00A86F9A"/>
    <w:rsid w:val="00AA0988"/>
    <w:rsid w:val="00AA35E6"/>
    <w:rsid w:val="00AA50B6"/>
    <w:rsid w:val="00AB3472"/>
    <w:rsid w:val="00AB4598"/>
    <w:rsid w:val="00AD0762"/>
    <w:rsid w:val="00AE3DCF"/>
    <w:rsid w:val="00AE4452"/>
    <w:rsid w:val="00AE7C38"/>
    <w:rsid w:val="00B01F99"/>
    <w:rsid w:val="00B02B37"/>
    <w:rsid w:val="00B05276"/>
    <w:rsid w:val="00B132DB"/>
    <w:rsid w:val="00B31427"/>
    <w:rsid w:val="00B33861"/>
    <w:rsid w:val="00B40DE2"/>
    <w:rsid w:val="00B50210"/>
    <w:rsid w:val="00B53955"/>
    <w:rsid w:val="00B6408A"/>
    <w:rsid w:val="00B714B8"/>
    <w:rsid w:val="00B82C2C"/>
    <w:rsid w:val="00B8720B"/>
    <w:rsid w:val="00B876EF"/>
    <w:rsid w:val="00B91FB5"/>
    <w:rsid w:val="00BA4697"/>
    <w:rsid w:val="00BB5378"/>
    <w:rsid w:val="00BC0BD3"/>
    <w:rsid w:val="00BD0107"/>
    <w:rsid w:val="00BE0C33"/>
    <w:rsid w:val="00BE262C"/>
    <w:rsid w:val="00BE4C25"/>
    <w:rsid w:val="00BE6C3D"/>
    <w:rsid w:val="00C07606"/>
    <w:rsid w:val="00C12542"/>
    <w:rsid w:val="00C24725"/>
    <w:rsid w:val="00C30BA9"/>
    <w:rsid w:val="00C3541E"/>
    <w:rsid w:val="00C36A8F"/>
    <w:rsid w:val="00C41F74"/>
    <w:rsid w:val="00C42834"/>
    <w:rsid w:val="00C42FFA"/>
    <w:rsid w:val="00C507D8"/>
    <w:rsid w:val="00C62EAC"/>
    <w:rsid w:val="00C63F9F"/>
    <w:rsid w:val="00C7723C"/>
    <w:rsid w:val="00C838F5"/>
    <w:rsid w:val="00C841C0"/>
    <w:rsid w:val="00CA1AF4"/>
    <w:rsid w:val="00CA6068"/>
    <w:rsid w:val="00CB15E1"/>
    <w:rsid w:val="00CB3D46"/>
    <w:rsid w:val="00CD1A87"/>
    <w:rsid w:val="00CD35F3"/>
    <w:rsid w:val="00CD5C93"/>
    <w:rsid w:val="00CD71B4"/>
    <w:rsid w:val="00CE342B"/>
    <w:rsid w:val="00CE5201"/>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74140"/>
    <w:rsid w:val="00DA4379"/>
    <w:rsid w:val="00DA6E56"/>
    <w:rsid w:val="00DC24E5"/>
    <w:rsid w:val="00DC6705"/>
    <w:rsid w:val="00DD2DE8"/>
    <w:rsid w:val="00DE38B4"/>
    <w:rsid w:val="00DE5D02"/>
    <w:rsid w:val="00E005A9"/>
    <w:rsid w:val="00E1166E"/>
    <w:rsid w:val="00E13D35"/>
    <w:rsid w:val="00E24DC0"/>
    <w:rsid w:val="00E2519C"/>
    <w:rsid w:val="00E25F2A"/>
    <w:rsid w:val="00E41455"/>
    <w:rsid w:val="00E42AD2"/>
    <w:rsid w:val="00E50856"/>
    <w:rsid w:val="00E538CC"/>
    <w:rsid w:val="00E54BBD"/>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D442D"/>
    <w:rsid w:val="00ED70C2"/>
    <w:rsid w:val="00EE18FF"/>
    <w:rsid w:val="00EE489F"/>
    <w:rsid w:val="00F0647F"/>
    <w:rsid w:val="00F10CE3"/>
    <w:rsid w:val="00F12006"/>
    <w:rsid w:val="00F13443"/>
    <w:rsid w:val="00F14F3B"/>
    <w:rsid w:val="00F16362"/>
    <w:rsid w:val="00F207C7"/>
    <w:rsid w:val="00F36B6D"/>
    <w:rsid w:val="00F43FA3"/>
    <w:rsid w:val="00F45D52"/>
    <w:rsid w:val="00F55648"/>
    <w:rsid w:val="00F70046"/>
    <w:rsid w:val="00F748C2"/>
    <w:rsid w:val="00F74958"/>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16BF203"/>
  <w15:docId w15:val="{3B123754-F100-4D0D-8AEC-4FAB8B80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42000E"/>
    <w:pPr>
      <w:spacing w:after="0" w:line="240" w:lineRule="auto"/>
    </w:pPr>
    <w:rPr>
      <w:rFonts w:ascii="Calibri" w:hAnsi="Calibri"/>
    </w:rPr>
    <w:tblPr>
      <w:tblStyleRowBandSize w:val="1"/>
      <w:tblCellMar>
        <w:top w:w="57" w:type="dxa"/>
        <w:left w:w="57" w:type="dxa"/>
        <w:bottom w:w="57" w:type="dxa"/>
        <w:right w:w="57" w:type="dxa"/>
      </w:tblCellMar>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au/cdi" TargetMode="External"/><Relationship Id="rId18" Type="http://schemas.openxmlformats.org/officeDocument/2006/relationships/hyperlink" Target="http://www.itsanhonour.gov.au/"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creativecommons.org/licenses/by-nc-nd/4.0/legalcode"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health.gov.au/cd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health.gov.au/cdi"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copyright@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cdi.editor@health.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2\template-202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template-2022.dotm</Template>
  <TotalTime>20</TotalTime>
  <Pages>12</Pages>
  <Words>4694</Words>
  <Characters>28221</Characters>
  <Application>Microsoft Office Word</Application>
  <DocSecurity>0</DocSecurity>
  <Lines>235</Lines>
  <Paragraphs>65</Paragraphs>
  <ScaleCrop>false</ScaleCrop>
  <HeadingPairs>
    <vt:vector size="2" baseType="variant">
      <vt:variant>
        <vt:lpstr>Title</vt:lpstr>
      </vt:variant>
      <vt:variant>
        <vt:i4>1</vt:i4>
      </vt:variant>
    </vt:vector>
  </HeadingPairs>
  <TitlesOfParts>
    <vt:vector size="1" baseType="lpstr">
      <vt:lpstr>Communicable Diseases Intelligence 2021 - Communicable Diseases Intelligence 2022 - Time taken by individuals with respiratory symptoms to present to primary care: a descriptive study of assessments at Australian General Practitioner-led respiratory clini</vt:lpstr>
    </vt:vector>
  </TitlesOfParts>
  <Company>Australian Government, Department of Health</Company>
  <LinksUpToDate>false</LinksUpToDate>
  <CharactersWithSpaces>32850</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2021 - Communicable Diseases Intelligence 2022 - Time taken by individuals with respiratory symptoms to present to primary care: a descriptive study of assessments at Australian General Practitioner-led respiratory clinics</dc:title>
  <dc:subject>This article presents a descriptive study investigating the time taken by people to present to General Practitioner-led (GP) respiratory clinics in Australia following the development of respiratory infection symptoms in the period from 1 February to 31 August 2021. Associations between demographic characteristics and geographic location of participants was explored.</dc:subject>
  <dc:creator>Victoria E Mansell;Theophilus I Emeto;Stephanie Davis</dc:creator>
  <cp:keywords>COVID-19; Coronavirus disease 2019; SARS-CoV-2; respiratory symptoms; primary health care; public health response; testing; Australia</cp:keywords>
  <dc:description>© Commonwealth of Australia CC BY-NC-ND ISSN: 2209-6051 (Online)</dc:description>
  <cp:lastModifiedBy>YOUSEFI, Kasra</cp:lastModifiedBy>
  <cp:revision>13</cp:revision>
  <cp:lastPrinted>2018-05-10T02:19:00Z</cp:lastPrinted>
  <dcterms:created xsi:type="dcterms:W3CDTF">2022-03-22T05:27:00Z</dcterms:created>
  <dcterms:modified xsi:type="dcterms:W3CDTF">2022-04-08T07:13:00Z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2022</vt:lpwstr>
  </property>
  <property fmtid="{D5CDD505-2E9C-101B-9397-08002B2CF9AE}" pid="3" name="Vol">
    <vt:i4>46</vt:i4>
  </property>
  <property fmtid="{D5CDD505-2E9C-101B-9397-08002B2CF9AE}" pid="4" name="ePubDate">
    <vt:lpwstr>26/4/2022</vt:lpwstr>
  </property>
  <property fmtid="{D5CDD505-2E9C-101B-9397-08002B2CF9AE}" pid="5" name="DOI">
    <vt:lpwstr>https://doi.org/10.33321/cdi.2022.46.20</vt:lpwstr>
  </property>
</Properties>
</file>