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24D614" w14:textId="5AFD904A" w:rsidR="008A452D" w:rsidRPr="008A452D" w:rsidRDefault="008A452D" w:rsidP="008A452D">
      <w:pPr>
        <w:pStyle w:val="Title"/>
        <w:rPr>
          <w:rFonts w:eastAsia="Times New Roman"/>
          <w:spacing w:val="-20"/>
          <w:sz w:val="48"/>
          <w:szCs w:val="48"/>
        </w:rPr>
      </w:pPr>
      <w:r w:rsidRPr="008A452D">
        <w:rPr>
          <w:rFonts w:eastAsia="Times New Roman"/>
          <w:spacing w:val="-20"/>
        </w:rPr>
        <w:t>Nocardiosis in the Illawarra-Shoalhaven region</w:t>
      </w:r>
      <w:r w:rsidR="00A316AC">
        <w:rPr>
          <w:rFonts w:eastAsia="Times New Roman"/>
          <w:spacing w:val="-20"/>
        </w:rPr>
        <w:t xml:space="preserve"> </w:t>
      </w:r>
      <w:r w:rsidRPr="008A452D">
        <w:rPr>
          <w:rFonts w:eastAsia="Times New Roman"/>
          <w:spacing w:val="-20"/>
        </w:rPr>
        <w:t>from</w:t>
      </w:r>
      <w:r w:rsidR="000512A8">
        <w:rPr>
          <w:rFonts w:eastAsia="Times New Roman"/>
          <w:spacing w:val="-20"/>
        </w:rPr>
        <w:t> </w:t>
      </w:r>
      <w:r w:rsidRPr="008A452D">
        <w:rPr>
          <w:rFonts w:eastAsia="Times New Roman"/>
          <w:spacing w:val="-20"/>
        </w:rPr>
        <w:t>2010</w:t>
      </w:r>
      <w:r w:rsidR="000512A8">
        <w:rPr>
          <w:rFonts w:eastAsia="Times New Roman"/>
          <w:spacing w:val="-20"/>
        </w:rPr>
        <w:t> </w:t>
      </w:r>
      <w:r w:rsidRPr="008A452D">
        <w:rPr>
          <w:rFonts w:eastAsia="Times New Roman"/>
          <w:spacing w:val="-20"/>
        </w:rPr>
        <w:t>to</w:t>
      </w:r>
      <w:r>
        <w:rPr>
          <w:rFonts w:eastAsia="Times New Roman"/>
          <w:spacing w:val="-20"/>
        </w:rPr>
        <w:t> </w:t>
      </w:r>
      <w:r w:rsidRPr="008A452D">
        <w:rPr>
          <w:rFonts w:eastAsia="Times New Roman"/>
          <w:spacing w:val="-20"/>
        </w:rPr>
        <w:t xml:space="preserve">2019 </w:t>
      </w:r>
    </w:p>
    <w:p w14:paraId="13356834" w14:textId="77777777" w:rsidR="008A452D" w:rsidRDefault="008A452D" w:rsidP="008A452D">
      <w:r>
        <w:t xml:space="preserve">Darcy Gray, Simeon Crawford, Peter Newton </w:t>
      </w:r>
    </w:p>
    <w:p w14:paraId="02EB4971" w14:textId="77777777" w:rsidR="008A452D" w:rsidRPr="00A9052A" w:rsidRDefault="008A452D" w:rsidP="00A9052A">
      <w:pPr>
        <w:pStyle w:val="Heading1"/>
      </w:pPr>
      <w:r w:rsidRPr="00A9052A">
        <w:t xml:space="preserve">Abstract </w:t>
      </w:r>
    </w:p>
    <w:p w14:paraId="176D3085" w14:textId="77777777" w:rsidR="008A452D" w:rsidRDefault="008A452D" w:rsidP="00C3300C">
      <w:r w:rsidRPr="008A452D">
        <w:rPr>
          <w:rStyle w:val="Emphasis"/>
          <w:b w:val="0"/>
          <w:bCs w:val="0"/>
        </w:rPr>
        <w:t>Nocardia</w:t>
      </w:r>
      <w:r>
        <w:t xml:space="preserve"> species are a diverse group of gram-positive bacteria that are encountered as pathogens in clinical practice. They are ubiquitous environmental organisms classically causing opportunistic infections in immunocompromised individuals. This case series describes the epidemiological, microbiological and clinical features of 26 culture-proven cases of nocardiosis presenting to the public healthcare service in a regional area of New South Wales over a </w:t>
      </w:r>
      <w:proofErr w:type="gramStart"/>
      <w:r>
        <w:t>ten year</w:t>
      </w:r>
      <w:proofErr w:type="gramEnd"/>
      <w:r>
        <w:t xml:space="preserve"> period. These cases involved ten distinct species of </w:t>
      </w:r>
      <w:r w:rsidRPr="008A452D">
        <w:rPr>
          <w:rStyle w:val="Emphasis"/>
          <w:b w:val="0"/>
          <w:bCs w:val="0"/>
        </w:rPr>
        <w:t xml:space="preserve">Nocardia </w:t>
      </w:r>
      <w:r>
        <w:t xml:space="preserve">and appeared to demonstrate increasing incidence over time. </w:t>
      </w:r>
    </w:p>
    <w:p w14:paraId="52EB2832" w14:textId="77777777" w:rsidR="008A452D" w:rsidRDefault="008A452D" w:rsidP="00C3300C">
      <w:r>
        <w:t xml:space="preserve">The majority of </w:t>
      </w:r>
      <w:r w:rsidRPr="008A452D">
        <w:rPr>
          <w:rStyle w:val="Emphasis"/>
          <w:b w:val="0"/>
          <w:bCs w:val="0"/>
        </w:rPr>
        <w:t>Nocardia</w:t>
      </w:r>
      <w:r>
        <w:t xml:space="preserve"> isolates (88%) were grown on conventional bacteriological media and speciation was primarily via 16S rRNA sequencing and/or matrix assisted laser desorption ionisation—time of flight mass spectrometry. </w:t>
      </w:r>
      <w:proofErr w:type="gramStart"/>
      <w:r>
        <w:t>Similar to</w:t>
      </w:r>
      <w:proofErr w:type="gramEnd"/>
      <w:r>
        <w:t xml:space="preserve"> other Australian </w:t>
      </w:r>
      <w:r w:rsidRPr="008A452D">
        <w:rPr>
          <w:rStyle w:val="Emphasis"/>
          <w:b w:val="0"/>
          <w:bCs w:val="0"/>
        </w:rPr>
        <w:t>Nocardia</w:t>
      </w:r>
      <w:r>
        <w:t xml:space="preserve"> studies, the isolates seen in this case series were universally susceptible to trimethoprim-sulfamethoxazole. This was reflected in treatment data, with all but one patient receiving this agent as part of their antibiotic regimen. </w:t>
      </w:r>
    </w:p>
    <w:p w14:paraId="2271FAC1" w14:textId="77777777" w:rsidR="008A452D" w:rsidRDefault="008A452D" w:rsidP="00C3300C">
      <w:r>
        <w:t xml:space="preserve">While similar case series have been reported from other Australian states, there are no published clinical studies of nocardiosis in New South Wales. Given the nature of </w:t>
      </w:r>
      <w:r w:rsidRPr="008A452D">
        <w:rPr>
          <w:rStyle w:val="Emphasis"/>
          <w:b w:val="0"/>
          <w:bCs w:val="0"/>
        </w:rPr>
        <w:t>Nocardia</w:t>
      </w:r>
      <w:r>
        <w:t xml:space="preserve"> species as an environmental saprophyte, this study examined the association between incidence of nocardiosis and regional geographic or climatic variation but was unable to demonstrate a statistically significant correlation. </w:t>
      </w:r>
    </w:p>
    <w:p w14:paraId="09AD89DF" w14:textId="77777777" w:rsidR="008A452D" w:rsidRDefault="008A452D" w:rsidP="00C3300C">
      <w:r>
        <w:t xml:space="preserve">Keywords: Nocardia; nocardial infection; Australia; microbiology </w:t>
      </w:r>
    </w:p>
    <w:p w14:paraId="618ED5A0" w14:textId="77777777" w:rsidR="008A452D" w:rsidRPr="00A9052A" w:rsidRDefault="008A452D" w:rsidP="00A9052A">
      <w:pPr>
        <w:pStyle w:val="Heading1"/>
      </w:pPr>
      <w:r w:rsidRPr="00A9052A">
        <w:t xml:space="preserve">Introduction </w:t>
      </w:r>
    </w:p>
    <w:p w14:paraId="3FA63C02" w14:textId="77777777" w:rsidR="008A452D" w:rsidRDefault="008A452D" w:rsidP="00C3300C">
      <w:r w:rsidRPr="008A452D">
        <w:rPr>
          <w:rStyle w:val="Emphasis"/>
          <w:b w:val="0"/>
          <w:bCs w:val="0"/>
        </w:rPr>
        <w:t>Nocardia</w:t>
      </w:r>
      <w:r>
        <w:t xml:space="preserve"> species are a diverse group of filamentous gram-positive aerobic bacteria of the order </w:t>
      </w:r>
      <w:proofErr w:type="spellStart"/>
      <w:r>
        <w:t>Actinomycetales</w:t>
      </w:r>
      <w:proofErr w:type="spellEnd"/>
      <w:r>
        <w:t xml:space="preserve">. They are </w:t>
      </w:r>
      <w:proofErr w:type="gramStart"/>
      <w:r>
        <w:t>most commonly associated</w:t>
      </w:r>
      <w:proofErr w:type="gramEnd"/>
      <w:r>
        <w:t xml:space="preserve"> with opportunistic infections, often disseminated, in immunocompromised patients. They can also cause localised infection following direct inoculation, usually without dissemination, in immunocompetent individuals.</w:t>
      </w:r>
      <w:r>
        <w:rPr>
          <w:vertAlign w:val="superscript"/>
        </w:rPr>
        <w:t>1</w:t>
      </w:r>
      <w:r>
        <w:t xml:space="preserve"> </w:t>
      </w:r>
    </w:p>
    <w:p w14:paraId="6758ED3E" w14:textId="77777777" w:rsidR="008A452D" w:rsidRDefault="008A452D" w:rsidP="00C3300C">
      <w:r>
        <w:t xml:space="preserve">These bacteria are ubiquitous within the environment and are present in soil, </w:t>
      </w:r>
      <w:proofErr w:type="gramStart"/>
      <w:r>
        <w:t>water</w:t>
      </w:r>
      <w:proofErr w:type="gramEnd"/>
      <w:r>
        <w:t xml:space="preserve"> and organic material.</w:t>
      </w:r>
      <w:r>
        <w:rPr>
          <w:vertAlign w:val="superscript"/>
        </w:rPr>
        <w:t>2</w:t>
      </w:r>
      <w:r>
        <w:t xml:space="preserve"> They have a variable geographic distribution. Data on infections in Australia is limited and comprised of case series and small observational studies. While previous reports have defined the pattern of nocardiosis in the Northern Territory,</w:t>
      </w:r>
      <w:r>
        <w:rPr>
          <w:vertAlign w:val="superscript"/>
        </w:rPr>
        <w:t>3</w:t>
      </w:r>
      <w:r>
        <w:t xml:space="preserve"> Queensland,</w:t>
      </w:r>
      <w:r>
        <w:rPr>
          <w:vertAlign w:val="superscript"/>
        </w:rPr>
        <w:t>4</w:t>
      </w:r>
      <w:r>
        <w:t xml:space="preserve"> Victoria,</w:t>
      </w:r>
      <w:r>
        <w:rPr>
          <w:vertAlign w:val="superscript"/>
        </w:rPr>
        <w:t>5,6</w:t>
      </w:r>
      <w:r>
        <w:t xml:space="preserve"> and the Australian Capital Territory,</w:t>
      </w:r>
      <w:r>
        <w:rPr>
          <w:vertAlign w:val="superscript"/>
        </w:rPr>
        <w:t>7</w:t>
      </w:r>
      <w:r>
        <w:t xml:space="preserve"> none have examined the presentations related to </w:t>
      </w:r>
      <w:r w:rsidRPr="008A452D">
        <w:rPr>
          <w:rStyle w:val="Emphasis"/>
          <w:b w:val="0"/>
          <w:bCs w:val="0"/>
        </w:rPr>
        <w:t>Nocardia</w:t>
      </w:r>
      <w:r>
        <w:t xml:space="preserve"> infections in New South Wales (NSW). </w:t>
      </w:r>
    </w:p>
    <w:p w14:paraId="59925F87" w14:textId="4A91FD7B" w:rsidR="008A452D" w:rsidRDefault="008A452D" w:rsidP="00C3300C">
      <w:r>
        <w:t>The Illawarra-Shoalhaven region extends from Helensburgh on the southern outskirts of Sydney to North Durras on the NSW South Coast. This region had a population of approximately 400,000 in 2015;</w:t>
      </w:r>
      <w:r>
        <w:rPr>
          <w:vertAlign w:val="superscript"/>
        </w:rPr>
        <w:t>8,9</w:t>
      </w:r>
      <w:r>
        <w:t xml:space="preserve"> it comprises a diverse range of human environments from major metropolitan to rural areas. The Illawarra Shoalhaven Local Health District (ISLHD) provides public healthcare services to this region. Wollongong Hospital is the tertiary referral hospital and location of the NSW Health Pathology microbiology laboratory serving ISLHD. In this study we sought to examine all cases of nocardiosis presenting to ISLHD services over the ten-year period from 2010 to 2019, to understand the local epidemiology, </w:t>
      </w:r>
      <w:proofErr w:type="gramStart"/>
      <w:r>
        <w:t>microbiology</w:t>
      </w:r>
      <w:proofErr w:type="gramEnd"/>
      <w:r>
        <w:t xml:space="preserve"> and clinical characteristics of </w:t>
      </w:r>
      <w:r w:rsidRPr="008A452D">
        <w:rPr>
          <w:rStyle w:val="Emphasis"/>
          <w:b w:val="0"/>
          <w:bCs w:val="0"/>
        </w:rPr>
        <w:t>Nocardia</w:t>
      </w:r>
      <w:r>
        <w:t xml:space="preserve"> infections compared to that described in </w:t>
      </w:r>
      <w:r>
        <w:lastRenderedPageBreak/>
        <w:t>other studies. We also assessed the association between incidence of nocardiosis in ISLHD and regional rainfall</w:t>
      </w:r>
      <w:r w:rsidR="00E37F79">
        <w:t> </w:t>
      </w:r>
      <w:r>
        <w:t xml:space="preserve">patterns. </w:t>
      </w:r>
    </w:p>
    <w:p w14:paraId="5F67AF7C" w14:textId="77777777" w:rsidR="008A452D" w:rsidRPr="00A9052A" w:rsidRDefault="008A452D" w:rsidP="00A9052A">
      <w:pPr>
        <w:pStyle w:val="Heading1"/>
      </w:pPr>
      <w:r w:rsidRPr="00A9052A">
        <w:t xml:space="preserve">Methods </w:t>
      </w:r>
    </w:p>
    <w:p w14:paraId="27C4020A" w14:textId="77777777" w:rsidR="008A452D" w:rsidRDefault="008A452D" w:rsidP="00A9052A">
      <w:r>
        <w:t xml:space="preserve">Cases of culture-confirmed nocardiosis were identified through interrogation of the NSW Health Pathology Wollongong Hospital microbiology laboratory records for the period 2010–2019. </w:t>
      </w:r>
      <w:proofErr w:type="gramStart"/>
      <w:r>
        <w:t>The NSW Health Pathology reference laboratories, Institute for Clinical Pathology and Medical Research (Westmead Hospital) and Australian National Reference Laboratory in Medical Mycology (Royal North Shore Hospital),</w:t>
      </w:r>
      <w:proofErr w:type="gramEnd"/>
      <w:r>
        <w:t xml:space="preserve"> were also canvassed for isolates sent to these sites from ISLHD during this time period. Additional cases were identified through a search of the clinical records of the Department of Infectious Diseases at Wollongong Hospital and Shoalhaven District Memorial Hospital. </w:t>
      </w:r>
    </w:p>
    <w:p w14:paraId="258EF2E1" w14:textId="77777777" w:rsidR="008A452D" w:rsidRDefault="008A452D" w:rsidP="00A9052A">
      <w:r>
        <w:t xml:space="preserve">Routine cultures of swabs and respiratory samples were inoculated, as a minimum, onto horse blood agar and MacConkey agar and incubated for two days. Tissue samples, normally sterile body fluids and positive blood culture subcultures were additionally inoculated onto chocolate agar and incubated routinely for three days. If </w:t>
      </w:r>
      <w:r w:rsidRPr="008A452D">
        <w:rPr>
          <w:rStyle w:val="Emphasis"/>
          <w:b w:val="0"/>
          <w:bCs w:val="0"/>
        </w:rPr>
        <w:t>Nocardia</w:t>
      </w:r>
      <w:r>
        <w:t xml:space="preserve"> culture was requested or branching gram-positive bacilli were seen on direct specimen microscopy then direct, modified acid-fast (</w:t>
      </w:r>
      <w:proofErr w:type="spellStart"/>
      <w:r>
        <w:t>Ziehl-Neelsen</w:t>
      </w:r>
      <w:proofErr w:type="spellEnd"/>
      <w:r>
        <w:t>) stain and standard acid-fast (</w:t>
      </w:r>
      <w:proofErr w:type="spellStart"/>
      <w:r>
        <w:t>Ziehl-Neelsen</w:t>
      </w:r>
      <w:proofErr w:type="spellEnd"/>
      <w:r>
        <w:t xml:space="preserve">) stains were performed/examined and blood agar plate cultures were incubated aerobically for seven days. Blood cultures were inoculated into BD BACTEC Plus Aerobic/F (Becton Dickinson) and processed with the BD BACTEC 9240 (Becton Dickinson) system with a routine incubation period of five days. If mycobacterial culture was requested the samples were processed by the NSW Health Pathology Mycobacteriology laboratory at St George Hospital, Kogarah, NSW Australia. Samples were inoculated onto two Lowenstein-Jensen agar slopes (with and without pyruvate) and a Mycobacteria Growth Indicator Tube (Becton Dickinson) and incubated routinely for eight weeks. No changes in the laboratory methods for </w:t>
      </w:r>
      <w:r w:rsidRPr="008A452D">
        <w:rPr>
          <w:rStyle w:val="Emphasis"/>
          <w:b w:val="0"/>
          <w:bCs w:val="0"/>
        </w:rPr>
        <w:t>Nocardia</w:t>
      </w:r>
      <w:r>
        <w:t xml:space="preserve"> species culture were made during the study period. </w:t>
      </w:r>
    </w:p>
    <w:p w14:paraId="780872E2" w14:textId="77777777" w:rsidR="008A452D" w:rsidRDefault="008A452D" w:rsidP="00A9052A">
      <w:r>
        <w:t xml:space="preserve">Culture isolates were presumptively identified as </w:t>
      </w:r>
      <w:r w:rsidRPr="008A452D">
        <w:rPr>
          <w:rStyle w:val="Emphasis"/>
          <w:b w:val="0"/>
          <w:bCs w:val="0"/>
        </w:rPr>
        <w:t>Nocardia</w:t>
      </w:r>
      <w:r>
        <w:t xml:space="preserve"> species based on strict aerobic growth, colony morphology, Gram stain morphology and positive modified acid-fast (</w:t>
      </w:r>
      <w:proofErr w:type="spellStart"/>
      <w:r>
        <w:t>Ziehl-Neelsen</w:t>
      </w:r>
      <w:proofErr w:type="spellEnd"/>
      <w:r>
        <w:t>) stain and negative standard acid-fast (</w:t>
      </w:r>
      <w:proofErr w:type="spellStart"/>
      <w:r>
        <w:t>Ziehl-Neelsen</w:t>
      </w:r>
      <w:proofErr w:type="spellEnd"/>
      <w:r>
        <w:t xml:space="preserve">) stain. All presumptive </w:t>
      </w:r>
      <w:r w:rsidRPr="008A452D">
        <w:rPr>
          <w:rStyle w:val="Emphasis"/>
          <w:b w:val="0"/>
          <w:bCs w:val="0"/>
        </w:rPr>
        <w:t>Nocardia</w:t>
      </w:r>
      <w:r>
        <w:t xml:space="preserve"> isolates were forwarded to either of the two above-mentioned NSW Health Pathology reference laboratories for confirmation, species identification, and antimicrobial susceptibility testing. Species identification was made using 16S rRNA sequencing and/or matrix-assisted laser desorption ionisation–time of flight mass spectrometry (MALDI-TOF MS). Antimicrobial susceptibilities were determined using a </w:t>
      </w:r>
      <w:proofErr w:type="gramStart"/>
      <w:r>
        <w:t>commercially-available</w:t>
      </w:r>
      <w:proofErr w:type="gramEnd"/>
      <w:r>
        <w:t xml:space="preserve"> broth microdilution method, </w:t>
      </w:r>
      <w:proofErr w:type="spellStart"/>
      <w:r>
        <w:t>Sensititre</w:t>
      </w:r>
      <w:r>
        <w:rPr>
          <w:vertAlign w:val="superscript"/>
        </w:rPr>
        <w:t>TM</w:t>
      </w:r>
      <w:proofErr w:type="spellEnd"/>
      <w:r>
        <w:t xml:space="preserve"> RAPMYCO (Trek Diagnostic Systems, Biocentric), with the exception of meropenem susceptibility which was determined using </w:t>
      </w:r>
      <w:proofErr w:type="spellStart"/>
      <w:r>
        <w:t>Epsilometer</w:t>
      </w:r>
      <w:proofErr w:type="spellEnd"/>
      <w:r>
        <w:t xml:space="preserve"> test (E-Test®, </w:t>
      </w:r>
      <w:proofErr w:type="spellStart"/>
      <w:r>
        <w:t>bioMérieux</w:t>
      </w:r>
      <w:proofErr w:type="spellEnd"/>
      <w:r>
        <w:t xml:space="preserve">). Where possible, susceptibilities were interpreted using Clinical and Laboratory Standards Institute (CLSI) breakpoints. </w:t>
      </w:r>
    </w:p>
    <w:p w14:paraId="772C3D70" w14:textId="77777777" w:rsidR="008A452D" w:rsidRDefault="008A452D" w:rsidP="00A9052A">
      <w:r>
        <w:t xml:space="preserve">For all patients with cultures positive for </w:t>
      </w:r>
      <w:r w:rsidRPr="00675E0C">
        <w:rPr>
          <w:i/>
          <w:iCs/>
        </w:rPr>
        <w:t>Nocardia</w:t>
      </w:r>
      <w:r>
        <w:t xml:space="preserve"> species, a search of the ISLHD electronic medical record was conducted to compile relevant data including patient demographics, risk factors for nocardiosis, clinical features of infection, </w:t>
      </w:r>
      <w:proofErr w:type="gramStart"/>
      <w:r>
        <w:t>treatment</w:t>
      </w:r>
      <w:proofErr w:type="gramEnd"/>
      <w:r>
        <w:t xml:space="preserve"> and outcome data. </w:t>
      </w:r>
    </w:p>
    <w:p w14:paraId="773DDCE8" w14:textId="388901A0" w:rsidR="008A452D" w:rsidRDefault="008A452D" w:rsidP="00A9052A">
      <w:r>
        <w:t>Limited disease was defined as: either (</w:t>
      </w:r>
      <w:proofErr w:type="spellStart"/>
      <w:r>
        <w:t>i</w:t>
      </w:r>
      <w:proofErr w:type="spellEnd"/>
      <w:r>
        <w:t>) skin and soft tissue infection with or without contiguous osteomyelitis, or (ii) pulmonary disease, both without evidence of other organ involvement. Disseminated disease was defined as disease involving two or more organ systems, bacteraemia, or isolated central nervous system (CNS) disease.</w:t>
      </w:r>
      <w:r>
        <w:rPr>
          <w:vertAlign w:val="superscript"/>
        </w:rPr>
        <w:t>5</w:t>
      </w:r>
      <w:r>
        <w:t xml:space="preserve"> Survival calculations were based on documented evidence that a patient was alive or deceased. If no evidence was available regarding a patient after a given time point, they were </w:t>
      </w:r>
      <w:r w:rsidR="0010360E" w:rsidRPr="0010360E">
        <w:t>excluded</w:t>
      </w:r>
      <w:r w:rsidR="0010360E">
        <w:t xml:space="preserve"> </w:t>
      </w:r>
      <w:r>
        <w:t xml:space="preserve">from analysis at that time point. Local incidence was calculated using the number of nocardiosis cases over the ten-year study period and postcode </w:t>
      </w:r>
      <w:r>
        <w:lastRenderedPageBreak/>
        <w:t>population data from the 2016 Australian Census,</w:t>
      </w:r>
      <w:r>
        <w:rPr>
          <w:vertAlign w:val="superscript"/>
        </w:rPr>
        <w:t>10</w:t>
      </w:r>
      <w:r>
        <w:t xml:space="preserve"> expressed as cases per 100,000 persons. Case numbers were compared to Bureau of Meteorology total annual rainfall data for Jamberoo</w:t>
      </w:r>
      <w:r>
        <w:rPr>
          <w:vertAlign w:val="superscript"/>
        </w:rPr>
        <w:t>11</w:t>
      </w:r>
      <w:r>
        <w:t xml:space="preserve"> (a </w:t>
      </w:r>
      <w:proofErr w:type="gramStart"/>
      <w:r>
        <w:t>geographically-central</w:t>
      </w:r>
      <w:proofErr w:type="gramEnd"/>
      <w:r>
        <w:t xml:space="preserve"> area of the region). Statistical correlation between rainfall and case numbers was compared using a Pearson product-moment linear regression coefficient. Statistical testing was then performed based on transforming this coefficient into a Student’s T statistic, based on a presumption that both variables were from an uncorrelated bivariate normal distribution, which was itself tested using a Shapiro-Wilk test for each variable. </w:t>
      </w:r>
    </w:p>
    <w:p w14:paraId="1B50ADCA" w14:textId="77777777" w:rsidR="008A452D" w:rsidRDefault="008A452D" w:rsidP="00A9052A">
      <w:r>
        <w:t xml:space="preserve">The data were deidentified and aggregated with analysis of descriptive statistics performed using the Microsoft Excel platform. The study underwent ethics approval through the joint University of Wollongong/Illawarra Shoalhaven Local Health District Human Ethics Review Committee (approval number: ETH10680). </w:t>
      </w:r>
    </w:p>
    <w:p w14:paraId="0127DB74" w14:textId="77777777" w:rsidR="008A452D" w:rsidRPr="00A9052A" w:rsidRDefault="008A452D" w:rsidP="00A9052A">
      <w:pPr>
        <w:pStyle w:val="Heading1"/>
      </w:pPr>
      <w:r w:rsidRPr="00A9052A">
        <w:t xml:space="preserve">Results </w:t>
      </w:r>
    </w:p>
    <w:p w14:paraId="711AA60A" w14:textId="77777777" w:rsidR="008A452D" w:rsidRPr="00A9052A" w:rsidRDefault="008A452D" w:rsidP="00A9052A">
      <w:pPr>
        <w:pStyle w:val="Heading2"/>
      </w:pPr>
      <w:r w:rsidRPr="00A9052A">
        <w:t xml:space="preserve">Epidemiology and clinical features </w:t>
      </w:r>
    </w:p>
    <w:p w14:paraId="2660B09E" w14:textId="22F64A21" w:rsidR="008A452D" w:rsidRDefault="008A452D" w:rsidP="00A9052A">
      <w:r>
        <w:t xml:space="preserve">Twenty-six cases of </w:t>
      </w:r>
      <w:proofErr w:type="gramStart"/>
      <w:r>
        <w:t>culture-proven</w:t>
      </w:r>
      <w:proofErr w:type="gramEnd"/>
      <w:r>
        <w:t xml:space="preserve"> </w:t>
      </w:r>
      <w:r w:rsidRPr="008A452D">
        <w:rPr>
          <w:rStyle w:val="Emphasis"/>
          <w:b w:val="0"/>
          <w:bCs w:val="0"/>
        </w:rPr>
        <w:t>Nocardia</w:t>
      </w:r>
      <w:r>
        <w:t xml:space="preserve"> sp. infection were identified. Patient demographic data and predisposing conditions are displayed in Table 1. Since 2010, cases of nocardiosis presenting to ISLHD facilities involved ten distinct species (Table 2), resulting in a variety of clinical presentations including skin and soft tissue infection with or without osteomyelitis (N = 8), pulmonary disease (N = 8) or disseminated disease (N = 9) (Figure 1). One case had limited clinical data available and was excluded from the treatment and outcomes analyses. Two cases had incomplete antimicrobial susceptibility data (with one of these having no available antimicrobial susceptibilities). No patients included in the study were receiving antibiotic prophylaxis with activity against </w:t>
      </w:r>
      <w:r w:rsidRPr="008A452D">
        <w:rPr>
          <w:rStyle w:val="Emphasis"/>
          <w:b w:val="0"/>
          <w:bCs w:val="0"/>
        </w:rPr>
        <w:t>Nocardia</w:t>
      </w:r>
      <w:r>
        <w:t xml:space="preserve"> species (e.g. trimethoprim-sulfamethoxazole) prior to presentation. Median and range displayed for prednisolone dose was calculated from data available in the medical record; doses were unavailable for three patients. </w:t>
      </w:r>
    </w:p>
    <w:p w14:paraId="0ED67D16" w14:textId="77777777" w:rsidR="005D12D7" w:rsidRDefault="005D12D7" w:rsidP="005D12D7">
      <w:pPr>
        <w:pStyle w:val="CDIFigures"/>
        <w:rPr>
          <w:sz w:val="24"/>
          <w:szCs w:val="24"/>
          <w:lang w:val="en-GB"/>
        </w:rPr>
      </w:pPr>
      <w:r>
        <w:rPr>
          <w:lang w:val="en-GB"/>
        </w:rPr>
        <w:t>Table 1: Demographic information and epidemiological risk factors</w:t>
      </w:r>
    </w:p>
    <w:tbl>
      <w:tblPr>
        <w:tblStyle w:val="CDI-StandardTable"/>
        <w:tblW w:w="0" w:type="auto"/>
        <w:tblLook w:val="04A0" w:firstRow="1" w:lastRow="0" w:firstColumn="1" w:lastColumn="0" w:noHBand="0" w:noVBand="1"/>
        <w:tblDescription w:val="Epidemiological characteristics of patients presenting in the study period including age, sex and risk factors for opportunistic infection with Nocardia sp."/>
      </w:tblPr>
      <w:tblGrid>
        <w:gridCol w:w="6237"/>
        <w:gridCol w:w="2410"/>
        <w:gridCol w:w="1793"/>
      </w:tblGrid>
      <w:tr w:rsidR="005D12D7" w:rsidRPr="00221928" w14:paraId="1094D61D" w14:textId="77777777" w:rsidTr="00E05A16">
        <w:trPr>
          <w:cnfStyle w:val="100000000000" w:firstRow="1" w:lastRow="0" w:firstColumn="0" w:lastColumn="0" w:oddVBand="0" w:evenVBand="0" w:oddHBand="0" w:evenHBand="0" w:firstRowFirstColumn="0" w:firstRowLastColumn="0" w:lastRowFirstColumn="0" w:lastRowLastColumn="0"/>
        </w:trPr>
        <w:tc>
          <w:tcPr>
            <w:tcW w:w="6237" w:type="dxa"/>
            <w:tcBorders>
              <w:right w:val="single" w:sz="2" w:space="0" w:color="FFFFFF" w:themeColor="background1"/>
            </w:tcBorders>
            <w:hideMark/>
          </w:tcPr>
          <w:p w14:paraId="55895CB4" w14:textId="77777777" w:rsidR="005D12D7" w:rsidRPr="00221928" w:rsidRDefault="005D12D7" w:rsidP="00EC0110">
            <w:pPr>
              <w:pStyle w:val="NormalWeb"/>
              <w:rPr>
                <w:color w:val="FFFFFF" w:themeColor="background1"/>
                <w:sz w:val="18"/>
                <w:szCs w:val="18"/>
              </w:rPr>
            </w:pPr>
            <w:r w:rsidRPr="00221928">
              <w:rPr>
                <w:color w:val="FFFFFF" w:themeColor="background1"/>
                <w:sz w:val="18"/>
                <w:szCs w:val="18"/>
              </w:rPr>
              <w:t>Characteristic</w:t>
            </w:r>
          </w:p>
        </w:tc>
        <w:tc>
          <w:tcPr>
            <w:tcW w:w="2410" w:type="dxa"/>
            <w:tcBorders>
              <w:left w:val="single" w:sz="2" w:space="0" w:color="FFFFFF" w:themeColor="background1"/>
              <w:right w:val="single" w:sz="2" w:space="0" w:color="FFFFFF" w:themeColor="background1"/>
            </w:tcBorders>
            <w:vAlign w:val="center"/>
            <w:hideMark/>
          </w:tcPr>
          <w:p w14:paraId="11B64993" w14:textId="77777777" w:rsidR="005D12D7" w:rsidRPr="00221928" w:rsidRDefault="005D12D7" w:rsidP="00C3300C">
            <w:pPr>
              <w:pStyle w:val="NormalWeb"/>
              <w:jc w:val="center"/>
              <w:rPr>
                <w:color w:val="FFFFFF" w:themeColor="background1"/>
                <w:sz w:val="18"/>
                <w:szCs w:val="18"/>
              </w:rPr>
            </w:pPr>
            <w:r w:rsidRPr="00221928">
              <w:rPr>
                <w:color w:val="FFFFFF" w:themeColor="background1"/>
                <w:sz w:val="18"/>
                <w:szCs w:val="18"/>
              </w:rPr>
              <w:t>Number of patients</w:t>
            </w:r>
          </w:p>
        </w:tc>
        <w:tc>
          <w:tcPr>
            <w:tcW w:w="1793" w:type="dxa"/>
            <w:tcBorders>
              <w:left w:val="single" w:sz="2" w:space="0" w:color="FFFFFF" w:themeColor="background1"/>
            </w:tcBorders>
            <w:vAlign w:val="center"/>
            <w:hideMark/>
          </w:tcPr>
          <w:p w14:paraId="19313A43" w14:textId="77777777" w:rsidR="005D12D7" w:rsidRPr="00221928" w:rsidRDefault="005D12D7" w:rsidP="00C3300C">
            <w:pPr>
              <w:pStyle w:val="NormalWeb"/>
              <w:jc w:val="center"/>
              <w:rPr>
                <w:color w:val="FFFFFF" w:themeColor="background1"/>
                <w:sz w:val="18"/>
                <w:szCs w:val="18"/>
              </w:rPr>
            </w:pPr>
            <w:r w:rsidRPr="00221928">
              <w:rPr>
                <w:color w:val="FFFFFF" w:themeColor="background1"/>
                <w:sz w:val="18"/>
                <w:szCs w:val="18"/>
              </w:rPr>
              <w:t>%</w:t>
            </w:r>
          </w:p>
        </w:tc>
      </w:tr>
      <w:tr w:rsidR="00221928" w:rsidRPr="00221928" w14:paraId="30D5BA53" w14:textId="77777777" w:rsidTr="00E05A16">
        <w:tblPrEx>
          <w:tblCellMar>
            <w:top w:w="57" w:type="dxa"/>
            <w:left w:w="57" w:type="dxa"/>
            <w:bottom w:w="57" w:type="dxa"/>
            <w:right w:w="57" w:type="dxa"/>
          </w:tblCellMar>
        </w:tblPrEx>
        <w:tc>
          <w:tcPr>
            <w:tcW w:w="6237" w:type="dxa"/>
            <w:vAlign w:val="center"/>
            <w:hideMark/>
          </w:tcPr>
          <w:p w14:paraId="38E6CBBC" w14:textId="7D65602C" w:rsidR="005D12D7" w:rsidRPr="00221928" w:rsidRDefault="005D12D7" w:rsidP="00C3300C">
            <w:pPr>
              <w:pStyle w:val="NormalWeb"/>
              <w:rPr>
                <w:sz w:val="18"/>
                <w:szCs w:val="18"/>
              </w:rPr>
            </w:pPr>
            <w:r w:rsidRPr="00221928">
              <w:rPr>
                <w:sz w:val="18"/>
                <w:szCs w:val="18"/>
              </w:rPr>
              <w:t>Female</w:t>
            </w:r>
          </w:p>
        </w:tc>
        <w:tc>
          <w:tcPr>
            <w:tcW w:w="2410" w:type="dxa"/>
            <w:vAlign w:val="center"/>
            <w:hideMark/>
          </w:tcPr>
          <w:p w14:paraId="0922C3CA" w14:textId="77777777" w:rsidR="005D12D7" w:rsidRPr="00221928" w:rsidRDefault="005D12D7" w:rsidP="00C3300C">
            <w:pPr>
              <w:pStyle w:val="NormalWeb"/>
              <w:jc w:val="center"/>
              <w:rPr>
                <w:sz w:val="18"/>
                <w:szCs w:val="18"/>
              </w:rPr>
            </w:pPr>
            <w:r w:rsidRPr="00221928">
              <w:rPr>
                <w:sz w:val="18"/>
                <w:szCs w:val="18"/>
              </w:rPr>
              <w:t>10/26</w:t>
            </w:r>
          </w:p>
        </w:tc>
        <w:tc>
          <w:tcPr>
            <w:tcW w:w="1793" w:type="dxa"/>
            <w:vAlign w:val="center"/>
            <w:hideMark/>
          </w:tcPr>
          <w:p w14:paraId="15BDE3B8" w14:textId="77777777" w:rsidR="005D12D7" w:rsidRPr="00221928" w:rsidRDefault="005D12D7" w:rsidP="00C3300C">
            <w:pPr>
              <w:pStyle w:val="NormalWeb"/>
              <w:jc w:val="center"/>
              <w:rPr>
                <w:sz w:val="18"/>
                <w:szCs w:val="18"/>
              </w:rPr>
            </w:pPr>
            <w:r w:rsidRPr="00221928">
              <w:rPr>
                <w:sz w:val="18"/>
                <w:szCs w:val="18"/>
              </w:rPr>
              <w:t>39</w:t>
            </w:r>
          </w:p>
        </w:tc>
      </w:tr>
      <w:tr w:rsidR="005D12D7" w:rsidRPr="00221928" w14:paraId="781E35E1" w14:textId="77777777" w:rsidTr="00E05A1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6237" w:type="dxa"/>
            <w:vAlign w:val="center"/>
            <w:hideMark/>
          </w:tcPr>
          <w:p w14:paraId="1259C9A3" w14:textId="1FB56023" w:rsidR="005D12D7" w:rsidRPr="00221928" w:rsidRDefault="009D2877" w:rsidP="00C3300C">
            <w:pPr>
              <w:pStyle w:val="NormalWeb"/>
              <w:rPr>
                <w:sz w:val="18"/>
                <w:szCs w:val="18"/>
              </w:rPr>
            </w:pPr>
            <w:r w:rsidRPr="009D2877">
              <w:rPr>
                <w:sz w:val="18"/>
                <w:szCs w:val="18"/>
              </w:rPr>
              <w:t xml:space="preserve">Median age in years </w:t>
            </w:r>
            <w:r w:rsidR="005D12D7" w:rsidRPr="00221928">
              <w:rPr>
                <w:sz w:val="18"/>
                <w:szCs w:val="18"/>
              </w:rPr>
              <w:t>[Range]</w:t>
            </w:r>
          </w:p>
        </w:tc>
        <w:tc>
          <w:tcPr>
            <w:tcW w:w="2410" w:type="dxa"/>
            <w:vAlign w:val="center"/>
            <w:hideMark/>
          </w:tcPr>
          <w:p w14:paraId="199930A2" w14:textId="77777777" w:rsidR="005D12D7" w:rsidRPr="00221928" w:rsidRDefault="005D12D7" w:rsidP="00C3300C">
            <w:pPr>
              <w:pStyle w:val="NormalWeb"/>
              <w:jc w:val="center"/>
              <w:rPr>
                <w:sz w:val="18"/>
                <w:szCs w:val="18"/>
              </w:rPr>
            </w:pPr>
            <w:r w:rsidRPr="00221928">
              <w:rPr>
                <w:sz w:val="18"/>
                <w:szCs w:val="18"/>
              </w:rPr>
              <w:t>67 [11–92]</w:t>
            </w:r>
          </w:p>
        </w:tc>
        <w:tc>
          <w:tcPr>
            <w:tcW w:w="1793" w:type="dxa"/>
            <w:vAlign w:val="center"/>
            <w:hideMark/>
          </w:tcPr>
          <w:p w14:paraId="24EB7618" w14:textId="77777777" w:rsidR="005D12D7" w:rsidRPr="00221928" w:rsidRDefault="005D12D7" w:rsidP="00C3300C">
            <w:pPr>
              <w:jc w:val="center"/>
              <w:rPr>
                <w:sz w:val="18"/>
                <w:szCs w:val="18"/>
              </w:rPr>
            </w:pPr>
          </w:p>
        </w:tc>
      </w:tr>
      <w:tr w:rsidR="005D12D7" w:rsidRPr="00221928" w14:paraId="49BEF0DD" w14:textId="77777777" w:rsidTr="003C5D9C">
        <w:tblPrEx>
          <w:tblCellMar>
            <w:top w:w="57" w:type="dxa"/>
            <w:left w:w="57" w:type="dxa"/>
            <w:bottom w:w="57" w:type="dxa"/>
            <w:right w:w="57" w:type="dxa"/>
          </w:tblCellMar>
        </w:tblPrEx>
        <w:tc>
          <w:tcPr>
            <w:tcW w:w="6237" w:type="dxa"/>
            <w:shd w:val="clear" w:color="auto" w:fill="595959" w:themeFill="text1" w:themeFillTint="A6"/>
            <w:vAlign w:val="center"/>
            <w:hideMark/>
          </w:tcPr>
          <w:p w14:paraId="3A05FDA9" w14:textId="77777777" w:rsidR="005D12D7" w:rsidRPr="00221928" w:rsidRDefault="005D12D7" w:rsidP="00C3300C">
            <w:pPr>
              <w:pStyle w:val="NormalWeb"/>
              <w:rPr>
                <w:b/>
                <w:bCs/>
                <w:color w:val="FFFFFF" w:themeColor="background1"/>
                <w:sz w:val="18"/>
                <w:szCs w:val="18"/>
              </w:rPr>
            </w:pPr>
            <w:r w:rsidRPr="00221928">
              <w:rPr>
                <w:b/>
                <w:bCs/>
                <w:color w:val="FFFFFF" w:themeColor="background1"/>
                <w:sz w:val="18"/>
                <w:szCs w:val="18"/>
              </w:rPr>
              <w:t>Risk factors</w:t>
            </w:r>
          </w:p>
        </w:tc>
        <w:tc>
          <w:tcPr>
            <w:tcW w:w="2410" w:type="dxa"/>
            <w:shd w:val="clear" w:color="auto" w:fill="595959" w:themeFill="text1" w:themeFillTint="A6"/>
            <w:vAlign w:val="center"/>
            <w:hideMark/>
          </w:tcPr>
          <w:p w14:paraId="12E11F3A" w14:textId="77777777" w:rsidR="005D12D7" w:rsidRPr="00221928" w:rsidRDefault="005D12D7" w:rsidP="00C3300C">
            <w:pPr>
              <w:jc w:val="center"/>
              <w:rPr>
                <w:b/>
                <w:bCs/>
                <w:color w:val="FFFFFF" w:themeColor="background1"/>
                <w:sz w:val="18"/>
                <w:szCs w:val="18"/>
              </w:rPr>
            </w:pPr>
          </w:p>
        </w:tc>
        <w:tc>
          <w:tcPr>
            <w:tcW w:w="1793" w:type="dxa"/>
            <w:shd w:val="clear" w:color="auto" w:fill="595959" w:themeFill="text1" w:themeFillTint="A6"/>
            <w:vAlign w:val="center"/>
            <w:hideMark/>
          </w:tcPr>
          <w:p w14:paraId="6177BDF3" w14:textId="77777777" w:rsidR="005D12D7" w:rsidRPr="00221928" w:rsidRDefault="005D12D7" w:rsidP="00C3300C">
            <w:pPr>
              <w:jc w:val="center"/>
              <w:rPr>
                <w:rFonts w:eastAsia="Times New Roman"/>
                <w:b/>
                <w:bCs/>
                <w:color w:val="FFFFFF" w:themeColor="background1"/>
                <w:sz w:val="18"/>
                <w:szCs w:val="18"/>
              </w:rPr>
            </w:pPr>
          </w:p>
        </w:tc>
      </w:tr>
      <w:tr w:rsidR="005D12D7" w:rsidRPr="00221928" w14:paraId="74C506A3" w14:textId="77777777" w:rsidTr="00E05A1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6237" w:type="dxa"/>
            <w:vAlign w:val="center"/>
            <w:hideMark/>
          </w:tcPr>
          <w:p w14:paraId="3D2B231B" w14:textId="77777777" w:rsidR="005D12D7" w:rsidRPr="00221928" w:rsidRDefault="005D12D7" w:rsidP="00C3300C">
            <w:pPr>
              <w:pStyle w:val="NormalWeb"/>
              <w:rPr>
                <w:sz w:val="18"/>
                <w:szCs w:val="18"/>
              </w:rPr>
            </w:pPr>
            <w:r w:rsidRPr="00221928">
              <w:rPr>
                <w:sz w:val="18"/>
                <w:szCs w:val="18"/>
              </w:rPr>
              <w:t>Haematological malignancy</w:t>
            </w:r>
          </w:p>
        </w:tc>
        <w:tc>
          <w:tcPr>
            <w:tcW w:w="2410" w:type="dxa"/>
            <w:vAlign w:val="center"/>
            <w:hideMark/>
          </w:tcPr>
          <w:p w14:paraId="3AEE8DF6" w14:textId="77777777" w:rsidR="005D12D7" w:rsidRPr="00221928" w:rsidRDefault="005D12D7" w:rsidP="00C3300C">
            <w:pPr>
              <w:pStyle w:val="NormalWeb"/>
              <w:jc w:val="center"/>
              <w:rPr>
                <w:sz w:val="18"/>
                <w:szCs w:val="18"/>
              </w:rPr>
            </w:pPr>
            <w:r w:rsidRPr="00221928">
              <w:rPr>
                <w:sz w:val="18"/>
                <w:szCs w:val="18"/>
              </w:rPr>
              <w:t>5/26</w:t>
            </w:r>
          </w:p>
        </w:tc>
        <w:tc>
          <w:tcPr>
            <w:tcW w:w="1793" w:type="dxa"/>
            <w:vAlign w:val="center"/>
            <w:hideMark/>
          </w:tcPr>
          <w:p w14:paraId="6CC8F752" w14:textId="77777777" w:rsidR="005D12D7" w:rsidRPr="00221928" w:rsidRDefault="005D12D7" w:rsidP="00C3300C">
            <w:pPr>
              <w:pStyle w:val="NormalWeb"/>
              <w:jc w:val="center"/>
              <w:rPr>
                <w:sz w:val="18"/>
                <w:szCs w:val="18"/>
              </w:rPr>
            </w:pPr>
            <w:r w:rsidRPr="00221928">
              <w:rPr>
                <w:sz w:val="18"/>
                <w:szCs w:val="18"/>
              </w:rPr>
              <w:t>19</w:t>
            </w:r>
          </w:p>
        </w:tc>
      </w:tr>
      <w:tr w:rsidR="00221928" w:rsidRPr="00221928" w14:paraId="769764CB" w14:textId="77777777" w:rsidTr="00E05A16">
        <w:tblPrEx>
          <w:tblCellMar>
            <w:top w:w="57" w:type="dxa"/>
            <w:left w:w="57" w:type="dxa"/>
            <w:bottom w:w="57" w:type="dxa"/>
            <w:right w:w="57" w:type="dxa"/>
          </w:tblCellMar>
        </w:tblPrEx>
        <w:tc>
          <w:tcPr>
            <w:tcW w:w="6237" w:type="dxa"/>
            <w:vAlign w:val="center"/>
            <w:hideMark/>
          </w:tcPr>
          <w:p w14:paraId="461EF2C9" w14:textId="0ADBD0DE" w:rsidR="005D12D7" w:rsidRPr="00221928" w:rsidRDefault="005D12D7" w:rsidP="00C3300C">
            <w:pPr>
              <w:pStyle w:val="NormalWeb"/>
              <w:rPr>
                <w:sz w:val="18"/>
                <w:szCs w:val="18"/>
              </w:rPr>
            </w:pPr>
            <w:r w:rsidRPr="00221928">
              <w:rPr>
                <w:sz w:val="18"/>
                <w:szCs w:val="18"/>
              </w:rPr>
              <w:t>Corticosteroid therapy:</w:t>
            </w:r>
            <w:r w:rsidR="00C3300C" w:rsidRPr="00221928">
              <w:rPr>
                <w:sz w:val="18"/>
                <w:szCs w:val="18"/>
              </w:rPr>
              <w:br/>
            </w:r>
            <w:r w:rsidRPr="00221928">
              <w:rPr>
                <w:sz w:val="18"/>
                <w:szCs w:val="18"/>
              </w:rPr>
              <w:t>Median dose (mg/day prednisolone)</w:t>
            </w:r>
            <w:r w:rsidR="00C3300C" w:rsidRPr="00221928">
              <w:rPr>
                <w:sz w:val="18"/>
                <w:szCs w:val="18"/>
              </w:rPr>
              <w:br/>
            </w:r>
            <w:r w:rsidRPr="00221928">
              <w:rPr>
                <w:sz w:val="18"/>
                <w:szCs w:val="18"/>
              </w:rPr>
              <w:t>[Range]</w:t>
            </w:r>
          </w:p>
        </w:tc>
        <w:tc>
          <w:tcPr>
            <w:tcW w:w="2410" w:type="dxa"/>
            <w:vAlign w:val="center"/>
            <w:hideMark/>
          </w:tcPr>
          <w:p w14:paraId="09E482BA" w14:textId="5499F872" w:rsidR="005D12D7" w:rsidRPr="00221928" w:rsidRDefault="005D12D7" w:rsidP="00C3300C">
            <w:pPr>
              <w:pStyle w:val="NormalWeb"/>
              <w:jc w:val="center"/>
              <w:rPr>
                <w:sz w:val="18"/>
                <w:szCs w:val="18"/>
              </w:rPr>
            </w:pPr>
            <w:r w:rsidRPr="00221928">
              <w:rPr>
                <w:sz w:val="18"/>
                <w:szCs w:val="18"/>
              </w:rPr>
              <w:t>11/26</w:t>
            </w:r>
            <w:r w:rsidR="00C3300C" w:rsidRPr="00221928">
              <w:rPr>
                <w:sz w:val="18"/>
                <w:szCs w:val="18"/>
              </w:rPr>
              <w:br/>
            </w:r>
            <w:r w:rsidRPr="00221928">
              <w:rPr>
                <w:sz w:val="18"/>
                <w:szCs w:val="18"/>
              </w:rPr>
              <w:t>12.5</w:t>
            </w:r>
            <w:r w:rsidR="00C3300C" w:rsidRPr="00221928">
              <w:rPr>
                <w:sz w:val="18"/>
                <w:szCs w:val="18"/>
              </w:rPr>
              <w:br/>
            </w:r>
            <w:r w:rsidRPr="00221928">
              <w:rPr>
                <w:sz w:val="18"/>
                <w:szCs w:val="18"/>
              </w:rPr>
              <w:t>[7.5–25]</w:t>
            </w:r>
          </w:p>
        </w:tc>
        <w:tc>
          <w:tcPr>
            <w:tcW w:w="1793" w:type="dxa"/>
            <w:vAlign w:val="center"/>
            <w:hideMark/>
          </w:tcPr>
          <w:p w14:paraId="1E77D79D" w14:textId="77777777" w:rsidR="005D12D7" w:rsidRPr="00221928" w:rsidRDefault="005D12D7" w:rsidP="00C3300C">
            <w:pPr>
              <w:pStyle w:val="NormalWeb"/>
              <w:jc w:val="center"/>
              <w:rPr>
                <w:sz w:val="18"/>
                <w:szCs w:val="18"/>
              </w:rPr>
            </w:pPr>
            <w:r w:rsidRPr="00221928">
              <w:rPr>
                <w:sz w:val="18"/>
                <w:szCs w:val="18"/>
              </w:rPr>
              <w:t>42</w:t>
            </w:r>
          </w:p>
        </w:tc>
      </w:tr>
      <w:tr w:rsidR="005D12D7" w:rsidRPr="00221928" w14:paraId="33E146B4" w14:textId="77777777" w:rsidTr="00E05A1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6237" w:type="dxa"/>
            <w:vAlign w:val="center"/>
            <w:hideMark/>
          </w:tcPr>
          <w:p w14:paraId="2902B9E2" w14:textId="77777777" w:rsidR="005D12D7" w:rsidRPr="00221928" w:rsidRDefault="005D12D7" w:rsidP="00C3300C">
            <w:pPr>
              <w:pStyle w:val="NormalWeb"/>
              <w:rPr>
                <w:sz w:val="18"/>
                <w:szCs w:val="18"/>
              </w:rPr>
            </w:pPr>
            <w:r w:rsidRPr="00221928">
              <w:rPr>
                <w:sz w:val="18"/>
                <w:szCs w:val="18"/>
              </w:rPr>
              <w:t>Other immunosuppression</w:t>
            </w:r>
          </w:p>
        </w:tc>
        <w:tc>
          <w:tcPr>
            <w:tcW w:w="2410" w:type="dxa"/>
            <w:vAlign w:val="center"/>
            <w:hideMark/>
          </w:tcPr>
          <w:p w14:paraId="68A1C993" w14:textId="77777777" w:rsidR="005D12D7" w:rsidRPr="00221928" w:rsidRDefault="005D12D7" w:rsidP="00C3300C">
            <w:pPr>
              <w:pStyle w:val="NormalWeb"/>
              <w:jc w:val="center"/>
              <w:rPr>
                <w:sz w:val="18"/>
                <w:szCs w:val="18"/>
              </w:rPr>
            </w:pPr>
            <w:r w:rsidRPr="00221928">
              <w:rPr>
                <w:sz w:val="18"/>
                <w:szCs w:val="18"/>
              </w:rPr>
              <w:t>6/26</w:t>
            </w:r>
          </w:p>
        </w:tc>
        <w:tc>
          <w:tcPr>
            <w:tcW w:w="1793" w:type="dxa"/>
            <w:vAlign w:val="center"/>
            <w:hideMark/>
          </w:tcPr>
          <w:p w14:paraId="21BEE844" w14:textId="77777777" w:rsidR="005D12D7" w:rsidRPr="00221928" w:rsidRDefault="005D12D7" w:rsidP="00C3300C">
            <w:pPr>
              <w:pStyle w:val="NormalWeb"/>
              <w:jc w:val="center"/>
              <w:rPr>
                <w:sz w:val="18"/>
                <w:szCs w:val="18"/>
              </w:rPr>
            </w:pPr>
            <w:r w:rsidRPr="00221928">
              <w:rPr>
                <w:sz w:val="18"/>
                <w:szCs w:val="18"/>
              </w:rPr>
              <w:t>23</w:t>
            </w:r>
          </w:p>
        </w:tc>
      </w:tr>
      <w:tr w:rsidR="00221928" w:rsidRPr="00221928" w14:paraId="2B19B2E1" w14:textId="77777777" w:rsidTr="00E05A16">
        <w:tblPrEx>
          <w:tblCellMar>
            <w:top w:w="57" w:type="dxa"/>
            <w:left w:w="57" w:type="dxa"/>
            <w:bottom w:w="57" w:type="dxa"/>
            <w:right w:w="57" w:type="dxa"/>
          </w:tblCellMar>
        </w:tblPrEx>
        <w:tc>
          <w:tcPr>
            <w:tcW w:w="6237" w:type="dxa"/>
            <w:vAlign w:val="center"/>
            <w:hideMark/>
          </w:tcPr>
          <w:p w14:paraId="64624499" w14:textId="77777777" w:rsidR="005D12D7" w:rsidRPr="00221928" w:rsidRDefault="005D12D7" w:rsidP="00C3300C">
            <w:pPr>
              <w:pStyle w:val="NormalWeb"/>
              <w:rPr>
                <w:sz w:val="18"/>
                <w:szCs w:val="18"/>
              </w:rPr>
            </w:pPr>
            <w:r w:rsidRPr="00221928">
              <w:rPr>
                <w:sz w:val="18"/>
                <w:szCs w:val="18"/>
              </w:rPr>
              <w:t>Chronic lung disease</w:t>
            </w:r>
          </w:p>
        </w:tc>
        <w:tc>
          <w:tcPr>
            <w:tcW w:w="2410" w:type="dxa"/>
            <w:vAlign w:val="center"/>
            <w:hideMark/>
          </w:tcPr>
          <w:p w14:paraId="28EEA04A" w14:textId="77777777" w:rsidR="005D12D7" w:rsidRPr="00221928" w:rsidRDefault="005D12D7" w:rsidP="00C3300C">
            <w:pPr>
              <w:pStyle w:val="NormalWeb"/>
              <w:jc w:val="center"/>
              <w:rPr>
                <w:sz w:val="18"/>
                <w:szCs w:val="18"/>
              </w:rPr>
            </w:pPr>
            <w:r w:rsidRPr="00221928">
              <w:rPr>
                <w:sz w:val="18"/>
                <w:szCs w:val="18"/>
              </w:rPr>
              <w:t>5/26</w:t>
            </w:r>
          </w:p>
        </w:tc>
        <w:tc>
          <w:tcPr>
            <w:tcW w:w="1793" w:type="dxa"/>
            <w:vAlign w:val="center"/>
            <w:hideMark/>
          </w:tcPr>
          <w:p w14:paraId="6587F047" w14:textId="77777777" w:rsidR="005D12D7" w:rsidRPr="00221928" w:rsidRDefault="005D12D7" w:rsidP="00C3300C">
            <w:pPr>
              <w:pStyle w:val="NormalWeb"/>
              <w:jc w:val="center"/>
              <w:rPr>
                <w:sz w:val="18"/>
                <w:szCs w:val="18"/>
              </w:rPr>
            </w:pPr>
            <w:r w:rsidRPr="00221928">
              <w:rPr>
                <w:sz w:val="18"/>
                <w:szCs w:val="18"/>
              </w:rPr>
              <w:t>19</w:t>
            </w:r>
          </w:p>
        </w:tc>
      </w:tr>
      <w:tr w:rsidR="005D12D7" w:rsidRPr="00221928" w14:paraId="2A6221F0" w14:textId="77777777" w:rsidTr="00E05A1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6237" w:type="dxa"/>
            <w:vAlign w:val="center"/>
            <w:hideMark/>
          </w:tcPr>
          <w:p w14:paraId="13F02879" w14:textId="77777777" w:rsidR="005D12D7" w:rsidRPr="00221928" w:rsidRDefault="005D12D7" w:rsidP="00C3300C">
            <w:pPr>
              <w:pStyle w:val="NormalWeb"/>
              <w:rPr>
                <w:sz w:val="18"/>
                <w:szCs w:val="18"/>
              </w:rPr>
            </w:pPr>
            <w:r w:rsidRPr="00221928">
              <w:rPr>
                <w:sz w:val="18"/>
                <w:szCs w:val="18"/>
              </w:rPr>
              <w:t>Type 2 diabetes mellitus</w:t>
            </w:r>
          </w:p>
        </w:tc>
        <w:tc>
          <w:tcPr>
            <w:tcW w:w="2410" w:type="dxa"/>
            <w:vAlign w:val="center"/>
            <w:hideMark/>
          </w:tcPr>
          <w:p w14:paraId="7F4D6F69" w14:textId="77777777" w:rsidR="005D12D7" w:rsidRPr="00221928" w:rsidRDefault="005D12D7" w:rsidP="00C3300C">
            <w:pPr>
              <w:pStyle w:val="NormalWeb"/>
              <w:jc w:val="center"/>
              <w:rPr>
                <w:sz w:val="18"/>
                <w:szCs w:val="18"/>
              </w:rPr>
            </w:pPr>
            <w:r w:rsidRPr="00221928">
              <w:rPr>
                <w:sz w:val="18"/>
                <w:szCs w:val="18"/>
              </w:rPr>
              <w:t>5/26</w:t>
            </w:r>
          </w:p>
        </w:tc>
        <w:tc>
          <w:tcPr>
            <w:tcW w:w="1793" w:type="dxa"/>
            <w:vAlign w:val="center"/>
            <w:hideMark/>
          </w:tcPr>
          <w:p w14:paraId="58B81DF5" w14:textId="77777777" w:rsidR="005D12D7" w:rsidRPr="00221928" w:rsidRDefault="005D12D7" w:rsidP="00C3300C">
            <w:pPr>
              <w:pStyle w:val="NormalWeb"/>
              <w:jc w:val="center"/>
              <w:rPr>
                <w:sz w:val="18"/>
                <w:szCs w:val="18"/>
              </w:rPr>
            </w:pPr>
            <w:r w:rsidRPr="00221928">
              <w:rPr>
                <w:sz w:val="18"/>
                <w:szCs w:val="18"/>
              </w:rPr>
              <w:t>19</w:t>
            </w:r>
          </w:p>
        </w:tc>
      </w:tr>
      <w:tr w:rsidR="00221928" w:rsidRPr="00221928" w14:paraId="65AC2BE4" w14:textId="77777777" w:rsidTr="00E05A16">
        <w:tblPrEx>
          <w:tblCellMar>
            <w:top w:w="57" w:type="dxa"/>
            <w:left w:w="57" w:type="dxa"/>
            <w:bottom w:w="57" w:type="dxa"/>
            <w:right w:w="57" w:type="dxa"/>
          </w:tblCellMar>
        </w:tblPrEx>
        <w:tc>
          <w:tcPr>
            <w:tcW w:w="6237" w:type="dxa"/>
            <w:vAlign w:val="center"/>
            <w:hideMark/>
          </w:tcPr>
          <w:p w14:paraId="11BCB72D" w14:textId="77777777" w:rsidR="005D12D7" w:rsidRPr="00221928" w:rsidRDefault="005D12D7" w:rsidP="00C3300C">
            <w:pPr>
              <w:pStyle w:val="NormalWeb"/>
              <w:rPr>
                <w:sz w:val="18"/>
                <w:szCs w:val="18"/>
              </w:rPr>
            </w:pPr>
            <w:r w:rsidRPr="00221928">
              <w:rPr>
                <w:sz w:val="18"/>
                <w:szCs w:val="18"/>
              </w:rPr>
              <w:t>End stage renal disease on haemodialysis</w:t>
            </w:r>
          </w:p>
        </w:tc>
        <w:tc>
          <w:tcPr>
            <w:tcW w:w="2410" w:type="dxa"/>
            <w:vAlign w:val="center"/>
            <w:hideMark/>
          </w:tcPr>
          <w:p w14:paraId="0FCBFBAA" w14:textId="77777777" w:rsidR="005D12D7" w:rsidRPr="00221928" w:rsidRDefault="005D12D7" w:rsidP="00C3300C">
            <w:pPr>
              <w:pStyle w:val="NormalWeb"/>
              <w:jc w:val="center"/>
              <w:rPr>
                <w:sz w:val="18"/>
                <w:szCs w:val="18"/>
              </w:rPr>
            </w:pPr>
            <w:r w:rsidRPr="00221928">
              <w:rPr>
                <w:sz w:val="18"/>
                <w:szCs w:val="18"/>
              </w:rPr>
              <w:t>1/26</w:t>
            </w:r>
          </w:p>
        </w:tc>
        <w:tc>
          <w:tcPr>
            <w:tcW w:w="1793" w:type="dxa"/>
            <w:vAlign w:val="center"/>
            <w:hideMark/>
          </w:tcPr>
          <w:p w14:paraId="1F8252B8" w14:textId="77777777" w:rsidR="005D12D7" w:rsidRPr="00221928" w:rsidRDefault="005D12D7" w:rsidP="00C3300C">
            <w:pPr>
              <w:pStyle w:val="NormalWeb"/>
              <w:jc w:val="center"/>
              <w:rPr>
                <w:sz w:val="18"/>
                <w:szCs w:val="18"/>
              </w:rPr>
            </w:pPr>
            <w:r w:rsidRPr="00221928">
              <w:rPr>
                <w:sz w:val="18"/>
                <w:szCs w:val="18"/>
              </w:rPr>
              <w:t>4</w:t>
            </w:r>
          </w:p>
        </w:tc>
      </w:tr>
      <w:tr w:rsidR="005D12D7" w:rsidRPr="00221928" w14:paraId="46D4376F" w14:textId="77777777" w:rsidTr="00E05A1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6237" w:type="dxa"/>
            <w:vAlign w:val="center"/>
            <w:hideMark/>
          </w:tcPr>
          <w:p w14:paraId="191CBBDF" w14:textId="77777777" w:rsidR="005D12D7" w:rsidRPr="00221928" w:rsidRDefault="005D12D7" w:rsidP="00C3300C">
            <w:pPr>
              <w:pStyle w:val="NormalWeb"/>
              <w:rPr>
                <w:sz w:val="18"/>
                <w:szCs w:val="18"/>
              </w:rPr>
            </w:pPr>
            <w:r w:rsidRPr="00221928">
              <w:rPr>
                <w:sz w:val="18"/>
                <w:szCs w:val="18"/>
              </w:rPr>
              <w:t>Renal transplant</w:t>
            </w:r>
          </w:p>
        </w:tc>
        <w:tc>
          <w:tcPr>
            <w:tcW w:w="2410" w:type="dxa"/>
            <w:vAlign w:val="center"/>
            <w:hideMark/>
          </w:tcPr>
          <w:p w14:paraId="7E601F04" w14:textId="77777777" w:rsidR="005D12D7" w:rsidRPr="00221928" w:rsidRDefault="005D12D7" w:rsidP="00C3300C">
            <w:pPr>
              <w:pStyle w:val="NormalWeb"/>
              <w:jc w:val="center"/>
              <w:rPr>
                <w:sz w:val="18"/>
                <w:szCs w:val="18"/>
              </w:rPr>
            </w:pPr>
            <w:r w:rsidRPr="00221928">
              <w:rPr>
                <w:sz w:val="18"/>
                <w:szCs w:val="18"/>
              </w:rPr>
              <w:t>3/26</w:t>
            </w:r>
          </w:p>
        </w:tc>
        <w:tc>
          <w:tcPr>
            <w:tcW w:w="1793" w:type="dxa"/>
            <w:vAlign w:val="center"/>
            <w:hideMark/>
          </w:tcPr>
          <w:p w14:paraId="4892E7D2" w14:textId="77777777" w:rsidR="005D12D7" w:rsidRPr="00221928" w:rsidRDefault="005D12D7" w:rsidP="00C3300C">
            <w:pPr>
              <w:pStyle w:val="NormalWeb"/>
              <w:jc w:val="center"/>
              <w:rPr>
                <w:sz w:val="18"/>
                <w:szCs w:val="18"/>
              </w:rPr>
            </w:pPr>
            <w:r w:rsidRPr="00221928">
              <w:rPr>
                <w:sz w:val="18"/>
                <w:szCs w:val="18"/>
              </w:rPr>
              <w:t>12</w:t>
            </w:r>
          </w:p>
        </w:tc>
      </w:tr>
      <w:tr w:rsidR="00221928" w:rsidRPr="00221928" w14:paraId="275573D9" w14:textId="77777777" w:rsidTr="00E05A16">
        <w:tblPrEx>
          <w:tblCellMar>
            <w:top w:w="57" w:type="dxa"/>
            <w:left w:w="57" w:type="dxa"/>
            <w:bottom w:w="57" w:type="dxa"/>
            <w:right w:w="57" w:type="dxa"/>
          </w:tblCellMar>
        </w:tblPrEx>
        <w:tc>
          <w:tcPr>
            <w:tcW w:w="6237" w:type="dxa"/>
            <w:vAlign w:val="center"/>
            <w:hideMark/>
          </w:tcPr>
          <w:p w14:paraId="27517918" w14:textId="1154D5D2" w:rsidR="005D12D7" w:rsidRPr="00221928" w:rsidRDefault="005D12D7" w:rsidP="00C3300C">
            <w:pPr>
              <w:pStyle w:val="NormalWeb"/>
              <w:rPr>
                <w:sz w:val="18"/>
                <w:szCs w:val="18"/>
              </w:rPr>
            </w:pPr>
            <w:r w:rsidRPr="00221928">
              <w:rPr>
                <w:sz w:val="18"/>
                <w:szCs w:val="18"/>
              </w:rPr>
              <w:t>HIV</w:t>
            </w:r>
          </w:p>
        </w:tc>
        <w:tc>
          <w:tcPr>
            <w:tcW w:w="2410" w:type="dxa"/>
            <w:vAlign w:val="center"/>
            <w:hideMark/>
          </w:tcPr>
          <w:p w14:paraId="2D128D99" w14:textId="7E9B8318" w:rsidR="005D12D7" w:rsidRPr="00221928" w:rsidRDefault="005D12D7" w:rsidP="00C3300C">
            <w:pPr>
              <w:pStyle w:val="NormalWeb"/>
              <w:jc w:val="center"/>
              <w:rPr>
                <w:sz w:val="18"/>
                <w:szCs w:val="18"/>
              </w:rPr>
            </w:pPr>
            <w:r w:rsidRPr="00221928">
              <w:rPr>
                <w:sz w:val="18"/>
                <w:szCs w:val="18"/>
              </w:rPr>
              <w:t>1/26</w:t>
            </w:r>
          </w:p>
        </w:tc>
        <w:tc>
          <w:tcPr>
            <w:tcW w:w="1793" w:type="dxa"/>
            <w:vAlign w:val="center"/>
            <w:hideMark/>
          </w:tcPr>
          <w:p w14:paraId="0C36A49B" w14:textId="2F013D8F" w:rsidR="005D12D7" w:rsidRPr="00221928" w:rsidRDefault="005D12D7" w:rsidP="00C3300C">
            <w:pPr>
              <w:pStyle w:val="NormalWeb"/>
              <w:jc w:val="center"/>
              <w:rPr>
                <w:sz w:val="18"/>
                <w:szCs w:val="18"/>
              </w:rPr>
            </w:pPr>
            <w:r w:rsidRPr="00221928">
              <w:rPr>
                <w:sz w:val="18"/>
                <w:szCs w:val="18"/>
              </w:rPr>
              <w:t>4</w:t>
            </w:r>
          </w:p>
        </w:tc>
      </w:tr>
      <w:tr w:rsidR="009C06A1" w:rsidRPr="00221928" w14:paraId="475079C7" w14:textId="77777777" w:rsidTr="00AE47B9">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6237" w:type="dxa"/>
            <w:vAlign w:val="center"/>
          </w:tcPr>
          <w:p w14:paraId="6EB5B739" w14:textId="762F0A27" w:rsidR="009C06A1" w:rsidRPr="00221928" w:rsidRDefault="009C06A1" w:rsidP="00C3300C">
            <w:pPr>
              <w:pStyle w:val="NormalWeb"/>
              <w:rPr>
                <w:sz w:val="18"/>
                <w:szCs w:val="18"/>
              </w:rPr>
            </w:pPr>
            <w:r w:rsidRPr="00221928">
              <w:rPr>
                <w:sz w:val="18"/>
                <w:szCs w:val="18"/>
              </w:rPr>
              <w:t>Trauma/inoculation</w:t>
            </w:r>
          </w:p>
        </w:tc>
        <w:tc>
          <w:tcPr>
            <w:tcW w:w="2410" w:type="dxa"/>
            <w:vAlign w:val="center"/>
          </w:tcPr>
          <w:p w14:paraId="4C43005D" w14:textId="54993B03" w:rsidR="009C06A1" w:rsidRPr="00221928" w:rsidRDefault="009C06A1" w:rsidP="00C3300C">
            <w:pPr>
              <w:pStyle w:val="NormalWeb"/>
              <w:jc w:val="center"/>
              <w:rPr>
                <w:sz w:val="18"/>
                <w:szCs w:val="18"/>
              </w:rPr>
            </w:pPr>
            <w:r w:rsidRPr="00221928">
              <w:rPr>
                <w:sz w:val="18"/>
                <w:szCs w:val="18"/>
              </w:rPr>
              <w:t>3/26</w:t>
            </w:r>
          </w:p>
        </w:tc>
        <w:tc>
          <w:tcPr>
            <w:tcW w:w="1793" w:type="dxa"/>
            <w:vAlign w:val="center"/>
          </w:tcPr>
          <w:p w14:paraId="4171D6F6" w14:textId="0A3DA0C3" w:rsidR="009C06A1" w:rsidRPr="00221928" w:rsidRDefault="009C06A1" w:rsidP="00C3300C">
            <w:pPr>
              <w:pStyle w:val="NormalWeb"/>
              <w:jc w:val="center"/>
              <w:rPr>
                <w:sz w:val="18"/>
                <w:szCs w:val="18"/>
              </w:rPr>
            </w:pPr>
            <w:r w:rsidRPr="00221928">
              <w:rPr>
                <w:sz w:val="18"/>
                <w:szCs w:val="18"/>
              </w:rPr>
              <w:t>11</w:t>
            </w:r>
          </w:p>
        </w:tc>
      </w:tr>
      <w:tr w:rsidR="005D12D7" w:rsidRPr="00221928" w14:paraId="491EA850" w14:textId="77777777" w:rsidTr="00AE47B9">
        <w:tblPrEx>
          <w:tblCellMar>
            <w:top w:w="57" w:type="dxa"/>
            <w:left w:w="57" w:type="dxa"/>
            <w:bottom w:w="57" w:type="dxa"/>
            <w:right w:w="57" w:type="dxa"/>
          </w:tblCellMar>
        </w:tblPrEx>
        <w:tc>
          <w:tcPr>
            <w:tcW w:w="6237" w:type="dxa"/>
            <w:tcBorders>
              <w:bottom w:val="single" w:sz="4" w:space="0" w:color="808080" w:themeColor="background1" w:themeShade="80"/>
            </w:tcBorders>
            <w:vAlign w:val="center"/>
            <w:hideMark/>
          </w:tcPr>
          <w:p w14:paraId="144A25C0" w14:textId="77777777" w:rsidR="005D12D7" w:rsidRPr="00221928" w:rsidRDefault="005D12D7" w:rsidP="00C3300C">
            <w:pPr>
              <w:pStyle w:val="NormalWeb"/>
              <w:rPr>
                <w:sz w:val="18"/>
                <w:szCs w:val="18"/>
              </w:rPr>
            </w:pPr>
            <w:r w:rsidRPr="00221928">
              <w:rPr>
                <w:sz w:val="18"/>
                <w:szCs w:val="18"/>
              </w:rPr>
              <w:t>No identified risk factor</w:t>
            </w:r>
          </w:p>
        </w:tc>
        <w:tc>
          <w:tcPr>
            <w:tcW w:w="2410" w:type="dxa"/>
            <w:tcBorders>
              <w:bottom w:val="single" w:sz="4" w:space="0" w:color="808080" w:themeColor="background1" w:themeShade="80"/>
            </w:tcBorders>
            <w:vAlign w:val="center"/>
            <w:hideMark/>
          </w:tcPr>
          <w:p w14:paraId="7B96E906" w14:textId="77777777" w:rsidR="005D12D7" w:rsidRPr="00221928" w:rsidRDefault="005D12D7" w:rsidP="00C3300C">
            <w:pPr>
              <w:pStyle w:val="NormalWeb"/>
              <w:jc w:val="center"/>
              <w:rPr>
                <w:sz w:val="18"/>
                <w:szCs w:val="18"/>
              </w:rPr>
            </w:pPr>
            <w:r w:rsidRPr="00221928">
              <w:rPr>
                <w:sz w:val="18"/>
                <w:szCs w:val="18"/>
              </w:rPr>
              <w:t>3/26</w:t>
            </w:r>
          </w:p>
        </w:tc>
        <w:tc>
          <w:tcPr>
            <w:tcW w:w="1793" w:type="dxa"/>
            <w:tcBorders>
              <w:bottom w:val="single" w:sz="4" w:space="0" w:color="808080" w:themeColor="background1" w:themeShade="80"/>
            </w:tcBorders>
            <w:vAlign w:val="center"/>
            <w:hideMark/>
          </w:tcPr>
          <w:p w14:paraId="677686CF" w14:textId="77777777" w:rsidR="005D12D7" w:rsidRPr="00221928" w:rsidRDefault="005D12D7" w:rsidP="00C3300C">
            <w:pPr>
              <w:pStyle w:val="NormalWeb"/>
              <w:jc w:val="center"/>
              <w:rPr>
                <w:sz w:val="18"/>
                <w:szCs w:val="18"/>
              </w:rPr>
            </w:pPr>
            <w:r w:rsidRPr="00221928">
              <w:rPr>
                <w:sz w:val="18"/>
                <w:szCs w:val="18"/>
              </w:rPr>
              <w:t>11</w:t>
            </w:r>
          </w:p>
        </w:tc>
      </w:tr>
    </w:tbl>
    <w:p w14:paraId="5D869387" w14:textId="77777777" w:rsidR="005D12D7" w:rsidRDefault="005D12D7" w:rsidP="00A9052A"/>
    <w:p w14:paraId="66645A77" w14:textId="6D88F5DC" w:rsidR="008A452D" w:rsidRDefault="008A452D" w:rsidP="00A9052A">
      <w:r>
        <w:lastRenderedPageBreak/>
        <w:t xml:space="preserve">While pulmonary and disseminated disease were caused by several different </w:t>
      </w:r>
      <w:r w:rsidRPr="008A452D">
        <w:rPr>
          <w:rStyle w:val="Emphasis"/>
          <w:b w:val="0"/>
          <w:bCs w:val="0"/>
        </w:rPr>
        <w:t>Nocardia</w:t>
      </w:r>
      <w:r>
        <w:t xml:space="preserve"> species (Figure 2), </w:t>
      </w:r>
      <w:proofErr w:type="gramStart"/>
      <w:r>
        <w:t>locally-acquired</w:t>
      </w:r>
      <w:proofErr w:type="gramEnd"/>
      <w:r>
        <w:t xml:space="preserve"> skin and soft tissue infection was caused almost exclusively by </w:t>
      </w:r>
      <w:r w:rsidRPr="008A452D">
        <w:rPr>
          <w:rStyle w:val="Emphasis"/>
          <w:b w:val="0"/>
          <w:bCs w:val="0"/>
        </w:rPr>
        <w:t xml:space="preserve">N. </w:t>
      </w:r>
      <w:proofErr w:type="spellStart"/>
      <w:r w:rsidRPr="008A452D">
        <w:rPr>
          <w:rStyle w:val="Emphasis"/>
          <w:b w:val="0"/>
          <w:bCs w:val="0"/>
        </w:rPr>
        <w:t>brasiliensis</w:t>
      </w:r>
      <w:proofErr w:type="spellEnd"/>
      <w:r>
        <w:t xml:space="preserve">. One patient experienced skin and soft tissue infection with contiguous osteomyelitis due to </w:t>
      </w:r>
      <w:r w:rsidRPr="008A452D">
        <w:rPr>
          <w:rStyle w:val="Emphasis"/>
          <w:b w:val="0"/>
          <w:bCs w:val="0"/>
        </w:rPr>
        <w:t xml:space="preserve">N. </w:t>
      </w:r>
      <w:proofErr w:type="spellStart"/>
      <w:r w:rsidRPr="008A452D">
        <w:rPr>
          <w:rStyle w:val="Emphasis"/>
          <w:b w:val="0"/>
          <w:bCs w:val="0"/>
        </w:rPr>
        <w:t>rhamnosiphila</w:t>
      </w:r>
      <w:proofErr w:type="spellEnd"/>
      <w:r>
        <w:t xml:space="preserve"> acquired by traumatic inoculation sustained overseas; another case of soft tissue infection caused by </w:t>
      </w:r>
      <w:r w:rsidRPr="008A452D">
        <w:rPr>
          <w:rStyle w:val="Emphasis"/>
          <w:b w:val="0"/>
          <w:bCs w:val="0"/>
        </w:rPr>
        <w:t xml:space="preserve">N. </w:t>
      </w:r>
      <w:proofErr w:type="spellStart"/>
      <w:r w:rsidRPr="008A452D">
        <w:rPr>
          <w:rStyle w:val="Emphasis"/>
          <w:b w:val="0"/>
          <w:bCs w:val="0"/>
        </w:rPr>
        <w:t>thailandica</w:t>
      </w:r>
      <w:proofErr w:type="spellEnd"/>
      <w:r>
        <w:t xml:space="preserve"> was again related to direct inoculation. </w:t>
      </w:r>
    </w:p>
    <w:p w14:paraId="32DC1661" w14:textId="77777777" w:rsidR="00204504" w:rsidRDefault="00204504" w:rsidP="00204504">
      <w:pPr>
        <w:pStyle w:val="CDIFigures"/>
        <w:rPr>
          <w:lang w:val="en-GB"/>
        </w:rPr>
      </w:pPr>
      <w:r>
        <w:rPr>
          <w:lang w:val="en-GB"/>
        </w:rPr>
        <w:t>Figure 1: Incident cases of culture-proven nocardiosis presenting to the Illawarra Shoalhaven Local Health District</w:t>
      </w:r>
    </w:p>
    <w:p w14:paraId="3A4CE438" w14:textId="17A48743" w:rsidR="00204504" w:rsidRPr="00204504" w:rsidRDefault="00204504" w:rsidP="00A9052A">
      <w:pPr>
        <w:rPr>
          <w:rFonts w:eastAsia="Times New Roman"/>
          <w:lang w:val="en-GB"/>
        </w:rPr>
      </w:pPr>
      <w:r>
        <w:rPr>
          <w:rFonts w:eastAsia="Times New Roman"/>
          <w:noProof/>
          <w:lang w:val="en-GB"/>
        </w:rPr>
        <w:drawing>
          <wp:inline distT="0" distB="0" distL="0" distR="0" wp14:anchorId="5983B0A7" wp14:editId="4A931031">
            <wp:extent cx="6663454" cy="4276545"/>
            <wp:effectExtent l="0" t="0" r="4445" b="0"/>
            <wp:docPr id="6" name="Picture 6" descr="A histogram demonstrating case numbers by year and colour coded for type of infection (soft tissue, pulmonary or disseminated). Shows an trend of increasing incidence of cases of the study perio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histogram demonstrating case numbers by year and colour coded for type of infection (soft tissue, pulmonary or disseminated). Shows an trend of increasing incidence of cases of the study period. "/>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74636" cy="4283722"/>
                    </a:xfrm>
                    <a:prstGeom prst="rect">
                      <a:avLst/>
                    </a:prstGeom>
                  </pic:spPr>
                </pic:pic>
              </a:graphicData>
            </a:graphic>
          </wp:inline>
        </w:drawing>
      </w:r>
    </w:p>
    <w:p w14:paraId="00EEF3CD" w14:textId="77777777" w:rsidR="004246C8" w:rsidRDefault="004246C8" w:rsidP="004246C8">
      <w:pPr>
        <w:pStyle w:val="CDIFigures"/>
        <w:rPr>
          <w:lang w:val="en-GB"/>
        </w:rPr>
      </w:pPr>
      <w:r>
        <w:rPr>
          <w:lang w:val="en-GB"/>
        </w:rPr>
        <w:t xml:space="preserve">Table 2: Incident cases of culture proven nocardiosis presenting to the Illawarra Shoalhaven Local Health District classified by </w:t>
      </w:r>
      <w:r w:rsidRPr="00B56D33">
        <w:rPr>
          <w:i/>
          <w:iCs/>
          <w:lang w:val="en-GB"/>
        </w:rPr>
        <w:t>Nocardia</w:t>
      </w:r>
      <w:r>
        <w:rPr>
          <w:lang w:val="en-GB"/>
        </w:rPr>
        <w:t xml:space="preserve"> species during the ten-year study period</w:t>
      </w:r>
    </w:p>
    <w:tbl>
      <w:tblPr>
        <w:tblStyle w:val="CDI-StandardTable"/>
        <w:tblW w:w="0" w:type="auto"/>
        <w:tblLook w:val="04A0" w:firstRow="1" w:lastRow="0" w:firstColumn="1" w:lastColumn="0" w:noHBand="0" w:noVBand="1"/>
        <w:tblDescription w:val="Characterisation of case numbers by Nocardia species over the study period.&#10;"/>
      </w:tblPr>
      <w:tblGrid>
        <w:gridCol w:w="5220"/>
        <w:gridCol w:w="5220"/>
      </w:tblGrid>
      <w:tr w:rsidR="004246C8" w:rsidRPr="004246C8" w14:paraId="49038397" w14:textId="77777777" w:rsidTr="004246C8">
        <w:trPr>
          <w:cnfStyle w:val="100000000000" w:firstRow="1" w:lastRow="0" w:firstColumn="0" w:lastColumn="0" w:oddVBand="0" w:evenVBand="0" w:oddHBand="0" w:evenHBand="0" w:firstRowFirstColumn="0" w:firstRowLastColumn="0" w:lastRowFirstColumn="0" w:lastRowLastColumn="0"/>
        </w:trPr>
        <w:tc>
          <w:tcPr>
            <w:tcW w:w="5220" w:type="dxa"/>
            <w:tcBorders>
              <w:right w:val="single" w:sz="2" w:space="0" w:color="FFFFFF" w:themeColor="background1"/>
            </w:tcBorders>
            <w:hideMark/>
          </w:tcPr>
          <w:p w14:paraId="6A0BBCE9" w14:textId="77777777" w:rsidR="004246C8" w:rsidRPr="004246C8" w:rsidRDefault="004246C8" w:rsidP="00EC0110">
            <w:pPr>
              <w:pStyle w:val="NormalWeb"/>
              <w:rPr>
                <w:color w:val="FFFFFF" w:themeColor="background1"/>
                <w:sz w:val="20"/>
                <w:szCs w:val="20"/>
              </w:rPr>
            </w:pPr>
            <w:r w:rsidRPr="004246C8">
              <w:rPr>
                <w:color w:val="FFFFFF" w:themeColor="background1"/>
                <w:sz w:val="20"/>
                <w:szCs w:val="20"/>
              </w:rPr>
              <w:t>Species</w:t>
            </w:r>
          </w:p>
        </w:tc>
        <w:tc>
          <w:tcPr>
            <w:tcW w:w="5220" w:type="dxa"/>
            <w:tcBorders>
              <w:left w:val="single" w:sz="2" w:space="0" w:color="FFFFFF" w:themeColor="background1"/>
            </w:tcBorders>
            <w:hideMark/>
          </w:tcPr>
          <w:p w14:paraId="5F5B34C0" w14:textId="77777777" w:rsidR="004246C8" w:rsidRPr="004246C8" w:rsidRDefault="004246C8" w:rsidP="00EC0110">
            <w:pPr>
              <w:pStyle w:val="NormalWeb"/>
              <w:jc w:val="center"/>
              <w:rPr>
                <w:color w:val="FFFFFF" w:themeColor="background1"/>
                <w:sz w:val="20"/>
                <w:szCs w:val="20"/>
              </w:rPr>
            </w:pPr>
            <w:r w:rsidRPr="004246C8">
              <w:rPr>
                <w:color w:val="FFFFFF" w:themeColor="background1"/>
                <w:sz w:val="20"/>
                <w:szCs w:val="20"/>
              </w:rPr>
              <w:t>Number of isolates</w:t>
            </w:r>
          </w:p>
        </w:tc>
      </w:tr>
      <w:tr w:rsidR="004246C8" w:rsidRPr="004246C8" w14:paraId="0B81C58E" w14:textId="77777777" w:rsidTr="004246C8">
        <w:tblPrEx>
          <w:tblCellMar>
            <w:top w:w="57" w:type="dxa"/>
            <w:left w:w="57" w:type="dxa"/>
            <w:bottom w:w="57" w:type="dxa"/>
            <w:right w:w="57" w:type="dxa"/>
          </w:tblCellMar>
        </w:tblPrEx>
        <w:tc>
          <w:tcPr>
            <w:tcW w:w="5220" w:type="dxa"/>
            <w:hideMark/>
          </w:tcPr>
          <w:p w14:paraId="26DC0987" w14:textId="77777777" w:rsidR="004246C8" w:rsidRPr="004246C8" w:rsidRDefault="004246C8" w:rsidP="00EC0110">
            <w:pPr>
              <w:pStyle w:val="NormalWeb"/>
              <w:rPr>
                <w:sz w:val="20"/>
                <w:szCs w:val="20"/>
              </w:rPr>
            </w:pPr>
            <w:r w:rsidRPr="004246C8">
              <w:rPr>
                <w:sz w:val="20"/>
                <w:szCs w:val="20"/>
              </w:rPr>
              <w:t xml:space="preserve">Nocardia </w:t>
            </w:r>
            <w:proofErr w:type="spellStart"/>
            <w:r w:rsidRPr="004246C8">
              <w:rPr>
                <w:sz w:val="20"/>
                <w:szCs w:val="20"/>
              </w:rPr>
              <w:t>brasiliensis</w:t>
            </w:r>
            <w:proofErr w:type="spellEnd"/>
          </w:p>
        </w:tc>
        <w:tc>
          <w:tcPr>
            <w:tcW w:w="5220" w:type="dxa"/>
            <w:hideMark/>
          </w:tcPr>
          <w:p w14:paraId="6266596E" w14:textId="77777777" w:rsidR="004246C8" w:rsidRPr="004246C8" w:rsidRDefault="004246C8" w:rsidP="00EC0110">
            <w:pPr>
              <w:pStyle w:val="NormalWeb"/>
              <w:jc w:val="center"/>
              <w:rPr>
                <w:sz w:val="20"/>
                <w:szCs w:val="20"/>
              </w:rPr>
            </w:pPr>
            <w:r w:rsidRPr="004246C8">
              <w:rPr>
                <w:sz w:val="20"/>
                <w:szCs w:val="20"/>
              </w:rPr>
              <w:t>6</w:t>
            </w:r>
          </w:p>
        </w:tc>
      </w:tr>
      <w:tr w:rsidR="004246C8" w:rsidRPr="004246C8" w14:paraId="598891FE" w14:textId="77777777" w:rsidTr="004246C8">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20" w:type="dxa"/>
            <w:hideMark/>
          </w:tcPr>
          <w:p w14:paraId="0C847DFB" w14:textId="77777777" w:rsidR="004246C8" w:rsidRPr="004246C8" w:rsidRDefault="004246C8" w:rsidP="00EC0110">
            <w:pPr>
              <w:pStyle w:val="NormalWeb"/>
              <w:rPr>
                <w:sz w:val="20"/>
                <w:szCs w:val="20"/>
              </w:rPr>
            </w:pPr>
            <w:r w:rsidRPr="004246C8">
              <w:rPr>
                <w:sz w:val="20"/>
                <w:szCs w:val="20"/>
              </w:rPr>
              <w:t xml:space="preserve">Nocardia </w:t>
            </w:r>
            <w:proofErr w:type="spellStart"/>
            <w:r w:rsidRPr="004246C8">
              <w:rPr>
                <w:sz w:val="20"/>
                <w:szCs w:val="20"/>
              </w:rPr>
              <w:t>farcinica</w:t>
            </w:r>
            <w:proofErr w:type="spellEnd"/>
          </w:p>
        </w:tc>
        <w:tc>
          <w:tcPr>
            <w:tcW w:w="5220" w:type="dxa"/>
            <w:hideMark/>
          </w:tcPr>
          <w:p w14:paraId="51E1ABCC" w14:textId="77777777" w:rsidR="004246C8" w:rsidRPr="004246C8" w:rsidRDefault="004246C8" w:rsidP="00EC0110">
            <w:pPr>
              <w:pStyle w:val="NormalWeb"/>
              <w:jc w:val="center"/>
              <w:rPr>
                <w:sz w:val="20"/>
                <w:szCs w:val="20"/>
              </w:rPr>
            </w:pPr>
            <w:r w:rsidRPr="004246C8">
              <w:rPr>
                <w:sz w:val="20"/>
                <w:szCs w:val="20"/>
              </w:rPr>
              <w:t>6</w:t>
            </w:r>
          </w:p>
        </w:tc>
      </w:tr>
      <w:tr w:rsidR="004246C8" w:rsidRPr="004246C8" w14:paraId="62B43D68" w14:textId="77777777" w:rsidTr="004246C8">
        <w:tblPrEx>
          <w:tblCellMar>
            <w:top w:w="57" w:type="dxa"/>
            <w:left w:w="57" w:type="dxa"/>
            <w:bottom w:w="57" w:type="dxa"/>
            <w:right w:w="57" w:type="dxa"/>
          </w:tblCellMar>
        </w:tblPrEx>
        <w:tc>
          <w:tcPr>
            <w:tcW w:w="5220" w:type="dxa"/>
            <w:hideMark/>
          </w:tcPr>
          <w:p w14:paraId="675591CA" w14:textId="77777777" w:rsidR="004246C8" w:rsidRPr="004246C8" w:rsidRDefault="004246C8" w:rsidP="00EC0110">
            <w:pPr>
              <w:pStyle w:val="NormalWeb"/>
              <w:rPr>
                <w:sz w:val="20"/>
                <w:szCs w:val="20"/>
              </w:rPr>
            </w:pPr>
            <w:r w:rsidRPr="004246C8">
              <w:rPr>
                <w:sz w:val="20"/>
                <w:szCs w:val="20"/>
              </w:rPr>
              <w:t xml:space="preserve">Nocardia </w:t>
            </w:r>
            <w:proofErr w:type="spellStart"/>
            <w:r w:rsidRPr="004246C8">
              <w:rPr>
                <w:sz w:val="20"/>
                <w:szCs w:val="20"/>
              </w:rPr>
              <w:t>cyriacigeorgica</w:t>
            </w:r>
            <w:proofErr w:type="spellEnd"/>
          </w:p>
        </w:tc>
        <w:tc>
          <w:tcPr>
            <w:tcW w:w="5220" w:type="dxa"/>
            <w:hideMark/>
          </w:tcPr>
          <w:p w14:paraId="58C6EE63" w14:textId="77777777" w:rsidR="004246C8" w:rsidRPr="004246C8" w:rsidRDefault="004246C8" w:rsidP="00EC0110">
            <w:pPr>
              <w:pStyle w:val="NormalWeb"/>
              <w:jc w:val="center"/>
              <w:rPr>
                <w:sz w:val="20"/>
                <w:szCs w:val="20"/>
              </w:rPr>
            </w:pPr>
            <w:r w:rsidRPr="004246C8">
              <w:rPr>
                <w:sz w:val="20"/>
                <w:szCs w:val="20"/>
              </w:rPr>
              <w:t>5</w:t>
            </w:r>
          </w:p>
        </w:tc>
      </w:tr>
      <w:tr w:rsidR="004246C8" w:rsidRPr="004246C8" w14:paraId="60EB987E" w14:textId="77777777" w:rsidTr="004246C8">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20" w:type="dxa"/>
            <w:hideMark/>
          </w:tcPr>
          <w:p w14:paraId="37A498C5" w14:textId="77777777" w:rsidR="004246C8" w:rsidRPr="004246C8" w:rsidRDefault="004246C8" w:rsidP="00EC0110">
            <w:pPr>
              <w:pStyle w:val="NormalWeb"/>
              <w:rPr>
                <w:sz w:val="20"/>
                <w:szCs w:val="20"/>
              </w:rPr>
            </w:pPr>
            <w:r w:rsidRPr="004246C8">
              <w:rPr>
                <w:sz w:val="20"/>
                <w:szCs w:val="20"/>
              </w:rPr>
              <w:t>Nocardia nova</w:t>
            </w:r>
          </w:p>
        </w:tc>
        <w:tc>
          <w:tcPr>
            <w:tcW w:w="5220" w:type="dxa"/>
            <w:hideMark/>
          </w:tcPr>
          <w:p w14:paraId="40859D2D" w14:textId="77777777" w:rsidR="004246C8" w:rsidRPr="004246C8" w:rsidRDefault="004246C8" w:rsidP="00EC0110">
            <w:pPr>
              <w:pStyle w:val="NormalWeb"/>
              <w:jc w:val="center"/>
              <w:rPr>
                <w:sz w:val="20"/>
                <w:szCs w:val="20"/>
              </w:rPr>
            </w:pPr>
            <w:r w:rsidRPr="004246C8">
              <w:rPr>
                <w:sz w:val="20"/>
                <w:szCs w:val="20"/>
              </w:rPr>
              <w:t>3</w:t>
            </w:r>
          </w:p>
        </w:tc>
      </w:tr>
      <w:tr w:rsidR="004246C8" w:rsidRPr="004246C8" w14:paraId="6CB08A04" w14:textId="77777777" w:rsidTr="004246C8">
        <w:tblPrEx>
          <w:tblCellMar>
            <w:top w:w="57" w:type="dxa"/>
            <w:left w:w="57" w:type="dxa"/>
            <w:bottom w:w="57" w:type="dxa"/>
            <w:right w:w="57" w:type="dxa"/>
          </w:tblCellMar>
        </w:tblPrEx>
        <w:tc>
          <w:tcPr>
            <w:tcW w:w="5220" w:type="dxa"/>
            <w:hideMark/>
          </w:tcPr>
          <w:p w14:paraId="49460F1C" w14:textId="77777777" w:rsidR="004246C8" w:rsidRPr="004246C8" w:rsidRDefault="004246C8" w:rsidP="00EC0110">
            <w:pPr>
              <w:pStyle w:val="NormalWeb"/>
              <w:rPr>
                <w:sz w:val="20"/>
                <w:szCs w:val="20"/>
              </w:rPr>
            </w:pPr>
            <w:r w:rsidRPr="004246C8">
              <w:rPr>
                <w:sz w:val="20"/>
                <w:szCs w:val="20"/>
              </w:rPr>
              <w:t xml:space="preserve">Nocardia </w:t>
            </w:r>
            <w:proofErr w:type="spellStart"/>
            <w:r w:rsidRPr="004246C8">
              <w:rPr>
                <w:sz w:val="20"/>
                <w:szCs w:val="20"/>
              </w:rPr>
              <w:t>paucivorans</w:t>
            </w:r>
            <w:proofErr w:type="spellEnd"/>
          </w:p>
        </w:tc>
        <w:tc>
          <w:tcPr>
            <w:tcW w:w="5220" w:type="dxa"/>
            <w:hideMark/>
          </w:tcPr>
          <w:p w14:paraId="1FBE903F" w14:textId="77777777" w:rsidR="004246C8" w:rsidRPr="004246C8" w:rsidRDefault="004246C8" w:rsidP="00EC0110">
            <w:pPr>
              <w:pStyle w:val="NormalWeb"/>
              <w:jc w:val="center"/>
              <w:rPr>
                <w:sz w:val="20"/>
                <w:szCs w:val="20"/>
              </w:rPr>
            </w:pPr>
            <w:r w:rsidRPr="004246C8">
              <w:rPr>
                <w:sz w:val="20"/>
                <w:szCs w:val="20"/>
              </w:rPr>
              <w:t>1</w:t>
            </w:r>
          </w:p>
        </w:tc>
      </w:tr>
      <w:tr w:rsidR="004246C8" w:rsidRPr="004246C8" w14:paraId="4E5893E3" w14:textId="77777777" w:rsidTr="004246C8">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20" w:type="dxa"/>
            <w:hideMark/>
          </w:tcPr>
          <w:p w14:paraId="4BABA015" w14:textId="77777777" w:rsidR="004246C8" w:rsidRPr="004246C8" w:rsidRDefault="004246C8" w:rsidP="00EC0110">
            <w:pPr>
              <w:pStyle w:val="NormalWeb"/>
              <w:rPr>
                <w:sz w:val="20"/>
                <w:szCs w:val="20"/>
              </w:rPr>
            </w:pPr>
            <w:r w:rsidRPr="004246C8">
              <w:rPr>
                <w:sz w:val="20"/>
                <w:szCs w:val="20"/>
              </w:rPr>
              <w:t xml:space="preserve">Nocardia </w:t>
            </w:r>
            <w:proofErr w:type="spellStart"/>
            <w:r w:rsidRPr="004246C8">
              <w:rPr>
                <w:sz w:val="20"/>
                <w:szCs w:val="20"/>
              </w:rPr>
              <w:t>vinacea</w:t>
            </w:r>
            <w:proofErr w:type="spellEnd"/>
          </w:p>
        </w:tc>
        <w:tc>
          <w:tcPr>
            <w:tcW w:w="5220" w:type="dxa"/>
            <w:hideMark/>
          </w:tcPr>
          <w:p w14:paraId="12291D60" w14:textId="77777777" w:rsidR="004246C8" w:rsidRPr="004246C8" w:rsidRDefault="004246C8" w:rsidP="00EC0110">
            <w:pPr>
              <w:pStyle w:val="NormalWeb"/>
              <w:jc w:val="center"/>
              <w:rPr>
                <w:sz w:val="20"/>
                <w:szCs w:val="20"/>
              </w:rPr>
            </w:pPr>
            <w:r w:rsidRPr="004246C8">
              <w:rPr>
                <w:sz w:val="20"/>
                <w:szCs w:val="20"/>
              </w:rPr>
              <w:t>1</w:t>
            </w:r>
          </w:p>
        </w:tc>
      </w:tr>
      <w:tr w:rsidR="004246C8" w:rsidRPr="004246C8" w14:paraId="30F8B956" w14:textId="77777777" w:rsidTr="004246C8">
        <w:tblPrEx>
          <w:tblCellMar>
            <w:top w:w="57" w:type="dxa"/>
            <w:left w:w="57" w:type="dxa"/>
            <w:bottom w:w="57" w:type="dxa"/>
            <w:right w:w="57" w:type="dxa"/>
          </w:tblCellMar>
        </w:tblPrEx>
        <w:tc>
          <w:tcPr>
            <w:tcW w:w="5220" w:type="dxa"/>
            <w:hideMark/>
          </w:tcPr>
          <w:p w14:paraId="372E4528" w14:textId="77777777" w:rsidR="004246C8" w:rsidRPr="004246C8" w:rsidRDefault="004246C8" w:rsidP="00EC0110">
            <w:pPr>
              <w:pStyle w:val="NormalWeb"/>
              <w:rPr>
                <w:sz w:val="20"/>
                <w:szCs w:val="20"/>
              </w:rPr>
            </w:pPr>
            <w:r w:rsidRPr="004246C8">
              <w:rPr>
                <w:sz w:val="20"/>
                <w:szCs w:val="20"/>
              </w:rPr>
              <w:t xml:space="preserve">Nocardia sp. (N. </w:t>
            </w:r>
            <w:proofErr w:type="spellStart"/>
            <w:r w:rsidRPr="004246C8">
              <w:rPr>
                <w:sz w:val="20"/>
                <w:szCs w:val="20"/>
              </w:rPr>
              <w:t>gamkensis</w:t>
            </w:r>
            <w:proofErr w:type="spellEnd"/>
            <w:r w:rsidRPr="004246C8">
              <w:rPr>
                <w:sz w:val="20"/>
                <w:szCs w:val="20"/>
              </w:rPr>
              <w:t xml:space="preserve"> or N. </w:t>
            </w:r>
            <w:proofErr w:type="spellStart"/>
            <w:r w:rsidRPr="004246C8">
              <w:rPr>
                <w:sz w:val="20"/>
                <w:szCs w:val="20"/>
              </w:rPr>
              <w:t>exalbida</w:t>
            </w:r>
            <w:proofErr w:type="spellEnd"/>
            <w:r w:rsidRPr="004246C8">
              <w:rPr>
                <w:sz w:val="20"/>
                <w:szCs w:val="20"/>
              </w:rPr>
              <w:t>)</w:t>
            </w:r>
          </w:p>
        </w:tc>
        <w:tc>
          <w:tcPr>
            <w:tcW w:w="5220" w:type="dxa"/>
            <w:hideMark/>
          </w:tcPr>
          <w:p w14:paraId="051FD345" w14:textId="77777777" w:rsidR="004246C8" w:rsidRPr="004246C8" w:rsidRDefault="004246C8" w:rsidP="00EC0110">
            <w:pPr>
              <w:pStyle w:val="NormalWeb"/>
              <w:jc w:val="center"/>
              <w:rPr>
                <w:sz w:val="20"/>
                <w:szCs w:val="20"/>
              </w:rPr>
            </w:pPr>
            <w:r w:rsidRPr="004246C8">
              <w:rPr>
                <w:sz w:val="20"/>
                <w:szCs w:val="20"/>
              </w:rPr>
              <w:t>1</w:t>
            </w:r>
          </w:p>
        </w:tc>
      </w:tr>
      <w:tr w:rsidR="004246C8" w:rsidRPr="004246C8" w14:paraId="464EE067" w14:textId="77777777" w:rsidTr="004246C8">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20" w:type="dxa"/>
            <w:hideMark/>
          </w:tcPr>
          <w:p w14:paraId="50EAE5B8" w14:textId="77777777" w:rsidR="004246C8" w:rsidRPr="004246C8" w:rsidRDefault="004246C8" w:rsidP="00EC0110">
            <w:pPr>
              <w:pStyle w:val="NormalWeb"/>
              <w:rPr>
                <w:sz w:val="20"/>
                <w:szCs w:val="20"/>
              </w:rPr>
            </w:pPr>
            <w:r w:rsidRPr="004246C8">
              <w:rPr>
                <w:sz w:val="20"/>
                <w:szCs w:val="20"/>
              </w:rPr>
              <w:t xml:space="preserve">Nocardia </w:t>
            </w:r>
            <w:proofErr w:type="spellStart"/>
            <w:r w:rsidRPr="004246C8">
              <w:rPr>
                <w:sz w:val="20"/>
                <w:szCs w:val="20"/>
              </w:rPr>
              <w:t>beijingenesis</w:t>
            </w:r>
            <w:proofErr w:type="spellEnd"/>
          </w:p>
        </w:tc>
        <w:tc>
          <w:tcPr>
            <w:tcW w:w="5220" w:type="dxa"/>
            <w:hideMark/>
          </w:tcPr>
          <w:p w14:paraId="5E7B96A3" w14:textId="77777777" w:rsidR="004246C8" w:rsidRPr="004246C8" w:rsidRDefault="004246C8" w:rsidP="00EC0110">
            <w:pPr>
              <w:pStyle w:val="NormalWeb"/>
              <w:jc w:val="center"/>
              <w:rPr>
                <w:sz w:val="20"/>
                <w:szCs w:val="20"/>
              </w:rPr>
            </w:pPr>
            <w:r w:rsidRPr="004246C8">
              <w:rPr>
                <w:sz w:val="20"/>
                <w:szCs w:val="20"/>
              </w:rPr>
              <w:t>1</w:t>
            </w:r>
          </w:p>
        </w:tc>
      </w:tr>
      <w:tr w:rsidR="004246C8" w:rsidRPr="004246C8" w14:paraId="06025EE3" w14:textId="77777777" w:rsidTr="004246C8">
        <w:tblPrEx>
          <w:tblCellMar>
            <w:top w:w="57" w:type="dxa"/>
            <w:left w:w="57" w:type="dxa"/>
            <w:bottom w:w="57" w:type="dxa"/>
            <w:right w:w="57" w:type="dxa"/>
          </w:tblCellMar>
        </w:tblPrEx>
        <w:tc>
          <w:tcPr>
            <w:tcW w:w="5220" w:type="dxa"/>
            <w:hideMark/>
          </w:tcPr>
          <w:p w14:paraId="5B03AC8D" w14:textId="77777777" w:rsidR="004246C8" w:rsidRPr="004246C8" w:rsidRDefault="004246C8" w:rsidP="00EC0110">
            <w:pPr>
              <w:pStyle w:val="NormalWeb"/>
              <w:rPr>
                <w:sz w:val="20"/>
                <w:szCs w:val="20"/>
              </w:rPr>
            </w:pPr>
            <w:r w:rsidRPr="004246C8">
              <w:rPr>
                <w:sz w:val="20"/>
                <w:szCs w:val="20"/>
              </w:rPr>
              <w:t xml:space="preserve">Nocardia </w:t>
            </w:r>
            <w:proofErr w:type="spellStart"/>
            <w:r w:rsidRPr="004246C8">
              <w:rPr>
                <w:sz w:val="20"/>
                <w:szCs w:val="20"/>
              </w:rPr>
              <w:t>rhamnosiphila</w:t>
            </w:r>
            <w:proofErr w:type="spellEnd"/>
          </w:p>
        </w:tc>
        <w:tc>
          <w:tcPr>
            <w:tcW w:w="5220" w:type="dxa"/>
            <w:hideMark/>
          </w:tcPr>
          <w:p w14:paraId="36FF94F5" w14:textId="77777777" w:rsidR="004246C8" w:rsidRPr="004246C8" w:rsidRDefault="004246C8" w:rsidP="00EC0110">
            <w:pPr>
              <w:pStyle w:val="NormalWeb"/>
              <w:jc w:val="center"/>
              <w:rPr>
                <w:sz w:val="20"/>
                <w:szCs w:val="20"/>
              </w:rPr>
            </w:pPr>
            <w:r w:rsidRPr="004246C8">
              <w:rPr>
                <w:sz w:val="20"/>
                <w:szCs w:val="20"/>
              </w:rPr>
              <w:t>1</w:t>
            </w:r>
          </w:p>
        </w:tc>
      </w:tr>
      <w:tr w:rsidR="004246C8" w:rsidRPr="004246C8" w14:paraId="0E7B9EFE" w14:textId="77777777" w:rsidTr="004246C8">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20" w:type="dxa"/>
            <w:hideMark/>
          </w:tcPr>
          <w:p w14:paraId="23FEE2D0" w14:textId="77777777" w:rsidR="004246C8" w:rsidRPr="004246C8" w:rsidRDefault="004246C8" w:rsidP="00EC0110">
            <w:pPr>
              <w:pStyle w:val="NormalWeb"/>
              <w:rPr>
                <w:sz w:val="20"/>
                <w:szCs w:val="20"/>
              </w:rPr>
            </w:pPr>
            <w:r w:rsidRPr="004246C8">
              <w:rPr>
                <w:sz w:val="20"/>
                <w:szCs w:val="20"/>
              </w:rPr>
              <w:t xml:space="preserve">Nocardia </w:t>
            </w:r>
            <w:proofErr w:type="spellStart"/>
            <w:r w:rsidRPr="004246C8">
              <w:rPr>
                <w:sz w:val="20"/>
                <w:szCs w:val="20"/>
              </w:rPr>
              <w:t>thailandica</w:t>
            </w:r>
            <w:proofErr w:type="spellEnd"/>
          </w:p>
        </w:tc>
        <w:tc>
          <w:tcPr>
            <w:tcW w:w="5220" w:type="dxa"/>
            <w:hideMark/>
          </w:tcPr>
          <w:p w14:paraId="04500FD2" w14:textId="77777777" w:rsidR="004246C8" w:rsidRPr="004246C8" w:rsidRDefault="004246C8" w:rsidP="00EC0110">
            <w:pPr>
              <w:pStyle w:val="NormalWeb"/>
              <w:jc w:val="center"/>
              <w:rPr>
                <w:sz w:val="20"/>
                <w:szCs w:val="20"/>
              </w:rPr>
            </w:pPr>
            <w:r w:rsidRPr="004246C8">
              <w:rPr>
                <w:sz w:val="20"/>
                <w:szCs w:val="20"/>
              </w:rPr>
              <w:t>1</w:t>
            </w:r>
          </w:p>
        </w:tc>
      </w:tr>
    </w:tbl>
    <w:p w14:paraId="35E8B2E5" w14:textId="77777777" w:rsidR="000512A8" w:rsidRDefault="000512A8">
      <w:pPr>
        <w:rPr>
          <w:b/>
          <w:lang w:val="en-GB"/>
        </w:rPr>
      </w:pPr>
      <w:r>
        <w:rPr>
          <w:lang w:val="en-GB"/>
        </w:rPr>
        <w:lastRenderedPageBreak/>
        <w:br w:type="page"/>
      </w:r>
    </w:p>
    <w:p w14:paraId="2EC61A62" w14:textId="3A785885" w:rsidR="004246C8" w:rsidRPr="00CB4804" w:rsidRDefault="00CB4804" w:rsidP="00CB4804">
      <w:pPr>
        <w:pStyle w:val="CDIFigures"/>
        <w:rPr>
          <w:lang w:val="en-GB"/>
        </w:rPr>
      </w:pPr>
      <w:r>
        <w:rPr>
          <w:lang w:val="en-GB"/>
        </w:rPr>
        <w:lastRenderedPageBreak/>
        <w:t>Figure 2: Relative proportions of clinical nocardiosis presentations with relative causative species for each class</w:t>
      </w:r>
    </w:p>
    <w:p w14:paraId="336D1E38" w14:textId="7C2D2561" w:rsidR="00CB4804" w:rsidRDefault="00CB4804" w:rsidP="00A9052A">
      <w:pPr>
        <w:pStyle w:val="Heading1"/>
      </w:pPr>
      <w:r>
        <w:rPr>
          <w:rFonts w:eastAsia="Times New Roman"/>
          <w:noProof/>
          <w:lang w:val="en-GB"/>
        </w:rPr>
        <w:drawing>
          <wp:inline distT="0" distB="0" distL="0" distR="0" wp14:anchorId="6AFFEEAD" wp14:editId="06E101A5">
            <wp:extent cx="6537007" cy="4421038"/>
            <wp:effectExtent l="0" t="0" r="0" b="0"/>
            <wp:docPr id="2" name="Picture 2" descr="Histogram demonstrating proportion of infection types (soft tissue, pulmonary or disseminated) caused by each species. Shows that the majority of soft tissue infections were caused by N. brasiliensis however pulmonary and disseminated infections were caused by a mix of a number of different spec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istogram demonstrating proportion of infection types (soft tissue, pulmonary or disseminated) caused by each species. Shows that the majority of soft tissue infections were caused by N. brasiliensis however pulmonary and disseminated infections were caused by a mix of a number of different species."/>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544979" cy="4426430"/>
                    </a:xfrm>
                    <a:prstGeom prst="rect">
                      <a:avLst/>
                    </a:prstGeom>
                  </pic:spPr>
                </pic:pic>
              </a:graphicData>
            </a:graphic>
          </wp:inline>
        </w:drawing>
      </w:r>
    </w:p>
    <w:p w14:paraId="32EF627F" w14:textId="26E4D286" w:rsidR="008A452D" w:rsidRPr="00A9052A" w:rsidRDefault="008A452D" w:rsidP="00A9052A">
      <w:pPr>
        <w:pStyle w:val="Heading1"/>
      </w:pPr>
      <w:r w:rsidRPr="00A9052A">
        <w:t xml:space="preserve">Pulmonary imaging findings </w:t>
      </w:r>
    </w:p>
    <w:p w14:paraId="24A25EC1" w14:textId="77777777" w:rsidR="008A452D" w:rsidRDefault="008A452D" w:rsidP="00A9052A">
      <w:r>
        <w:t xml:space="preserve">Twelve patients had pulmonary involvement (either isolated or in the setting of disseminated disease). Chest computerised tomography (CT) reports were available for analysis of the imaging findings in 11 patients. Chest CT in 2/11 (18%) patients demonstrated single nodules and in 5/11 (45%) demonstrated multiple nodules; in 3/7 patients with pulmonary nodules there was cavitation. Consolidation was present on imaging in 3/11 (27%) patients, of whom two had an associated pleural effusion. The remaining patient had mediastinal lymphadenopathy without lung nodules or consolidation. </w:t>
      </w:r>
    </w:p>
    <w:p w14:paraId="0419E9EF" w14:textId="77777777" w:rsidR="008A452D" w:rsidRPr="00A9052A" w:rsidRDefault="008A452D" w:rsidP="00A9052A">
      <w:pPr>
        <w:pStyle w:val="Heading2"/>
      </w:pPr>
      <w:r w:rsidRPr="00A9052A">
        <w:t xml:space="preserve">Local epidemiology </w:t>
      </w:r>
    </w:p>
    <w:p w14:paraId="713024CD" w14:textId="77777777" w:rsidR="008A452D" w:rsidRDefault="008A452D" w:rsidP="00A9052A">
      <w:r>
        <w:t xml:space="preserve">Local incidence data to postcode level (Figure 3) demonstrates that the highest rates of nocardiosis (approximately 19 cases per 100,000 persons over the 10 year study period) occurred in the rural southern Shoalhaven region as well as in the postcodes around Lake Illawarra (just south of Wollongong). </w:t>
      </w:r>
    </w:p>
    <w:p w14:paraId="5F00C867" w14:textId="77777777" w:rsidR="008A452D" w:rsidRDefault="008A452D" w:rsidP="00A9052A">
      <w:r>
        <w:t>Annual nocardiosis case numbers in the Illawarra-Shoalhaven region were compared to average annual rainfall in Jamberoo (Figure 4) to examine for any possible linkage between incidence of infection and climatic factors. This had a correlation coefficient of – 0.34 (</w:t>
      </w:r>
      <w:r w:rsidRPr="008A452D">
        <w:rPr>
          <w:rStyle w:val="Emphasis"/>
          <w:b w:val="0"/>
          <w:bCs w:val="0"/>
        </w:rPr>
        <w:t>p</w:t>
      </w:r>
      <w:r>
        <w:t xml:space="preserve"> = 0.2) and thus did not demonstrate statistically significant linkage. </w:t>
      </w:r>
    </w:p>
    <w:p w14:paraId="2F70E604" w14:textId="77777777" w:rsidR="00D3164B" w:rsidRDefault="00D3164B">
      <w:pPr>
        <w:rPr>
          <w:rFonts w:asciiTheme="majorHAnsi" w:eastAsiaTheme="majorEastAsia" w:hAnsiTheme="majorHAnsi" w:cstheme="majorBidi"/>
          <w:b/>
          <w:bCs/>
          <w:sz w:val="32"/>
          <w:szCs w:val="28"/>
        </w:rPr>
      </w:pPr>
      <w:r>
        <w:br w:type="page"/>
      </w:r>
    </w:p>
    <w:p w14:paraId="1934E426" w14:textId="77777777" w:rsidR="00D3164B" w:rsidRDefault="00D3164B" w:rsidP="00D3164B">
      <w:pPr>
        <w:pStyle w:val="CDIFigures"/>
        <w:rPr>
          <w:lang w:val="en-GB"/>
        </w:rPr>
      </w:pPr>
      <w:r>
        <w:rPr>
          <w:lang w:val="en-GB"/>
        </w:rPr>
        <w:lastRenderedPageBreak/>
        <w:t xml:space="preserve">Figure 3: Incidence of nocardiosis over the ten-year study period by postcode </w:t>
      </w:r>
      <w:proofErr w:type="spellStart"/>
      <w:proofErr w:type="gramStart"/>
      <w:r>
        <w:rPr>
          <w:lang w:val="en-GB"/>
        </w:rPr>
        <w:t>location</w:t>
      </w:r>
      <w:r w:rsidRPr="00913360">
        <w:rPr>
          <w:vertAlign w:val="superscript"/>
          <w:lang w:val="en-GB"/>
        </w:rPr>
        <w:t>a,b</w:t>
      </w:r>
      <w:proofErr w:type="gramEnd"/>
      <w:r w:rsidRPr="00913360">
        <w:rPr>
          <w:vertAlign w:val="superscript"/>
          <w:lang w:val="en-GB"/>
        </w:rPr>
        <w:t>,c</w:t>
      </w:r>
      <w:proofErr w:type="spellEnd"/>
    </w:p>
    <w:p w14:paraId="1D213E3A" w14:textId="77777777" w:rsidR="00D3164B" w:rsidRDefault="00D3164B" w:rsidP="00D3164B">
      <w:pPr>
        <w:pStyle w:val="NormalWeb"/>
        <w:rPr>
          <w:lang w:val="en-GB"/>
        </w:rPr>
      </w:pPr>
      <w:r>
        <w:rPr>
          <w:noProof/>
          <w:lang w:val="en-GB"/>
        </w:rPr>
        <w:drawing>
          <wp:inline distT="0" distB="0" distL="0" distR="0" wp14:anchorId="08F790D6" wp14:editId="0108C241">
            <wp:extent cx="6629400" cy="6993835"/>
            <wp:effectExtent l="0" t="0" r="0" b="0"/>
            <wp:docPr id="3" name="Picture 3" descr="Heat map of the NSW south coast showing case numbers (per 100,000 population) over the study period. There is an apparent concentration of cases around the area of Lake Illawarra and in the southern areas of the region surrounding Nowra and Milton/Ulladull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t map of the NSW south coast showing case numbers (per 100,000 population) over the study period. There is an apparent concentration of cases around the area of Lake Illawarra and in the southern areas of the region surrounding Nowra and Milton/Ulladulla. "/>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631328" cy="6995869"/>
                    </a:xfrm>
                    <a:prstGeom prst="rect">
                      <a:avLst/>
                    </a:prstGeom>
                  </pic:spPr>
                </pic:pic>
              </a:graphicData>
            </a:graphic>
          </wp:inline>
        </w:drawing>
      </w:r>
    </w:p>
    <w:p w14:paraId="1F5D084B" w14:textId="77777777" w:rsidR="00D3164B" w:rsidRDefault="00D3164B" w:rsidP="00D3164B">
      <w:pPr>
        <w:pStyle w:val="CDIfootnotes"/>
        <w:rPr>
          <w:lang w:val="en-GB"/>
        </w:rPr>
      </w:pPr>
      <w:proofErr w:type="spellStart"/>
      <w:proofErr w:type="gramStart"/>
      <w:r>
        <w:rPr>
          <w:lang w:val="en-GB"/>
        </w:rPr>
        <w:t>a</w:t>
      </w:r>
      <w:proofErr w:type="spellEnd"/>
      <w:proofErr w:type="gramEnd"/>
      <w:r>
        <w:rPr>
          <w:lang w:val="en-GB"/>
        </w:rPr>
        <w:tab/>
        <w:t>Incidence scale displayed is cases per 100,000 persons over the ten-year study period.</w:t>
      </w:r>
    </w:p>
    <w:p w14:paraId="4F13FB30" w14:textId="77777777" w:rsidR="00D3164B" w:rsidRDefault="00D3164B" w:rsidP="00D3164B">
      <w:pPr>
        <w:pStyle w:val="CDIfootnotes"/>
        <w:rPr>
          <w:lang w:val="en-GB"/>
        </w:rPr>
      </w:pPr>
      <w:r>
        <w:rPr>
          <w:lang w:val="en-GB"/>
        </w:rPr>
        <w:t>b</w:t>
      </w:r>
      <w:r>
        <w:rPr>
          <w:lang w:val="en-GB"/>
        </w:rPr>
        <w:tab/>
        <w:t>Postcodes in grey have no cases identified in our study.</w:t>
      </w:r>
    </w:p>
    <w:p w14:paraId="4C984763" w14:textId="77777777" w:rsidR="00D3164B" w:rsidRDefault="00D3164B" w:rsidP="00D3164B">
      <w:pPr>
        <w:pStyle w:val="CDIfootnotes"/>
        <w:rPr>
          <w:lang w:val="en-GB"/>
        </w:rPr>
      </w:pPr>
      <w:r>
        <w:rPr>
          <w:lang w:val="en-GB"/>
        </w:rPr>
        <w:t>c</w:t>
      </w:r>
      <w:r>
        <w:rPr>
          <w:lang w:val="en-GB"/>
        </w:rPr>
        <w:tab/>
        <w:t xml:space="preserve">A blue circle denotes </w:t>
      </w:r>
      <w:proofErr w:type="spellStart"/>
      <w:r>
        <w:rPr>
          <w:lang w:val="en-GB"/>
        </w:rPr>
        <w:t>Jamberoo</w:t>
      </w:r>
      <w:proofErr w:type="spellEnd"/>
      <w:r>
        <w:rPr>
          <w:lang w:val="en-GB"/>
        </w:rPr>
        <w:t>, where rainfall data was sampled as discussed within the text.</w:t>
      </w:r>
    </w:p>
    <w:p w14:paraId="541CC435" w14:textId="77777777" w:rsidR="00D3164B" w:rsidRDefault="00D3164B">
      <w:pPr>
        <w:rPr>
          <w:rFonts w:asciiTheme="majorHAnsi" w:eastAsiaTheme="majorEastAsia" w:hAnsiTheme="majorHAnsi" w:cstheme="majorBidi"/>
          <w:b/>
          <w:bCs/>
          <w:sz w:val="32"/>
          <w:szCs w:val="28"/>
        </w:rPr>
      </w:pPr>
      <w:r>
        <w:br w:type="page"/>
      </w:r>
    </w:p>
    <w:p w14:paraId="0C0D6C01" w14:textId="77777777" w:rsidR="00996DAB" w:rsidRDefault="00996DAB" w:rsidP="00996DAB">
      <w:pPr>
        <w:pStyle w:val="CDIFigures"/>
        <w:rPr>
          <w:lang w:val="en-GB"/>
        </w:rPr>
      </w:pPr>
      <w:r>
        <w:rPr>
          <w:lang w:val="en-GB"/>
        </w:rPr>
        <w:lastRenderedPageBreak/>
        <w:t xml:space="preserve">Figure 4: Incidence of </w:t>
      </w:r>
      <w:r w:rsidRPr="00B56D33">
        <w:rPr>
          <w:i/>
          <w:iCs/>
          <w:lang w:val="en-GB"/>
        </w:rPr>
        <w:t>Nocardia</w:t>
      </w:r>
      <w:r>
        <w:rPr>
          <w:lang w:val="en-GB"/>
        </w:rPr>
        <w:t xml:space="preserve"> sp. infection in the Illawarra-Shoalhaven region (histogram) compared to total annual rainfall in </w:t>
      </w:r>
      <w:proofErr w:type="spellStart"/>
      <w:r>
        <w:rPr>
          <w:lang w:val="en-GB"/>
        </w:rPr>
        <w:t>Jamberoo</w:t>
      </w:r>
      <w:proofErr w:type="spellEnd"/>
      <w:r>
        <w:rPr>
          <w:lang w:val="en-GB"/>
        </w:rPr>
        <w:t xml:space="preserve"> (dashed </w:t>
      </w:r>
      <w:proofErr w:type="gramStart"/>
      <w:r>
        <w:rPr>
          <w:lang w:val="en-GB"/>
        </w:rPr>
        <w:t>line)</w:t>
      </w:r>
      <w:r w:rsidRPr="00913360">
        <w:rPr>
          <w:vertAlign w:val="superscript"/>
          <w:lang w:val="en-GB"/>
        </w:rPr>
        <w:t>a</w:t>
      </w:r>
      <w:proofErr w:type="gramEnd"/>
    </w:p>
    <w:p w14:paraId="79F526B2" w14:textId="77777777" w:rsidR="00996DAB" w:rsidRDefault="00996DAB" w:rsidP="00996DAB">
      <w:pPr>
        <w:pStyle w:val="NormalWeb"/>
        <w:rPr>
          <w:lang w:val="en-GB"/>
        </w:rPr>
      </w:pPr>
      <w:r>
        <w:rPr>
          <w:noProof/>
          <w:lang w:val="en-GB"/>
        </w:rPr>
        <w:drawing>
          <wp:inline distT="0" distB="0" distL="0" distR="0" wp14:anchorId="72AE7F27" wp14:editId="4810EAA4">
            <wp:extent cx="6629400" cy="4270959"/>
            <wp:effectExtent l="0" t="0" r="0" b="0"/>
            <wp:docPr id="4" name="Picture 4" descr="Combination of histogram of case numbers per year and line plot of average rainfall per year. Incident case numbers again appear to increase through the study period. Rainfall appears to be highest in the early-middle years of the study period and fall to low levels in the later half of the study perio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ombination of histogram of case numbers per year and line plot of average rainfall per year. Incident case numbers again appear to increase through the study period. Rainfall appears to be highest in the early-middle years of the study period and fall to low levels in the later half of the study period. "/>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641649" cy="4278850"/>
                    </a:xfrm>
                    <a:prstGeom prst="rect">
                      <a:avLst/>
                    </a:prstGeom>
                  </pic:spPr>
                </pic:pic>
              </a:graphicData>
            </a:graphic>
          </wp:inline>
        </w:drawing>
      </w:r>
    </w:p>
    <w:p w14:paraId="4CDA6DAE" w14:textId="77777777" w:rsidR="00996DAB" w:rsidRDefault="00996DAB" w:rsidP="00996DAB">
      <w:pPr>
        <w:pStyle w:val="CDIfootnotes"/>
        <w:rPr>
          <w:lang w:val="en-GB"/>
        </w:rPr>
      </w:pPr>
      <w:proofErr w:type="spellStart"/>
      <w:r>
        <w:rPr>
          <w:lang w:val="en-GB"/>
        </w:rPr>
        <w:t>a</w:t>
      </w:r>
      <w:proofErr w:type="spellEnd"/>
      <w:r>
        <w:rPr>
          <w:lang w:val="en-GB"/>
        </w:rPr>
        <w:tab/>
        <w:t>These trends have a Pearson product-moment correlation coefficient of – 0.34 (did not reach statistical significance; p = 0.2).</w:t>
      </w:r>
    </w:p>
    <w:p w14:paraId="3C15020B" w14:textId="323FC95D" w:rsidR="008A452D" w:rsidRPr="00A9052A" w:rsidRDefault="008A452D" w:rsidP="00A9052A">
      <w:pPr>
        <w:pStyle w:val="Heading1"/>
      </w:pPr>
      <w:r w:rsidRPr="00A9052A">
        <w:t xml:space="preserve">Microbiology </w:t>
      </w:r>
    </w:p>
    <w:p w14:paraId="0CFC25AF" w14:textId="499A91FA" w:rsidR="008A452D" w:rsidRDefault="008A452D" w:rsidP="00A9052A">
      <w:r>
        <w:t xml:space="preserve">Twenty-five separate microbiological samples were processed through the NSW Health Pathology Wollongong Hospital laboratory for the 26 cases. Two cases had isolates through external pathology providers that were not available for analysis. Twelve of the 25 samples (48%) were from sterile sites (blood, tissue, pleural </w:t>
      </w:r>
      <w:proofErr w:type="gramStart"/>
      <w:r>
        <w:t>fluid</w:t>
      </w:r>
      <w:proofErr w:type="gramEnd"/>
      <w:r>
        <w:t xml:space="preserve"> or deep operative aspirate) while 4/25 samples (16%) were sputum and 9/25 (36%) were superficial swabs or pus. Direct microscopy with Gram stain, modified acid-fast and standard acid-fast stains was performed on 23/25 samples on either the day of sample collection or the following day. In </w:t>
      </w:r>
      <w:r w:rsidR="0001633B" w:rsidRPr="0001633B">
        <w:t>10/23 samples (43%),</w:t>
      </w:r>
      <w:r w:rsidR="0001633B">
        <w:t xml:space="preserve"> </w:t>
      </w:r>
      <w:r>
        <w:t xml:space="preserve">organisms consistent with </w:t>
      </w:r>
      <w:r w:rsidRPr="008A452D">
        <w:rPr>
          <w:rStyle w:val="Emphasis"/>
          <w:b w:val="0"/>
          <w:bCs w:val="0"/>
        </w:rPr>
        <w:t>Nocardia</w:t>
      </w:r>
      <w:r>
        <w:t xml:space="preserve"> species were seen on this examination. </w:t>
      </w:r>
    </w:p>
    <w:p w14:paraId="403E5B34" w14:textId="77777777" w:rsidR="008A452D" w:rsidRDefault="008A452D" w:rsidP="00A9052A">
      <w:r>
        <w:t xml:space="preserve">Twenty-two of the 25 isolates (88%) grew on conventional bacteriological media as described in the methods above. Eleven of the 25 culture-positive samples (44%) were inoculated onto mycobacterial culture media (Lowenstein Jensen media) of which 3/11 (37%) grew the </w:t>
      </w:r>
      <w:r w:rsidRPr="008A452D">
        <w:rPr>
          <w:rStyle w:val="Emphasis"/>
          <w:b w:val="0"/>
          <w:bCs w:val="0"/>
        </w:rPr>
        <w:t>Nocardia</w:t>
      </w:r>
      <w:r>
        <w:t xml:space="preserve"> isolate. In all three of these samples </w:t>
      </w:r>
      <w:r w:rsidRPr="008A452D">
        <w:rPr>
          <w:rStyle w:val="Emphasis"/>
          <w:b w:val="0"/>
          <w:bCs w:val="0"/>
        </w:rPr>
        <w:t>Nocardia</w:t>
      </w:r>
      <w:r>
        <w:t xml:space="preserve"> grew solely on mycobacterial culture media. The median time from collection to growth detection for all isolates was three days; however, this was skewed by isolates grown only on mycobacterial culture media, which grew after a median of 34 days as opposed to those isolates cultured on routine bacteriological media which had a median time to growth detection of two days. </w:t>
      </w:r>
      <w:r w:rsidRPr="008A452D">
        <w:rPr>
          <w:rStyle w:val="Emphasis"/>
          <w:b w:val="0"/>
          <w:bCs w:val="0"/>
        </w:rPr>
        <w:t>Nocardia</w:t>
      </w:r>
      <w:r>
        <w:t xml:space="preserve"> species were isolated from blood cultures in two cases. </w:t>
      </w:r>
    </w:p>
    <w:p w14:paraId="333DAF4F" w14:textId="77777777" w:rsidR="008A452D" w:rsidRDefault="008A452D" w:rsidP="00A9052A">
      <w:r>
        <w:lastRenderedPageBreak/>
        <w:t xml:space="preserve">Species identification was determined using 16S rRNA sequencing in 10/25 samples (40%), MALDI-TOF MS in 10/25 (40%) and using both methods in 5/25 (20%). </w:t>
      </w:r>
    </w:p>
    <w:p w14:paraId="607B463C" w14:textId="77777777" w:rsidR="008A452D" w:rsidRPr="00A9052A" w:rsidRDefault="008A452D" w:rsidP="00A9052A">
      <w:pPr>
        <w:pStyle w:val="Heading1"/>
      </w:pPr>
      <w:r w:rsidRPr="00A9052A">
        <w:t xml:space="preserve">Antibiograms </w:t>
      </w:r>
    </w:p>
    <w:p w14:paraId="74425225" w14:textId="272EA934" w:rsidR="008A452D" w:rsidRDefault="008A452D" w:rsidP="00A9052A">
      <w:r>
        <w:t xml:space="preserve">Antimicrobial susceptibility testing of isolates showed all were susceptible to trimethoprim-sulfamethoxazole, amikacin and, where examined (n = 11), linezolid; however, a high proportion were resistant to ciprofloxacin and carbapenems (Figure 5). Analysis of resistance patterns for species with more than one isolate (Table 3) demonstrates significant variability in resistance patterns between isolates (especially to ciprofloxacin and amoxicillin-clavulanate) even within the former </w:t>
      </w:r>
      <w:r w:rsidRPr="008A452D">
        <w:rPr>
          <w:rStyle w:val="Emphasis"/>
          <w:b w:val="0"/>
          <w:bCs w:val="0"/>
        </w:rPr>
        <w:t xml:space="preserve">N. </w:t>
      </w:r>
      <w:proofErr w:type="spellStart"/>
      <w:r w:rsidRPr="008A452D">
        <w:rPr>
          <w:rStyle w:val="Emphasis"/>
          <w:b w:val="0"/>
          <w:bCs w:val="0"/>
        </w:rPr>
        <w:t>asteroides</w:t>
      </w:r>
      <w:proofErr w:type="spellEnd"/>
      <w:r>
        <w:t xml:space="preserve"> complex. </w:t>
      </w:r>
    </w:p>
    <w:p w14:paraId="4BA807CD" w14:textId="77777777" w:rsidR="00333163" w:rsidRDefault="00333163" w:rsidP="00333163">
      <w:pPr>
        <w:pStyle w:val="CDIFigures"/>
        <w:rPr>
          <w:lang w:val="en-GB"/>
        </w:rPr>
      </w:pPr>
      <w:r>
        <w:rPr>
          <w:lang w:val="en-GB"/>
        </w:rPr>
        <w:t xml:space="preserve">Figure 5: In vitro antibiogram for all </w:t>
      </w:r>
      <w:r w:rsidRPr="007A354E">
        <w:rPr>
          <w:i/>
          <w:iCs/>
          <w:lang w:val="en-GB"/>
        </w:rPr>
        <w:t>Nocardia</w:t>
      </w:r>
      <w:r>
        <w:rPr>
          <w:lang w:val="en-GB"/>
        </w:rPr>
        <w:t xml:space="preserve"> isolates included in the study with antimicrobial susceptibility available (N = </w:t>
      </w:r>
      <w:proofErr w:type="gramStart"/>
      <w:r>
        <w:rPr>
          <w:lang w:val="en-GB"/>
        </w:rPr>
        <w:t>25)</w:t>
      </w:r>
      <w:r w:rsidRPr="00501B9B">
        <w:rPr>
          <w:vertAlign w:val="superscript"/>
          <w:lang w:val="en-GB"/>
        </w:rPr>
        <w:t>a</w:t>
      </w:r>
      <w:proofErr w:type="gramEnd"/>
    </w:p>
    <w:p w14:paraId="08401838" w14:textId="77777777" w:rsidR="00333163" w:rsidRDefault="00333163" w:rsidP="00333163">
      <w:pPr>
        <w:pStyle w:val="NormalWeb"/>
        <w:rPr>
          <w:lang w:val="en-GB"/>
        </w:rPr>
      </w:pPr>
      <w:r>
        <w:rPr>
          <w:noProof/>
          <w:lang w:val="en-GB"/>
        </w:rPr>
        <w:drawing>
          <wp:inline distT="0" distB="0" distL="0" distR="0" wp14:anchorId="49CB801F" wp14:editId="4C0663CE">
            <wp:extent cx="6606985" cy="3784840"/>
            <wp:effectExtent l="0" t="0" r="3810" b="6350"/>
            <wp:docPr id="5" name="Picture 5" descr="Figure 5: Colour coded stacked column graph demonstrating antibiotic resistance profiles of all Nocardia isolates. Shows universal susceptibility to trimethoprim-sulfamethoxazole, amikacin and linezolid. Demonstrates a frequency of resistance/intermediate susceptibility of 50-70% to ciprofloxacin, amoxicillin-clavulanate, meropenem and imipen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gure 5: Colour coded stacked column graph demonstrating antibiotic resistance profiles of all Nocardia isolates. Shows universal susceptibility to trimethoprim-sulfamethoxazole, amikacin and linezolid. Demonstrates a frequency of resistance/intermediate susceptibility of 50-70% to ciprofloxacin, amoxicillin-clavulanate, meropenem and imipenem."/>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613227" cy="3788416"/>
                    </a:xfrm>
                    <a:prstGeom prst="rect">
                      <a:avLst/>
                    </a:prstGeom>
                  </pic:spPr>
                </pic:pic>
              </a:graphicData>
            </a:graphic>
          </wp:inline>
        </w:drawing>
      </w:r>
    </w:p>
    <w:p w14:paraId="441DF0B4" w14:textId="5AF3DA8E" w:rsidR="00333163" w:rsidRPr="00333163" w:rsidRDefault="00333163" w:rsidP="00333163">
      <w:pPr>
        <w:pStyle w:val="CDIfootnotes"/>
        <w:rPr>
          <w:lang w:val="en-GB"/>
        </w:rPr>
      </w:pPr>
      <w:proofErr w:type="spellStart"/>
      <w:r>
        <w:rPr>
          <w:lang w:val="en-GB"/>
        </w:rPr>
        <w:t>a</w:t>
      </w:r>
      <w:proofErr w:type="spellEnd"/>
      <w:r>
        <w:rPr>
          <w:lang w:val="en-GB"/>
        </w:rPr>
        <w:tab/>
        <w:t xml:space="preserve">All isolates had antibiotic susceptibility testing for trimethoprim-sulfamethoxazole, ciprofloxacin, amikacin, imipenem, amoxicillin-clavulanate, minocycline and ceftriaxone. Only 7 isolates had susceptibility testing for meropenem reported and 11 isolates had susceptibility testing for linezolid performed. </w:t>
      </w:r>
    </w:p>
    <w:p w14:paraId="30775D61" w14:textId="77777777" w:rsidR="00333163" w:rsidRDefault="00333163" w:rsidP="00A9052A">
      <w:pPr>
        <w:pStyle w:val="Heading1"/>
        <w:sectPr w:rsidR="00333163" w:rsidSect="00A30C37">
          <w:headerReference w:type="default" r:id="rId14"/>
          <w:footerReference w:type="default" r:id="rId15"/>
          <w:footerReference w:type="first" r:id="rId16"/>
          <w:pgSz w:w="11906" w:h="16838"/>
          <w:pgMar w:top="720" w:right="720" w:bottom="1134" w:left="720" w:header="709" w:footer="284" w:gutter="0"/>
          <w:cols w:space="708"/>
          <w:titlePg/>
          <w:docGrid w:linePitch="360"/>
        </w:sectPr>
      </w:pPr>
    </w:p>
    <w:p w14:paraId="5AEABF43" w14:textId="77777777" w:rsidR="00333163" w:rsidRPr="00333163" w:rsidRDefault="00333163" w:rsidP="00333163">
      <w:pPr>
        <w:pStyle w:val="CDIFigures"/>
      </w:pPr>
      <w:bookmarkStart w:id="0" w:name="_Hlk93393676"/>
      <w:r w:rsidRPr="00333163">
        <w:lastRenderedPageBreak/>
        <w:t xml:space="preserve">Table 3: Antibiotic susceptibility by species, for species with more than one isolate included in the </w:t>
      </w:r>
      <w:proofErr w:type="spellStart"/>
      <w:r w:rsidRPr="00333163">
        <w:t>study</w:t>
      </w:r>
      <w:bookmarkEnd w:id="0"/>
      <w:r w:rsidRPr="00333163">
        <w:rPr>
          <w:vertAlign w:val="superscript"/>
        </w:rPr>
        <w:t>a</w:t>
      </w:r>
      <w:proofErr w:type="spellEnd"/>
    </w:p>
    <w:tbl>
      <w:tblPr>
        <w:tblStyle w:val="CDI-StandardTable"/>
        <w:tblW w:w="0" w:type="auto"/>
        <w:tblLayout w:type="fixed"/>
        <w:tblCellMar>
          <w:top w:w="113" w:type="dxa"/>
          <w:bottom w:w="113" w:type="dxa"/>
        </w:tblCellMar>
        <w:tblLook w:val="04A0" w:firstRow="1" w:lastRow="0" w:firstColumn="1" w:lastColumn="0" w:noHBand="0" w:noVBand="1"/>
        <w:tblDescription w:val="Table 3: Antibiotic susceptibility by species, for Nocardia species with more than one isolate included in the study. Most notably shows complete resistance to ceftriaxone for N. farcinia, to imipenem for N. brasiliensis and to amoxicillin-clavulanate for N. nova."/>
      </w:tblPr>
      <w:tblGrid>
        <w:gridCol w:w="627"/>
        <w:gridCol w:w="628"/>
        <w:gridCol w:w="628"/>
        <w:gridCol w:w="628"/>
        <w:gridCol w:w="627"/>
        <w:gridCol w:w="628"/>
        <w:gridCol w:w="628"/>
        <w:gridCol w:w="628"/>
        <w:gridCol w:w="627"/>
        <w:gridCol w:w="628"/>
        <w:gridCol w:w="628"/>
        <w:gridCol w:w="628"/>
        <w:gridCol w:w="627"/>
        <w:gridCol w:w="628"/>
        <w:gridCol w:w="628"/>
        <w:gridCol w:w="628"/>
        <w:gridCol w:w="627"/>
        <w:gridCol w:w="628"/>
        <w:gridCol w:w="628"/>
        <w:gridCol w:w="628"/>
        <w:gridCol w:w="628"/>
        <w:gridCol w:w="1757"/>
      </w:tblGrid>
      <w:tr w:rsidR="00A92F63" w:rsidRPr="00A92F63" w14:paraId="3DD093B5" w14:textId="77777777" w:rsidTr="00927D9C">
        <w:trPr>
          <w:cnfStyle w:val="100000000000" w:firstRow="1" w:lastRow="0" w:firstColumn="0" w:lastColumn="0" w:oddVBand="0" w:evenVBand="0" w:oddHBand="0" w:evenHBand="0" w:firstRowFirstColumn="0" w:firstRowLastColumn="0" w:lastRowFirstColumn="0" w:lastRowLastColumn="0"/>
          <w:tblHeader/>
        </w:trPr>
        <w:tc>
          <w:tcPr>
            <w:tcW w:w="1883" w:type="dxa"/>
            <w:gridSpan w:val="3"/>
            <w:tcBorders>
              <w:bottom w:val="single" w:sz="2" w:space="0" w:color="FFFFFF" w:themeColor="background1"/>
              <w:right w:val="single" w:sz="2" w:space="0" w:color="FFFFFF" w:themeColor="background1"/>
            </w:tcBorders>
            <w:hideMark/>
          </w:tcPr>
          <w:p w14:paraId="7AB84E25" w14:textId="77777777" w:rsidR="00333163" w:rsidRPr="00A92F63" w:rsidRDefault="00333163" w:rsidP="00EC0110">
            <w:pPr>
              <w:pStyle w:val="NormalWeb"/>
              <w:rPr>
                <w:color w:val="FFFFFF" w:themeColor="background1"/>
                <w:sz w:val="18"/>
                <w:szCs w:val="18"/>
              </w:rPr>
            </w:pPr>
            <w:r w:rsidRPr="00A92F63">
              <w:rPr>
                <w:color w:val="FFFFFF" w:themeColor="background1"/>
                <w:sz w:val="18"/>
                <w:szCs w:val="18"/>
              </w:rPr>
              <w:t>Ceftriaxone</w:t>
            </w:r>
          </w:p>
        </w:tc>
        <w:tc>
          <w:tcPr>
            <w:tcW w:w="1883" w:type="dxa"/>
            <w:gridSpan w:val="3"/>
            <w:tcBorders>
              <w:left w:val="single" w:sz="2" w:space="0" w:color="FFFFFF" w:themeColor="background1"/>
              <w:bottom w:val="single" w:sz="2" w:space="0" w:color="FFFFFF" w:themeColor="background1"/>
              <w:right w:val="single" w:sz="2" w:space="0" w:color="FFFFFF" w:themeColor="background1"/>
            </w:tcBorders>
            <w:hideMark/>
          </w:tcPr>
          <w:p w14:paraId="0B9AD55C" w14:textId="77777777" w:rsidR="00333163" w:rsidRPr="00A92F63" w:rsidRDefault="00333163" w:rsidP="00EC0110">
            <w:pPr>
              <w:pStyle w:val="NormalWeb"/>
              <w:jc w:val="center"/>
              <w:rPr>
                <w:color w:val="FFFFFF" w:themeColor="background1"/>
                <w:sz w:val="18"/>
                <w:szCs w:val="18"/>
              </w:rPr>
            </w:pPr>
            <w:proofErr w:type="spellStart"/>
            <w:r w:rsidRPr="00A92F63">
              <w:rPr>
                <w:color w:val="FFFFFF" w:themeColor="background1"/>
                <w:sz w:val="18"/>
                <w:szCs w:val="18"/>
              </w:rPr>
              <w:t>Minocyclin</w:t>
            </w:r>
            <w:proofErr w:type="spellEnd"/>
          </w:p>
        </w:tc>
        <w:tc>
          <w:tcPr>
            <w:tcW w:w="1883" w:type="dxa"/>
            <w:gridSpan w:val="3"/>
            <w:tcBorders>
              <w:left w:val="single" w:sz="2" w:space="0" w:color="FFFFFF" w:themeColor="background1"/>
              <w:bottom w:val="single" w:sz="2" w:space="0" w:color="FFFFFF" w:themeColor="background1"/>
              <w:right w:val="single" w:sz="2" w:space="0" w:color="FFFFFF" w:themeColor="background1"/>
            </w:tcBorders>
            <w:hideMark/>
          </w:tcPr>
          <w:p w14:paraId="4DF7DDE6" w14:textId="77777777" w:rsidR="00333163" w:rsidRPr="00A92F63" w:rsidRDefault="00333163" w:rsidP="00EC0110">
            <w:pPr>
              <w:pStyle w:val="NormalWeb"/>
              <w:jc w:val="center"/>
              <w:rPr>
                <w:color w:val="FFFFFF" w:themeColor="background1"/>
                <w:sz w:val="18"/>
                <w:szCs w:val="18"/>
              </w:rPr>
            </w:pPr>
            <w:r w:rsidRPr="00A92F63">
              <w:rPr>
                <w:color w:val="FFFFFF" w:themeColor="background1"/>
                <w:sz w:val="18"/>
                <w:szCs w:val="18"/>
              </w:rPr>
              <w:t>Amoxicillin-clavulanate</w:t>
            </w:r>
          </w:p>
        </w:tc>
        <w:tc>
          <w:tcPr>
            <w:tcW w:w="1884" w:type="dxa"/>
            <w:gridSpan w:val="3"/>
            <w:tcBorders>
              <w:left w:val="single" w:sz="2" w:space="0" w:color="FFFFFF" w:themeColor="background1"/>
              <w:bottom w:val="single" w:sz="2" w:space="0" w:color="FFFFFF" w:themeColor="background1"/>
              <w:right w:val="single" w:sz="2" w:space="0" w:color="FFFFFF" w:themeColor="background1"/>
            </w:tcBorders>
            <w:hideMark/>
          </w:tcPr>
          <w:p w14:paraId="3908923A" w14:textId="77777777" w:rsidR="00333163" w:rsidRPr="00A92F63" w:rsidRDefault="00333163" w:rsidP="00EC0110">
            <w:pPr>
              <w:pStyle w:val="NormalWeb"/>
              <w:jc w:val="center"/>
              <w:rPr>
                <w:color w:val="FFFFFF" w:themeColor="background1"/>
                <w:sz w:val="18"/>
                <w:szCs w:val="18"/>
              </w:rPr>
            </w:pPr>
            <w:r w:rsidRPr="00A92F63">
              <w:rPr>
                <w:color w:val="FFFFFF" w:themeColor="background1"/>
                <w:sz w:val="18"/>
                <w:szCs w:val="18"/>
              </w:rPr>
              <w:t>Imipenem</w:t>
            </w:r>
          </w:p>
        </w:tc>
        <w:tc>
          <w:tcPr>
            <w:tcW w:w="1883" w:type="dxa"/>
            <w:gridSpan w:val="3"/>
            <w:tcBorders>
              <w:left w:val="single" w:sz="2" w:space="0" w:color="FFFFFF" w:themeColor="background1"/>
              <w:bottom w:val="single" w:sz="2" w:space="0" w:color="FFFFFF" w:themeColor="background1"/>
              <w:right w:val="single" w:sz="2" w:space="0" w:color="FFFFFF" w:themeColor="background1"/>
            </w:tcBorders>
            <w:hideMark/>
          </w:tcPr>
          <w:p w14:paraId="18DE9476" w14:textId="77777777" w:rsidR="00333163" w:rsidRPr="00A92F63" w:rsidRDefault="00333163" w:rsidP="00EC0110">
            <w:pPr>
              <w:pStyle w:val="NormalWeb"/>
              <w:jc w:val="center"/>
              <w:rPr>
                <w:color w:val="FFFFFF" w:themeColor="background1"/>
                <w:sz w:val="18"/>
                <w:szCs w:val="18"/>
              </w:rPr>
            </w:pPr>
            <w:r w:rsidRPr="00A92F63">
              <w:rPr>
                <w:color w:val="FFFFFF" w:themeColor="background1"/>
                <w:sz w:val="18"/>
                <w:szCs w:val="18"/>
              </w:rPr>
              <w:t>Amikacin</w:t>
            </w:r>
          </w:p>
        </w:tc>
        <w:tc>
          <w:tcPr>
            <w:tcW w:w="1883" w:type="dxa"/>
            <w:gridSpan w:val="3"/>
            <w:tcBorders>
              <w:left w:val="single" w:sz="2" w:space="0" w:color="FFFFFF" w:themeColor="background1"/>
              <w:bottom w:val="single" w:sz="2" w:space="0" w:color="FFFFFF" w:themeColor="background1"/>
              <w:right w:val="single" w:sz="2" w:space="0" w:color="FFFFFF" w:themeColor="background1"/>
            </w:tcBorders>
            <w:hideMark/>
          </w:tcPr>
          <w:p w14:paraId="2DF24118" w14:textId="77777777" w:rsidR="00333163" w:rsidRPr="00A92F63" w:rsidRDefault="00333163" w:rsidP="00EC0110">
            <w:pPr>
              <w:pStyle w:val="NormalWeb"/>
              <w:jc w:val="center"/>
              <w:rPr>
                <w:color w:val="FFFFFF" w:themeColor="background1"/>
                <w:sz w:val="18"/>
                <w:szCs w:val="18"/>
              </w:rPr>
            </w:pPr>
            <w:r w:rsidRPr="00A92F63">
              <w:rPr>
                <w:color w:val="FFFFFF" w:themeColor="background1"/>
                <w:sz w:val="18"/>
                <w:szCs w:val="18"/>
              </w:rPr>
              <w:t>Ciprofloxacin</w:t>
            </w:r>
          </w:p>
        </w:tc>
        <w:tc>
          <w:tcPr>
            <w:tcW w:w="1884" w:type="dxa"/>
            <w:gridSpan w:val="3"/>
            <w:tcBorders>
              <w:left w:val="single" w:sz="2" w:space="0" w:color="FFFFFF" w:themeColor="background1"/>
              <w:bottom w:val="single" w:sz="2" w:space="0" w:color="FFFFFF" w:themeColor="background1"/>
              <w:right w:val="single" w:sz="2" w:space="0" w:color="FFFFFF" w:themeColor="background1"/>
            </w:tcBorders>
            <w:hideMark/>
          </w:tcPr>
          <w:p w14:paraId="41B80179" w14:textId="77777777" w:rsidR="00333163" w:rsidRPr="00A92F63" w:rsidRDefault="00333163" w:rsidP="00EC0110">
            <w:pPr>
              <w:pStyle w:val="NormalWeb"/>
              <w:jc w:val="center"/>
              <w:rPr>
                <w:color w:val="FFFFFF" w:themeColor="background1"/>
                <w:sz w:val="18"/>
                <w:szCs w:val="18"/>
              </w:rPr>
            </w:pPr>
            <w:r w:rsidRPr="00A92F63">
              <w:rPr>
                <w:color w:val="FFFFFF" w:themeColor="background1"/>
                <w:sz w:val="18"/>
                <w:szCs w:val="18"/>
              </w:rPr>
              <w:t>Trimethoprim-sulfamethoxazole</w:t>
            </w:r>
          </w:p>
        </w:tc>
        <w:tc>
          <w:tcPr>
            <w:tcW w:w="1757" w:type="dxa"/>
            <w:tcBorders>
              <w:left w:val="single" w:sz="2" w:space="0" w:color="FFFFFF" w:themeColor="background1"/>
              <w:bottom w:val="single" w:sz="2" w:space="0" w:color="FFFFFF" w:themeColor="background1"/>
            </w:tcBorders>
            <w:hideMark/>
          </w:tcPr>
          <w:p w14:paraId="4B1D4AEF" w14:textId="77777777" w:rsidR="00333163" w:rsidRPr="00A92F63" w:rsidRDefault="00333163" w:rsidP="00EC0110">
            <w:pPr>
              <w:jc w:val="center"/>
              <w:rPr>
                <w:color w:val="FFFFFF" w:themeColor="background1"/>
                <w:sz w:val="18"/>
                <w:szCs w:val="18"/>
              </w:rPr>
            </w:pPr>
          </w:p>
        </w:tc>
      </w:tr>
      <w:tr w:rsidR="00106160" w:rsidRPr="00A92F63" w14:paraId="59D313D7" w14:textId="77777777" w:rsidTr="009C18CA">
        <w:trPr>
          <w:cnfStyle w:val="100000000000" w:firstRow="1" w:lastRow="0" w:firstColumn="0" w:lastColumn="0" w:oddVBand="0" w:evenVBand="0" w:oddHBand="0" w:evenHBand="0" w:firstRowFirstColumn="0" w:firstRowLastColumn="0" w:lastRowFirstColumn="0" w:lastRowLastColumn="0"/>
          <w:cantSplit/>
          <w:trHeight w:val="3126"/>
          <w:tblHeader/>
        </w:trPr>
        <w:tc>
          <w:tcPr>
            <w:tcW w:w="627" w:type="dxa"/>
            <w:tcBorders>
              <w:top w:val="single" w:sz="2" w:space="0" w:color="FFFFFF" w:themeColor="background1"/>
            </w:tcBorders>
            <w:textDirection w:val="btLr"/>
            <w:vAlign w:val="center"/>
            <w:hideMark/>
          </w:tcPr>
          <w:p w14:paraId="05BF5B47" w14:textId="77777777" w:rsidR="00333163" w:rsidRPr="00A92F63" w:rsidRDefault="00333163" w:rsidP="00927D9C">
            <w:pPr>
              <w:pStyle w:val="NormalWeb"/>
              <w:ind w:left="113" w:right="113"/>
              <w:rPr>
                <w:color w:val="FFFFFF" w:themeColor="background1"/>
                <w:sz w:val="18"/>
                <w:szCs w:val="18"/>
              </w:rPr>
            </w:pPr>
            <w:r w:rsidRPr="00A92F63">
              <w:rPr>
                <w:color w:val="FFFFFF" w:themeColor="background1"/>
                <w:sz w:val="18"/>
                <w:szCs w:val="18"/>
              </w:rPr>
              <w:t>Resistant %</w:t>
            </w:r>
          </w:p>
        </w:tc>
        <w:tc>
          <w:tcPr>
            <w:tcW w:w="628" w:type="dxa"/>
            <w:textDirection w:val="btLr"/>
            <w:vAlign w:val="center"/>
            <w:hideMark/>
          </w:tcPr>
          <w:p w14:paraId="191D6213" w14:textId="77777777" w:rsidR="00333163" w:rsidRPr="00A92F63" w:rsidRDefault="00333163" w:rsidP="00927D9C">
            <w:pPr>
              <w:pStyle w:val="NormalWeb"/>
              <w:ind w:left="113" w:right="113"/>
              <w:rPr>
                <w:color w:val="FFFFFF" w:themeColor="background1"/>
                <w:sz w:val="18"/>
                <w:szCs w:val="18"/>
              </w:rPr>
            </w:pPr>
            <w:r w:rsidRPr="00A92F63">
              <w:rPr>
                <w:color w:val="FFFFFF" w:themeColor="background1"/>
                <w:sz w:val="18"/>
                <w:szCs w:val="18"/>
              </w:rPr>
              <w:t>Intermediate %</w:t>
            </w:r>
          </w:p>
        </w:tc>
        <w:tc>
          <w:tcPr>
            <w:tcW w:w="628" w:type="dxa"/>
            <w:tcBorders>
              <w:top w:val="single" w:sz="2" w:space="0" w:color="FFFFFF" w:themeColor="background1"/>
              <w:left w:val="nil"/>
              <w:right w:val="single" w:sz="2" w:space="0" w:color="FFFFFF" w:themeColor="background1"/>
            </w:tcBorders>
            <w:textDirection w:val="btLr"/>
            <w:vAlign w:val="center"/>
            <w:hideMark/>
          </w:tcPr>
          <w:p w14:paraId="17483DFC" w14:textId="77777777" w:rsidR="00333163" w:rsidRPr="00A92F63" w:rsidRDefault="00333163" w:rsidP="00927D9C">
            <w:pPr>
              <w:pStyle w:val="NormalWeb"/>
              <w:ind w:left="113" w:right="113"/>
              <w:rPr>
                <w:color w:val="FFFFFF" w:themeColor="background1"/>
                <w:sz w:val="18"/>
                <w:szCs w:val="18"/>
              </w:rPr>
            </w:pPr>
            <w:r w:rsidRPr="00A92F63">
              <w:rPr>
                <w:color w:val="FFFFFF" w:themeColor="background1"/>
                <w:sz w:val="18"/>
                <w:szCs w:val="18"/>
              </w:rPr>
              <w:t>Susceptible %</w:t>
            </w:r>
          </w:p>
        </w:tc>
        <w:tc>
          <w:tcPr>
            <w:tcW w:w="628" w:type="dxa"/>
            <w:tcBorders>
              <w:top w:val="single" w:sz="2" w:space="0" w:color="FFFFFF" w:themeColor="background1"/>
              <w:left w:val="single" w:sz="2" w:space="0" w:color="FFFFFF" w:themeColor="background1"/>
            </w:tcBorders>
            <w:textDirection w:val="btLr"/>
            <w:vAlign w:val="center"/>
            <w:hideMark/>
          </w:tcPr>
          <w:p w14:paraId="497EA02C" w14:textId="77777777" w:rsidR="00333163" w:rsidRPr="00A92F63" w:rsidRDefault="00333163" w:rsidP="00927D9C">
            <w:pPr>
              <w:pStyle w:val="NormalWeb"/>
              <w:ind w:left="113" w:right="113"/>
              <w:rPr>
                <w:color w:val="FFFFFF" w:themeColor="background1"/>
                <w:sz w:val="18"/>
                <w:szCs w:val="18"/>
              </w:rPr>
            </w:pPr>
            <w:r w:rsidRPr="00A92F63">
              <w:rPr>
                <w:color w:val="FFFFFF" w:themeColor="background1"/>
                <w:sz w:val="18"/>
                <w:szCs w:val="18"/>
              </w:rPr>
              <w:t>Resistant %</w:t>
            </w:r>
          </w:p>
        </w:tc>
        <w:tc>
          <w:tcPr>
            <w:tcW w:w="627" w:type="dxa"/>
            <w:textDirection w:val="btLr"/>
            <w:vAlign w:val="center"/>
            <w:hideMark/>
          </w:tcPr>
          <w:p w14:paraId="19D39798" w14:textId="77777777" w:rsidR="00333163" w:rsidRPr="00A92F63" w:rsidRDefault="00333163" w:rsidP="00927D9C">
            <w:pPr>
              <w:pStyle w:val="NormalWeb"/>
              <w:ind w:left="113" w:right="113"/>
              <w:rPr>
                <w:color w:val="FFFFFF" w:themeColor="background1"/>
                <w:sz w:val="18"/>
                <w:szCs w:val="18"/>
              </w:rPr>
            </w:pPr>
            <w:r w:rsidRPr="00A92F63">
              <w:rPr>
                <w:color w:val="FFFFFF" w:themeColor="background1"/>
                <w:sz w:val="18"/>
                <w:szCs w:val="18"/>
              </w:rPr>
              <w:t>Intermediate %</w:t>
            </w:r>
          </w:p>
        </w:tc>
        <w:tc>
          <w:tcPr>
            <w:tcW w:w="628" w:type="dxa"/>
            <w:tcBorders>
              <w:top w:val="single" w:sz="2" w:space="0" w:color="FFFFFF" w:themeColor="background1"/>
              <w:left w:val="nil"/>
              <w:right w:val="single" w:sz="2" w:space="0" w:color="FFFFFF" w:themeColor="background1"/>
            </w:tcBorders>
            <w:textDirection w:val="btLr"/>
            <w:vAlign w:val="center"/>
            <w:hideMark/>
          </w:tcPr>
          <w:p w14:paraId="656B735D" w14:textId="77777777" w:rsidR="00333163" w:rsidRPr="00A92F63" w:rsidRDefault="00333163" w:rsidP="00927D9C">
            <w:pPr>
              <w:pStyle w:val="NormalWeb"/>
              <w:ind w:left="113" w:right="113"/>
              <w:rPr>
                <w:color w:val="FFFFFF" w:themeColor="background1"/>
                <w:sz w:val="18"/>
                <w:szCs w:val="18"/>
              </w:rPr>
            </w:pPr>
            <w:r w:rsidRPr="00A92F63">
              <w:rPr>
                <w:color w:val="FFFFFF" w:themeColor="background1"/>
                <w:sz w:val="18"/>
                <w:szCs w:val="18"/>
              </w:rPr>
              <w:t>Susceptible %</w:t>
            </w:r>
          </w:p>
        </w:tc>
        <w:tc>
          <w:tcPr>
            <w:tcW w:w="628" w:type="dxa"/>
            <w:tcBorders>
              <w:top w:val="single" w:sz="2" w:space="0" w:color="FFFFFF" w:themeColor="background1"/>
              <w:left w:val="single" w:sz="2" w:space="0" w:color="FFFFFF" w:themeColor="background1"/>
            </w:tcBorders>
            <w:textDirection w:val="btLr"/>
            <w:vAlign w:val="center"/>
            <w:hideMark/>
          </w:tcPr>
          <w:p w14:paraId="6635AC1F" w14:textId="77777777" w:rsidR="00333163" w:rsidRPr="00A92F63" w:rsidRDefault="00333163" w:rsidP="00927D9C">
            <w:pPr>
              <w:pStyle w:val="NormalWeb"/>
              <w:ind w:left="113" w:right="113"/>
              <w:rPr>
                <w:color w:val="FFFFFF" w:themeColor="background1"/>
                <w:sz w:val="18"/>
                <w:szCs w:val="18"/>
              </w:rPr>
            </w:pPr>
            <w:r w:rsidRPr="00A92F63">
              <w:rPr>
                <w:color w:val="FFFFFF" w:themeColor="background1"/>
                <w:sz w:val="18"/>
                <w:szCs w:val="18"/>
              </w:rPr>
              <w:t>Resistant %</w:t>
            </w:r>
          </w:p>
        </w:tc>
        <w:tc>
          <w:tcPr>
            <w:tcW w:w="628" w:type="dxa"/>
            <w:textDirection w:val="btLr"/>
            <w:vAlign w:val="center"/>
            <w:hideMark/>
          </w:tcPr>
          <w:p w14:paraId="34190C56" w14:textId="77777777" w:rsidR="00333163" w:rsidRPr="00A92F63" w:rsidRDefault="00333163" w:rsidP="00927D9C">
            <w:pPr>
              <w:pStyle w:val="NormalWeb"/>
              <w:ind w:left="113" w:right="113"/>
              <w:rPr>
                <w:color w:val="FFFFFF" w:themeColor="background1"/>
                <w:sz w:val="18"/>
                <w:szCs w:val="18"/>
              </w:rPr>
            </w:pPr>
            <w:r w:rsidRPr="00A92F63">
              <w:rPr>
                <w:color w:val="FFFFFF" w:themeColor="background1"/>
                <w:sz w:val="18"/>
                <w:szCs w:val="18"/>
              </w:rPr>
              <w:t>Intermediate %</w:t>
            </w:r>
          </w:p>
        </w:tc>
        <w:tc>
          <w:tcPr>
            <w:tcW w:w="627" w:type="dxa"/>
            <w:tcBorders>
              <w:top w:val="single" w:sz="2" w:space="0" w:color="FFFFFF" w:themeColor="background1"/>
              <w:left w:val="nil"/>
              <w:right w:val="single" w:sz="2" w:space="0" w:color="FFFFFF" w:themeColor="background1"/>
            </w:tcBorders>
            <w:textDirection w:val="btLr"/>
            <w:vAlign w:val="center"/>
            <w:hideMark/>
          </w:tcPr>
          <w:p w14:paraId="3FFB085F" w14:textId="77777777" w:rsidR="00333163" w:rsidRPr="00A92F63" w:rsidRDefault="00333163" w:rsidP="00927D9C">
            <w:pPr>
              <w:pStyle w:val="NormalWeb"/>
              <w:ind w:left="113" w:right="113"/>
              <w:rPr>
                <w:color w:val="FFFFFF" w:themeColor="background1"/>
                <w:sz w:val="18"/>
                <w:szCs w:val="18"/>
              </w:rPr>
            </w:pPr>
            <w:r w:rsidRPr="00A92F63">
              <w:rPr>
                <w:color w:val="FFFFFF" w:themeColor="background1"/>
                <w:sz w:val="18"/>
                <w:szCs w:val="18"/>
              </w:rPr>
              <w:t>Susceptible %</w:t>
            </w:r>
          </w:p>
        </w:tc>
        <w:tc>
          <w:tcPr>
            <w:tcW w:w="628" w:type="dxa"/>
            <w:tcBorders>
              <w:top w:val="single" w:sz="2" w:space="0" w:color="FFFFFF" w:themeColor="background1"/>
              <w:left w:val="single" w:sz="2" w:space="0" w:color="FFFFFF" w:themeColor="background1"/>
            </w:tcBorders>
            <w:textDirection w:val="btLr"/>
            <w:vAlign w:val="center"/>
            <w:hideMark/>
          </w:tcPr>
          <w:p w14:paraId="1C7D0925" w14:textId="77777777" w:rsidR="00333163" w:rsidRPr="00A92F63" w:rsidRDefault="00333163" w:rsidP="00927D9C">
            <w:pPr>
              <w:pStyle w:val="NormalWeb"/>
              <w:ind w:left="113" w:right="113"/>
              <w:rPr>
                <w:color w:val="FFFFFF" w:themeColor="background1"/>
                <w:sz w:val="18"/>
                <w:szCs w:val="18"/>
              </w:rPr>
            </w:pPr>
            <w:r w:rsidRPr="00A92F63">
              <w:rPr>
                <w:color w:val="FFFFFF" w:themeColor="background1"/>
                <w:sz w:val="18"/>
                <w:szCs w:val="18"/>
              </w:rPr>
              <w:t>Resistant %</w:t>
            </w:r>
          </w:p>
        </w:tc>
        <w:tc>
          <w:tcPr>
            <w:tcW w:w="628" w:type="dxa"/>
            <w:textDirection w:val="btLr"/>
            <w:vAlign w:val="center"/>
            <w:hideMark/>
          </w:tcPr>
          <w:p w14:paraId="03D481C0" w14:textId="77777777" w:rsidR="00333163" w:rsidRPr="00A92F63" w:rsidRDefault="00333163" w:rsidP="00927D9C">
            <w:pPr>
              <w:pStyle w:val="NormalWeb"/>
              <w:ind w:left="113" w:right="113"/>
              <w:rPr>
                <w:color w:val="FFFFFF" w:themeColor="background1"/>
                <w:sz w:val="18"/>
                <w:szCs w:val="18"/>
              </w:rPr>
            </w:pPr>
            <w:r w:rsidRPr="00A92F63">
              <w:rPr>
                <w:color w:val="FFFFFF" w:themeColor="background1"/>
                <w:sz w:val="18"/>
                <w:szCs w:val="18"/>
              </w:rPr>
              <w:t>Intermediate %</w:t>
            </w:r>
          </w:p>
        </w:tc>
        <w:tc>
          <w:tcPr>
            <w:tcW w:w="628" w:type="dxa"/>
            <w:tcBorders>
              <w:top w:val="single" w:sz="2" w:space="0" w:color="FFFFFF" w:themeColor="background1"/>
              <w:left w:val="nil"/>
              <w:right w:val="single" w:sz="2" w:space="0" w:color="FFFFFF" w:themeColor="background1"/>
            </w:tcBorders>
            <w:textDirection w:val="btLr"/>
            <w:vAlign w:val="center"/>
            <w:hideMark/>
          </w:tcPr>
          <w:p w14:paraId="0A8243CC" w14:textId="77777777" w:rsidR="00333163" w:rsidRPr="00A92F63" w:rsidRDefault="00333163" w:rsidP="00927D9C">
            <w:pPr>
              <w:pStyle w:val="NormalWeb"/>
              <w:ind w:left="113" w:right="113"/>
              <w:rPr>
                <w:color w:val="FFFFFF" w:themeColor="background1"/>
                <w:sz w:val="18"/>
                <w:szCs w:val="18"/>
              </w:rPr>
            </w:pPr>
            <w:r w:rsidRPr="00A92F63">
              <w:rPr>
                <w:color w:val="FFFFFF" w:themeColor="background1"/>
                <w:sz w:val="18"/>
                <w:szCs w:val="18"/>
              </w:rPr>
              <w:t>Susceptible %</w:t>
            </w:r>
          </w:p>
        </w:tc>
        <w:tc>
          <w:tcPr>
            <w:tcW w:w="627" w:type="dxa"/>
            <w:tcBorders>
              <w:top w:val="single" w:sz="2" w:space="0" w:color="FFFFFF" w:themeColor="background1"/>
              <w:left w:val="single" w:sz="2" w:space="0" w:color="FFFFFF" w:themeColor="background1"/>
            </w:tcBorders>
            <w:textDirection w:val="btLr"/>
            <w:vAlign w:val="center"/>
            <w:hideMark/>
          </w:tcPr>
          <w:p w14:paraId="426FA08E" w14:textId="77777777" w:rsidR="00333163" w:rsidRPr="00A92F63" w:rsidRDefault="00333163" w:rsidP="00927D9C">
            <w:pPr>
              <w:pStyle w:val="NormalWeb"/>
              <w:ind w:left="113" w:right="113"/>
              <w:rPr>
                <w:color w:val="FFFFFF" w:themeColor="background1"/>
                <w:sz w:val="18"/>
                <w:szCs w:val="18"/>
              </w:rPr>
            </w:pPr>
            <w:r w:rsidRPr="00A92F63">
              <w:rPr>
                <w:color w:val="FFFFFF" w:themeColor="background1"/>
                <w:sz w:val="18"/>
                <w:szCs w:val="18"/>
              </w:rPr>
              <w:t>Resistant %</w:t>
            </w:r>
          </w:p>
        </w:tc>
        <w:tc>
          <w:tcPr>
            <w:tcW w:w="628" w:type="dxa"/>
            <w:textDirection w:val="btLr"/>
            <w:vAlign w:val="center"/>
            <w:hideMark/>
          </w:tcPr>
          <w:p w14:paraId="4F6F514F" w14:textId="77777777" w:rsidR="00333163" w:rsidRPr="00A92F63" w:rsidRDefault="00333163" w:rsidP="00927D9C">
            <w:pPr>
              <w:pStyle w:val="NormalWeb"/>
              <w:ind w:left="113" w:right="113"/>
              <w:rPr>
                <w:color w:val="FFFFFF" w:themeColor="background1"/>
                <w:sz w:val="18"/>
                <w:szCs w:val="18"/>
              </w:rPr>
            </w:pPr>
            <w:r w:rsidRPr="00A92F63">
              <w:rPr>
                <w:color w:val="FFFFFF" w:themeColor="background1"/>
                <w:sz w:val="18"/>
                <w:szCs w:val="18"/>
              </w:rPr>
              <w:t>Intermediate %</w:t>
            </w:r>
          </w:p>
        </w:tc>
        <w:tc>
          <w:tcPr>
            <w:tcW w:w="628" w:type="dxa"/>
            <w:tcBorders>
              <w:top w:val="single" w:sz="2" w:space="0" w:color="FFFFFF" w:themeColor="background1"/>
              <w:left w:val="nil"/>
              <w:right w:val="single" w:sz="2" w:space="0" w:color="FFFFFF" w:themeColor="background1"/>
            </w:tcBorders>
            <w:textDirection w:val="btLr"/>
            <w:vAlign w:val="center"/>
            <w:hideMark/>
          </w:tcPr>
          <w:p w14:paraId="7C8F28D9" w14:textId="77777777" w:rsidR="00333163" w:rsidRPr="00A92F63" w:rsidRDefault="00333163" w:rsidP="00927D9C">
            <w:pPr>
              <w:pStyle w:val="NormalWeb"/>
              <w:ind w:left="113" w:right="113"/>
              <w:rPr>
                <w:color w:val="FFFFFF" w:themeColor="background1"/>
                <w:sz w:val="18"/>
                <w:szCs w:val="18"/>
              </w:rPr>
            </w:pPr>
            <w:r w:rsidRPr="00A92F63">
              <w:rPr>
                <w:color w:val="FFFFFF" w:themeColor="background1"/>
                <w:sz w:val="18"/>
                <w:szCs w:val="18"/>
              </w:rPr>
              <w:t>Susceptible %</w:t>
            </w:r>
          </w:p>
        </w:tc>
        <w:tc>
          <w:tcPr>
            <w:tcW w:w="628" w:type="dxa"/>
            <w:tcBorders>
              <w:top w:val="single" w:sz="2" w:space="0" w:color="FFFFFF" w:themeColor="background1"/>
              <w:left w:val="single" w:sz="2" w:space="0" w:color="FFFFFF" w:themeColor="background1"/>
            </w:tcBorders>
            <w:textDirection w:val="btLr"/>
            <w:vAlign w:val="center"/>
            <w:hideMark/>
          </w:tcPr>
          <w:p w14:paraId="1B1F1547" w14:textId="77777777" w:rsidR="00333163" w:rsidRPr="00A92F63" w:rsidRDefault="00333163" w:rsidP="00927D9C">
            <w:pPr>
              <w:pStyle w:val="NormalWeb"/>
              <w:ind w:left="113" w:right="113"/>
              <w:rPr>
                <w:color w:val="FFFFFF" w:themeColor="background1"/>
                <w:sz w:val="18"/>
                <w:szCs w:val="18"/>
              </w:rPr>
            </w:pPr>
            <w:r w:rsidRPr="00A92F63">
              <w:rPr>
                <w:color w:val="FFFFFF" w:themeColor="background1"/>
                <w:sz w:val="18"/>
                <w:szCs w:val="18"/>
              </w:rPr>
              <w:t>Resistant %</w:t>
            </w:r>
          </w:p>
        </w:tc>
        <w:tc>
          <w:tcPr>
            <w:tcW w:w="627" w:type="dxa"/>
            <w:textDirection w:val="btLr"/>
            <w:vAlign w:val="center"/>
            <w:hideMark/>
          </w:tcPr>
          <w:p w14:paraId="128015CB" w14:textId="77777777" w:rsidR="00333163" w:rsidRPr="00A92F63" w:rsidRDefault="00333163" w:rsidP="00927D9C">
            <w:pPr>
              <w:pStyle w:val="NormalWeb"/>
              <w:ind w:left="113" w:right="113"/>
              <w:rPr>
                <w:color w:val="FFFFFF" w:themeColor="background1"/>
                <w:sz w:val="18"/>
                <w:szCs w:val="18"/>
              </w:rPr>
            </w:pPr>
            <w:r w:rsidRPr="00A92F63">
              <w:rPr>
                <w:color w:val="FFFFFF" w:themeColor="background1"/>
                <w:sz w:val="18"/>
                <w:szCs w:val="18"/>
              </w:rPr>
              <w:t>Intermediate %</w:t>
            </w:r>
          </w:p>
        </w:tc>
        <w:tc>
          <w:tcPr>
            <w:tcW w:w="628" w:type="dxa"/>
            <w:tcBorders>
              <w:top w:val="single" w:sz="2" w:space="0" w:color="FFFFFF" w:themeColor="background1"/>
              <w:left w:val="nil"/>
              <w:right w:val="single" w:sz="2" w:space="0" w:color="FFFFFF" w:themeColor="background1"/>
            </w:tcBorders>
            <w:textDirection w:val="btLr"/>
            <w:vAlign w:val="center"/>
            <w:hideMark/>
          </w:tcPr>
          <w:p w14:paraId="56D0CDC8" w14:textId="77777777" w:rsidR="00333163" w:rsidRPr="00A92F63" w:rsidRDefault="00333163" w:rsidP="00927D9C">
            <w:pPr>
              <w:pStyle w:val="NormalWeb"/>
              <w:ind w:left="113" w:right="113"/>
              <w:rPr>
                <w:color w:val="FFFFFF" w:themeColor="background1"/>
                <w:sz w:val="18"/>
                <w:szCs w:val="18"/>
              </w:rPr>
            </w:pPr>
            <w:r w:rsidRPr="00A92F63">
              <w:rPr>
                <w:color w:val="FFFFFF" w:themeColor="background1"/>
                <w:sz w:val="18"/>
                <w:szCs w:val="18"/>
              </w:rPr>
              <w:t>Susceptible %</w:t>
            </w:r>
          </w:p>
        </w:tc>
        <w:tc>
          <w:tcPr>
            <w:tcW w:w="628" w:type="dxa"/>
            <w:tcBorders>
              <w:top w:val="single" w:sz="2" w:space="0" w:color="FFFFFF" w:themeColor="background1"/>
              <w:left w:val="single" w:sz="2" w:space="0" w:color="FFFFFF" w:themeColor="background1"/>
            </w:tcBorders>
            <w:textDirection w:val="btLr"/>
            <w:vAlign w:val="center"/>
            <w:hideMark/>
          </w:tcPr>
          <w:p w14:paraId="237364F9" w14:textId="77777777" w:rsidR="00333163" w:rsidRPr="00A92F63" w:rsidRDefault="00333163" w:rsidP="00927D9C">
            <w:pPr>
              <w:pStyle w:val="NormalWeb"/>
              <w:ind w:left="113" w:right="113"/>
              <w:rPr>
                <w:color w:val="FFFFFF" w:themeColor="background1"/>
                <w:sz w:val="18"/>
                <w:szCs w:val="18"/>
              </w:rPr>
            </w:pPr>
            <w:r w:rsidRPr="00A92F63">
              <w:rPr>
                <w:color w:val="FFFFFF" w:themeColor="background1"/>
                <w:sz w:val="18"/>
                <w:szCs w:val="18"/>
              </w:rPr>
              <w:t>Resistant %</w:t>
            </w:r>
          </w:p>
        </w:tc>
        <w:tc>
          <w:tcPr>
            <w:tcW w:w="628" w:type="dxa"/>
            <w:textDirection w:val="btLr"/>
            <w:vAlign w:val="center"/>
            <w:hideMark/>
          </w:tcPr>
          <w:p w14:paraId="1CF56CD7" w14:textId="77777777" w:rsidR="00333163" w:rsidRPr="00A92F63" w:rsidRDefault="00333163" w:rsidP="00927D9C">
            <w:pPr>
              <w:pStyle w:val="NormalWeb"/>
              <w:ind w:left="113" w:right="113"/>
              <w:rPr>
                <w:color w:val="FFFFFF" w:themeColor="background1"/>
                <w:sz w:val="18"/>
                <w:szCs w:val="18"/>
              </w:rPr>
            </w:pPr>
            <w:r w:rsidRPr="00A92F63">
              <w:rPr>
                <w:color w:val="FFFFFF" w:themeColor="background1"/>
                <w:sz w:val="18"/>
                <w:szCs w:val="18"/>
              </w:rPr>
              <w:t>Intermediate %</w:t>
            </w:r>
          </w:p>
        </w:tc>
        <w:tc>
          <w:tcPr>
            <w:tcW w:w="628" w:type="dxa"/>
            <w:tcBorders>
              <w:top w:val="single" w:sz="2" w:space="0" w:color="FFFFFF" w:themeColor="background1"/>
              <w:left w:val="nil"/>
              <w:right w:val="single" w:sz="2" w:space="0" w:color="FFFFFF" w:themeColor="background1"/>
            </w:tcBorders>
            <w:textDirection w:val="btLr"/>
            <w:vAlign w:val="center"/>
            <w:hideMark/>
          </w:tcPr>
          <w:p w14:paraId="0E5D396B" w14:textId="77777777" w:rsidR="00333163" w:rsidRPr="00A92F63" w:rsidRDefault="00333163" w:rsidP="00927D9C">
            <w:pPr>
              <w:pStyle w:val="NormalWeb"/>
              <w:ind w:left="113" w:right="113"/>
              <w:rPr>
                <w:color w:val="FFFFFF" w:themeColor="background1"/>
                <w:sz w:val="18"/>
                <w:szCs w:val="18"/>
              </w:rPr>
            </w:pPr>
            <w:r w:rsidRPr="00A92F63">
              <w:rPr>
                <w:color w:val="FFFFFF" w:themeColor="background1"/>
                <w:sz w:val="18"/>
                <w:szCs w:val="18"/>
              </w:rPr>
              <w:t>Susceptible %</w:t>
            </w:r>
          </w:p>
        </w:tc>
        <w:tc>
          <w:tcPr>
            <w:tcW w:w="1757" w:type="dxa"/>
            <w:tcBorders>
              <w:top w:val="single" w:sz="2" w:space="0" w:color="FFFFFF" w:themeColor="background1"/>
              <w:left w:val="single" w:sz="2" w:space="0" w:color="FFFFFF" w:themeColor="background1"/>
            </w:tcBorders>
            <w:textDirection w:val="btLr"/>
            <w:vAlign w:val="center"/>
            <w:hideMark/>
          </w:tcPr>
          <w:p w14:paraId="29707206" w14:textId="77777777" w:rsidR="00333163" w:rsidRPr="00A92F63" w:rsidRDefault="00333163" w:rsidP="00927D9C">
            <w:pPr>
              <w:pStyle w:val="NormalWeb"/>
              <w:ind w:left="113" w:right="113"/>
              <w:rPr>
                <w:color w:val="FFFFFF" w:themeColor="background1"/>
                <w:sz w:val="18"/>
                <w:szCs w:val="18"/>
              </w:rPr>
            </w:pPr>
            <w:r w:rsidRPr="00A92F63">
              <w:rPr>
                <w:color w:val="FFFFFF" w:themeColor="background1"/>
                <w:sz w:val="18"/>
                <w:szCs w:val="18"/>
              </w:rPr>
              <w:t>Isolate species (number of isolates)</w:t>
            </w:r>
          </w:p>
        </w:tc>
      </w:tr>
      <w:tr w:rsidR="00A92F63" w:rsidRPr="00333163" w14:paraId="50E3406D" w14:textId="77777777" w:rsidTr="009C18CA">
        <w:tblPrEx>
          <w:tblCellMar>
            <w:left w:w="57" w:type="dxa"/>
            <w:right w:w="57" w:type="dxa"/>
          </w:tblCellMar>
        </w:tblPrEx>
        <w:tc>
          <w:tcPr>
            <w:tcW w:w="627" w:type="dxa"/>
            <w:hideMark/>
          </w:tcPr>
          <w:p w14:paraId="11ACF9C6" w14:textId="77777777" w:rsidR="00333163" w:rsidRPr="00333163" w:rsidRDefault="00333163" w:rsidP="002E01F4">
            <w:pPr>
              <w:pStyle w:val="NormalWeb"/>
              <w:jc w:val="center"/>
              <w:rPr>
                <w:sz w:val="18"/>
                <w:szCs w:val="18"/>
              </w:rPr>
            </w:pPr>
            <w:r w:rsidRPr="00333163">
              <w:rPr>
                <w:sz w:val="18"/>
                <w:szCs w:val="18"/>
              </w:rPr>
              <w:t>17</w:t>
            </w:r>
          </w:p>
        </w:tc>
        <w:tc>
          <w:tcPr>
            <w:tcW w:w="628" w:type="dxa"/>
            <w:hideMark/>
          </w:tcPr>
          <w:p w14:paraId="33F6CC2A" w14:textId="77777777" w:rsidR="00333163" w:rsidRPr="00333163" w:rsidRDefault="00333163" w:rsidP="002E01F4">
            <w:pPr>
              <w:pStyle w:val="NormalWeb"/>
              <w:jc w:val="center"/>
              <w:rPr>
                <w:sz w:val="18"/>
                <w:szCs w:val="18"/>
              </w:rPr>
            </w:pPr>
            <w:r w:rsidRPr="00333163">
              <w:rPr>
                <w:sz w:val="18"/>
                <w:szCs w:val="18"/>
              </w:rPr>
              <w:t>17</w:t>
            </w:r>
          </w:p>
        </w:tc>
        <w:tc>
          <w:tcPr>
            <w:tcW w:w="628" w:type="dxa"/>
            <w:tcBorders>
              <w:right w:val="single" w:sz="4" w:space="0" w:color="auto"/>
            </w:tcBorders>
            <w:hideMark/>
          </w:tcPr>
          <w:p w14:paraId="1E0339AE" w14:textId="77777777" w:rsidR="00333163" w:rsidRPr="00333163" w:rsidRDefault="00333163" w:rsidP="002E01F4">
            <w:pPr>
              <w:pStyle w:val="NormalWeb"/>
              <w:jc w:val="center"/>
              <w:rPr>
                <w:sz w:val="18"/>
                <w:szCs w:val="18"/>
              </w:rPr>
            </w:pPr>
            <w:r w:rsidRPr="00333163">
              <w:rPr>
                <w:sz w:val="18"/>
                <w:szCs w:val="18"/>
              </w:rPr>
              <w:t>67</w:t>
            </w:r>
          </w:p>
        </w:tc>
        <w:tc>
          <w:tcPr>
            <w:tcW w:w="628" w:type="dxa"/>
            <w:tcBorders>
              <w:left w:val="single" w:sz="4" w:space="0" w:color="auto"/>
            </w:tcBorders>
            <w:hideMark/>
          </w:tcPr>
          <w:p w14:paraId="7CC89A8E" w14:textId="77777777" w:rsidR="00333163" w:rsidRPr="00333163" w:rsidRDefault="00333163" w:rsidP="002E01F4">
            <w:pPr>
              <w:pStyle w:val="NormalWeb"/>
              <w:jc w:val="center"/>
              <w:rPr>
                <w:sz w:val="18"/>
                <w:szCs w:val="18"/>
              </w:rPr>
            </w:pPr>
            <w:r w:rsidRPr="00333163">
              <w:rPr>
                <w:sz w:val="18"/>
                <w:szCs w:val="18"/>
              </w:rPr>
              <w:t>0</w:t>
            </w:r>
          </w:p>
        </w:tc>
        <w:tc>
          <w:tcPr>
            <w:tcW w:w="627" w:type="dxa"/>
            <w:hideMark/>
          </w:tcPr>
          <w:p w14:paraId="36DE2B54" w14:textId="77777777" w:rsidR="00333163" w:rsidRPr="00333163" w:rsidRDefault="00333163" w:rsidP="002E01F4">
            <w:pPr>
              <w:pStyle w:val="NormalWeb"/>
              <w:jc w:val="center"/>
              <w:rPr>
                <w:sz w:val="18"/>
                <w:szCs w:val="18"/>
              </w:rPr>
            </w:pPr>
            <w:r w:rsidRPr="00333163">
              <w:rPr>
                <w:sz w:val="18"/>
                <w:szCs w:val="18"/>
              </w:rPr>
              <w:t>50</w:t>
            </w:r>
          </w:p>
        </w:tc>
        <w:tc>
          <w:tcPr>
            <w:tcW w:w="628" w:type="dxa"/>
            <w:tcBorders>
              <w:right w:val="single" w:sz="4" w:space="0" w:color="auto"/>
            </w:tcBorders>
            <w:hideMark/>
          </w:tcPr>
          <w:p w14:paraId="0431052B" w14:textId="77777777" w:rsidR="00333163" w:rsidRPr="00333163" w:rsidRDefault="00333163" w:rsidP="002E01F4">
            <w:pPr>
              <w:pStyle w:val="NormalWeb"/>
              <w:jc w:val="center"/>
              <w:rPr>
                <w:sz w:val="18"/>
                <w:szCs w:val="18"/>
              </w:rPr>
            </w:pPr>
            <w:r w:rsidRPr="00333163">
              <w:rPr>
                <w:sz w:val="18"/>
                <w:szCs w:val="18"/>
              </w:rPr>
              <w:t>50</w:t>
            </w:r>
          </w:p>
        </w:tc>
        <w:tc>
          <w:tcPr>
            <w:tcW w:w="628" w:type="dxa"/>
            <w:tcBorders>
              <w:left w:val="single" w:sz="4" w:space="0" w:color="auto"/>
            </w:tcBorders>
            <w:hideMark/>
          </w:tcPr>
          <w:p w14:paraId="679FF951" w14:textId="77777777" w:rsidR="00333163" w:rsidRPr="00333163" w:rsidRDefault="00333163" w:rsidP="002E01F4">
            <w:pPr>
              <w:pStyle w:val="NormalWeb"/>
              <w:jc w:val="center"/>
              <w:rPr>
                <w:sz w:val="18"/>
                <w:szCs w:val="18"/>
              </w:rPr>
            </w:pPr>
            <w:r w:rsidRPr="00333163">
              <w:rPr>
                <w:sz w:val="18"/>
                <w:szCs w:val="18"/>
              </w:rPr>
              <w:t>0</w:t>
            </w:r>
          </w:p>
        </w:tc>
        <w:tc>
          <w:tcPr>
            <w:tcW w:w="628" w:type="dxa"/>
            <w:hideMark/>
          </w:tcPr>
          <w:p w14:paraId="7F2C8930" w14:textId="77777777" w:rsidR="00333163" w:rsidRPr="00333163" w:rsidRDefault="00333163" w:rsidP="002E01F4">
            <w:pPr>
              <w:pStyle w:val="NormalWeb"/>
              <w:jc w:val="center"/>
              <w:rPr>
                <w:sz w:val="18"/>
                <w:szCs w:val="18"/>
              </w:rPr>
            </w:pPr>
            <w:r w:rsidRPr="00333163">
              <w:rPr>
                <w:sz w:val="18"/>
                <w:szCs w:val="18"/>
              </w:rPr>
              <w:t>17</w:t>
            </w:r>
          </w:p>
        </w:tc>
        <w:tc>
          <w:tcPr>
            <w:tcW w:w="627" w:type="dxa"/>
            <w:tcBorders>
              <w:right w:val="single" w:sz="4" w:space="0" w:color="auto"/>
            </w:tcBorders>
            <w:hideMark/>
          </w:tcPr>
          <w:p w14:paraId="6A9804CD" w14:textId="77777777" w:rsidR="00333163" w:rsidRPr="00333163" w:rsidRDefault="00333163" w:rsidP="002E01F4">
            <w:pPr>
              <w:pStyle w:val="NormalWeb"/>
              <w:jc w:val="center"/>
              <w:rPr>
                <w:sz w:val="18"/>
                <w:szCs w:val="18"/>
              </w:rPr>
            </w:pPr>
            <w:r w:rsidRPr="00333163">
              <w:rPr>
                <w:sz w:val="18"/>
                <w:szCs w:val="18"/>
              </w:rPr>
              <w:t>83</w:t>
            </w:r>
          </w:p>
        </w:tc>
        <w:tc>
          <w:tcPr>
            <w:tcW w:w="628" w:type="dxa"/>
            <w:tcBorders>
              <w:left w:val="single" w:sz="4" w:space="0" w:color="auto"/>
            </w:tcBorders>
            <w:hideMark/>
          </w:tcPr>
          <w:p w14:paraId="64FD0ACE" w14:textId="77777777" w:rsidR="00333163" w:rsidRPr="00333163" w:rsidRDefault="00333163" w:rsidP="002E01F4">
            <w:pPr>
              <w:pStyle w:val="NormalWeb"/>
              <w:jc w:val="center"/>
              <w:rPr>
                <w:sz w:val="18"/>
                <w:szCs w:val="18"/>
              </w:rPr>
            </w:pPr>
            <w:r w:rsidRPr="00333163">
              <w:rPr>
                <w:sz w:val="18"/>
                <w:szCs w:val="18"/>
              </w:rPr>
              <w:t>100</w:t>
            </w:r>
          </w:p>
        </w:tc>
        <w:tc>
          <w:tcPr>
            <w:tcW w:w="628" w:type="dxa"/>
            <w:hideMark/>
          </w:tcPr>
          <w:p w14:paraId="5A9474F9" w14:textId="77777777" w:rsidR="00333163" w:rsidRPr="00333163" w:rsidRDefault="00333163" w:rsidP="002E01F4">
            <w:pPr>
              <w:pStyle w:val="NormalWeb"/>
              <w:jc w:val="center"/>
              <w:rPr>
                <w:sz w:val="18"/>
                <w:szCs w:val="18"/>
              </w:rPr>
            </w:pPr>
            <w:r w:rsidRPr="00333163">
              <w:rPr>
                <w:sz w:val="18"/>
                <w:szCs w:val="18"/>
              </w:rPr>
              <w:t>0</w:t>
            </w:r>
          </w:p>
        </w:tc>
        <w:tc>
          <w:tcPr>
            <w:tcW w:w="628" w:type="dxa"/>
            <w:tcBorders>
              <w:right w:val="single" w:sz="4" w:space="0" w:color="auto"/>
            </w:tcBorders>
            <w:hideMark/>
          </w:tcPr>
          <w:p w14:paraId="0C586321" w14:textId="77777777" w:rsidR="00333163" w:rsidRPr="00333163" w:rsidRDefault="00333163" w:rsidP="002E01F4">
            <w:pPr>
              <w:pStyle w:val="NormalWeb"/>
              <w:jc w:val="center"/>
              <w:rPr>
                <w:sz w:val="18"/>
                <w:szCs w:val="18"/>
              </w:rPr>
            </w:pPr>
            <w:r w:rsidRPr="00333163">
              <w:rPr>
                <w:sz w:val="18"/>
                <w:szCs w:val="18"/>
              </w:rPr>
              <w:t>0</w:t>
            </w:r>
          </w:p>
        </w:tc>
        <w:tc>
          <w:tcPr>
            <w:tcW w:w="627" w:type="dxa"/>
            <w:tcBorders>
              <w:left w:val="single" w:sz="4" w:space="0" w:color="auto"/>
            </w:tcBorders>
            <w:hideMark/>
          </w:tcPr>
          <w:p w14:paraId="35DFA754" w14:textId="77777777" w:rsidR="00333163" w:rsidRPr="00333163" w:rsidRDefault="00333163" w:rsidP="002E01F4">
            <w:pPr>
              <w:pStyle w:val="NormalWeb"/>
              <w:jc w:val="center"/>
              <w:rPr>
                <w:sz w:val="18"/>
                <w:szCs w:val="18"/>
              </w:rPr>
            </w:pPr>
            <w:r w:rsidRPr="00333163">
              <w:rPr>
                <w:sz w:val="18"/>
                <w:szCs w:val="18"/>
              </w:rPr>
              <w:t>0</w:t>
            </w:r>
          </w:p>
        </w:tc>
        <w:tc>
          <w:tcPr>
            <w:tcW w:w="628" w:type="dxa"/>
            <w:hideMark/>
          </w:tcPr>
          <w:p w14:paraId="60232026" w14:textId="77777777" w:rsidR="00333163" w:rsidRPr="00333163" w:rsidRDefault="00333163" w:rsidP="002E01F4">
            <w:pPr>
              <w:pStyle w:val="NormalWeb"/>
              <w:jc w:val="center"/>
              <w:rPr>
                <w:sz w:val="18"/>
                <w:szCs w:val="18"/>
              </w:rPr>
            </w:pPr>
            <w:r w:rsidRPr="00333163">
              <w:rPr>
                <w:sz w:val="18"/>
                <w:szCs w:val="18"/>
              </w:rPr>
              <w:t>0</w:t>
            </w:r>
          </w:p>
        </w:tc>
        <w:tc>
          <w:tcPr>
            <w:tcW w:w="628" w:type="dxa"/>
            <w:tcBorders>
              <w:right w:val="single" w:sz="4" w:space="0" w:color="auto"/>
            </w:tcBorders>
            <w:hideMark/>
          </w:tcPr>
          <w:p w14:paraId="3E953B74" w14:textId="77777777" w:rsidR="00333163" w:rsidRPr="00333163" w:rsidRDefault="00333163" w:rsidP="002E01F4">
            <w:pPr>
              <w:pStyle w:val="NormalWeb"/>
              <w:jc w:val="center"/>
              <w:rPr>
                <w:sz w:val="18"/>
                <w:szCs w:val="18"/>
              </w:rPr>
            </w:pPr>
            <w:r w:rsidRPr="00333163">
              <w:rPr>
                <w:sz w:val="18"/>
                <w:szCs w:val="18"/>
              </w:rPr>
              <w:t>100</w:t>
            </w:r>
          </w:p>
        </w:tc>
        <w:tc>
          <w:tcPr>
            <w:tcW w:w="628" w:type="dxa"/>
            <w:tcBorders>
              <w:left w:val="single" w:sz="4" w:space="0" w:color="auto"/>
            </w:tcBorders>
            <w:hideMark/>
          </w:tcPr>
          <w:p w14:paraId="7E16AF52" w14:textId="77777777" w:rsidR="00333163" w:rsidRPr="00333163" w:rsidRDefault="00333163" w:rsidP="002E01F4">
            <w:pPr>
              <w:pStyle w:val="NormalWeb"/>
              <w:jc w:val="center"/>
              <w:rPr>
                <w:sz w:val="18"/>
                <w:szCs w:val="18"/>
              </w:rPr>
            </w:pPr>
            <w:r w:rsidRPr="00333163">
              <w:rPr>
                <w:sz w:val="18"/>
                <w:szCs w:val="18"/>
              </w:rPr>
              <w:t>83</w:t>
            </w:r>
          </w:p>
        </w:tc>
        <w:tc>
          <w:tcPr>
            <w:tcW w:w="627" w:type="dxa"/>
            <w:hideMark/>
          </w:tcPr>
          <w:p w14:paraId="4750E95B" w14:textId="77777777" w:rsidR="00333163" w:rsidRPr="00333163" w:rsidRDefault="00333163" w:rsidP="002E01F4">
            <w:pPr>
              <w:pStyle w:val="NormalWeb"/>
              <w:jc w:val="center"/>
              <w:rPr>
                <w:sz w:val="18"/>
                <w:szCs w:val="18"/>
              </w:rPr>
            </w:pPr>
            <w:r w:rsidRPr="00333163">
              <w:rPr>
                <w:sz w:val="18"/>
                <w:szCs w:val="18"/>
              </w:rPr>
              <w:t>17</w:t>
            </w:r>
          </w:p>
        </w:tc>
        <w:tc>
          <w:tcPr>
            <w:tcW w:w="628" w:type="dxa"/>
            <w:tcBorders>
              <w:right w:val="single" w:sz="4" w:space="0" w:color="auto"/>
            </w:tcBorders>
            <w:hideMark/>
          </w:tcPr>
          <w:p w14:paraId="0615189C" w14:textId="77777777" w:rsidR="00333163" w:rsidRPr="00333163" w:rsidRDefault="00333163" w:rsidP="002E01F4">
            <w:pPr>
              <w:pStyle w:val="NormalWeb"/>
              <w:jc w:val="center"/>
              <w:rPr>
                <w:sz w:val="18"/>
                <w:szCs w:val="18"/>
              </w:rPr>
            </w:pPr>
            <w:r w:rsidRPr="00333163">
              <w:rPr>
                <w:sz w:val="18"/>
                <w:szCs w:val="18"/>
              </w:rPr>
              <w:t>0</w:t>
            </w:r>
          </w:p>
        </w:tc>
        <w:tc>
          <w:tcPr>
            <w:tcW w:w="628" w:type="dxa"/>
            <w:tcBorders>
              <w:left w:val="single" w:sz="4" w:space="0" w:color="auto"/>
            </w:tcBorders>
            <w:hideMark/>
          </w:tcPr>
          <w:p w14:paraId="725DD643" w14:textId="77777777" w:rsidR="00333163" w:rsidRPr="00333163" w:rsidRDefault="00333163" w:rsidP="002E01F4">
            <w:pPr>
              <w:pStyle w:val="NormalWeb"/>
              <w:jc w:val="center"/>
              <w:rPr>
                <w:sz w:val="18"/>
                <w:szCs w:val="18"/>
              </w:rPr>
            </w:pPr>
            <w:r w:rsidRPr="00333163">
              <w:rPr>
                <w:sz w:val="18"/>
                <w:szCs w:val="18"/>
              </w:rPr>
              <w:t>0</w:t>
            </w:r>
          </w:p>
        </w:tc>
        <w:tc>
          <w:tcPr>
            <w:tcW w:w="628" w:type="dxa"/>
            <w:hideMark/>
          </w:tcPr>
          <w:p w14:paraId="14F1AE05" w14:textId="77777777" w:rsidR="00333163" w:rsidRPr="00333163" w:rsidRDefault="00333163" w:rsidP="002E01F4">
            <w:pPr>
              <w:pStyle w:val="NormalWeb"/>
              <w:jc w:val="center"/>
              <w:rPr>
                <w:sz w:val="18"/>
                <w:szCs w:val="18"/>
              </w:rPr>
            </w:pPr>
            <w:r w:rsidRPr="00333163">
              <w:rPr>
                <w:sz w:val="18"/>
                <w:szCs w:val="18"/>
              </w:rPr>
              <w:t>0</w:t>
            </w:r>
          </w:p>
        </w:tc>
        <w:tc>
          <w:tcPr>
            <w:tcW w:w="628" w:type="dxa"/>
            <w:tcBorders>
              <w:right w:val="single" w:sz="4" w:space="0" w:color="auto"/>
            </w:tcBorders>
            <w:hideMark/>
          </w:tcPr>
          <w:p w14:paraId="16ADBC07" w14:textId="77777777" w:rsidR="00333163" w:rsidRPr="00333163" w:rsidRDefault="00333163" w:rsidP="002E01F4">
            <w:pPr>
              <w:pStyle w:val="NormalWeb"/>
              <w:jc w:val="center"/>
              <w:rPr>
                <w:sz w:val="18"/>
                <w:szCs w:val="18"/>
              </w:rPr>
            </w:pPr>
            <w:r w:rsidRPr="00333163">
              <w:rPr>
                <w:sz w:val="18"/>
                <w:szCs w:val="18"/>
              </w:rPr>
              <w:t>100</w:t>
            </w:r>
          </w:p>
        </w:tc>
        <w:tc>
          <w:tcPr>
            <w:tcW w:w="1757" w:type="dxa"/>
            <w:tcBorders>
              <w:left w:val="single" w:sz="4" w:space="0" w:color="auto"/>
            </w:tcBorders>
            <w:hideMark/>
          </w:tcPr>
          <w:p w14:paraId="22131397" w14:textId="77777777" w:rsidR="00333163" w:rsidRPr="00333163" w:rsidRDefault="00333163" w:rsidP="002E01F4">
            <w:pPr>
              <w:pStyle w:val="NormalWeb"/>
              <w:jc w:val="center"/>
              <w:rPr>
                <w:sz w:val="18"/>
                <w:szCs w:val="18"/>
              </w:rPr>
            </w:pPr>
            <w:r w:rsidRPr="007A354E">
              <w:rPr>
                <w:i/>
                <w:iCs/>
                <w:sz w:val="18"/>
                <w:szCs w:val="18"/>
              </w:rPr>
              <w:t xml:space="preserve">N. </w:t>
            </w:r>
            <w:proofErr w:type="spellStart"/>
            <w:r w:rsidRPr="007A354E">
              <w:rPr>
                <w:i/>
                <w:iCs/>
                <w:sz w:val="18"/>
                <w:szCs w:val="18"/>
              </w:rPr>
              <w:t>brasiliensis</w:t>
            </w:r>
            <w:proofErr w:type="spellEnd"/>
            <w:r w:rsidRPr="00333163">
              <w:rPr>
                <w:sz w:val="18"/>
                <w:szCs w:val="18"/>
              </w:rPr>
              <w:t xml:space="preserve"> (6)</w:t>
            </w:r>
          </w:p>
        </w:tc>
      </w:tr>
      <w:tr w:rsidR="00106160" w:rsidRPr="00333163" w14:paraId="58EE8D28" w14:textId="77777777" w:rsidTr="009C18CA">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627" w:type="dxa"/>
            <w:hideMark/>
          </w:tcPr>
          <w:p w14:paraId="392B74C2" w14:textId="77777777" w:rsidR="00333163" w:rsidRPr="00333163" w:rsidRDefault="00333163" w:rsidP="002E01F4">
            <w:pPr>
              <w:pStyle w:val="NormalWeb"/>
              <w:jc w:val="center"/>
              <w:rPr>
                <w:sz w:val="18"/>
                <w:szCs w:val="18"/>
              </w:rPr>
            </w:pPr>
            <w:r w:rsidRPr="00333163">
              <w:rPr>
                <w:sz w:val="18"/>
                <w:szCs w:val="18"/>
              </w:rPr>
              <w:t>25</w:t>
            </w:r>
          </w:p>
        </w:tc>
        <w:tc>
          <w:tcPr>
            <w:tcW w:w="628" w:type="dxa"/>
            <w:hideMark/>
          </w:tcPr>
          <w:p w14:paraId="532B042D" w14:textId="77777777" w:rsidR="00333163" w:rsidRPr="00333163" w:rsidRDefault="00333163" w:rsidP="002E01F4">
            <w:pPr>
              <w:pStyle w:val="NormalWeb"/>
              <w:jc w:val="center"/>
              <w:rPr>
                <w:sz w:val="18"/>
                <w:szCs w:val="18"/>
              </w:rPr>
            </w:pPr>
            <w:r w:rsidRPr="00333163">
              <w:rPr>
                <w:sz w:val="18"/>
                <w:szCs w:val="18"/>
              </w:rPr>
              <w:t>0</w:t>
            </w:r>
          </w:p>
        </w:tc>
        <w:tc>
          <w:tcPr>
            <w:tcW w:w="628" w:type="dxa"/>
            <w:tcBorders>
              <w:right w:val="single" w:sz="4" w:space="0" w:color="auto"/>
            </w:tcBorders>
            <w:hideMark/>
          </w:tcPr>
          <w:p w14:paraId="344C1A0D" w14:textId="77777777" w:rsidR="00333163" w:rsidRPr="00333163" w:rsidRDefault="00333163" w:rsidP="002E01F4">
            <w:pPr>
              <w:pStyle w:val="NormalWeb"/>
              <w:jc w:val="center"/>
              <w:rPr>
                <w:sz w:val="18"/>
                <w:szCs w:val="18"/>
              </w:rPr>
            </w:pPr>
            <w:r w:rsidRPr="00333163">
              <w:rPr>
                <w:sz w:val="18"/>
                <w:szCs w:val="18"/>
              </w:rPr>
              <w:t>75</w:t>
            </w:r>
          </w:p>
        </w:tc>
        <w:tc>
          <w:tcPr>
            <w:tcW w:w="628" w:type="dxa"/>
            <w:tcBorders>
              <w:left w:val="single" w:sz="4" w:space="0" w:color="auto"/>
            </w:tcBorders>
            <w:hideMark/>
          </w:tcPr>
          <w:p w14:paraId="6690272F" w14:textId="77777777" w:rsidR="00333163" w:rsidRPr="00333163" w:rsidRDefault="00333163" w:rsidP="002E01F4">
            <w:pPr>
              <w:pStyle w:val="NormalWeb"/>
              <w:jc w:val="center"/>
              <w:rPr>
                <w:sz w:val="18"/>
                <w:szCs w:val="18"/>
              </w:rPr>
            </w:pPr>
            <w:r w:rsidRPr="00333163">
              <w:rPr>
                <w:sz w:val="18"/>
                <w:szCs w:val="18"/>
              </w:rPr>
              <w:t>0</w:t>
            </w:r>
          </w:p>
        </w:tc>
        <w:tc>
          <w:tcPr>
            <w:tcW w:w="627" w:type="dxa"/>
            <w:hideMark/>
          </w:tcPr>
          <w:p w14:paraId="433C1456" w14:textId="77777777" w:rsidR="00333163" w:rsidRPr="00333163" w:rsidRDefault="00333163" w:rsidP="002E01F4">
            <w:pPr>
              <w:pStyle w:val="NormalWeb"/>
              <w:jc w:val="center"/>
              <w:rPr>
                <w:sz w:val="18"/>
                <w:szCs w:val="18"/>
              </w:rPr>
            </w:pPr>
            <w:r w:rsidRPr="00333163">
              <w:rPr>
                <w:sz w:val="18"/>
                <w:szCs w:val="18"/>
              </w:rPr>
              <w:t>75</w:t>
            </w:r>
          </w:p>
        </w:tc>
        <w:tc>
          <w:tcPr>
            <w:tcW w:w="628" w:type="dxa"/>
            <w:tcBorders>
              <w:right w:val="single" w:sz="4" w:space="0" w:color="auto"/>
            </w:tcBorders>
            <w:hideMark/>
          </w:tcPr>
          <w:p w14:paraId="72E4EE0C" w14:textId="77777777" w:rsidR="00333163" w:rsidRPr="00333163" w:rsidRDefault="00333163" w:rsidP="002E01F4">
            <w:pPr>
              <w:pStyle w:val="NormalWeb"/>
              <w:jc w:val="center"/>
              <w:rPr>
                <w:sz w:val="18"/>
                <w:szCs w:val="18"/>
              </w:rPr>
            </w:pPr>
            <w:r w:rsidRPr="00333163">
              <w:rPr>
                <w:sz w:val="18"/>
                <w:szCs w:val="18"/>
              </w:rPr>
              <w:t>25</w:t>
            </w:r>
          </w:p>
        </w:tc>
        <w:tc>
          <w:tcPr>
            <w:tcW w:w="628" w:type="dxa"/>
            <w:tcBorders>
              <w:left w:val="single" w:sz="4" w:space="0" w:color="auto"/>
            </w:tcBorders>
            <w:hideMark/>
          </w:tcPr>
          <w:p w14:paraId="538D3526" w14:textId="77777777" w:rsidR="00333163" w:rsidRPr="00333163" w:rsidRDefault="00333163" w:rsidP="002E01F4">
            <w:pPr>
              <w:pStyle w:val="NormalWeb"/>
              <w:jc w:val="center"/>
              <w:rPr>
                <w:sz w:val="18"/>
                <w:szCs w:val="18"/>
              </w:rPr>
            </w:pPr>
            <w:r w:rsidRPr="00333163">
              <w:rPr>
                <w:sz w:val="18"/>
                <w:szCs w:val="18"/>
              </w:rPr>
              <w:t>25</w:t>
            </w:r>
          </w:p>
        </w:tc>
        <w:tc>
          <w:tcPr>
            <w:tcW w:w="628" w:type="dxa"/>
            <w:hideMark/>
          </w:tcPr>
          <w:p w14:paraId="6B3CD722" w14:textId="77777777" w:rsidR="00333163" w:rsidRPr="00333163" w:rsidRDefault="00333163" w:rsidP="002E01F4">
            <w:pPr>
              <w:pStyle w:val="NormalWeb"/>
              <w:jc w:val="center"/>
              <w:rPr>
                <w:sz w:val="18"/>
                <w:szCs w:val="18"/>
              </w:rPr>
            </w:pPr>
            <w:r w:rsidRPr="00333163">
              <w:rPr>
                <w:sz w:val="18"/>
                <w:szCs w:val="18"/>
              </w:rPr>
              <w:t>50</w:t>
            </w:r>
          </w:p>
        </w:tc>
        <w:tc>
          <w:tcPr>
            <w:tcW w:w="627" w:type="dxa"/>
            <w:tcBorders>
              <w:right w:val="single" w:sz="4" w:space="0" w:color="auto"/>
            </w:tcBorders>
            <w:hideMark/>
          </w:tcPr>
          <w:p w14:paraId="18161583" w14:textId="77777777" w:rsidR="00333163" w:rsidRPr="00333163" w:rsidRDefault="00333163" w:rsidP="002E01F4">
            <w:pPr>
              <w:pStyle w:val="NormalWeb"/>
              <w:jc w:val="center"/>
              <w:rPr>
                <w:sz w:val="18"/>
                <w:szCs w:val="18"/>
              </w:rPr>
            </w:pPr>
            <w:r w:rsidRPr="00333163">
              <w:rPr>
                <w:sz w:val="18"/>
                <w:szCs w:val="18"/>
              </w:rPr>
              <w:t>25</w:t>
            </w:r>
          </w:p>
        </w:tc>
        <w:tc>
          <w:tcPr>
            <w:tcW w:w="628" w:type="dxa"/>
            <w:tcBorders>
              <w:left w:val="single" w:sz="4" w:space="0" w:color="auto"/>
            </w:tcBorders>
            <w:hideMark/>
          </w:tcPr>
          <w:p w14:paraId="2243F445" w14:textId="77777777" w:rsidR="00333163" w:rsidRPr="00333163" w:rsidRDefault="00333163" w:rsidP="002E01F4">
            <w:pPr>
              <w:pStyle w:val="NormalWeb"/>
              <w:jc w:val="center"/>
              <w:rPr>
                <w:sz w:val="18"/>
                <w:szCs w:val="18"/>
              </w:rPr>
            </w:pPr>
            <w:r w:rsidRPr="00333163">
              <w:rPr>
                <w:sz w:val="18"/>
                <w:szCs w:val="18"/>
              </w:rPr>
              <w:t>25</w:t>
            </w:r>
          </w:p>
        </w:tc>
        <w:tc>
          <w:tcPr>
            <w:tcW w:w="628" w:type="dxa"/>
            <w:hideMark/>
          </w:tcPr>
          <w:p w14:paraId="23FEBEF4" w14:textId="77777777" w:rsidR="00333163" w:rsidRPr="00333163" w:rsidRDefault="00333163" w:rsidP="002E01F4">
            <w:pPr>
              <w:pStyle w:val="NormalWeb"/>
              <w:jc w:val="center"/>
              <w:rPr>
                <w:sz w:val="18"/>
                <w:szCs w:val="18"/>
              </w:rPr>
            </w:pPr>
            <w:r w:rsidRPr="00333163">
              <w:rPr>
                <w:sz w:val="18"/>
                <w:szCs w:val="18"/>
              </w:rPr>
              <w:t>75</w:t>
            </w:r>
          </w:p>
        </w:tc>
        <w:tc>
          <w:tcPr>
            <w:tcW w:w="628" w:type="dxa"/>
            <w:tcBorders>
              <w:right w:val="single" w:sz="4" w:space="0" w:color="auto"/>
            </w:tcBorders>
            <w:hideMark/>
          </w:tcPr>
          <w:p w14:paraId="7EF05FD8" w14:textId="77777777" w:rsidR="00333163" w:rsidRPr="00333163" w:rsidRDefault="00333163" w:rsidP="002E01F4">
            <w:pPr>
              <w:pStyle w:val="NormalWeb"/>
              <w:jc w:val="center"/>
              <w:rPr>
                <w:sz w:val="18"/>
                <w:szCs w:val="18"/>
              </w:rPr>
            </w:pPr>
            <w:r w:rsidRPr="00333163">
              <w:rPr>
                <w:sz w:val="18"/>
                <w:szCs w:val="18"/>
              </w:rPr>
              <w:t>0</w:t>
            </w:r>
          </w:p>
        </w:tc>
        <w:tc>
          <w:tcPr>
            <w:tcW w:w="627" w:type="dxa"/>
            <w:tcBorders>
              <w:left w:val="single" w:sz="4" w:space="0" w:color="auto"/>
            </w:tcBorders>
            <w:hideMark/>
          </w:tcPr>
          <w:p w14:paraId="6699CD10" w14:textId="77777777" w:rsidR="00333163" w:rsidRPr="00333163" w:rsidRDefault="00333163" w:rsidP="002E01F4">
            <w:pPr>
              <w:pStyle w:val="NormalWeb"/>
              <w:jc w:val="center"/>
              <w:rPr>
                <w:sz w:val="18"/>
                <w:szCs w:val="18"/>
              </w:rPr>
            </w:pPr>
            <w:r w:rsidRPr="00333163">
              <w:rPr>
                <w:sz w:val="18"/>
                <w:szCs w:val="18"/>
              </w:rPr>
              <w:t>0</w:t>
            </w:r>
          </w:p>
        </w:tc>
        <w:tc>
          <w:tcPr>
            <w:tcW w:w="628" w:type="dxa"/>
            <w:hideMark/>
          </w:tcPr>
          <w:p w14:paraId="355CD8B9" w14:textId="77777777" w:rsidR="00333163" w:rsidRPr="00333163" w:rsidRDefault="00333163" w:rsidP="002E01F4">
            <w:pPr>
              <w:pStyle w:val="NormalWeb"/>
              <w:jc w:val="center"/>
              <w:rPr>
                <w:sz w:val="18"/>
                <w:szCs w:val="18"/>
              </w:rPr>
            </w:pPr>
            <w:r w:rsidRPr="00333163">
              <w:rPr>
                <w:sz w:val="18"/>
                <w:szCs w:val="18"/>
              </w:rPr>
              <w:t>0</w:t>
            </w:r>
          </w:p>
        </w:tc>
        <w:tc>
          <w:tcPr>
            <w:tcW w:w="628" w:type="dxa"/>
            <w:tcBorders>
              <w:right w:val="single" w:sz="4" w:space="0" w:color="auto"/>
            </w:tcBorders>
            <w:hideMark/>
          </w:tcPr>
          <w:p w14:paraId="45F2F8FD" w14:textId="77777777" w:rsidR="00333163" w:rsidRPr="00333163" w:rsidRDefault="00333163" w:rsidP="002E01F4">
            <w:pPr>
              <w:pStyle w:val="NormalWeb"/>
              <w:jc w:val="center"/>
              <w:rPr>
                <w:sz w:val="18"/>
                <w:szCs w:val="18"/>
              </w:rPr>
            </w:pPr>
            <w:r w:rsidRPr="00333163">
              <w:rPr>
                <w:sz w:val="18"/>
                <w:szCs w:val="18"/>
              </w:rPr>
              <w:t>100</w:t>
            </w:r>
          </w:p>
        </w:tc>
        <w:tc>
          <w:tcPr>
            <w:tcW w:w="628" w:type="dxa"/>
            <w:tcBorders>
              <w:left w:val="single" w:sz="4" w:space="0" w:color="auto"/>
            </w:tcBorders>
            <w:hideMark/>
          </w:tcPr>
          <w:p w14:paraId="1546DC34" w14:textId="77777777" w:rsidR="00333163" w:rsidRPr="00333163" w:rsidRDefault="00333163" w:rsidP="002E01F4">
            <w:pPr>
              <w:pStyle w:val="NormalWeb"/>
              <w:jc w:val="center"/>
              <w:rPr>
                <w:sz w:val="18"/>
                <w:szCs w:val="18"/>
              </w:rPr>
            </w:pPr>
            <w:r w:rsidRPr="00333163">
              <w:rPr>
                <w:sz w:val="18"/>
                <w:szCs w:val="18"/>
              </w:rPr>
              <w:t>75</w:t>
            </w:r>
          </w:p>
        </w:tc>
        <w:tc>
          <w:tcPr>
            <w:tcW w:w="627" w:type="dxa"/>
            <w:hideMark/>
          </w:tcPr>
          <w:p w14:paraId="5A7A65A5" w14:textId="77777777" w:rsidR="00333163" w:rsidRPr="00333163" w:rsidRDefault="00333163" w:rsidP="002E01F4">
            <w:pPr>
              <w:pStyle w:val="NormalWeb"/>
              <w:jc w:val="center"/>
              <w:rPr>
                <w:sz w:val="18"/>
                <w:szCs w:val="18"/>
              </w:rPr>
            </w:pPr>
            <w:r w:rsidRPr="00333163">
              <w:rPr>
                <w:sz w:val="18"/>
                <w:szCs w:val="18"/>
              </w:rPr>
              <w:t>0</w:t>
            </w:r>
          </w:p>
        </w:tc>
        <w:tc>
          <w:tcPr>
            <w:tcW w:w="628" w:type="dxa"/>
            <w:tcBorders>
              <w:right w:val="single" w:sz="4" w:space="0" w:color="auto"/>
            </w:tcBorders>
            <w:hideMark/>
          </w:tcPr>
          <w:p w14:paraId="249A51F8" w14:textId="77777777" w:rsidR="00333163" w:rsidRPr="00333163" w:rsidRDefault="00333163" w:rsidP="002E01F4">
            <w:pPr>
              <w:pStyle w:val="NormalWeb"/>
              <w:jc w:val="center"/>
              <w:rPr>
                <w:sz w:val="18"/>
                <w:szCs w:val="18"/>
              </w:rPr>
            </w:pPr>
            <w:r w:rsidRPr="00333163">
              <w:rPr>
                <w:sz w:val="18"/>
                <w:szCs w:val="18"/>
              </w:rPr>
              <w:t>25</w:t>
            </w:r>
          </w:p>
        </w:tc>
        <w:tc>
          <w:tcPr>
            <w:tcW w:w="628" w:type="dxa"/>
            <w:tcBorders>
              <w:left w:val="single" w:sz="4" w:space="0" w:color="auto"/>
            </w:tcBorders>
            <w:hideMark/>
          </w:tcPr>
          <w:p w14:paraId="4F476791" w14:textId="77777777" w:rsidR="00333163" w:rsidRPr="00333163" w:rsidRDefault="00333163" w:rsidP="002E01F4">
            <w:pPr>
              <w:pStyle w:val="NormalWeb"/>
              <w:jc w:val="center"/>
              <w:rPr>
                <w:sz w:val="18"/>
                <w:szCs w:val="18"/>
              </w:rPr>
            </w:pPr>
            <w:r w:rsidRPr="00333163">
              <w:rPr>
                <w:sz w:val="18"/>
                <w:szCs w:val="18"/>
              </w:rPr>
              <w:t>0</w:t>
            </w:r>
          </w:p>
        </w:tc>
        <w:tc>
          <w:tcPr>
            <w:tcW w:w="628" w:type="dxa"/>
            <w:hideMark/>
          </w:tcPr>
          <w:p w14:paraId="015D02AA" w14:textId="77777777" w:rsidR="00333163" w:rsidRPr="00333163" w:rsidRDefault="00333163" w:rsidP="002E01F4">
            <w:pPr>
              <w:pStyle w:val="NormalWeb"/>
              <w:jc w:val="center"/>
              <w:rPr>
                <w:sz w:val="18"/>
                <w:szCs w:val="18"/>
              </w:rPr>
            </w:pPr>
            <w:r w:rsidRPr="00333163">
              <w:rPr>
                <w:sz w:val="18"/>
                <w:szCs w:val="18"/>
              </w:rPr>
              <w:t>0</w:t>
            </w:r>
          </w:p>
        </w:tc>
        <w:tc>
          <w:tcPr>
            <w:tcW w:w="628" w:type="dxa"/>
            <w:tcBorders>
              <w:right w:val="single" w:sz="4" w:space="0" w:color="auto"/>
            </w:tcBorders>
            <w:hideMark/>
          </w:tcPr>
          <w:p w14:paraId="683BF731" w14:textId="77777777" w:rsidR="00333163" w:rsidRPr="00333163" w:rsidRDefault="00333163" w:rsidP="002E01F4">
            <w:pPr>
              <w:pStyle w:val="NormalWeb"/>
              <w:jc w:val="center"/>
              <w:rPr>
                <w:sz w:val="18"/>
                <w:szCs w:val="18"/>
              </w:rPr>
            </w:pPr>
            <w:r w:rsidRPr="00333163">
              <w:rPr>
                <w:sz w:val="18"/>
                <w:szCs w:val="18"/>
              </w:rPr>
              <w:t>100</w:t>
            </w:r>
          </w:p>
        </w:tc>
        <w:tc>
          <w:tcPr>
            <w:tcW w:w="1757" w:type="dxa"/>
            <w:tcBorders>
              <w:left w:val="single" w:sz="4" w:space="0" w:color="auto"/>
            </w:tcBorders>
            <w:hideMark/>
          </w:tcPr>
          <w:p w14:paraId="5F86FEEC" w14:textId="77777777" w:rsidR="00333163" w:rsidRPr="00333163" w:rsidRDefault="00333163" w:rsidP="002E01F4">
            <w:pPr>
              <w:pStyle w:val="NormalWeb"/>
              <w:jc w:val="center"/>
              <w:rPr>
                <w:sz w:val="18"/>
                <w:szCs w:val="18"/>
              </w:rPr>
            </w:pPr>
            <w:r w:rsidRPr="007A354E">
              <w:rPr>
                <w:i/>
                <w:iCs/>
                <w:sz w:val="18"/>
                <w:szCs w:val="18"/>
              </w:rPr>
              <w:t xml:space="preserve">N. </w:t>
            </w:r>
            <w:proofErr w:type="spellStart"/>
            <w:r w:rsidRPr="007A354E">
              <w:rPr>
                <w:i/>
                <w:iCs/>
                <w:sz w:val="18"/>
                <w:szCs w:val="18"/>
              </w:rPr>
              <w:t>cyriacigeorgica</w:t>
            </w:r>
            <w:proofErr w:type="spellEnd"/>
            <w:r w:rsidRPr="00333163">
              <w:rPr>
                <w:sz w:val="18"/>
                <w:szCs w:val="18"/>
              </w:rPr>
              <w:t xml:space="preserve"> (4)</w:t>
            </w:r>
          </w:p>
        </w:tc>
      </w:tr>
      <w:tr w:rsidR="00A92F63" w:rsidRPr="00333163" w14:paraId="5D042BEB" w14:textId="77777777" w:rsidTr="009C18CA">
        <w:tblPrEx>
          <w:tblCellMar>
            <w:left w:w="57" w:type="dxa"/>
            <w:right w:w="57" w:type="dxa"/>
          </w:tblCellMar>
        </w:tblPrEx>
        <w:tc>
          <w:tcPr>
            <w:tcW w:w="627" w:type="dxa"/>
            <w:hideMark/>
          </w:tcPr>
          <w:p w14:paraId="52AA272C" w14:textId="77777777" w:rsidR="00333163" w:rsidRPr="00333163" w:rsidRDefault="00333163" w:rsidP="002E01F4">
            <w:pPr>
              <w:pStyle w:val="NormalWeb"/>
              <w:jc w:val="center"/>
              <w:rPr>
                <w:sz w:val="18"/>
                <w:szCs w:val="18"/>
              </w:rPr>
            </w:pPr>
            <w:r w:rsidRPr="00333163">
              <w:rPr>
                <w:sz w:val="18"/>
                <w:szCs w:val="18"/>
              </w:rPr>
              <w:t>100</w:t>
            </w:r>
          </w:p>
        </w:tc>
        <w:tc>
          <w:tcPr>
            <w:tcW w:w="628" w:type="dxa"/>
            <w:hideMark/>
          </w:tcPr>
          <w:p w14:paraId="64ADB58C" w14:textId="77777777" w:rsidR="00333163" w:rsidRPr="00333163" w:rsidRDefault="00333163" w:rsidP="002E01F4">
            <w:pPr>
              <w:pStyle w:val="NormalWeb"/>
              <w:jc w:val="center"/>
              <w:rPr>
                <w:sz w:val="18"/>
                <w:szCs w:val="18"/>
              </w:rPr>
            </w:pPr>
            <w:r w:rsidRPr="00333163">
              <w:rPr>
                <w:sz w:val="18"/>
                <w:szCs w:val="18"/>
              </w:rPr>
              <w:t>0</w:t>
            </w:r>
          </w:p>
        </w:tc>
        <w:tc>
          <w:tcPr>
            <w:tcW w:w="628" w:type="dxa"/>
            <w:tcBorders>
              <w:right w:val="single" w:sz="4" w:space="0" w:color="auto"/>
            </w:tcBorders>
            <w:hideMark/>
          </w:tcPr>
          <w:p w14:paraId="771AB1A5" w14:textId="77777777" w:rsidR="00333163" w:rsidRPr="00333163" w:rsidRDefault="00333163" w:rsidP="002E01F4">
            <w:pPr>
              <w:pStyle w:val="NormalWeb"/>
              <w:jc w:val="center"/>
              <w:rPr>
                <w:sz w:val="18"/>
                <w:szCs w:val="18"/>
              </w:rPr>
            </w:pPr>
            <w:r w:rsidRPr="00333163">
              <w:rPr>
                <w:sz w:val="18"/>
                <w:szCs w:val="18"/>
              </w:rPr>
              <w:t>0</w:t>
            </w:r>
          </w:p>
        </w:tc>
        <w:tc>
          <w:tcPr>
            <w:tcW w:w="628" w:type="dxa"/>
            <w:tcBorders>
              <w:left w:val="single" w:sz="4" w:space="0" w:color="auto"/>
            </w:tcBorders>
            <w:hideMark/>
          </w:tcPr>
          <w:p w14:paraId="561DF576" w14:textId="77777777" w:rsidR="00333163" w:rsidRPr="00333163" w:rsidRDefault="00333163" w:rsidP="002E01F4">
            <w:pPr>
              <w:pStyle w:val="NormalWeb"/>
              <w:jc w:val="center"/>
              <w:rPr>
                <w:sz w:val="18"/>
                <w:szCs w:val="18"/>
              </w:rPr>
            </w:pPr>
            <w:r w:rsidRPr="00333163">
              <w:rPr>
                <w:sz w:val="18"/>
                <w:szCs w:val="18"/>
              </w:rPr>
              <w:t>0</w:t>
            </w:r>
          </w:p>
        </w:tc>
        <w:tc>
          <w:tcPr>
            <w:tcW w:w="627" w:type="dxa"/>
            <w:hideMark/>
          </w:tcPr>
          <w:p w14:paraId="565E86B5" w14:textId="77777777" w:rsidR="00333163" w:rsidRPr="00333163" w:rsidRDefault="00333163" w:rsidP="002E01F4">
            <w:pPr>
              <w:pStyle w:val="NormalWeb"/>
              <w:jc w:val="center"/>
              <w:rPr>
                <w:sz w:val="18"/>
                <w:szCs w:val="18"/>
              </w:rPr>
            </w:pPr>
            <w:r w:rsidRPr="00333163">
              <w:rPr>
                <w:sz w:val="18"/>
                <w:szCs w:val="18"/>
              </w:rPr>
              <w:t>80</w:t>
            </w:r>
          </w:p>
        </w:tc>
        <w:tc>
          <w:tcPr>
            <w:tcW w:w="628" w:type="dxa"/>
            <w:tcBorders>
              <w:right w:val="single" w:sz="4" w:space="0" w:color="auto"/>
            </w:tcBorders>
            <w:hideMark/>
          </w:tcPr>
          <w:p w14:paraId="0362BB9A" w14:textId="77777777" w:rsidR="00333163" w:rsidRPr="00333163" w:rsidRDefault="00333163" w:rsidP="002E01F4">
            <w:pPr>
              <w:pStyle w:val="NormalWeb"/>
              <w:jc w:val="center"/>
              <w:rPr>
                <w:sz w:val="18"/>
                <w:szCs w:val="18"/>
              </w:rPr>
            </w:pPr>
            <w:r w:rsidRPr="00333163">
              <w:rPr>
                <w:sz w:val="18"/>
                <w:szCs w:val="18"/>
              </w:rPr>
              <w:t>20</w:t>
            </w:r>
          </w:p>
        </w:tc>
        <w:tc>
          <w:tcPr>
            <w:tcW w:w="628" w:type="dxa"/>
            <w:tcBorders>
              <w:left w:val="single" w:sz="4" w:space="0" w:color="auto"/>
            </w:tcBorders>
            <w:hideMark/>
          </w:tcPr>
          <w:p w14:paraId="7DC3C15B" w14:textId="77777777" w:rsidR="00333163" w:rsidRPr="00333163" w:rsidRDefault="00333163" w:rsidP="002E01F4">
            <w:pPr>
              <w:pStyle w:val="NormalWeb"/>
              <w:jc w:val="center"/>
              <w:rPr>
                <w:sz w:val="18"/>
                <w:szCs w:val="18"/>
              </w:rPr>
            </w:pPr>
            <w:r w:rsidRPr="00333163">
              <w:rPr>
                <w:sz w:val="18"/>
                <w:szCs w:val="18"/>
              </w:rPr>
              <w:t>0</w:t>
            </w:r>
          </w:p>
        </w:tc>
        <w:tc>
          <w:tcPr>
            <w:tcW w:w="628" w:type="dxa"/>
            <w:hideMark/>
          </w:tcPr>
          <w:p w14:paraId="59DDCC06" w14:textId="77777777" w:rsidR="00333163" w:rsidRPr="00333163" w:rsidRDefault="00333163" w:rsidP="002E01F4">
            <w:pPr>
              <w:pStyle w:val="NormalWeb"/>
              <w:jc w:val="center"/>
              <w:rPr>
                <w:sz w:val="18"/>
                <w:szCs w:val="18"/>
              </w:rPr>
            </w:pPr>
            <w:r w:rsidRPr="00333163">
              <w:rPr>
                <w:sz w:val="18"/>
                <w:szCs w:val="18"/>
              </w:rPr>
              <w:t>20</w:t>
            </w:r>
          </w:p>
        </w:tc>
        <w:tc>
          <w:tcPr>
            <w:tcW w:w="627" w:type="dxa"/>
            <w:tcBorders>
              <w:right w:val="single" w:sz="4" w:space="0" w:color="auto"/>
            </w:tcBorders>
            <w:hideMark/>
          </w:tcPr>
          <w:p w14:paraId="2CE8E7B6" w14:textId="77777777" w:rsidR="00333163" w:rsidRPr="00333163" w:rsidRDefault="00333163" w:rsidP="002E01F4">
            <w:pPr>
              <w:pStyle w:val="NormalWeb"/>
              <w:jc w:val="center"/>
              <w:rPr>
                <w:sz w:val="18"/>
                <w:szCs w:val="18"/>
              </w:rPr>
            </w:pPr>
            <w:r w:rsidRPr="00333163">
              <w:rPr>
                <w:sz w:val="18"/>
                <w:szCs w:val="18"/>
              </w:rPr>
              <w:t>80</w:t>
            </w:r>
          </w:p>
        </w:tc>
        <w:tc>
          <w:tcPr>
            <w:tcW w:w="628" w:type="dxa"/>
            <w:tcBorders>
              <w:left w:val="single" w:sz="4" w:space="0" w:color="auto"/>
            </w:tcBorders>
            <w:hideMark/>
          </w:tcPr>
          <w:p w14:paraId="7E0DE94F" w14:textId="77777777" w:rsidR="00333163" w:rsidRPr="00333163" w:rsidRDefault="00333163" w:rsidP="002E01F4">
            <w:pPr>
              <w:pStyle w:val="NormalWeb"/>
              <w:jc w:val="center"/>
              <w:rPr>
                <w:sz w:val="18"/>
                <w:szCs w:val="18"/>
              </w:rPr>
            </w:pPr>
            <w:r w:rsidRPr="00333163">
              <w:rPr>
                <w:sz w:val="18"/>
                <w:szCs w:val="18"/>
              </w:rPr>
              <w:t>67</w:t>
            </w:r>
          </w:p>
        </w:tc>
        <w:tc>
          <w:tcPr>
            <w:tcW w:w="628" w:type="dxa"/>
            <w:hideMark/>
          </w:tcPr>
          <w:p w14:paraId="76BC84BD" w14:textId="77777777" w:rsidR="00333163" w:rsidRPr="00333163" w:rsidRDefault="00333163" w:rsidP="002E01F4">
            <w:pPr>
              <w:pStyle w:val="NormalWeb"/>
              <w:jc w:val="center"/>
              <w:rPr>
                <w:sz w:val="18"/>
                <w:szCs w:val="18"/>
              </w:rPr>
            </w:pPr>
            <w:r w:rsidRPr="00333163">
              <w:rPr>
                <w:sz w:val="18"/>
                <w:szCs w:val="18"/>
              </w:rPr>
              <w:t>17</w:t>
            </w:r>
          </w:p>
        </w:tc>
        <w:tc>
          <w:tcPr>
            <w:tcW w:w="628" w:type="dxa"/>
            <w:tcBorders>
              <w:right w:val="single" w:sz="4" w:space="0" w:color="auto"/>
            </w:tcBorders>
            <w:hideMark/>
          </w:tcPr>
          <w:p w14:paraId="393D4F68" w14:textId="77777777" w:rsidR="00333163" w:rsidRPr="00333163" w:rsidRDefault="00333163" w:rsidP="002E01F4">
            <w:pPr>
              <w:pStyle w:val="NormalWeb"/>
              <w:jc w:val="center"/>
              <w:rPr>
                <w:sz w:val="18"/>
                <w:szCs w:val="18"/>
              </w:rPr>
            </w:pPr>
            <w:r w:rsidRPr="00333163">
              <w:rPr>
                <w:sz w:val="18"/>
                <w:szCs w:val="18"/>
              </w:rPr>
              <w:t>17</w:t>
            </w:r>
          </w:p>
        </w:tc>
        <w:tc>
          <w:tcPr>
            <w:tcW w:w="627" w:type="dxa"/>
            <w:tcBorders>
              <w:left w:val="single" w:sz="4" w:space="0" w:color="auto"/>
            </w:tcBorders>
            <w:hideMark/>
          </w:tcPr>
          <w:p w14:paraId="001C0F4B" w14:textId="77777777" w:rsidR="00333163" w:rsidRPr="00333163" w:rsidRDefault="00333163" w:rsidP="002E01F4">
            <w:pPr>
              <w:pStyle w:val="NormalWeb"/>
              <w:jc w:val="center"/>
              <w:rPr>
                <w:sz w:val="18"/>
                <w:szCs w:val="18"/>
              </w:rPr>
            </w:pPr>
            <w:r w:rsidRPr="00333163">
              <w:rPr>
                <w:sz w:val="18"/>
                <w:szCs w:val="18"/>
              </w:rPr>
              <w:t>0</w:t>
            </w:r>
          </w:p>
        </w:tc>
        <w:tc>
          <w:tcPr>
            <w:tcW w:w="628" w:type="dxa"/>
            <w:hideMark/>
          </w:tcPr>
          <w:p w14:paraId="4F8360CD" w14:textId="77777777" w:rsidR="00333163" w:rsidRPr="00333163" w:rsidRDefault="00333163" w:rsidP="002E01F4">
            <w:pPr>
              <w:pStyle w:val="NormalWeb"/>
              <w:jc w:val="center"/>
              <w:rPr>
                <w:sz w:val="18"/>
                <w:szCs w:val="18"/>
              </w:rPr>
            </w:pPr>
            <w:r w:rsidRPr="00333163">
              <w:rPr>
                <w:sz w:val="18"/>
                <w:szCs w:val="18"/>
              </w:rPr>
              <w:t>0</w:t>
            </w:r>
          </w:p>
        </w:tc>
        <w:tc>
          <w:tcPr>
            <w:tcW w:w="628" w:type="dxa"/>
            <w:tcBorders>
              <w:right w:val="single" w:sz="4" w:space="0" w:color="auto"/>
            </w:tcBorders>
            <w:hideMark/>
          </w:tcPr>
          <w:p w14:paraId="7E2566EC" w14:textId="77777777" w:rsidR="00333163" w:rsidRPr="00333163" w:rsidRDefault="00333163" w:rsidP="002E01F4">
            <w:pPr>
              <w:pStyle w:val="NormalWeb"/>
              <w:jc w:val="center"/>
              <w:rPr>
                <w:sz w:val="18"/>
                <w:szCs w:val="18"/>
              </w:rPr>
            </w:pPr>
            <w:r w:rsidRPr="00333163">
              <w:rPr>
                <w:sz w:val="18"/>
                <w:szCs w:val="18"/>
              </w:rPr>
              <w:t>100</w:t>
            </w:r>
          </w:p>
        </w:tc>
        <w:tc>
          <w:tcPr>
            <w:tcW w:w="628" w:type="dxa"/>
            <w:tcBorders>
              <w:left w:val="single" w:sz="4" w:space="0" w:color="auto"/>
            </w:tcBorders>
            <w:hideMark/>
          </w:tcPr>
          <w:p w14:paraId="7BEA5AC6" w14:textId="77777777" w:rsidR="00333163" w:rsidRPr="00333163" w:rsidRDefault="00333163" w:rsidP="002E01F4">
            <w:pPr>
              <w:pStyle w:val="NormalWeb"/>
              <w:jc w:val="center"/>
              <w:rPr>
                <w:sz w:val="18"/>
                <w:szCs w:val="18"/>
              </w:rPr>
            </w:pPr>
            <w:r w:rsidRPr="00333163">
              <w:rPr>
                <w:sz w:val="18"/>
                <w:szCs w:val="18"/>
              </w:rPr>
              <w:t>0</w:t>
            </w:r>
          </w:p>
        </w:tc>
        <w:tc>
          <w:tcPr>
            <w:tcW w:w="627" w:type="dxa"/>
            <w:hideMark/>
          </w:tcPr>
          <w:p w14:paraId="68A9659F" w14:textId="77777777" w:rsidR="00333163" w:rsidRPr="00333163" w:rsidRDefault="00333163" w:rsidP="002E01F4">
            <w:pPr>
              <w:pStyle w:val="NormalWeb"/>
              <w:jc w:val="center"/>
              <w:rPr>
                <w:sz w:val="18"/>
                <w:szCs w:val="18"/>
              </w:rPr>
            </w:pPr>
            <w:r w:rsidRPr="00333163">
              <w:rPr>
                <w:sz w:val="18"/>
                <w:szCs w:val="18"/>
              </w:rPr>
              <w:t>40</w:t>
            </w:r>
          </w:p>
        </w:tc>
        <w:tc>
          <w:tcPr>
            <w:tcW w:w="628" w:type="dxa"/>
            <w:tcBorders>
              <w:right w:val="single" w:sz="4" w:space="0" w:color="auto"/>
            </w:tcBorders>
            <w:hideMark/>
          </w:tcPr>
          <w:p w14:paraId="45AC832A" w14:textId="77777777" w:rsidR="00333163" w:rsidRPr="00333163" w:rsidRDefault="00333163" w:rsidP="002E01F4">
            <w:pPr>
              <w:pStyle w:val="NormalWeb"/>
              <w:jc w:val="center"/>
              <w:rPr>
                <w:sz w:val="18"/>
                <w:szCs w:val="18"/>
              </w:rPr>
            </w:pPr>
            <w:r w:rsidRPr="00333163">
              <w:rPr>
                <w:sz w:val="18"/>
                <w:szCs w:val="18"/>
              </w:rPr>
              <w:t>60</w:t>
            </w:r>
          </w:p>
        </w:tc>
        <w:tc>
          <w:tcPr>
            <w:tcW w:w="628" w:type="dxa"/>
            <w:tcBorders>
              <w:left w:val="single" w:sz="4" w:space="0" w:color="auto"/>
            </w:tcBorders>
            <w:hideMark/>
          </w:tcPr>
          <w:p w14:paraId="0630CC83" w14:textId="77777777" w:rsidR="00333163" w:rsidRPr="00333163" w:rsidRDefault="00333163" w:rsidP="002E01F4">
            <w:pPr>
              <w:pStyle w:val="NormalWeb"/>
              <w:jc w:val="center"/>
              <w:rPr>
                <w:sz w:val="18"/>
                <w:szCs w:val="18"/>
              </w:rPr>
            </w:pPr>
            <w:r w:rsidRPr="00333163">
              <w:rPr>
                <w:sz w:val="18"/>
                <w:szCs w:val="18"/>
              </w:rPr>
              <w:t>0</w:t>
            </w:r>
          </w:p>
        </w:tc>
        <w:tc>
          <w:tcPr>
            <w:tcW w:w="628" w:type="dxa"/>
            <w:hideMark/>
          </w:tcPr>
          <w:p w14:paraId="1922606F" w14:textId="77777777" w:rsidR="00333163" w:rsidRPr="00333163" w:rsidRDefault="00333163" w:rsidP="002E01F4">
            <w:pPr>
              <w:pStyle w:val="NormalWeb"/>
              <w:jc w:val="center"/>
              <w:rPr>
                <w:sz w:val="18"/>
                <w:szCs w:val="18"/>
              </w:rPr>
            </w:pPr>
            <w:r w:rsidRPr="00333163">
              <w:rPr>
                <w:sz w:val="18"/>
                <w:szCs w:val="18"/>
              </w:rPr>
              <w:t>0</w:t>
            </w:r>
          </w:p>
        </w:tc>
        <w:tc>
          <w:tcPr>
            <w:tcW w:w="628" w:type="dxa"/>
            <w:tcBorders>
              <w:right w:val="single" w:sz="4" w:space="0" w:color="auto"/>
            </w:tcBorders>
            <w:hideMark/>
          </w:tcPr>
          <w:p w14:paraId="56DA478F" w14:textId="77777777" w:rsidR="00333163" w:rsidRPr="00333163" w:rsidRDefault="00333163" w:rsidP="002E01F4">
            <w:pPr>
              <w:pStyle w:val="NormalWeb"/>
              <w:jc w:val="center"/>
              <w:rPr>
                <w:sz w:val="18"/>
                <w:szCs w:val="18"/>
              </w:rPr>
            </w:pPr>
            <w:r w:rsidRPr="00333163">
              <w:rPr>
                <w:sz w:val="18"/>
                <w:szCs w:val="18"/>
              </w:rPr>
              <w:t>100</w:t>
            </w:r>
          </w:p>
        </w:tc>
        <w:tc>
          <w:tcPr>
            <w:tcW w:w="1757" w:type="dxa"/>
            <w:tcBorders>
              <w:left w:val="single" w:sz="4" w:space="0" w:color="auto"/>
            </w:tcBorders>
            <w:hideMark/>
          </w:tcPr>
          <w:p w14:paraId="0EF80C7F" w14:textId="77777777" w:rsidR="00333163" w:rsidRPr="00333163" w:rsidRDefault="00333163" w:rsidP="002E01F4">
            <w:pPr>
              <w:pStyle w:val="NormalWeb"/>
              <w:jc w:val="center"/>
              <w:rPr>
                <w:sz w:val="18"/>
                <w:szCs w:val="18"/>
              </w:rPr>
            </w:pPr>
            <w:r w:rsidRPr="007A354E">
              <w:rPr>
                <w:i/>
                <w:iCs/>
                <w:sz w:val="18"/>
                <w:szCs w:val="18"/>
              </w:rPr>
              <w:t xml:space="preserve">N. </w:t>
            </w:r>
            <w:proofErr w:type="spellStart"/>
            <w:r w:rsidRPr="007A354E">
              <w:rPr>
                <w:i/>
                <w:iCs/>
                <w:sz w:val="18"/>
                <w:szCs w:val="18"/>
              </w:rPr>
              <w:t>farcinica</w:t>
            </w:r>
            <w:proofErr w:type="spellEnd"/>
            <w:r w:rsidRPr="00333163">
              <w:rPr>
                <w:sz w:val="18"/>
                <w:szCs w:val="18"/>
              </w:rPr>
              <w:t xml:space="preserve"> (6)</w:t>
            </w:r>
          </w:p>
        </w:tc>
      </w:tr>
      <w:tr w:rsidR="00106160" w:rsidRPr="00333163" w14:paraId="4E4F937F" w14:textId="77777777" w:rsidTr="009C18CA">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627" w:type="dxa"/>
            <w:hideMark/>
          </w:tcPr>
          <w:p w14:paraId="0415B0AA" w14:textId="77777777" w:rsidR="00333163" w:rsidRPr="00333163" w:rsidRDefault="00333163" w:rsidP="002E01F4">
            <w:pPr>
              <w:pStyle w:val="NormalWeb"/>
              <w:jc w:val="center"/>
              <w:rPr>
                <w:sz w:val="18"/>
                <w:szCs w:val="18"/>
              </w:rPr>
            </w:pPr>
            <w:r w:rsidRPr="00333163">
              <w:rPr>
                <w:sz w:val="18"/>
                <w:szCs w:val="18"/>
              </w:rPr>
              <w:t>0</w:t>
            </w:r>
          </w:p>
        </w:tc>
        <w:tc>
          <w:tcPr>
            <w:tcW w:w="628" w:type="dxa"/>
            <w:hideMark/>
          </w:tcPr>
          <w:p w14:paraId="4F271883" w14:textId="77777777" w:rsidR="00333163" w:rsidRPr="00333163" w:rsidRDefault="00333163" w:rsidP="002E01F4">
            <w:pPr>
              <w:pStyle w:val="NormalWeb"/>
              <w:jc w:val="center"/>
              <w:rPr>
                <w:sz w:val="18"/>
                <w:szCs w:val="18"/>
              </w:rPr>
            </w:pPr>
            <w:r w:rsidRPr="00333163">
              <w:rPr>
                <w:sz w:val="18"/>
                <w:szCs w:val="18"/>
              </w:rPr>
              <w:t>33</w:t>
            </w:r>
          </w:p>
        </w:tc>
        <w:tc>
          <w:tcPr>
            <w:tcW w:w="628" w:type="dxa"/>
            <w:tcBorders>
              <w:right w:val="single" w:sz="4" w:space="0" w:color="auto"/>
            </w:tcBorders>
            <w:hideMark/>
          </w:tcPr>
          <w:p w14:paraId="29E4409E" w14:textId="77777777" w:rsidR="00333163" w:rsidRPr="00333163" w:rsidRDefault="00333163" w:rsidP="002E01F4">
            <w:pPr>
              <w:pStyle w:val="NormalWeb"/>
              <w:jc w:val="center"/>
              <w:rPr>
                <w:sz w:val="18"/>
                <w:szCs w:val="18"/>
              </w:rPr>
            </w:pPr>
            <w:r w:rsidRPr="00333163">
              <w:rPr>
                <w:sz w:val="18"/>
                <w:szCs w:val="18"/>
              </w:rPr>
              <w:t>67</w:t>
            </w:r>
          </w:p>
        </w:tc>
        <w:tc>
          <w:tcPr>
            <w:tcW w:w="628" w:type="dxa"/>
            <w:tcBorders>
              <w:left w:val="single" w:sz="4" w:space="0" w:color="auto"/>
            </w:tcBorders>
            <w:hideMark/>
          </w:tcPr>
          <w:p w14:paraId="348FBDDF" w14:textId="77777777" w:rsidR="00333163" w:rsidRPr="00333163" w:rsidRDefault="00333163" w:rsidP="002E01F4">
            <w:pPr>
              <w:pStyle w:val="NormalWeb"/>
              <w:jc w:val="center"/>
              <w:rPr>
                <w:sz w:val="18"/>
                <w:szCs w:val="18"/>
              </w:rPr>
            </w:pPr>
            <w:r w:rsidRPr="00333163">
              <w:rPr>
                <w:sz w:val="18"/>
                <w:szCs w:val="18"/>
              </w:rPr>
              <w:t>0</w:t>
            </w:r>
          </w:p>
        </w:tc>
        <w:tc>
          <w:tcPr>
            <w:tcW w:w="627" w:type="dxa"/>
            <w:hideMark/>
          </w:tcPr>
          <w:p w14:paraId="0973F100" w14:textId="77777777" w:rsidR="00333163" w:rsidRPr="00333163" w:rsidRDefault="00333163" w:rsidP="002E01F4">
            <w:pPr>
              <w:pStyle w:val="NormalWeb"/>
              <w:jc w:val="center"/>
              <w:rPr>
                <w:sz w:val="18"/>
                <w:szCs w:val="18"/>
              </w:rPr>
            </w:pPr>
            <w:r w:rsidRPr="00333163">
              <w:rPr>
                <w:sz w:val="18"/>
                <w:szCs w:val="18"/>
              </w:rPr>
              <w:t>100</w:t>
            </w:r>
          </w:p>
        </w:tc>
        <w:tc>
          <w:tcPr>
            <w:tcW w:w="628" w:type="dxa"/>
            <w:tcBorders>
              <w:right w:val="single" w:sz="4" w:space="0" w:color="auto"/>
            </w:tcBorders>
            <w:hideMark/>
          </w:tcPr>
          <w:p w14:paraId="3FF15070" w14:textId="77777777" w:rsidR="00333163" w:rsidRPr="00333163" w:rsidRDefault="00333163" w:rsidP="002E01F4">
            <w:pPr>
              <w:pStyle w:val="NormalWeb"/>
              <w:jc w:val="center"/>
              <w:rPr>
                <w:sz w:val="18"/>
                <w:szCs w:val="18"/>
              </w:rPr>
            </w:pPr>
            <w:r w:rsidRPr="00333163">
              <w:rPr>
                <w:sz w:val="18"/>
                <w:szCs w:val="18"/>
              </w:rPr>
              <w:t>0</w:t>
            </w:r>
          </w:p>
        </w:tc>
        <w:tc>
          <w:tcPr>
            <w:tcW w:w="628" w:type="dxa"/>
            <w:tcBorders>
              <w:left w:val="single" w:sz="4" w:space="0" w:color="auto"/>
            </w:tcBorders>
            <w:hideMark/>
          </w:tcPr>
          <w:p w14:paraId="27A79E73" w14:textId="77777777" w:rsidR="00333163" w:rsidRPr="00333163" w:rsidRDefault="00333163" w:rsidP="002E01F4">
            <w:pPr>
              <w:pStyle w:val="NormalWeb"/>
              <w:jc w:val="center"/>
              <w:rPr>
                <w:sz w:val="18"/>
                <w:szCs w:val="18"/>
              </w:rPr>
            </w:pPr>
            <w:r w:rsidRPr="00333163">
              <w:rPr>
                <w:sz w:val="18"/>
                <w:szCs w:val="18"/>
              </w:rPr>
              <w:t>100</w:t>
            </w:r>
          </w:p>
        </w:tc>
        <w:tc>
          <w:tcPr>
            <w:tcW w:w="628" w:type="dxa"/>
            <w:hideMark/>
          </w:tcPr>
          <w:p w14:paraId="6476595F" w14:textId="77777777" w:rsidR="00333163" w:rsidRPr="00333163" w:rsidRDefault="00333163" w:rsidP="002E01F4">
            <w:pPr>
              <w:pStyle w:val="NormalWeb"/>
              <w:jc w:val="center"/>
              <w:rPr>
                <w:sz w:val="18"/>
                <w:szCs w:val="18"/>
              </w:rPr>
            </w:pPr>
            <w:r w:rsidRPr="00333163">
              <w:rPr>
                <w:sz w:val="18"/>
                <w:szCs w:val="18"/>
              </w:rPr>
              <w:t>0</w:t>
            </w:r>
          </w:p>
        </w:tc>
        <w:tc>
          <w:tcPr>
            <w:tcW w:w="627" w:type="dxa"/>
            <w:tcBorders>
              <w:right w:val="single" w:sz="4" w:space="0" w:color="auto"/>
            </w:tcBorders>
            <w:hideMark/>
          </w:tcPr>
          <w:p w14:paraId="2B4F892C" w14:textId="77777777" w:rsidR="00333163" w:rsidRPr="00333163" w:rsidRDefault="00333163" w:rsidP="002E01F4">
            <w:pPr>
              <w:pStyle w:val="NormalWeb"/>
              <w:jc w:val="center"/>
              <w:rPr>
                <w:sz w:val="18"/>
                <w:szCs w:val="18"/>
              </w:rPr>
            </w:pPr>
            <w:r w:rsidRPr="00333163">
              <w:rPr>
                <w:sz w:val="18"/>
                <w:szCs w:val="18"/>
              </w:rPr>
              <w:t>0</w:t>
            </w:r>
          </w:p>
        </w:tc>
        <w:tc>
          <w:tcPr>
            <w:tcW w:w="628" w:type="dxa"/>
            <w:tcBorders>
              <w:left w:val="single" w:sz="4" w:space="0" w:color="auto"/>
            </w:tcBorders>
            <w:hideMark/>
          </w:tcPr>
          <w:p w14:paraId="254E39E6" w14:textId="77777777" w:rsidR="00333163" w:rsidRPr="00333163" w:rsidRDefault="00333163" w:rsidP="002E01F4">
            <w:pPr>
              <w:pStyle w:val="NormalWeb"/>
              <w:jc w:val="center"/>
              <w:rPr>
                <w:sz w:val="18"/>
                <w:szCs w:val="18"/>
              </w:rPr>
            </w:pPr>
            <w:r w:rsidRPr="00333163">
              <w:rPr>
                <w:sz w:val="18"/>
                <w:szCs w:val="18"/>
              </w:rPr>
              <w:t>0</w:t>
            </w:r>
          </w:p>
        </w:tc>
        <w:tc>
          <w:tcPr>
            <w:tcW w:w="628" w:type="dxa"/>
            <w:hideMark/>
          </w:tcPr>
          <w:p w14:paraId="450FE906" w14:textId="77777777" w:rsidR="00333163" w:rsidRPr="00333163" w:rsidRDefault="00333163" w:rsidP="002E01F4">
            <w:pPr>
              <w:pStyle w:val="NormalWeb"/>
              <w:jc w:val="center"/>
              <w:rPr>
                <w:sz w:val="18"/>
                <w:szCs w:val="18"/>
              </w:rPr>
            </w:pPr>
            <w:r w:rsidRPr="00333163">
              <w:rPr>
                <w:sz w:val="18"/>
                <w:szCs w:val="18"/>
              </w:rPr>
              <w:t>0</w:t>
            </w:r>
          </w:p>
        </w:tc>
        <w:tc>
          <w:tcPr>
            <w:tcW w:w="628" w:type="dxa"/>
            <w:tcBorders>
              <w:right w:val="single" w:sz="4" w:space="0" w:color="auto"/>
            </w:tcBorders>
            <w:hideMark/>
          </w:tcPr>
          <w:p w14:paraId="0E6B5510" w14:textId="77777777" w:rsidR="00333163" w:rsidRPr="00333163" w:rsidRDefault="00333163" w:rsidP="002E01F4">
            <w:pPr>
              <w:pStyle w:val="NormalWeb"/>
              <w:jc w:val="center"/>
              <w:rPr>
                <w:sz w:val="18"/>
                <w:szCs w:val="18"/>
              </w:rPr>
            </w:pPr>
            <w:r w:rsidRPr="00333163">
              <w:rPr>
                <w:sz w:val="18"/>
                <w:szCs w:val="18"/>
              </w:rPr>
              <w:t>100</w:t>
            </w:r>
          </w:p>
        </w:tc>
        <w:tc>
          <w:tcPr>
            <w:tcW w:w="627" w:type="dxa"/>
            <w:tcBorders>
              <w:left w:val="single" w:sz="4" w:space="0" w:color="auto"/>
            </w:tcBorders>
            <w:hideMark/>
          </w:tcPr>
          <w:p w14:paraId="46AAFE09" w14:textId="77777777" w:rsidR="00333163" w:rsidRPr="00333163" w:rsidRDefault="00333163" w:rsidP="002E01F4">
            <w:pPr>
              <w:pStyle w:val="NormalWeb"/>
              <w:jc w:val="center"/>
              <w:rPr>
                <w:sz w:val="18"/>
                <w:szCs w:val="18"/>
              </w:rPr>
            </w:pPr>
            <w:r w:rsidRPr="00333163">
              <w:rPr>
                <w:sz w:val="18"/>
                <w:szCs w:val="18"/>
              </w:rPr>
              <w:t>0</w:t>
            </w:r>
          </w:p>
        </w:tc>
        <w:tc>
          <w:tcPr>
            <w:tcW w:w="628" w:type="dxa"/>
            <w:hideMark/>
          </w:tcPr>
          <w:p w14:paraId="28E07417" w14:textId="77777777" w:rsidR="00333163" w:rsidRPr="00333163" w:rsidRDefault="00333163" w:rsidP="002E01F4">
            <w:pPr>
              <w:pStyle w:val="NormalWeb"/>
              <w:jc w:val="center"/>
              <w:rPr>
                <w:sz w:val="18"/>
                <w:szCs w:val="18"/>
              </w:rPr>
            </w:pPr>
            <w:r w:rsidRPr="00333163">
              <w:rPr>
                <w:sz w:val="18"/>
                <w:szCs w:val="18"/>
              </w:rPr>
              <w:t>0</w:t>
            </w:r>
          </w:p>
        </w:tc>
        <w:tc>
          <w:tcPr>
            <w:tcW w:w="628" w:type="dxa"/>
            <w:tcBorders>
              <w:right w:val="single" w:sz="4" w:space="0" w:color="auto"/>
            </w:tcBorders>
            <w:hideMark/>
          </w:tcPr>
          <w:p w14:paraId="45D26182" w14:textId="77777777" w:rsidR="00333163" w:rsidRPr="00333163" w:rsidRDefault="00333163" w:rsidP="002E01F4">
            <w:pPr>
              <w:pStyle w:val="NormalWeb"/>
              <w:jc w:val="center"/>
              <w:rPr>
                <w:sz w:val="18"/>
                <w:szCs w:val="18"/>
              </w:rPr>
            </w:pPr>
            <w:r w:rsidRPr="00333163">
              <w:rPr>
                <w:sz w:val="18"/>
                <w:szCs w:val="18"/>
              </w:rPr>
              <w:t>100</w:t>
            </w:r>
          </w:p>
        </w:tc>
        <w:tc>
          <w:tcPr>
            <w:tcW w:w="628" w:type="dxa"/>
            <w:tcBorders>
              <w:left w:val="single" w:sz="4" w:space="0" w:color="auto"/>
            </w:tcBorders>
            <w:hideMark/>
          </w:tcPr>
          <w:p w14:paraId="32F3992F" w14:textId="77777777" w:rsidR="00333163" w:rsidRPr="00333163" w:rsidRDefault="00333163" w:rsidP="002E01F4">
            <w:pPr>
              <w:pStyle w:val="NormalWeb"/>
              <w:jc w:val="center"/>
              <w:rPr>
                <w:sz w:val="18"/>
                <w:szCs w:val="18"/>
              </w:rPr>
            </w:pPr>
            <w:r w:rsidRPr="00333163">
              <w:rPr>
                <w:sz w:val="18"/>
                <w:szCs w:val="18"/>
              </w:rPr>
              <w:t>100</w:t>
            </w:r>
          </w:p>
        </w:tc>
        <w:tc>
          <w:tcPr>
            <w:tcW w:w="627" w:type="dxa"/>
            <w:hideMark/>
          </w:tcPr>
          <w:p w14:paraId="46487B90" w14:textId="77777777" w:rsidR="00333163" w:rsidRPr="00333163" w:rsidRDefault="00333163" w:rsidP="002E01F4">
            <w:pPr>
              <w:pStyle w:val="NormalWeb"/>
              <w:jc w:val="center"/>
              <w:rPr>
                <w:sz w:val="18"/>
                <w:szCs w:val="18"/>
              </w:rPr>
            </w:pPr>
            <w:r w:rsidRPr="00333163">
              <w:rPr>
                <w:sz w:val="18"/>
                <w:szCs w:val="18"/>
              </w:rPr>
              <w:t>0</w:t>
            </w:r>
          </w:p>
        </w:tc>
        <w:tc>
          <w:tcPr>
            <w:tcW w:w="628" w:type="dxa"/>
            <w:tcBorders>
              <w:right w:val="single" w:sz="4" w:space="0" w:color="auto"/>
            </w:tcBorders>
            <w:hideMark/>
          </w:tcPr>
          <w:p w14:paraId="65B914D5" w14:textId="77777777" w:rsidR="00333163" w:rsidRPr="00333163" w:rsidRDefault="00333163" w:rsidP="002E01F4">
            <w:pPr>
              <w:pStyle w:val="NormalWeb"/>
              <w:jc w:val="center"/>
              <w:rPr>
                <w:sz w:val="18"/>
                <w:szCs w:val="18"/>
              </w:rPr>
            </w:pPr>
            <w:r w:rsidRPr="00333163">
              <w:rPr>
                <w:sz w:val="18"/>
                <w:szCs w:val="18"/>
              </w:rPr>
              <w:t>0</w:t>
            </w:r>
          </w:p>
        </w:tc>
        <w:tc>
          <w:tcPr>
            <w:tcW w:w="628" w:type="dxa"/>
            <w:tcBorders>
              <w:left w:val="single" w:sz="4" w:space="0" w:color="auto"/>
            </w:tcBorders>
            <w:hideMark/>
          </w:tcPr>
          <w:p w14:paraId="08612133" w14:textId="77777777" w:rsidR="00333163" w:rsidRPr="00333163" w:rsidRDefault="00333163" w:rsidP="002E01F4">
            <w:pPr>
              <w:pStyle w:val="NormalWeb"/>
              <w:jc w:val="center"/>
              <w:rPr>
                <w:sz w:val="18"/>
                <w:szCs w:val="18"/>
              </w:rPr>
            </w:pPr>
            <w:r w:rsidRPr="00333163">
              <w:rPr>
                <w:sz w:val="18"/>
                <w:szCs w:val="18"/>
              </w:rPr>
              <w:t>0</w:t>
            </w:r>
          </w:p>
        </w:tc>
        <w:tc>
          <w:tcPr>
            <w:tcW w:w="628" w:type="dxa"/>
            <w:hideMark/>
          </w:tcPr>
          <w:p w14:paraId="114351A2" w14:textId="77777777" w:rsidR="00333163" w:rsidRPr="00333163" w:rsidRDefault="00333163" w:rsidP="002E01F4">
            <w:pPr>
              <w:pStyle w:val="NormalWeb"/>
              <w:jc w:val="center"/>
              <w:rPr>
                <w:sz w:val="18"/>
                <w:szCs w:val="18"/>
              </w:rPr>
            </w:pPr>
            <w:r w:rsidRPr="00333163">
              <w:rPr>
                <w:sz w:val="18"/>
                <w:szCs w:val="18"/>
              </w:rPr>
              <w:t>0</w:t>
            </w:r>
          </w:p>
        </w:tc>
        <w:tc>
          <w:tcPr>
            <w:tcW w:w="628" w:type="dxa"/>
            <w:tcBorders>
              <w:right w:val="single" w:sz="4" w:space="0" w:color="auto"/>
            </w:tcBorders>
            <w:hideMark/>
          </w:tcPr>
          <w:p w14:paraId="5E9F7EDA" w14:textId="77777777" w:rsidR="00333163" w:rsidRPr="00333163" w:rsidRDefault="00333163" w:rsidP="002E01F4">
            <w:pPr>
              <w:pStyle w:val="NormalWeb"/>
              <w:jc w:val="center"/>
              <w:rPr>
                <w:sz w:val="18"/>
                <w:szCs w:val="18"/>
              </w:rPr>
            </w:pPr>
            <w:r w:rsidRPr="00333163">
              <w:rPr>
                <w:sz w:val="18"/>
                <w:szCs w:val="18"/>
              </w:rPr>
              <w:t>100</w:t>
            </w:r>
          </w:p>
        </w:tc>
        <w:tc>
          <w:tcPr>
            <w:tcW w:w="1757" w:type="dxa"/>
            <w:tcBorders>
              <w:left w:val="single" w:sz="4" w:space="0" w:color="auto"/>
            </w:tcBorders>
            <w:hideMark/>
          </w:tcPr>
          <w:p w14:paraId="27D26A95" w14:textId="77777777" w:rsidR="00333163" w:rsidRPr="00333163" w:rsidRDefault="00333163" w:rsidP="002E01F4">
            <w:pPr>
              <w:pStyle w:val="NormalWeb"/>
              <w:jc w:val="center"/>
              <w:rPr>
                <w:sz w:val="18"/>
                <w:szCs w:val="18"/>
              </w:rPr>
            </w:pPr>
            <w:r w:rsidRPr="007A354E">
              <w:rPr>
                <w:i/>
                <w:iCs/>
                <w:sz w:val="18"/>
                <w:szCs w:val="18"/>
              </w:rPr>
              <w:t>N. nova</w:t>
            </w:r>
            <w:r w:rsidRPr="00333163">
              <w:rPr>
                <w:sz w:val="18"/>
                <w:szCs w:val="18"/>
              </w:rPr>
              <w:t xml:space="preserve"> (3)</w:t>
            </w:r>
          </w:p>
        </w:tc>
      </w:tr>
    </w:tbl>
    <w:p w14:paraId="5DDA3FE8" w14:textId="77777777" w:rsidR="00333163" w:rsidRPr="00927D9C" w:rsidRDefault="00333163" w:rsidP="00927D9C">
      <w:pPr>
        <w:pStyle w:val="CDIfootnotes"/>
      </w:pPr>
      <w:r w:rsidRPr="00927D9C">
        <w:t>a</w:t>
      </w:r>
      <w:r w:rsidRPr="00927D9C">
        <w:tab/>
        <w:t>Due to the low numbers of susceptibility testing to meropenem and linezolid within each species, these antibiotics are excluded from this analysis.</w:t>
      </w:r>
    </w:p>
    <w:p w14:paraId="156EE8EE" w14:textId="77777777" w:rsidR="00333163" w:rsidRDefault="00333163" w:rsidP="00A9052A">
      <w:pPr>
        <w:pStyle w:val="Heading1"/>
        <w:sectPr w:rsidR="00333163" w:rsidSect="00333163">
          <w:pgSz w:w="16838" w:h="11906" w:orient="landscape"/>
          <w:pgMar w:top="720" w:right="720" w:bottom="720" w:left="1134" w:header="709" w:footer="284" w:gutter="0"/>
          <w:cols w:space="708"/>
          <w:titlePg/>
          <w:docGrid w:linePitch="360"/>
        </w:sectPr>
      </w:pPr>
    </w:p>
    <w:p w14:paraId="2F565A4A" w14:textId="6E462E66" w:rsidR="008A452D" w:rsidRPr="00A9052A" w:rsidRDefault="008A452D" w:rsidP="00A9052A">
      <w:pPr>
        <w:pStyle w:val="Heading1"/>
      </w:pPr>
      <w:r w:rsidRPr="00A9052A">
        <w:lastRenderedPageBreak/>
        <w:t xml:space="preserve">Antimicrobial therapy </w:t>
      </w:r>
    </w:p>
    <w:p w14:paraId="1ED2A4AC" w14:textId="77777777" w:rsidR="008A452D" w:rsidRDefault="008A452D" w:rsidP="00A9052A">
      <w:r>
        <w:t xml:space="preserve">Data relating to treatment were available for 25 of the 26 cases identified. Initial therapy was with a single antimicrobial agent in 28% (7/25), two antimicrobials in 52% (13/25), and three antimicrobials in 20% (5/25) of cases. Twenty-four of 25 patients (96%) were treated with trimethoprim-sulfamethoxazole following identification of </w:t>
      </w:r>
      <w:r w:rsidRPr="008A452D">
        <w:rPr>
          <w:rStyle w:val="Emphasis"/>
          <w:b w:val="0"/>
          <w:bCs w:val="0"/>
        </w:rPr>
        <w:t xml:space="preserve">Nocardia </w:t>
      </w:r>
      <w:r>
        <w:t xml:space="preserve">sp. in diagnostic samples. The </w:t>
      </w:r>
      <w:proofErr w:type="gramStart"/>
      <w:r>
        <w:t>most commonly used</w:t>
      </w:r>
      <w:proofErr w:type="gramEnd"/>
      <w:r>
        <w:t xml:space="preserve"> agents, in addition to trimethoprim-sulfamethoxazole as part of an initial empiric combination therapy, were a carbapenem (61%; 11/18), ceftriaxone (27%; 5/18) and ciprofloxacin (16%; 3/18). This initial combination therapy was given for a median duration of ten days in skin and soft tissue disease, 28 days in pulmonary disease and six weeks in the case of disseminated or central nervous system disease. Monotherapy was most commonly trimethoprim-sulfamethoxazole (85%; 6/7). </w:t>
      </w:r>
    </w:p>
    <w:p w14:paraId="12042185" w14:textId="1ED0EE8B" w:rsidR="008A452D" w:rsidRDefault="008A452D" w:rsidP="00A9052A">
      <w:r>
        <w:t xml:space="preserve">Consolidation therapy (defined as a long-term maintenance or eradication treatment to prevent relapse) was with a single drug in 64% of cases (16/25) and with dual therapy in 36% (9/25). The single agent </w:t>
      </w:r>
      <w:proofErr w:type="gramStart"/>
      <w:r>
        <w:t>used most commonly</w:t>
      </w:r>
      <w:proofErr w:type="gramEnd"/>
      <w:r>
        <w:t xml:space="preserve"> was trimethoprim-sulfamethoxazole (8</w:t>
      </w:r>
      <w:r w:rsidR="00A92407">
        <w:t>8</w:t>
      </w:r>
      <w:r>
        <w:t xml:space="preserve">%; 14/16). All dual-therapy regimens contained trimethoprim-sulfamethoxazole with, most commonly, the addition of either a tetracycline (doxycycline or minocycline) (56%; 5/9) or moxifloxacin (33%; 3/9). This consolidation therapy was given for a median duration of three months in skin and soft tissue disease, six months in pulmonary disease, and 12 months in disseminated or CNS disease. </w:t>
      </w:r>
    </w:p>
    <w:p w14:paraId="4386A649" w14:textId="77777777" w:rsidR="008A452D" w:rsidRDefault="008A452D" w:rsidP="00A9052A">
      <w:r>
        <w:t xml:space="preserve">Overall, 44% (11/25) of the patients with data available had documented evidence of an adverse drug reaction. This comprised acute kidney injury in 16% of cases (4/25); gastrointestinal disturbance in 12% (3/25); liver function derangement in 8% (2/25); and cytopenia in 8% (2/25). </w:t>
      </w:r>
    </w:p>
    <w:p w14:paraId="1FA6167D" w14:textId="77777777" w:rsidR="008A452D" w:rsidRPr="00A9052A" w:rsidRDefault="008A452D" w:rsidP="00A9052A">
      <w:pPr>
        <w:pStyle w:val="Heading1"/>
      </w:pPr>
      <w:r w:rsidRPr="00A9052A">
        <w:t xml:space="preserve">Mortality statistics </w:t>
      </w:r>
    </w:p>
    <w:p w14:paraId="41B97654" w14:textId="77777777" w:rsidR="008A452D" w:rsidRDefault="008A452D" w:rsidP="00A9052A">
      <w:r>
        <w:t xml:space="preserve">One-month mortality was 3.8% (1/26), whereas six-month mortality and 12-month mortality were 9.1% (2/22) and 15.7% (3/19) respectively. Only one patient died during initial therapy. No deaths were observed in the cohort with skin and soft tissue disease; however, several of these patients were lost to follow up. </w:t>
      </w:r>
    </w:p>
    <w:p w14:paraId="02FD41D8" w14:textId="77777777" w:rsidR="008A452D" w:rsidRPr="00A9052A" w:rsidRDefault="008A452D" w:rsidP="00A9052A">
      <w:pPr>
        <w:pStyle w:val="Heading1"/>
      </w:pPr>
      <w:r w:rsidRPr="00A9052A">
        <w:t xml:space="preserve">Discussion </w:t>
      </w:r>
    </w:p>
    <w:p w14:paraId="48D3C054" w14:textId="77777777" w:rsidR="008A452D" w:rsidRDefault="008A452D" w:rsidP="00A9052A">
      <w:r>
        <w:t xml:space="preserve">This retrospective study reports the demographic, clinical and microbiological characteristics of 26 patients with </w:t>
      </w:r>
      <w:proofErr w:type="gramStart"/>
      <w:r>
        <w:t>culture-proven</w:t>
      </w:r>
      <w:proofErr w:type="gramEnd"/>
      <w:r>
        <w:t xml:space="preserve"> </w:t>
      </w:r>
      <w:r w:rsidRPr="008A452D">
        <w:rPr>
          <w:rStyle w:val="Emphasis"/>
          <w:b w:val="0"/>
          <w:bCs w:val="0"/>
        </w:rPr>
        <w:t xml:space="preserve">Nocardia </w:t>
      </w:r>
      <w:r>
        <w:t xml:space="preserve">infection over a ten-year period in a large and geographically diverse health service in regional NSW. </w:t>
      </w:r>
    </w:p>
    <w:p w14:paraId="7E862D95" w14:textId="77777777" w:rsidR="008A452D" w:rsidRDefault="008A452D" w:rsidP="00A9052A">
      <w:r>
        <w:t>Comparison with other large Australian cohort studies demonstrates regional variation in the demographic characteristics and risk profile of patients with nocardiosis. Our cohort had similar demographic features to other studies of patients with nocardiosis in southern and eastern Australia,</w:t>
      </w:r>
      <w:r>
        <w:rPr>
          <w:vertAlign w:val="superscript"/>
        </w:rPr>
        <w:t>5</w:t>
      </w:r>
      <w:r>
        <w:t xml:space="preserve"> whereas nocardiosis patients in the Northern Territory were more likely to be younger, female, and of Aboriginal or Torres Strait Islander heritage.</w:t>
      </w:r>
      <w:r>
        <w:rPr>
          <w:vertAlign w:val="superscript"/>
        </w:rPr>
        <w:t xml:space="preserve">3 </w:t>
      </w:r>
    </w:p>
    <w:p w14:paraId="7C8FA084" w14:textId="77777777" w:rsidR="008A452D" w:rsidRDefault="008A452D" w:rsidP="00A9052A">
      <w:r>
        <w:t>The majority of patients in this study (58%) were immunocompromised, most commonly due to corticosteroid use (42%), non-corticosteroid immunosuppressive medication (23%) and/or haematological malignancy (19%); solid organ transplantation was identified as a risk factor in just three patients in our cohort (12%). By comparison, fewer than half of the patients in similar Australian nocardiosis studies were considered immunocompromised. High rates of chronic disease, including chronic lung disease, diabetes mellitus and end-stage renal disease, are commonly reported in nocardiosis studies; however, our study is notable for a much lower proportion of patients with chronic lung disease than other Australian nocardiosis studies (19% vs &gt; 50%).</w:t>
      </w:r>
      <w:r>
        <w:rPr>
          <w:vertAlign w:val="superscript"/>
        </w:rPr>
        <w:t xml:space="preserve">3,5 </w:t>
      </w:r>
    </w:p>
    <w:p w14:paraId="2D0DDDAB" w14:textId="77777777" w:rsidR="008A452D" w:rsidRDefault="008A452D" w:rsidP="00A9052A">
      <w:r>
        <w:lastRenderedPageBreak/>
        <w:t xml:space="preserve">Given the variation in demographics and risk profile, it is unsurprising that the clinical characteristics of infections due to </w:t>
      </w:r>
      <w:r w:rsidRPr="008A452D">
        <w:rPr>
          <w:rStyle w:val="Emphasis"/>
          <w:b w:val="0"/>
          <w:bCs w:val="0"/>
        </w:rPr>
        <w:t>Nocardia</w:t>
      </w:r>
      <w:r>
        <w:t xml:space="preserve"> sp. were also quite different. Paige and Spelman reported on 67 patients with nocardiosis, of whom 53 (79%) had isolated pulmonary disease and just eight (12%) had disseminated disease.</w:t>
      </w:r>
      <w:r>
        <w:rPr>
          <w:vertAlign w:val="superscript"/>
        </w:rPr>
        <w:t>5</w:t>
      </w:r>
      <w:r>
        <w:t xml:space="preserve"> In contrast, eight patients in our study (31%) had isolated pulmonary disease and nine (35%) had disseminated disease. This likely reflects the above-mentioned lower proportion of patients with chronic lung disease in our study and the higher proportion of patients with immunocompromise. Furthermore, in approximately one-third of patients in our study, nocardiosis manifested as isolated skin and soft tissue infection, often with a history of trauma at the site that may have resulted in inoculation of environmental organisms; all of which had a clinical syndrome consistent with </w:t>
      </w:r>
      <w:r w:rsidRPr="008A452D">
        <w:rPr>
          <w:rStyle w:val="Emphasis"/>
          <w:b w:val="0"/>
          <w:bCs w:val="0"/>
        </w:rPr>
        <w:t>Nocardia</w:t>
      </w:r>
      <w:r>
        <w:t xml:space="preserve"> sp. infection. In contrast, only 7% of patients in the Victorian study had </w:t>
      </w:r>
      <w:r w:rsidRPr="008A452D">
        <w:rPr>
          <w:rStyle w:val="Emphasis"/>
          <w:b w:val="0"/>
          <w:bCs w:val="0"/>
        </w:rPr>
        <w:t xml:space="preserve">Nocardia </w:t>
      </w:r>
      <w:r>
        <w:t xml:space="preserve">infection limited to soft tissues and bone. </w:t>
      </w:r>
    </w:p>
    <w:p w14:paraId="07FDAA63" w14:textId="435CEEA9" w:rsidR="008A452D" w:rsidRDefault="008A452D" w:rsidP="00A9052A">
      <w:r>
        <w:t xml:space="preserve">Antimicrobial susceptibility testing results in our study showed universal susceptibility of </w:t>
      </w:r>
      <w:r w:rsidRPr="008A452D">
        <w:rPr>
          <w:rStyle w:val="Emphasis"/>
          <w:b w:val="0"/>
          <w:bCs w:val="0"/>
        </w:rPr>
        <w:t xml:space="preserve">Nocardia </w:t>
      </w:r>
      <w:r>
        <w:t>sp. to trimethoprim-sulfamethoxazole and, where examined, linezolid, in keeping with other laboratory studies from NSW.</w:t>
      </w:r>
      <w:r>
        <w:rPr>
          <w:vertAlign w:val="superscript"/>
        </w:rPr>
        <w:t>12</w:t>
      </w:r>
      <w:r>
        <w:t xml:space="preserve"> This finding provides additional support for current Australian guidelines for the antimicrobial treatment of </w:t>
      </w:r>
      <w:r w:rsidRPr="008A452D">
        <w:rPr>
          <w:rStyle w:val="Emphasis"/>
          <w:b w:val="0"/>
          <w:bCs w:val="0"/>
        </w:rPr>
        <w:t>Nocardia</w:t>
      </w:r>
      <w:r>
        <w:t xml:space="preserve"> sp. infection.</w:t>
      </w:r>
      <w:r>
        <w:rPr>
          <w:vertAlign w:val="superscript"/>
        </w:rPr>
        <w:t>13</w:t>
      </w:r>
      <w:r>
        <w:t xml:space="preserve"> It is also consistent with our treatment data showing that trimethoprim-sulfamethoxazole formed the backbone of most therapeutic regimens. </w:t>
      </w:r>
    </w:p>
    <w:p w14:paraId="297E5376" w14:textId="77777777" w:rsidR="008A452D" w:rsidRDefault="008A452D" w:rsidP="00A9052A">
      <w:r>
        <w:t xml:space="preserve">It should be noted that as ISLHD serves a large geographical area with a wide range of terrain and population density and that </w:t>
      </w:r>
      <w:proofErr w:type="gramStart"/>
      <w:r>
        <w:t>the majority of</w:t>
      </w:r>
      <w:proofErr w:type="gramEnd"/>
      <w:r>
        <w:t xml:space="preserve"> cases occurred in patients living away from the more densely populated centres in the northern Illawarra. </w:t>
      </w:r>
    </w:p>
    <w:p w14:paraId="6E5491E2" w14:textId="77777777" w:rsidR="008A452D" w:rsidRDefault="008A452D" w:rsidP="00A9052A">
      <w:r>
        <w:t>The majority of cases of nocardiosis reported here (18/26) were identified in the last four years of the ten-year study, coinciding with a significant drought event in south-eastern Australia.</w:t>
      </w:r>
      <w:r>
        <w:rPr>
          <w:vertAlign w:val="superscript"/>
        </w:rPr>
        <w:t>14</w:t>
      </w:r>
      <w:r>
        <w:t xml:space="preserve"> Other Australian studies have hypothesised that the incidence of nocardiosis may be influenced by climatic conditions.</w:t>
      </w:r>
      <w:r>
        <w:rPr>
          <w:vertAlign w:val="superscript"/>
        </w:rPr>
        <w:t>7</w:t>
      </w:r>
      <w:r>
        <w:t xml:space="preserve"> In addition, international evidence suggests an association with dry, warm climates, for example in the south-eastern United States of America.</w:t>
      </w:r>
      <w:r>
        <w:rPr>
          <w:vertAlign w:val="superscript"/>
        </w:rPr>
        <w:t>1</w:t>
      </w:r>
      <w:r>
        <w:t xml:space="preserve"> Our study was unable to demonstrate a statistically significant correlation between the incidence of nocardiosis in ISLHD and regional rainfall trends; however, the study was likely underpowered for this purpose. In addition, for a large geographic area, complete rainfall data was only available for a single, albeit central, area of the region. This limited the resolution of analysis. </w:t>
      </w:r>
    </w:p>
    <w:p w14:paraId="3D6D77E6" w14:textId="77777777" w:rsidR="008A452D" w:rsidRDefault="008A452D" w:rsidP="00A9052A">
      <w:r>
        <w:t xml:space="preserve">This study was limited in its ability to sufficiently resolve trends in nocardiosis epidemiology by the small sample size. Furthermore, the limitations of retrospective data collection from clinical records (particularly with regards to treatment data) prevented more extensive analysis of the rationale and timing of changes to the treatment regimens for this uncommon disease. </w:t>
      </w:r>
    </w:p>
    <w:p w14:paraId="2B9D8281" w14:textId="77777777" w:rsidR="008A452D" w:rsidRDefault="008A452D" w:rsidP="00A9052A">
      <w:r>
        <w:t xml:space="preserve">We hypothesise that the increasing prevalence of patients with chronic comorbidities and immunocompromise, living in rural and regional communities exposed to environmental sources of </w:t>
      </w:r>
      <w:r w:rsidRPr="008A452D">
        <w:rPr>
          <w:rStyle w:val="Emphasis"/>
          <w:b w:val="0"/>
          <w:bCs w:val="0"/>
        </w:rPr>
        <w:t xml:space="preserve">Nocardia </w:t>
      </w:r>
      <w:r>
        <w:t>sp</w:t>
      </w:r>
      <w:r w:rsidRPr="008A452D">
        <w:rPr>
          <w:rStyle w:val="Emphasis"/>
          <w:b w:val="0"/>
          <w:bCs w:val="0"/>
        </w:rPr>
        <w:t xml:space="preserve">., </w:t>
      </w:r>
      <w:r>
        <w:t xml:space="preserve">may lead to an increased incidence of nocardiosis in the Illawarra-Shoalhaven region and that comparable trends may be seen in other regions with similar demographics and epidemiology. Larger prospective studies are required to test this hypothesis. The association between climatic conditions and incidence of nocardiosis remains unproven, but given the potential implications of global climate change, this concept warrants further investigation. </w:t>
      </w:r>
    </w:p>
    <w:p w14:paraId="6699BDA1" w14:textId="77777777" w:rsidR="000512A8" w:rsidRDefault="000512A8">
      <w:pPr>
        <w:rPr>
          <w:rFonts w:asciiTheme="majorHAnsi" w:eastAsiaTheme="majorEastAsia" w:hAnsiTheme="majorHAnsi" w:cstheme="majorBidi"/>
          <w:b/>
          <w:bCs/>
          <w:sz w:val="32"/>
          <w:szCs w:val="28"/>
        </w:rPr>
      </w:pPr>
      <w:r>
        <w:br w:type="page"/>
      </w:r>
    </w:p>
    <w:p w14:paraId="54A4616F" w14:textId="3B23C718" w:rsidR="008A452D" w:rsidRPr="00A9052A" w:rsidRDefault="008A452D" w:rsidP="00A9052A">
      <w:pPr>
        <w:pStyle w:val="Heading1"/>
      </w:pPr>
      <w:r w:rsidRPr="00A9052A">
        <w:lastRenderedPageBreak/>
        <w:t xml:space="preserve">Author details </w:t>
      </w:r>
    </w:p>
    <w:p w14:paraId="413ABF9B" w14:textId="77777777" w:rsidR="008A452D" w:rsidRDefault="008A452D" w:rsidP="008A452D">
      <w:pPr>
        <w:pStyle w:val="NoSpacing"/>
      </w:pPr>
      <w:r>
        <w:t>Dr Darcy Gray</w:t>
      </w:r>
      <w:r>
        <w:rPr>
          <w:vertAlign w:val="superscript"/>
        </w:rPr>
        <w:t xml:space="preserve">1 </w:t>
      </w:r>
    </w:p>
    <w:p w14:paraId="05D586D0" w14:textId="77777777" w:rsidR="008A452D" w:rsidRDefault="008A452D" w:rsidP="008A452D">
      <w:pPr>
        <w:pStyle w:val="NoSpacing"/>
      </w:pPr>
      <w:r>
        <w:t>Dr Simeon Crawford</w:t>
      </w:r>
      <w:r>
        <w:rPr>
          <w:vertAlign w:val="superscript"/>
        </w:rPr>
        <w:t xml:space="preserve">1 </w:t>
      </w:r>
    </w:p>
    <w:p w14:paraId="6BA18372" w14:textId="77777777" w:rsidR="008A452D" w:rsidRDefault="008A452D" w:rsidP="008A452D">
      <w:pPr>
        <w:pStyle w:val="NoSpacing"/>
      </w:pPr>
      <w:r>
        <w:t>Dr Peter Newton</w:t>
      </w:r>
      <w:r>
        <w:rPr>
          <w:vertAlign w:val="superscript"/>
        </w:rPr>
        <w:t xml:space="preserve">2 </w:t>
      </w:r>
    </w:p>
    <w:p w14:paraId="2E3C9ADC" w14:textId="77777777" w:rsidR="008A452D" w:rsidRPr="008A452D" w:rsidRDefault="008A452D" w:rsidP="008A452D">
      <w:pPr>
        <w:pStyle w:val="ListParagraph"/>
        <w:numPr>
          <w:ilvl w:val="0"/>
          <w:numId w:val="9"/>
        </w:numPr>
        <w:rPr>
          <w:rFonts w:eastAsia="Times New Roman"/>
        </w:rPr>
      </w:pPr>
      <w:r w:rsidRPr="008A452D">
        <w:rPr>
          <w:rFonts w:eastAsia="Times New Roman"/>
        </w:rPr>
        <w:t xml:space="preserve">Department of Infectious diseases, Wollongong Hospital, Wollongong NSW 2500. </w:t>
      </w:r>
    </w:p>
    <w:p w14:paraId="660DB9DE" w14:textId="77777777" w:rsidR="008A452D" w:rsidRPr="008A452D" w:rsidRDefault="008A452D" w:rsidP="008A452D">
      <w:pPr>
        <w:pStyle w:val="ListParagraph"/>
        <w:numPr>
          <w:ilvl w:val="0"/>
          <w:numId w:val="9"/>
        </w:numPr>
        <w:rPr>
          <w:rFonts w:eastAsia="Times New Roman"/>
        </w:rPr>
      </w:pPr>
      <w:r w:rsidRPr="008A452D">
        <w:rPr>
          <w:rFonts w:eastAsia="Times New Roman"/>
        </w:rPr>
        <w:t xml:space="preserve">Microbiology, NSW Health Pathology, Wollongong Hospital, Wollongong NSW, 2500. </w:t>
      </w:r>
    </w:p>
    <w:p w14:paraId="37A07295" w14:textId="77777777" w:rsidR="008A452D" w:rsidRPr="008A452D" w:rsidRDefault="008A452D" w:rsidP="008A452D">
      <w:pPr>
        <w:pStyle w:val="Heading2"/>
      </w:pPr>
      <w:r w:rsidRPr="008A452D">
        <w:t xml:space="preserve">Corresponding author </w:t>
      </w:r>
    </w:p>
    <w:p w14:paraId="21589E6A" w14:textId="77777777" w:rsidR="008A452D" w:rsidRDefault="008A452D" w:rsidP="008A452D">
      <w:pPr>
        <w:pStyle w:val="NoSpacing"/>
      </w:pPr>
      <w:r>
        <w:t xml:space="preserve">Dr Darcy Gray </w:t>
      </w:r>
    </w:p>
    <w:p w14:paraId="5FC20BA4" w14:textId="77777777" w:rsidR="008A452D" w:rsidRDefault="008A452D" w:rsidP="008A452D">
      <w:pPr>
        <w:pStyle w:val="NoSpacing"/>
      </w:pPr>
      <w:r>
        <w:t>Address: Wollongong Hospital, Loftus Street, Wollongong, NSW 2500 Email: darcyrobert.gray@health.nsw.gov.au Phone: +61 437991575</w:t>
      </w:r>
    </w:p>
    <w:p w14:paraId="32458931" w14:textId="77777777" w:rsidR="008A452D" w:rsidRPr="00A9052A" w:rsidRDefault="008A452D" w:rsidP="00A9052A">
      <w:pPr>
        <w:pStyle w:val="Heading1"/>
      </w:pPr>
      <w:r w:rsidRPr="00A9052A">
        <w:t xml:space="preserve">References </w:t>
      </w:r>
    </w:p>
    <w:p w14:paraId="30ACE4E2" w14:textId="77777777" w:rsidR="008A452D" w:rsidRPr="008A452D" w:rsidRDefault="008A452D" w:rsidP="008A452D">
      <w:pPr>
        <w:pStyle w:val="ListParagraph"/>
        <w:numPr>
          <w:ilvl w:val="0"/>
          <w:numId w:val="10"/>
        </w:numPr>
        <w:rPr>
          <w:rFonts w:eastAsia="Times New Roman"/>
        </w:rPr>
      </w:pPr>
      <w:proofErr w:type="spellStart"/>
      <w:r w:rsidRPr="008A452D">
        <w:rPr>
          <w:rFonts w:eastAsia="Times New Roman"/>
        </w:rPr>
        <w:t>Saubolle</w:t>
      </w:r>
      <w:proofErr w:type="spellEnd"/>
      <w:r w:rsidRPr="008A452D">
        <w:rPr>
          <w:rFonts w:eastAsia="Times New Roman"/>
        </w:rPr>
        <w:t xml:space="preserve"> MA, </w:t>
      </w:r>
      <w:proofErr w:type="spellStart"/>
      <w:r w:rsidRPr="008A452D">
        <w:rPr>
          <w:rFonts w:eastAsia="Times New Roman"/>
        </w:rPr>
        <w:t>Sussland</w:t>
      </w:r>
      <w:proofErr w:type="spellEnd"/>
      <w:r w:rsidRPr="008A452D">
        <w:rPr>
          <w:rFonts w:eastAsia="Times New Roman"/>
        </w:rPr>
        <w:t xml:space="preserve"> D. Nocardiosis: review of clinical and laboratory experience. </w:t>
      </w:r>
      <w:r w:rsidRPr="008A452D">
        <w:rPr>
          <w:rStyle w:val="Emphasis"/>
          <w:rFonts w:eastAsia="Times New Roman"/>
          <w:b w:val="0"/>
          <w:bCs w:val="0"/>
        </w:rPr>
        <w:t>J Clin Microbiol</w:t>
      </w:r>
      <w:r w:rsidRPr="008A452D">
        <w:rPr>
          <w:rFonts w:eastAsia="Times New Roman"/>
        </w:rPr>
        <w:t xml:space="preserve">. 2003;41(10):4497–501. </w:t>
      </w:r>
    </w:p>
    <w:p w14:paraId="73D581E6" w14:textId="77777777" w:rsidR="008A452D" w:rsidRPr="008A452D" w:rsidRDefault="008A452D" w:rsidP="008A452D">
      <w:pPr>
        <w:pStyle w:val="ListParagraph"/>
        <w:numPr>
          <w:ilvl w:val="0"/>
          <w:numId w:val="10"/>
        </w:numPr>
        <w:rPr>
          <w:rFonts w:eastAsia="Times New Roman"/>
        </w:rPr>
      </w:pPr>
      <w:r w:rsidRPr="008A452D">
        <w:rPr>
          <w:rFonts w:eastAsia="Times New Roman"/>
        </w:rPr>
        <w:t xml:space="preserve">Wilson JW. Nocardiosis: updates and clinical overview. </w:t>
      </w:r>
      <w:r w:rsidRPr="008A452D">
        <w:rPr>
          <w:rStyle w:val="Emphasis"/>
          <w:rFonts w:eastAsia="Times New Roman"/>
          <w:b w:val="0"/>
          <w:bCs w:val="0"/>
        </w:rPr>
        <w:t>Mayo Clin Proc</w:t>
      </w:r>
      <w:r w:rsidRPr="008A452D">
        <w:rPr>
          <w:rFonts w:eastAsia="Times New Roman"/>
        </w:rPr>
        <w:t xml:space="preserve">. 2012;87(4):403–7. </w:t>
      </w:r>
    </w:p>
    <w:p w14:paraId="60E53F8D" w14:textId="77777777" w:rsidR="008A452D" w:rsidRPr="008A452D" w:rsidRDefault="008A452D" w:rsidP="008A452D">
      <w:pPr>
        <w:pStyle w:val="ListParagraph"/>
        <w:numPr>
          <w:ilvl w:val="0"/>
          <w:numId w:val="10"/>
        </w:numPr>
        <w:rPr>
          <w:rFonts w:eastAsia="Times New Roman"/>
        </w:rPr>
      </w:pPr>
      <w:r w:rsidRPr="008A452D">
        <w:rPr>
          <w:rFonts w:eastAsia="Times New Roman"/>
        </w:rPr>
        <w:t xml:space="preserve">McGuinness SL, Whiting SE, Baird R, Currie BJ, Ralph AP, Anstey NM et al. Nocardiosis in the Tropical Northern Territory of Australia, 1997–2014. </w:t>
      </w:r>
      <w:r w:rsidRPr="008A452D">
        <w:rPr>
          <w:rStyle w:val="Emphasis"/>
          <w:rFonts w:eastAsia="Times New Roman"/>
          <w:b w:val="0"/>
          <w:bCs w:val="0"/>
        </w:rPr>
        <w:t>Open Forum Infect Dis</w:t>
      </w:r>
      <w:r w:rsidRPr="008A452D">
        <w:rPr>
          <w:rFonts w:eastAsia="Times New Roman"/>
        </w:rPr>
        <w:t xml:space="preserve">. 2016;3(4). </w:t>
      </w:r>
      <w:proofErr w:type="spellStart"/>
      <w:r w:rsidRPr="008A452D">
        <w:rPr>
          <w:rFonts w:eastAsia="Times New Roman"/>
        </w:rPr>
        <w:t>doi</w:t>
      </w:r>
      <w:proofErr w:type="spellEnd"/>
      <w:r w:rsidRPr="008A452D">
        <w:rPr>
          <w:rFonts w:eastAsia="Times New Roman"/>
        </w:rPr>
        <w:t xml:space="preserve">: https://doi.org/10.1093/ofid/ofw208. </w:t>
      </w:r>
    </w:p>
    <w:p w14:paraId="55C3ECBF" w14:textId="77777777" w:rsidR="008A452D" w:rsidRPr="008A452D" w:rsidRDefault="008A452D" w:rsidP="008A452D">
      <w:pPr>
        <w:pStyle w:val="ListParagraph"/>
        <w:numPr>
          <w:ilvl w:val="0"/>
          <w:numId w:val="10"/>
        </w:numPr>
        <w:rPr>
          <w:rFonts w:eastAsia="Times New Roman"/>
        </w:rPr>
      </w:pPr>
      <w:proofErr w:type="spellStart"/>
      <w:r w:rsidRPr="008A452D">
        <w:rPr>
          <w:rFonts w:eastAsia="Times New Roman"/>
        </w:rPr>
        <w:t>Rafiei</w:t>
      </w:r>
      <w:proofErr w:type="spellEnd"/>
      <w:r w:rsidRPr="008A452D">
        <w:rPr>
          <w:rFonts w:eastAsia="Times New Roman"/>
        </w:rPr>
        <w:t xml:space="preserve"> N, Peri AM, </w:t>
      </w:r>
      <w:proofErr w:type="spellStart"/>
      <w:r w:rsidRPr="008A452D">
        <w:rPr>
          <w:rFonts w:eastAsia="Times New Roman"/>
        </w:rPr>
        <w:t>Righi</w:t>
      </w:r>
      <w:proofErr w:type="spellEnd"/>
      <w:r w:rsidRPr="008A452D">
        <w:rPr>
          <w:rFonts w:eastAsia="Times New Roman"/>
        </w:rPr>
        <w:t xml:space="preserve"> E, Harris P, Paterson DL. Central nervous system nocardiosis in Queensland. </w:t>
      </w:r>
      <w:r w:rsidRPr="008A452D">
        <w:rPr>
          <w:rStyle w:val="Emphasis"/>
          <w:rFonts w:eastAsia="Times New Roman"/>
          <w:b w:val="0"/>
          <w:bCs w:val="0"/>
        </w:rPr>
        <w:t>Medicine (Baltimore)</w:t>
      </w:r>
      <w:r w:rsidRPr="008A452D">
        <w:rPr>
          <w:rFonts w:eastAsia="Times New Roman"/>
        </w:rPr>
        <w:t xml:space="preserve">. 2016;95(46). </w:t>
      </w:r>
      <w:proofErr w:type="spellStart"/>
      <w:r w:rsidRPr="008A452D">
        <w:rPr>
          <w:rFonts w:eastAsia="Times New Roman"/>
        </w:rPr>
        <w:t>doi</w:t>
      </w:r>
      <w:proofErr w:type="spellEnd"/>
      <w:r w:rsidRPr="008A452D">
        <w:rPr>
          <w:rFonts w:eastAsia="Times New Roman"/>
        </w:rPr>
        <w:t xml:space="preserve">: https://doi.org/10.1097/MD.0000000000005255. </w:t>
      </w:r>
    </w:p>
    <w:p w14:paraId="585E4423" w14:textId="77777777" w:rsidR="008A452D" w:rsidRPr="008A452D" w:rsidRDefault="008A452D" w:rsidP="008A452D">
      <w:pPr>
        <w:pStyle w:val="ListParagraph"/>
        <w:numPr>
          <w:ilvl w:val="0"/>
          <w:numId w:val="10"/>
        </w:numPr>
        <w:rPr>
          <w:rFonts w:eastAsia="Times New Roman"/>
        </w:rPr>
      </w:pPr>
      <w:r w:rsidRPr="008A452D">
        <w:rPr>
          <w:rFonts w:eastAsia="Times New Roman"/>
        </w:rPr>
        <w:t xml:space="preserve">Paige EK, Spelman D. Nocardiosis: 7‐year experience at an Australian tertiary hospital. </w:t>
      </w:r>
      <w:r w:rsidRPr="008A452D">
        <w:rPr>
          <w:rStyle w:val="Emphasis"/>
          <w:rFonts w:eastAsia="Times New Roman"/>
          <w:b w:val="0"/>
          <w:bCs w:val="0"/>
        </w:rPr>
        <w:t>Intern Med J</w:t>
      </w:r>
      <w:r w:rsidRPr="008A452D">
        <w:rPr>
          <w:rFonts w:eastAsia="Times New Roman"/>
        </w:rPr>
        <w:t xml:space="preserve">. 2019;49(3):373–9. </w:t>
      </w:r>
    </w:p>
    <w:p w14:paraId="3368CA02" w14:textId="77777777" w:rsidR="008A452D" w:rsidRPr="008A452D" w:rsidRDefault="008A452D" w:rsidP="008A452D">
      <w:pPr>
        <w:pStyle w:val="ListParagraph"/>
        <w:numPr>
          <w:ilvl w:val="0"/>
          <w:numId w:val="10"/>
        </w:numPr>
        <w:rPr>
          <w:rFonts w:eastAsia="Times New Roman"/>
        </w:rPr>
      </w:pPr>
      <w:r w:rsidRPr="008A452D">
        <w:rPr>
          <w:rFonts w:eastAsia="Times New Roman"/>
        </w:rPr>
        <w:t xml:space="preserve">Roberts SA, Franklin JC, </w:t>
      </w:r>
      <w:proofErr w:type="spellStart"/>
      <w:r w:rsidRPr="008A452D">
        <w:rPr>
          <w:rFonts w:eastAsia="Times New Roman"/>
        </w:rPr>
        <w:t>Mijch</w:t>
      </w:r>
      <w:proofErr w:type="spellEnd"/>
      <w:r w:rsidRPr="008A452D">
        <w:rPr>
          <w:rFonts w:eastAsia="Times New Roman"/>
        </w:rPr>
        <w:t xml:space="preserve"> A, Spelman D. Nocardia infection in heart-lung transplant recipients at Alfred Hospital, Melbourne, Australia, 1989–1998. </w:t>
      </w:r>
      <w:r w:rsidRPr="008A452D">
        <w:rPr>
          <w:rStyle w:val="Emphasis"/>
          <w:rFonts w:eastAsia="Times New Roman"/>
          <w:b w:val="0"/>
          <w:bCs w:val="0"/>
        </w:rPr>
        <w:t>Clin Infect Dis</w:t>
      </w:r>
      <w:r w:rsidRPr="008A452D">
        <w:rPr>
          <w:rFonts w:eastAsia="Times New Roman"/>
        </w:rPr>
        <w:t xml:space="preserve">. 2000;31(4):968–72. </w:t>
      </w:r>
    </w:p>
    <w:p w14:paraId="561A79A7" w14:textId="77777777" w:rsidR="008A452D" w:rsidRPr="008A452D" w:rsidRDefault="008A452D" w:rsidP="008A452D">
      <w:pPr>
        <w:pStyle w:val="ListParagraph"/>
        <w:numPr>
          <w:ilvl w:val="0"/>
          <w:numId w:val="10"/>
        </w:numPr>
        <w:rPr>
          <w:rFonts w:eastAsia="Times New Roman"/>
        </w:rPr>
      </w:pPr>
      <w:r w:rsidRPr="008A452D">
        <w:rPr>
          <w:rFonts w:eastAsia="Times New Roman"/>
        </w:rPr>
        <w:t xml:space="preserve">Kennedy KJ, Chung KHC, Bowden FJ, Mews PJ, </w:t>
      </w:r>
      <w:proofErr w:type="spellStart"/>
      <w:r w:rsidRPr="008A452D">
        <w:rPr>
          <w:rFonts w:eastAsia="Times New Roman"/>
        </w:rPr>
        <w:t>Pik</w:t>
      </w:r>
      <w:proofErr w:type="spellEnd"/>
      <w:r w:rsidRPr="008A452D">
        <w:rPr>
          <w:rFonts w:eastAsia="Times New Roman"/>
        </w:rPr>
        <w:t xml:space="preserve"> JHT, Fuller JW et al. A cluster of nocardial brain abscesses. </w:t>
      </w:r>
      <w:r w:rsidRPr="008A452D">
        <w:rPr>
          <w:rStyle w:val="Emphasis"/>
          <w:rFonts w:eastAsia="Times New Roman"/>
          <w:b w:val="0"/>
          <w:bCs w:val="0"/>
        </w:rPr>
        <w:t>Surg Neurol</w:t>
      </w:r>
      <w:r w:rsidRPr="008A452D">
        <w:rPr>
          <w:rFonts w:eastAsia="Times New Roman"/>
        </w:rPr>
        <w:t xml:space="preserve">. 2007;68(1):43–9. </w:t>
      </w:r>
    </w:p>
    <w:p w14:paraId="50B9EE15" w14:textId="77777777" w:rsidR="008A452D" w:rsidRPr="008A452D" w:rsidRDefault="008A452D" w:rsidP="008A452D">
      <w:pPr>
        <w:pStyle w:val="ListParagraph"/>
        <w:numPr>
          <w:ilvl w:val="0"/>
          <w:numId w:val="10"/>
        </w:numPr>
        <w:rPr>
          <w:rFonts w:eastAsia="Times New Roman"/>
        </w:rPr>
      </w:pPr>
      <w:r w:rsidRPr="008A452D">
        <w:rPr>
          <w:rFonts w:eastAsia="Times New Roman"/>
        </w:rPr>
        <w:t xml:space="preserve">Australian Bureau of Statistics. 2016 Census Quick Stats: Illawarra. [Webpage.] Canberra: Australian Bureau of Statistics; 23 October 2017. [Accessed on 23 April 2019.] Available from: https://quickstats.censusdata.abs.gov.au/census_services/getproduct/census/2016/quickstat/107. </w:t>
      </w:r>
    </w:p>
    <w:p w14:paraId="07EF837C" w14:textId="77777777" w:rsidR="008A452D" w:rsidRPr="008A452D" w:rsidRDefault="008A452D" w:rsidP="008A452D">
      <w:pPr>
        <w:pStyle w:val="ListParagraph"/>
        <w:numPr>
          <w:ilvl w:val="0"/>
          <w:numId w:val="10"/>
        </w:numPr>
        <w:rPr>
          <w:rFonts w:eastAsia="Times New Roman"/>
        </w:rPr>
      </w:pPr>
      <w:r w:rsidRPr="008A452D">
        <w:rPr>
          <w:rFonts w:eastAsia="Times New Roman"/>
        </w:rPr>
        <w:t xml:space="preserve">Australian Bureau of Statistics. 2016 Census Quick Stats: Southern Highlands and Shoalhaven. [Webpage.] Canberra: Australian Bureau of Statistics; 23 October 2017. [Accessed on 23 April 2019.] Available from: https://quickstats.censusdata.abs.gov.au/census_services/getproduct/census/2016/quickstat/114. </w:t>
      </w:r>
    </w:p>
    <w:p w14:paraId="0A93D616" w14:textId="77777777" w:rsidR="008A452D" w:rsidRPr="008A452D" w:rsidRDefault="008A452D" w:rsidP="008A452D">
      <w:pPr>
        <w:pStyle w:val="ListParagraph"/>
        <w:numPr>
          <w:ilvl w:val="0"/>
          <w:numId w:val="10"/>
        </w:numPr>
        <w:rPr>
          <w:rFonts w:eastAsia="Times New Roman"/>
        </w:rPr>
      </w:pPr>
      <w:r w:rsidRPr="008A452D">
        <w:rPr>
          <w:rFonts w:eastAsia="Times New Roman"/>
        </w:rPr>
        <w:t xml:space="preserve">Australian Bureau of Statistics. 2016 Census Quick Stats: Australia. [Webpage.] Canberra: Australian Bureau of Statistics; 23 October 2017. [Accessed on 23 April 2019.] Available from: https://quickstats.censusdata.abs.gov.au/census_services/getproduct/census/2016/quickstat/036. </w:t>
      </w:r>
    </w:p>
    <w:p w14:paraId="6488B9A5" w14:textId="77777777" w:rsidR="008A452D" w:rsidRPr="008A452D" w:rsidRDefault="008A452D" w:rsidP="008A452D">
      <w:pPr>
        <w:pStyle w:val="ListParagraph"/>
        <w:numPr>
          <w:ilvl w:val="0"/>
          <w:numId w:val="10"/>
        </w:numPr>
        <w:rPr>
          <w:rFonts w:eastAsia="Times New Roman"/>
        </w:rPr>
      </w:pPr>
      <w:r w:rsidRPr="008A452D">
        <w:rPr>
          <w:rFonts w:eastAsia="Times New Roman"/>
        </w:rPr>
        <w:t xml:space="preserve">Bureau of Meteorology. Monthly Rainfall. Jamberoo (The Ridge). All years of data. [Webpage.] Canberra: Australian Government Bureau of Meteorology. [Accessed on 3 May 2020.] Available from: http://www.bom.gov.au/jsp/ncc/cdio/wData/wdata?p_nccObsCode=139&amp;p_display_type=dataFile&amp;p_stn_num=068035. </w:t>
      </w:r>
    </w:p>
    <w:p w14:paraId="6C46DCDC" w14:textId="77777777" w:rsidR="008A452D" w:rsidRPr="008A452D" w:rsidRDefault="008A452D" w:rsidP="008A452D">
      <w:pPr>
        <w:pStyle w:val="ListParagraph"/>
        <w:numPr>
          <w:ilvl w:val="0"/>
          <w:numId w:val="10"/>
        </w:numPr>
        <w:rPr>
          <w:rFonts w:eastAsia="Times New Roman"/>
        </w:rPr>
      </w:pPr>
      <w:r w:rsidRPr="008A452D">
        <w:rPr>
          <w:rFonts w:eastAsia="Times New Roman"/>
        </w:rPr>
        <w:t>Tan YE, Chen SCA, Halliday CL. Antimicrobial susceptibility profiles and species distribution of medically relevant Nocardia species: results from a large tertiary laboratory in Australia.</w:t>
      </w:r>
      <w:r w:rsidRPr="008A452D">
        <w:rPr>
          <w:rStyle w:val="Emphasis"/>
          <w:rFonts w:eastAsia="Times New Roman"/>
          <w:b w:val="0"/>
          <w:bCs w:val="0"/>
        </w:rPr>
        <w:t xml:space="preserve"> J Glob </w:t>
      </w:r>
      <w:proofErr w:type="spellStart"/>
      <w:r w:rsidRPr="008A452D">
        <w:rPr>
          <w:rStyle w:val="Emphasis"/>
          <w:rFonts w:eastAsia="Times New Roman"/>
          <w:b w:val="0"/>
          <w:bCs w:val="0"/>
        </w:rPr>
        <w:t>Antimicrob</w:t>
      </w:r>
      <w:proofErr w:type="spellEnd"/>
      <w:r w:rsidRPr="008A452D">
        <w:rPr>
          <w:rStyle w:val="Emphasis"/>
          <w:rFonts w:eastAsia="Times New Roman"/>
          <w:b w:val="0"/>
          <w:bCs w:val="0"/>
        </w:rPr>
        <w:t xml:space="preserve"> Resist</w:t>
      </w:r>
      <w:r w:rsidRPr="008A452D">
        <w:rPr>
          <w:rFonts w:eastAsia="Times New Roman"/>
        </w:rPr>
        <w:t xml:space="preserve">. </w:t>
      </w:r>
      <w:proofErr w:type="gramStart"/>
      <w:r w:rsidRPr="008A452D">
        <w:rPr>
          <w:rFonts w:eastAsia="Times New Roman"/>
        </w:rPr>
        <w:t>2020;20:110</w:t>
      </w:r>
      <w:proofErr w:type="gramEnd"/>
      <w:r w:rsidRPr="008A452D">
        <w:rPr>
          <w:rFonts w:eastAsia="Times New Roman"/>
        </w:rPr>
        <w:t xml:space="preserve">–7. </w:t>
      </w:r>
    </w:p>
    <w:p w14:paraId="7593CFAA" w14:textId="77777777" w:rsidR="008A452D" w:rsidRPr="008A452D" w:rsidRDefault="008A452D" w:rsidP="008A452D">
      <w:pPr>
        <w:pStyle w:val="ListParagraph"/>
        <w:numPr>
          <w:ilvl w:val="0"/>
          <w:numId w:val="10"/>
        </w:numPr>
        <w:rPr>
          <w:rFonts w:eastAsia="Times New Roman"/>
        </w:rPr>
      </w:pPr>
      <w:r w:rsidRPr="008A452D">
        <w:rPr>
          <w:rFonts w:eastAsia="Times New Roman"/>
        </w:rPr>
        <w:t xml:space="preserve">Therapeutic Guidelines. </w:t>
      </w:r>
      <w:proofErr w:type="spellStart"/>
      <w:r w:rsidRPr="008A452D">
        <w:rPr>
          <w:rFonts w:eastAsia="Times New Roman"/>
        </w:rPr>
        <w:t>eTG</w:t>
      </w:r>
      <w:proofErr w:type="spellEnd"/>
      <w:r w:rsidRPr="008A452D">
        <w:rPr>
          <w:rFonts w:eastAsia="Times New Roman"/>
        </w:rPr>
        <w:t xml:space="preserve"> complete: Nocardiosis. [Webpage.] Melbourne: Therapeutic Guidelines Limited; April 2019. Available from: https://tgldcdp.tg.org.au/viewTopic?topicfile=nocardiosis. </w:t>
      </w:r>
    </w:p>
    <w:p w14:paraId="4292B4C1" w14:textId="77777777" w:rsidR="008A452D" w:rsidRPr="008A452D" w:rsidRDefault="008A452D" w:rsidP="008A452D">
      <w:pPr>
        <w:pStyle w:val="ListParagraph"/>
        <w:numPr>
          <w:ilvl w:val="0"/>
          <w:numId w:val="10"/>
        </w:numPr>
        <w:rPr>
          <w:rFonts w:eastAsia="Times New Roman"/>
        </w:rPr>
      </w:pPr>
      <w:r w:rsidRPr="008A452D">
        <w:rPr>
          <w:rFonts w:eastAsia="Times New Roman"/>
        </w:rPr>
        <w:lastRenderedPageBreak/>
        <w:t xml:space="preserve">Bureau of Meteorology. </w:t>
      </w:r>
      <w:r w:rsidRPr="008A452D">
        <w:rPr>
          <w:rStyle w:val="Emphasis"/>
          <w:rFonts w:eastAsia="Times New Roman"/>
          <w:b w:val="0"/>
          <w:bCs w:val="0"/>
        </w:rPr>
        <w:t>Special Climate Statement 70 update—drought conditions in Australia and impact on water resources in the Murray–Darling Basin</w:t>
      </w:r>
      <w:r w:rsidRPr="008A452D">
        <w:rPr>
          <w:rFonts w:eastAsia="Times New Roman"/>
        </w:rPr>
        <w:t>. Canberra: Australian Government Bureau of Meteorology; 13 August 2020. Available from: http://www.bom.gov.au/climate/current/statements/scs70.pdf.</w:t>
      </w:r>
    </w:p>
    <w:p w14:paraId="1CD4DE8A" w14:textId="77777777" w:rsidR="008B5348" w:rsidRDefault="008B5348">
      <w:pPr>
        <w:rPr>
          <w:rStyle w:val="A10"/>
        </w:rPr>
        <w:sectPr w:rsidR="008B5348" w:rsidSect="00A30C37">
          <w:pgSz w:w="11906" w:h="16838"/>
          <w:pgMar w:top="720" w:right="720" w:bottom="1134" w:left="720" w:header="709" w:footer="284" w:gutter="0"/>
          <w:cols w:space="708"/>
          <w:titlePg/>
          <w:docGrid w:linePitch="360"/>
        </w:sectPr>
      </w:pPr>
    </w:p>
    <w:p w14:paraId="2D6A0D01"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5881B408"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02E47A7D" w14:textId="77777777" w:rsidR="000A5F42" w:rsidRPr="000606CC" w:rsidRDefault="000A5F42" w:rsidP="000A5F42">
      <w:pPr>
        <w:pStyle w:val="NoSpacing"/>
        <w:rPr>
          <w:rStyle w:val="URI"/>
          <w:rFonts w:cstheme="minorHAnsi"/>
          <w:sz w:val="20"/>
          <w:szCs w:val="18"/>
        </w:rPr>
      </w:pPr>
    </w:p>
    <w:p w14:paraId="123BD040"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1BB0DBA1" w14:textId="77777777" w:rsidR="000A5F42" w:rsidRPr="000606CC" w:rsidRDefault="000A5F42" w:rsidP="000A5F42">
      <w:pPr>
        <w:pStyle w:val="NoSpacing"/>
        <w:rPr>
          <w:rStyle w:val="Strong"/>
          <w:rFonts w:cstheme="minorHAnsi"/>
          <w:sz w:val="20"/>
          <w:szCs w:val="18"/>
        </w:rPr>
      </w:pPr>
    </w:p>
    <w:p w14:paraId="6AE678B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14:paraId="26B109E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70D59019"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4C05FD3A"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1CD07483" w14:textId="77777777" w:rsidR="000A5F42" w:rsidRPr="000606CC" w:rsidRDefault="000A5F42" w:rsidP="000A5F42">
      <w:pPr>
        <w:pStyle w:val="NoSpacing"/>
        <w:rPr>
          <w:rStyle w:val="Strong"/>
          <w:rFonts w:cstheme="minorHAnsi"/>
          <w:sz w:val="20"/>
          <w:szCs w:val="18"/>
        </w:rPr>
      </w:pPr>
    </w:p>
    <w:p w14:paraId="04128249" w14:textId="4B2D579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7"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551CE2F1" w14:textId="77777777" w:rsidR="000A5F42" w:rsidRPr="000606CC" w:rsidRDefault="000A5F42" w:rsidP="000A5F42">
      <w:pPr>
        <w:pStyle w:val="NoSpacing"/>
        <w:rPr>
          <w:rStyle w:val="Strong"/>
          <w:rFonts w:cstheme="minorHAnsi"/>
          <w:sz w:val="20"/>
          <w:szCs w:val="18"/>
        </w:rPr>
      </w:pPr>
    </w:p>
    <w:p w14:paraId="503B08C6"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03CC69E0" w14:textId="77777777" w:rsidR="000A5F42" w:rsidRPr="000606CC" w:rsidRDefault="000A5F42" w:rsidP="000A5F42">
      <w:pPr>
        <w:pStyle w:val="NoSpacing"/>
        <w:rPr>
          <w:rStyle w:val="Strong"/>
          <w:rFonts w:cstheme="minorHAnsi"/>
          <w:sz w:val="20"/>
          <w:szCs w:val="18"/>
        </w:rPr>
      </w:pPr>
    </w:p>
    <w:p w14:paraId="540676F6" w14:textId="4A136E3A"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8"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170EAB3D" w14:textId="77777777" w:rsidR="000A5F42" w:rsidRPr="000606CC" w:rsidRDefault="000A5F42" w:rsidP="000A5F42">
      <w:pPr>
        <w:pStyle w:val="NoSpacing"/>
        <w:rPr>
          <w:rStyle w:val="Strong"/>
          <w:rFonts w:cstheme="minorHAnsi"/>
          <w:sz w:val="20"/>
          <w:szCs w:val="18"/>
        </w:rPr>
      </w:pPr>
    </w:p>
    <w:p w14:paraId="28CBFDE8" w14:textId="1E841E97"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9"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34D87058" w14:textId="3FD9B1B1"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0" w:history="1">
        <w:r w:rsidRPr="000606CC">
          <w:rPr>
            <w:rStyle w:val="Hyperlink"/>
            <w:rFonts w:cstheme="minorHAnsi"/>
            <w:sz w:val="20"/>
            <w:szCs w:val="18"/>
          </w:rPr>
          <w:t>cdi.editor@health.gov.au</w:t>
        </w:r>
      </w:hyperlink>
      <w:r w:rsidRPr="000606CC">
        <w:rPr>
          <w:rFonts w:cstheme="minorHAnsi"/>
          <w:sz w:val="20"/>
          <w:szCs w:val="18"/>
        </w:rPr>
        <w:t>.</w:t>
      </w:r>
    </w:p>
    <w:p w14:paraId="6E5AA93F" w14:textId="77777777" w:rsidR="000A5F42" w:rsidRPr="000606CC" w:rsidRDefault="000A5F42" w:rsidP="000A5F42">
      <w:pPr>
        <w:pStyle w:val="NoSpacing"/>
        <w:pBdr>
          <w:bottom w:val="single" w:sz="6" w:space="1" w:color="auto"/>
        </w:pBdr>
        <w:rPr>
          <w:rStyle w:val="Strong"/>
          <w:rFonts w:cstheme="minorHAnsi"/>
          <w:sz w:val="12"/>
          <w:szCs w:val="18"/>
        </w:rPr>
      </w:pPr>
    </w:p>
    <w:p w14:paraId="271BC874" w14:textId="77777777" w:rsidR="000A5F42" w:rsidRPr="000606CC" w:rsidRDefault="000A5F42" w:rsidP="000A5F42">
      <w:pPr>
        <w:pStyle w:val="NoSpacing"/>
        <w:rPr>
          <w:rFonts w:cstheme="minorHAnsi"/>
          <w:sz w:val="20"/>
          <w:szCs w:val="18"/>
        </w:rPr>
      </w:pPr>
    </w:p>
    <w:p w14:paraId="6FE5D9A3"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5FDB37B3" w14:textId="77777777" w:rsidR="000A5F42" w:rsidRPr="000606CC" w:rsidRDefault="000A5F42" w:rsidP="000A5F42">
      <w:pPr>
        <w:pStyle w:val="NoSpacing"/>
        <w:rPr>
          <w:rFonts w:cstheme="minorHAnsi"/>
          <w:sz w:val="20"/>
          <w:szCs w:val="18"/>
        </w:rPr>
      </w:pPr>
    </w:p>
    <w:p w14:paraId="77F4C709"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04848B86"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14:paraId="6BE952D8" w14:textId="4ED5A2DE"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1"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711C0707" w14:textId="77777777" w:rsidR="000A5F42" w:rsidRPr="000606CC" w:rsidRDefault="000A5F42" w:rsidP="000A5F42">
      <w:pPr>
        <w:pStyle w:val="NoSpacing"/>
        <w:rPr>
          <w:rFonts w:cstheme="minorHAnsi"/>
          <w:sz w:val="20"/>
          <w:szCs w:val="18"/>
        </w:rPr>
      </w:pPr>
    </w:p>
    <w:p w14:paraId="5B467A5F"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39D17ED4" w14:textId="4303FA9C"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2"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34FB6F9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2CF404B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2866923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020318E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4BDE1042" w14:textId="77777777" w:rsidR="000A5F42" w:rsidRPr="000606CC" w:rsidRDefault="000A5F42" w:rsidP="000A5F42">
      <w:pPr>
        <w:pStyle w:val="NoSpacing"/>
        <w:rPr>
          <w:rStyle w:val="Strong"/>
          <w:rFonts w:cstheme="minorHAnsi"/>
          <w:sz w:val="20"/>
          <w:szCs w:val="18"/>
        </w:rPr>
      </w:pPr>
    </w:p>
    <w:p w14:paraId="21228760"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44B03EB9" w14:textId="77777777" w:rsidR="000A5F42" w:rsidRPr="000606CC" w:rsidRDefault="000A5F42" w:rsidP="000A5F42">
      <w:pPr>
        <w:pStyle w:val="NoSpacing"/>
        <w:rPr>
          <w:rStyle w:val="Strong"/>
          <w:rFonts w:cstheme="minorHAnsi"/>
          <w:sz w:val="20"/>
          <w:szCs w:val="18"/>
        </w:rPr>
      </w:pPr>
    </w:p>
    <w:p w14:paraId="386318AC" w14:textId="022B7D39"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3"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4CB653AD" w14:textId="77777777" w:rsidR="000A5F42" w:rsidRPr="000606CC" w:rsidRDefault="000A5F42" w:rsidP="000A5F42">
      <w:pPr>
        <w:pStyle w:val="NoSpacing"/>
        <w:rPr>
          <w:rStyle w:val="URI"/>
          <w:rFonts w:cstheme="minorHAnsi"/>
          <w:sz w:val="20"/>
          <w:szCs w:val="18"/>
        </w:rPr>
      </w:pPr>
    </w:p>
    <w:p w14:paraId="09B501D9" w14:textId="30C805D4"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4" w:tooltip="Communicable Diseases Network Australia website" w:history="1">
        <w:r w:rsidRPr="000606CC">
          <w:rPr>
            <w:rStyle w:val="Hyperlink"/>
            <w:rFonts w:cstheme="minorHAnsi"/>
            <w:sz w:val="20"/>
            <w:szCs w:val="18"/>
          </w:rPr>
          <w:t>http://www.health.gov.au/cdna</w:t>
        </w:r>
      </w:hyperlink>
    </w:p>
    <w:p w14:paraId="001487D3" w14:textId="77777777" w:rsidR="001B37B8" w:rsidRPr="00E92237" w:rsidRDefault="001B37B8" w:rsidP="001B37B8">
      <w:pPr>
        <w:rPr>
          <w:rFonts w:cs="Myriad Pro"/>
          <w:color w:val="211D1E"/>
          <w:sz w:val="20"/>
          <w:szCs w:val="20"/>
        </w:rPr>
      </w:pPr>
    </w:p>
    <w:sectPr w:rsidR="001B37B8" w:rsidRPr="00E92237" w:rsidSect="002B75A9">
      <w:headerReference w:type="default" r:id="rId25"/>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1FF54A" w14:textId="77777777" w:rsidR="00C02762" w:rsidRDefault="00C02762" w:rsidP="00E54DBA">
      <w:r>
        <w:separator/>
      </w:r>
    </w:p>
    <w:p w14:paraId="3711FF36" w14:textId="77777777" w:rsidR="00C02762" w:rsidRDefault="00C02762"/>
    <w:p w14:paraId="487880AD" w14:textId="77777777" w:rsidR="00C02762" w:rsidRDefault="00C02762" w:rsidP="008714B0"/>
  </w:endnote>
  <w:endnote w:type="continuationSeparator" w:id="0">
    <w:p w14:paraId="15C94A9B" w14:textId="77777777" w:rsidR="00C02762" w:rsidRDefault="00C02762" w:rsidP="00E54DBA">
      <w:r>
        <w:continuationSeparator/>
      </w:r>
    </w:p>
    <w:p w14:paraId="663FD45A" w14:textId="77777777" w:rsidR="00C02762" w:rsidRDefault="00C02762"/>
    <w:p w14:paraId="39C27BCE" w14:textId="77777777" w:rsidR="00C02762" w:rsidRDefault="00C02762"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Aria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05BF40" w14:textId="4F8B4E4E"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8A452D">
      <w:rPr>
        <w:i/>
        <w:sz w:val="18"/>
      </w:rPr>
      <w:t>Commun</w:t>
    </w:r>
    <w:proofErr w:type="spellEnd"/>
    <w:r w:rsidR="00CE342B" w:rsidRPr="008A452D">
      <w:rPr>
        <w:i/>
        <w:sz w:val="18"/>
      </w:rPr>
      <w:t xml:space="preserve"> Dis </w:t>
    </w:r>
    <w:proofErr w:type="spellStart"/>
    <w:r w:rsidR="00CE342B" w:rsidRPr="008A452D">
      <w:rPr>
        <w:i/>
        <w:sz w:val="18"/>
      </w:rPr>
      <w:t>Intell</w:t>
    </w:r>
    <w:proofErr w:type="spellEnd"/>
    <w:r w:rsidR="00CE342B" w:rsidRPr="008A452D">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6E4736">
      <w:rPr>
        <w:sz w:val="18"/>
      </w:rPr>
      <w:t>2022</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6E4736">
      <w:rPr>
        <w:sz w:val="18"/>
      </w:rPr>
      <w:t>46</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6E4736">
      <w:rPr>
        <w:sz w:val="18"/>
      </w:rPr>
      <w:t>https://doi.org/10.33321/cdi.2022.46.7</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6E4736">
      <w:rPr>
        <w:sz w:val="18"/>
      </w:rPr>
      <w:t>16/02/2022</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D3C467" w14:textId="33DB586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8A452D">
      <w:rPr>
        <w:i/>
        <w:sz w:val="18"/>
      </w:rPr>
      <w:t>Commun</w:t>
    </w:r>
    <w:proofErr w:type="spellEnd"/>
    <w:r w:rsidR="00A164D5" w:rsidRPr="008A452D">
      <w:rPr>
        <w:i/>
        <w:sz w:val="18"/>
      </w:rPr>
      <w:t xml:space="preserve"> Dis </w:t>
    </w:r>
    <w:proofErr w:type="spellStart"/>
    <w:r w:rsidR="00A164D5" w:rsidRPr="008A452D">
      <w:rPr>
        <w:i/>
        <w:sz w:val="18"/>
      </w:rPr>
      <w:t>Intell</w:t>
    </w:r>
    <w:proofErr w:type="spellEnd"/>
    <w:r w:rsidR="00A164D5" w:rsidRPr="008A452D">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6E4736">
      <w:rPr>
        <w:sz w:val="18"/>
      </w:rPr>
      <w:t>2022</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6E4736">
      <w:rPr>
        <w:sz w:val="18"/>
      </w:rPr>
      <w:t>46</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6E4736">
      <w:rPr>
        <w:sz w:val="18"/>
      </w:rPr>
      <w:t>https://doi.org/10.33321/cdi.2022.46.7</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6E4736">
      <w:rPr>
        <w:sz w:val="18"/>
      </w:rPr>
      <w:t>16/02/2022</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AB60A7" w14:textId="77777777" w:rsidR="00C02762" w:rsidRPr="00B91FB5" w:rsidRDefault="00C02762" w:rsidP="00B91FB5">
      <w:pPr>
        <w:spacing w:after="0" w:line="240" w:lineRule="auto"/>
        <w:rPr>
          <w:sz w:val="18"/>
          <w:szCs w:val="18"/>
        </w:rPr>
      </w:pPr>
      <w:r w:rsidRPr="00B91FB5">
        <w:rPr>
          <w:sz w:val="18"/>
          <w:szCs w:val="18"/>
        </w:rPr>
        <w:separator/>
      </w:r>
    </w:p>
  </w:footnote>
  <w:footnote w:type="continuationSeparator" w:id="0">
    <w:p w14:paraId="5DAE8748" w14:textId="77777777" w:rsidR="00C02762" w:rsidRDefault="00C02762" w:rsidP="00E54DBA">
      <w:r>
        <w:continuationSeparator/>
      </w:r>
    </w:p>
  </w:footnote>
  <w:footnote w:type="continuationNotice" w:id="1">
    <w:p w14:paraId="16F02FD4" w14:textId="77777777" w:rsidR="00C02762" w:rsidRPr="00224EFF" w:rsidRDefault="00C02762"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B6EE6" w14:textId="0A71E153" w:rsidR="00257484" w:rsidRPr="00A153B6" w:rsidRDefault="002F3C0E"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28799D">
          <w:t>Original article</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CF1DBA"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518872D1" wp14:editId="7AA9962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0F23A4"/>
    <w:multiLevelType w:val="hybridMultilevel"/>
    <w:tmpl w:val="ED965C2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74E510D"/>
    <w:multiLevelType w:val="multilevel"/>
    <w:tmpl w:val="686C7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72E455A"/>
    <w:multiLevelType w:val="hybridMultilevel"/>
    <w:tmpl w:val="8E7A7F1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A89232B"/>
    <w:multiLevelType w:val="multilevel"/>
    <w:tmpl w:val="B8A4F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5"/>
  </w:num>
  <w:num w:numId="3">
    <w:abstractNumId w:val="6"/>
  </w:num>
  <w:num w:numId="4">
    <w:abstractNumId w:val="2"/>
  </w:num>
  <w:num w:numId="5">
    <w:abstractNumId w:val="7"/>
  </w:num>
  <w:num w:numId="6">
    <w:abstractNumId w:val="8"/>
  </w:num>
  <w:num w:numId="7">
    <w:abstractNumId w:val="9"/>
  </w:num>
  <w:num w:numId="8">
    <w:abstractNumId w:val="1"/>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attachedTemplate r:id="rId1"/>
  <w:linkStyles/>
  <w:defaultTabStop w:val="720"/>
  <w:noPunctuationKerning/>
  <w:characterSpacingControl w:val="doNotCompress"/>
  <w:hdrShapeDefaults>
    <o:shapedefaults v:ext="edit" spidmax="14337"/>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762"/>
    <w:rsid w:val="00000B5B"/>
    <w:rsid w:val="00001611"/>
    <w:rsid w:val="000104A8"/>
    <w:rsid w:val="0001246E"/>
    <w:rsid w:val="000124B1"/>
    <w:rsid w:val="0001633B"/>
    <w:rsid w:val="00016FE6"/>
    <w:rsid w:val="00031064"/>
    <w:rsid w:val="00031692"/>
    <w:rsid w:val="00032531"/>
    <w:rsid w:val="000325A0"/>
    <w:rsid w:val="000471BF"/>
    <w:rsid w:val="00047B68"/>
    <w:rsid w:val="000512A8"/>
    <w:rsid w:val="00052600"/>
    <w:rsid w:val="0005643C"/>
    <w:rsid w:val="0006264A"/>
    <w:rsid w:val="00073D77"/>
    <w:rsid w:val="00081655"/>
    <w:rsid w:val="000864E0"/>
    <w:rsid w:val="000969B3"/>
    <w:rsid w:val="000A5F42"/>
    <w:rsid w:val="000D4B4D"/>
    <w:rsid w:val="0010360E"/>
    <w:rsid w:val="00106160"/>
    <w:rsid w:val="00113D58"/>
    <w:rsid w:val="001200CB"/>
    <w:rsid w:val="001378A3"/>
    <w:rsid w:val="00144941"/>
    <w:rsid w:val="001503CC"/>
    <w:rsid w:val="00155582"/>
    <w:rsid w:val="00161590"/>
    <w:rsid w:val="00171CC0"/>
    <w:rsid w:val="00175494"/>
    <w:rsid w:val="00175629"/>
    <w:rsid w:val="001830EC"/>
    <w:rsid w:val="00183534"/>
    <w:rsid w:val="001A4A96"/>
    <w:rsid w:val="001A5D05"/>
    <w:rsid w:val="001A796C"/>
    <w:rsid w:val="001B2614"/>
    <w:rsid w:val="001B37B8"/>
    <w:rsid w:val="001B552F"/>
    <w:rsid w:val="001C0893"/>
    <w:rsid w:val="001C0BC1"/>
    <w:rsid w:val="001C1303"/>
    <w:rsid w:val="001C70B2"/>
    <w:rsid w:val="001D37C7"/>
    <w:rsid w:val="001D6888"/>
    <w:rsid w:val="00204504"/>
    <w:rsid w:val="00220C15"/>
    <w:rsid w:val="00221928"/>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78"/>
    <w:rsid w:val="00280594"/>
    <w:rsid w:val="00281EE3"/>
    <w:rsid w:val="00284E4A"/>
    <w:rsid w:val="0028799D"/>
    <w:rsid w:val="002A3799"/>
    <w:rsid w:val="002A3BCC"/>
    <w:rsid w:val="002A4516"/>
    <w:rsid w:val="002A569F"/>
    <w:rsid w:val="002A7066"/>
    <w:rsid w:val="002B001E"/>
    <w:rsid w:val="002B09B7"/>
    <w:rsid w:val="002B75A9"/>
    <w:rsid w:val="002C21B0"/>
    <w:rsid w:val="002E01F4"/>
    <w:rsid w:val="002E2FB3"/>
    <w:rsid w:val="002F327B"/>
    <w:rsid w:val="002F3C0E"/>
    <w:rsid w:val="00301626"/>
    <w:rsid w:val="003059EC"/>
    <w:rsid w:val="003160EA"/>
    <w:rsid w:val="00316CCD"/>
    <w:rsid w:val="00324F7E"/>
    <w:rsid w:val="003323BC"/>
    <w:rsid w:val="00333163"/>
    <w:rsid w:val="00346D42"/>
    <w:rsid w:val="00346E11"/>
    <w:rsid w:val="003601C0"/>
    <w:rsid w:val="003635F5"/>
    <w:rsid w:val="00372A88"/>
    <w:rsid w:val="00381A0F"/>
    <w:rsid w:val="00396A2F"/>
    <w:rsid w:val="003A1B3A"/>
    <w:rsid w:val="003A40F5"/>
    <w:rsid w:val="003B5B8C"/>
    <w:rsid w:val="003C5D9C"/>
    <w:rsid w:val="003D79B1"/>
    <w:rsid w:val="003E74EE"/>
    <w:rsid w:val="003F0552"/>
    <w:rsid w:val="003F3BC2"/>
    <w:rsid w:val="00401ED1"/>
    <w:rsid w:val="0040224C"/>
    <w:rsid w:val="00413EE1"/>
    <w:rsid w:val="004164BB"/>
    <w:rsid w:val="0042000E"/>
    <w:rsid w:val="00421ECE"/>
    <w:rsid w:val="00422FEB"/>
    <w:rsid w:val="0042435E"/>
    <w:rsid w:val="004246C8"/>
    <w:rsid w:val="004315F5"/>
    <w:rsid w:val="00433456"/>
    <w:rsid w:val="00433DFA"/>
    <w:rsid w:val="00435D67"/>
    <w:rsid w:val="00464A58"/>
    <w:rsid w:val="00473D2D"/>
    <w:rsid w:val="004A2125"/>
    <w:rsid w:val="004A38F6"/>
    <w:rsid w:val="004B4EB6"/>
    <w:rsid w:val="004C083C"/>
    <w:rsid w:val="004C67C6"/>
    <w:rsid w:val="004D29DE"/>
    <w:rsid w:val="00505BD7"/>
    <w:rsid w:val="00510EAC"/>
    <w:rsid w:val="00542A57"/>
    <w:rsid w:val="00555048"/>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12D7"/>
    <w:rsid w:val="005D2465"/>
    <w:rsid w:val="005E33DD"/>
    <w:rsid w:val="005E4229"/>
    <w:rsid w:val="005E540E"/>
    <w:rsid w:val="005E55FB"/>
    <w:rsid w:val="005F16BB"/>
    <w:rsid w:val="00607115"/>
    <w:rsid w:val="00620768"/>
    <w:rsid w:val="0062594B"/>
    <w:rsid w:val="00631406"/>
    <w:rsid w:val="006324FF"/>
    <w:rsid w:val="006351D6"/>
    <w:rsid w:val="00636E0D"/>
    <w:rsid w:val="0064142F"/>
    <w:rsid w:val="00643CB4"/>
    <w:rsid w:val="006473C3"/>
    <w:rsid w:val="00656427"/>
    <w:rsid w:val="00660255"/>
    <w:rsid w:val="00675E0C"/>
    <w:rsid w:val="006971F3"/>
    <w:rsid w:val="006C74A3"/>
    <w:rsid w:val="006D1381"/>
    <w:rsid w:val="006D31BC"/>
    <w:rsid w:val="006E4736"/>
    <w:rsid w:val="006E7943"/>
    <w:rsid w:val="006F24EA"/>
    <w:rsid w:val="00704CA9"/>
    <w:rsid w:val="0071048D"/>
    <w:rsid w:val="00710F86"/>
    <w:rsid w:val="007111A8"/>
    <w:rsid w:val="00731BC3"/>
    <w:rsid w:val="00741192"/>
    <w:rsid w:val="00743A33"/>
    <w:rsid w:val="00746080"/>
    <w:rsid w:val="0075144A"/>
    <w:rsid w:val="00786329"/>
    <w:rsid w:val="00792C7D"/>
    <w:rsid w:val="00794A4D"/>
    <w:rsid w:val="007A354E"/>
    <w:rsid w:val="007A5234"/>
    <w:rsid w:val="007B7854"/>
    <w:rsid w:val="007C2658"/>
    <w:rsid w:val="007C56A1"/>
    <w:rsid w:val="007C6454"/>
    <w:rsid w:val="007E01E0"/>
    <w:rsid w:val="007F0B93"/>
    <w:rsid w:val="007F2ECA"/>
    <w:rsid w:val="007F342E"/>
    <w:rsid w:val="00811708"/>
    <w:rsid w:val="00816B90"/>
    <w:rsid w:val="00817799"/>
    <w:rsid w:val="00822F5F"/>
    <w:rsid w:val="00824FD3"/>
    <w:rsid w:val="00826589"/>
    <w:rsid w:val="00834BCC"/>
    <w:rsid w:val="00850D54"/>
    <w:rsid w:val="008714B0"/>
    <w:rsid w:val="00876331"/>
    <w:rsid w:val="00880726"/>
    <w:rsid w:val="008A3544"/>
    <w:rsid w:val="008A452D"/>
    <w:rsid w:val="008B48B8"/>
    <w:rsid w:val="008B5348"/>
    <w:rsid w:val="008B58F8"/>
    <w:rsid w:val="008C0712"/>
    <w:rsid w:val="008C0A3E"/>
    <w:rsid w:val="008C4520"/>
    <w:rsid w:val="008C5F09"/>
    <w:rsid w:val="008D470F"/>
    <w:rsid w:val="008E1F8F"/>
    <w:rsid w:val="008E4768"/>
    <w:rsid w:val="008E761E"/>
    <w:rsid w:val="008F77B3"/>
    <w:rsid w:val="009008F5"/>
    <w:rsid w:val="00904CC1"/>
    <w:rsid w:val="009066AF"/>
    <w:rsid w:val="00912050"/>
    <w:rsid w:val="00912E48"/>
    <w:rsid w:val="0092746F"/>
    <w:rsid w:val="00927D9C"/>
    <w:rsid w:val="00935DC9"/>
    <w:rsid w:val="009446C0"/>
    <w:rsid w:val="0096082E"/>
    <w:rsid w:val="00961347"/>
    <w:rsid w:val="00967410"/>
    <w:rsid w:val="00967D73"/>
    <w:rsid w:val="0098119A"/>
    <w:rsid w:val="00984AAF"/>
    <w:rsid w:val="00991B09"/>
    <w:rsid w:val="00993CB2"/>
    <w:rsid w:val="00994003"/>
    <w:rsid w:val="00996DAB"/>
    <w:rsid w:val="009A5166"/>
    <w:rsid w:val="009A76F8"/>
    <w:rsid w:val="009B2B83"/>
    <w:rsid w:val="009C06A1"/>
    <w:rsid w:val="009C18CA"/>
    <w:rsid w:val="009C49F8"/>
    <w:rsid w:val="009D2877"/>
    <w:rsid w:val="009D77CC"/>
    <w:rsid w:val="009E2423"/>
    <w:rsid w:val="009E55D7"/>
    <w:rsid w:val="009F4150"/>
    <w:rsid w:val="009F5665"/>
    <w:rsid w:val="009F5DAD"/>
    <w:rsid w:val="00A01BCA"/>
    <w:rsid w:val="00A10458"/>
    <w:rsid w:val="00A153B6"/>
    <w:rsid w:val="00A164D5"/>
    <w:rsid w:val="00A273C3"/>
    <w:rsid w:val="00A30C37"/>
    <w:rsid w:val="00A316AC"/>
    <w:rsid w:val="00A36C65"/>
    <w:rsid w:val="00A41BBE"/>
    <w:rsid w:val="00A443E3"/>
    <w:rsid w:val="00A45BDD"/>
    <w:rsid w:val="00A46A0A"/>
    <w:rsid w:val="00A553F8"/>
    <w:rsid w:val="00A6708F"/>
    <w:rsid w:val="00A71BF6"/>
    <w:rsid w:val="00A72AF9"/>
    <w:rsid w:val="00A86F9A"/>
    <w:rsid w:val="00A9052A"/>
    <w:rsid w:val="00A92407"/>
    <w:rsid w:val="00A92F63"/>
    <w:rsid w:val="00AA35E6"/>
    <w:rsid w:val="00AA50B6"/>
    <w:rsid w:val="00AB3472"/>
    <w:rsid w:val="00AD0762"/>
    <w:rsid w:val="00AE3DCF"/>
    <w:rsid w:val="00AE4452"/>
    <w:rsid w:val="00AE47B9"/>
    <w:rsid w:val="00AE7C38"/>
    <w:rsid w:val="00B01F99"/>
    <w:rsid w:val="00B02B37"/>
    <w:rsid w:val="00B05276"/>
    <w:rsid w:val="00B132DB"/>
    <w:rsid w:val="00B31427"/>
    <w:rsid w:val="00B33861"/>
    <w:rsid w:val="00B40DE2"/>
    <w:rsid w:val="00B47BC4"/>
    <w:rsid w:val="00B50210"/>
    <w:rsid w:val="00B53955"/>
    <w:rsid w:val="00B56D33"/>
    <w:rsid w:val="00B6408A"/>
    <w:rsid w:val="00B714B8"/>
    <w:rsid w:val="00B82C2C"/>
    <w:rsid w:val="00B8720B"/>
    <w:rsid w:val="00B876EF"/>
    <w:rsid w:val="00B91FB5"/>
    <w:rsid w:val="00BA4697"/>
    <w:rsid w:val="00BB5378"/>
    <w:rsid w:val="00BC0BD3"/>
    <w:rsid w:val="00BD0107"/>
    <w:rsid w:val="00BE0C33"/>
    <w:rsid w:val="00BE262C"/>
    <w:rsid w:val="00BE6C3D"/>
    <w:rsid w:val="00C02762"/>
    <w:rsid w:val="00C07606"/>
    <w:rsid w:val="00C12542"/>
    <w:rsid w:val="00C24725"/>
    <w:rsid w:val="00C30BA9"/>
    <w:rsid w:val="00C3300C"/>
    <w:rsid w:val="00C3541E"/>
    <w:rsid w:val="00C36A8F"/>
    <w:rsid w:val="00C42834"/>
    <w:rsid w:val="00C42FFA"/>
    <w:rsid w:val="00C507D8"/>
    <w:rsid w:val="00C62EAC"/>
    <w:rsid w:val="00C63F9F"/>
    <w:rsid w:val="00C7723C"/>
    <w:rsid w:val="00C838F5"/>
    <w:rsid w:val="00C841C0"/>
    <w:rsid w:val="00CA1AF4"/>
    <w:rsid w:val="00CA6068"/>
    <w:rsid w:val="00CB15E1"/>
    <w:rsid w:val="00CB3D46"/>
    <w:rsid w:val="00CB4804"/>
    <w:rsid w:val="00CD1A87"/>
    <w:rsid w:val="00CD35F3"/>
    <w:rsid w:val="00CD5C93"/>
    <w:rsid w:val="00CE342B"/>
    <w:rsid w:val="00CF320C"/>
    <w:rsid w:val="00CF3A4B"/>
    <w:rsid w:val="00CF4001"/>
    <w:rsid w:val="00D05837"/>
    <w:rsid w:val="00D12D8A"/>
    <w:rsid w:val="00D13E0C"/>
    <w:rsid w:val="00D25896"/>
    <w:rsid w:val="00D3164B"/>
    <w:rsid w:val="00D373A1"/>
    <w:rsid w:val="00D37C0F"/>
    <w:rsid w:val="00D45661"/>
    <w:rsid w:val="00D45943"/>
    <w:rsid w:val="00D47D22"/>
    <w:rsid w:val="00D51865"/>
    <w:rsid w:val="00D51D0C"/>
    <w:rsid w:val="00D74140"/>
    <w:rsid w:val="00DA0789"/>
    <w:rsid w:val="00DA6E56"/>
    <w:rsid w:val="00DC24E5"/>
    <w:rsid w:val="00DC6705"/>
    <w:rsid w:val="00DC6DEA"/>
    <w:rsid w:val="00DD2DE8"/>
    <w:rsid w:val="00DE38B4"/>
    <w:rsid w:val="00DE5D02"/>
    <w:rsid w:val="00E005A9"/>
    <w:rsid w:val="00E05A16"/>
    <w:rsid w:val="00E1166E"/>
    <w:rsid w:val="00E24DC0"/>
    <w:rsid w:val="00E2519C"/>
    <w:rsid w:val="00E25F2A"/>
    <w:rsid w:val="00E37F79"/>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2006"/>
    <w:rsid w:val="00F14F3B"/>
    <w:rsid w:val="00F16362"/>
    <w:rsid w:val="00F207C7"/>
    <w:rsid w:val="00F36B6D"/>
    <w:rsid w:val="00F43FA3"/>
    <w:rsid w:val="00F55648"/>
    <w:rsid w:val="00F70046"/>
    <w:rsid w:val="00F73DF9"/>
    <w:rsid w:val="00F748C2"/>
    <w:rsid w:val="00F74958"/>
    <w:rsid w:val="00F76C5C"/>
    <w:rsid w:val="00F81EF3"/>
    <w:rsid w:val="00F84496"/>
    <w:rsid w:val="00F85DCB"/>
    <w:rsid w:val="00F86F9C"/>
    <w:rsid w:val="00F90D76"/>
    <w:rsid w:val="00FC002E"/>
    <w:rsid w:val="00FC4C23"/>
    <w:rsid w:val="00FC4DBB"/>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49B61AB"/>
  <w15:docId w15:val="{561A9C18-BC4F-4DF0-BED7-DF0EC4245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160"/>
  </w:style>
  <w:style w:type="paragraph" w:styleId="Heading1">
    <w:name w:val="heading 1"/>
    <w:basedOn w:val="Normal"/>
    <w:next w:val="Normal"/>
    <w:link w:val="Heading1Char"/>
    <w:uiPriority w:val="9"/>
    <w:qFormat/>
    <w:rsid w:val="00106160"/>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106160"/>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106160"/>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106160"/>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106160"/>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106160"/>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106160"/>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106160"/>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106160"/>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rsid w:val="0010616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06160"/>
  </w:style>
  <w:style w:type="character" w:customStyle="1" w:styleId="Heading1Char">
    <w:name w:val="Heading 1 Char"/>
    <w:basedOn w:val="DefaultParagraphFont"/>
    <w:link w:val="Heading1"/>
    <w:uiPriority w:val="9"/>
    <w:rsid w:val="00106160"/>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rsid w:val="00106160"/>
    <w:pPr>
      <w:spacing w:before="100" w:beforeAutospacing="1" w:after="100" w:afterAutospacing="1"/>
    </w:pPr>
  </w:style>
  <w:style w:type="character" w:styleId="Strong">
    <w:name w:val="Strong"/>
    <w:uiPriority w:val="99"/>
    <w:qFormat/>
    <w:rsid w:val="00106160"/>
    <w:rPr>
      <w:b/>
      <w:bCs/>
    </w:rPr>
  </w:style>
  <w:style w:type="character" w:customStyle="1" w:styleId="Heading2Char">
    <w:name w:val="Heading 2 Char"/>
    <w:basedOn w:val="DefaultParagraphFont"/>
    <w:link w:val="Heading2"/>
    <w:uiPriority w:val="9"/>
    <w:rsid w:val="00106160"/>
    <w:rPr>
      <w:rFonts w:asciiTheme="majorHAnsi" w:eastAsiaTheme="majorEastAsia" w:hAnsiTheme="majorHAnsi" w:cstheme="majorBidi"/>
      <w:b/>
      <w:bCs/>
      <w:sz w:val="26"/>
      <w:szCs w:val="26"/>
    </w:rPr>
  </w:style>
  <w:style w:type="character" w:styleId="Emphasis">
    <w:name w:val="Emphasis"/>
    <w:uiPriority w:val="20"/>
    <w:qFormat/>
    <w:rsid w:val="00106160"/>
    <w:rPr>
      <w:b/>
      <w:bCs/>
      <w:i/>
      <w:iCs/>
      <w:spacing w:val="10"/>
      <w:bdr w:val="none" w:sz="0" w:space="0" w:color="auto"/>
      <w:shd w:val="clear" w:color="auto" w:fill="auto"/>
    </w:rPr>
  </w:style>
  <w:style w:type="paragraph" w:customStyle="1" w:styleId="table-text">
    <w:name w:val="table-text"/>
    <w:basedOn w:val="Normal"/>
    <w:rsid w:val="00106160"/>
    <w:rPr>
      <w:rFonts w:ascii="Myriad Pro" w:hAnsi="Myriad Pro"/>
      <w:color w:val="231F20"/>
      <w:sz w:val="14"/>
      <w:szCs w:val="14"/>
    </w:rPr>
  </w:style>
  <w:style w:type="paragraph" w:customStyle="1" w:styleId="table-h1">
    <w:name w:val="table-h1"/>
    <w:basedOn w:val="Normal"/>
    <w:rsid w:val="00106160"/>
    <w:rPr>
      <w:rFonts w:ascii="Myriad Pro" w:hAnsi="Myriad Pro"/>
      <w:b/>
      <w:bCs/>
      <w:color w:val="FFFFFF"/>
      <w:sz w:val="14"/>
      <w:szCs w:val="14"/>
    </w:rPr>
  </w:style>
  <w:style w:type="character" w:customStyle="1" w:styleId="Strong1">
    <w:name w:val="Strong1"/>
    <w:basedOn w:val="DefaultParagraphFont"/>
    <w:rsid w:val="00106160"/>
    <w:rPr>
      <w:b/>
      <w:bCs/>
      <w:i w:val="0"/>
      <w:iCs w:val="0"/>
    </w:rPr>
  </w:style>
  <w:style w:type="character" w:customStyle="1" w:styleId="superscript">
    <w:name w:val="superscript"/>
    <w:basedOn w:val="DefaultParagraphFont"/>
    <w:rsid w:val="00106160"/>
    <w:rPr>
      <w:vertAlign w:val="superscript"/>
    </w:rPr>
  </w:style>
  <w:style w:type="paragraph" w:customStyle="1" w:styleId="footnote">
    <w:name w:val="footnote"/>
    <w:basedOn w:val="Normal"/>
    <w:rsid w:val="00106160"/>
    <w:rPr>
      <w:rFonts w:ascii="Myriad Pro" w:hAnsi="Myriad Pro"/>
      <w:color w:val="231F20"/>
      <w:sz w:val="12"/>
      <w:szCs w:val="12"/>
    </w:rPr>
  </w:style>
  <w:style w:type="paragraph" w:customStyle="1" w:styleId="figure-table-title">
    <w:name w:val="figure-table-title"/>
    <w:basedOn w:val="Normal"/>
    <w:rsid w:val="00106160"/>
    <w:pPr>
      <w:spacing w:after="180"/>
    </w:pPr>
    <w:rPr>
      <w:rFonts w:ascii="Minion Pro SmBd" w:hAnsi="Minion Pro SmBd"/>
      <w:b/>
      <w:bCs/>
      <w:color w:val="231F20"/>
      <w:sz w:val="18"/>
      <w:szCs w:val="18"/>
    </w:rPr>
  </w:style>
  <w:style w:type="paragraph" w:styleId="ListParagraph">
    <w:name w:val="List Paragraph"/>
    <w:basedOn w:val="Normal"/>
    <w:uiPriority w:val="34"/>
    <w:qFormat/>
    <w:rsid w:val="00106160"/>
    <w:pPr>
      <w:ind w:left="720"/>
      <w:contextualSpacing/>
    </w:pPr>
  </w:style>
  <w:style w:type="paragraph" w:styleId="Header">
    <w:name w:val="header"/>
    <w:basedOn w:val="Normal"/>
    <w:link w:val="HeaderChar"/>
    <w:uiPriority w:val="99"/>
    <w:unhideWhenUsed/>
    <w:rsid w:val="00106160"/>
    <w:pPr>
      <w:tabs>
        <w:tab w:val="center" w:pos="4513"/>
        <w:tab w:val="right" w:pos="9026"/>
      </w:tabs>
    </w:pPr>
  </w:style>
  <w:style w:type="character" w:customStyle="1" w:styleId="HeaderChar">
    <w:name w:val="Header Char"/>
    <w:basedOn w:val="DefaultParagraphFont"/>
    <w:link w:val="Header"/>
    <w:uiPriority w:val="99"/>
    <w:rsid w:val="00106160"/>
  </w:style>
  <w:style w:type="paragraph" w:styleId="Footer">
    <w:name w:val="footer"/>
    <w:basedOn w:val="Normal"/>
    <w:link w:val="FooterChar"/>
    <w:uiPriority w:val="99"/>
    <w:unhideWhenUsed/>
    <w:rsid w:val="00106160"/>
    <w:pPr>
      <w:tabs>
        <w:tab w:val="center" w:pos="4513"/>
        <w:tab w:val="right" w:pos="9026"/>
      </w:tabs>
    </w:pPr>
  </w:style>
  <w:style w:type="character" w:customStyle="1" w:styleId="FooterChar">
    <w:name w:val="Footer Char"/>
    <w:basedOn w:val="DefaultParagraphFont"/>
    <w:link w:val="Footer"/>
    <w:uiPriority w:val="99"/>
    <w:rsid w:val="00106160"/>
  </w:style>
  <w:style w:type="paragraph" w:styleId="Title">
    <w:name w:val="Title"/>
    <w:basedOn w:val="Normal"/>
    <w:next w:val="Normal"/>
    <w:link w:val="TitleChar"/>
    <w:uiPriority w:val="10"/>
    <w:qFormat/>
    <w:rsid w:val="00106160"/>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106160"/>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106160"/>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10616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10616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106160"/>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10616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106160"/>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106160"/>
    <w:pPr>
      <w:spacing w:after="0" w:line="240" w:lineRule="auto"/>
    </w:pPr>
  </w:style>
  <w:style w:type="paragraph" w:styleId="Quote">
    <w:name w:val="Quote"/>
    <w:basedOn w:val="Normal"/>
    <w:next w:val="Normal"/>
    <w:link w:val="QuoteChar"/>
    <w:uiPriority w:val="29"/>
    <w:qFormat/>
    <w:rsid w:val="00106160"/>
    <w:pPr>
      <w:spacing w:before="200" w:after="0"/>
      <w:ind w:left="360" w:right="360"/>
    </w:pPr>
    <w:rPr>
      <w:i/>
      <w:iCs/>
    </w:rPr>
  </w:style>
  <w:style w:type="character" w:customStyle="1" w:styleId="QuoteChar">
    <w:name w:val="Quote Char"/>
    <w:basedOn w:val="DefaultParagraphFont"/>
    <w:link w:val="Quote"/>
    <w:uiPriority w:val="29"/>
    <w:rsid w:val="00106160"/>
    <w:rPr>
      <w:i/>
      <w:iCs/>
    </w:rPr>
  </w:style>
  <w:style w:type="paragraph" w:styleId="IntenseQuote">
    <w:name w:val="Intense Quote"/>
    <w:basedOn w:val="Normal"/>
    <w:next w:val="Normal"/>
    <w:link w:val="IntenseQuoteChar"/>
    <w:uiPriority w:val="30"/>
    <w:qFormat/>
    <w:rsid w:val="00106160"/>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106160"/>
    <w:rPr>
      <w:b/>
      <w:bCs/>
      <w:i/>
      <w:iCs/>
    </w:rPr>
  </w:style>
  <w:style w:type="character" w:styleId="SubtleEmphasis">
    <w:name w:val="Subtle Emphasis"/>
    <w:uiPriority w:val="19"/>
    <w:qFormat/>
    <w:rsid w:val="00106160"/>
    <w:rPr>
      <w:i/>
      <w:iCs/>
    </w:rPr>
  </w:style>
  <w:style w:type="character" w:styleId="IntenseEmphasis">
    <w:name w:val="Intense Emphasis"/>
    <w:uiPriority w:val="21"/>
    <w:qFormat/>
    <w:rsid w:val="00106160"/>
    <w:rPr>
      <w:b/>
      <w:bCs/>
    </w:rPr>
  </w:style>
  <w:style w:type="character" w:styleId="SubtleReference">
    <w:name w:val="Subtle Reference"/>
    <w:uiPriority w:val="31"/>
    <w:qFormat/>
    <w:rsid w:val="00106160"/>
    <w:rPr>
      <w:smallCaps/>
    </w:rPr>
  </w:style>
  <w:style w:type="character" w:styleId="IntenseReference">
    <w:name w:val="Intense Reference"/>
    <w:uiPriority w:val="32"/>
    <w:qFormat/>
    <w:rsid w:val="00106160"/>
    <w:rPr>
      <w:smallCaps/>
      <w:spacing w:val="5"/>
      <w:u w:val="single"/>
    </w:rPr>
  </w:style>
  <w:style w:type="character" w:styleId="BookTitle">
    <w:name w:val="Book Title"/>
    <w:uiPriority w:val="33"/>
    <w:qFormat/>
    <w:rsid w:val="00106160"/>
    <w:rPr>
      <w:i/>
      <w:iCs/>
      <w:smallCaps/>
      <w:spacing w:val="5"/>
    </w:rPr>
  </w:style>
  <w:style w:type="character" w:customStyle="1" w:styleId="Heading7Char">
    <w:name w:val="Heading 7 Char"/>
    <w:basedOn w:val="DefaultParagraphFont"/>
    <w:link w:val="Heading7"/>
    <w:uiPriority w:val="9"/>
    <w:semiHidden/>
    <w:rsid w:val="0010616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10616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106160"/>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106160"/>
    <w:pPr>
      <w:outlineLvl w:val="9"/>
    </w:pPr>
    <w:rPr>
      <w:lang w:bidi="en-US"/>
    </w:rPr>
  </w:style>
  <w:style w:type="paragraph" w:styleId="BalloonText">
    <w:name w:val="Balloon Text"/>
    <w:basedOn w:val="Normal"/>
    <w:link w:val="BalloonTextChar"/>
    <w:uiPriority w:val="99"/>
    <w:semiHidden/>
    <w:unhideWhenUsed/>
    <w:rsid w:val="001061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6160"/>
    <w:rPr>
      <w:rFonts w:ascii="Tahoma" w:hAnsi="Tahoma" w:cs="Tahoma"/>
      <w:sz w:val="16"/>
      <w:szCs w:val="16"/>
    </w:rPr>
  </w:style>
  <w:style w:type="character" w:styleId="PlaceholderText">
    <w:name w:val="Placeholder Text"/>
    <w:basedOn w:val="DefaultParagraphFont"/>
    <w:uiPriority w:val="99"/>
    <w:semiHidden/>
    <w:rsid w:val="00106160"/>
    <w:rPr>
      <w:color w:val="808080"/>
    </w:rPr>
  </w:style>
  <w:style w:type="character" w:customStyle="1" w:styleId="NoSpacingChar">
    <w:name w:val="No Spacing Char"/>
    <w:basedOn w:val="DefaultParagraphFont"/>
    <w:link w:val="NoSpacing"/>
    <w:uiPriority w:val="1"/>
    <w:rsid w:val="00106160"/>
  </w:style>
  <w:style w:type="paragraph" w:customStyle="1" w:styleId="Pa1">
    <w:name w:val="Pa1"/>
    <w:basedOn w:val="Normal"/>
    <w:next w:val="Normal"/>
    <w:uiPriority w:val="99"/>
    <w:rsid w:val="00106160"/>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106160"/>
    <w:rPr>
      <w:rFonts w:cs="Myriad Pro"/>
      <w:color w:val="211D1E"/>
      <w:sz w:val="22"/>
      <w:szCs w:val="22"/>
    </w:rPr>
  </w:style>
  <w:style w:type="character" w:customStyle="1" w:styleId="A11">
    <w:name w:val="A11"/>
    <w:uiPriority w:val="99"/>
    <w:rsid w:val="00106160"/>
    <w:rPr>
      <w:rFonts w:cs="Myriad Pro"/>
      <w:color w:val="211D1E"/>
      <w:sz w:val="22"/>
      <w:szCs w:val="22"/>
      <w:u w:val="single"/>
    </w:rPr>
  </w:style>
  <w:style w:type="character" w:customStyle="1" w:styleId="A12">
    <w:name w:val="A12"/>
    <w:uiPriority w:val="99"/>
    <w:rsid w:val="00106160"/>
    <w:rPr>
      <w:rFonts w:cs="Myriad Pro"/>
      <w:color w:val="211D1E"/>
      <w:u w:val="single"/>
    </w:rPr>
  </w:style>
  <w:style w:type="character" w:styleId="Hyperlink">
    <w:name w:val="Hyperlink"/>
    <w:basedOn w:val="DefaultParagraphFont"/>
    <w:uiPriority w:val="99"/>
    <w:unhideWhenUsed/>
    <w:rsid w:val="00106160"/>
    <w:rPr>
      <w:color w:val="0000FF" w:themeColor="hyperlink"/>
      <w:u w:val="single"/>
    </w:rPr>
  </w:style>
  <w:style w:type="table" w:customStyle="1" w:styleId="CDI-StandardTable">
    <w:name w:val="CDI - Standard Table"/>
    <w:basedOn w:val="TableNormal"/>
    <w:uiPriority w:val="99"/>
    <w:rsid w:val="00106160"/>
    <w:pPr>
      <w:spacing w:after="0" w:line="240" w:lineRule="auto"/>
    </w:pPr>
    <w:rPr>
      <w:rFonts w:ascii="Calibri" w:hAnsi="Calibri"/>
    </w:rPr>
    <w:tblPr>
      <w:tblStyleRowBandSize w:val="1"/>
      <w:tblCellMar>
        <w:top w:w="57" w:type="dxa"/>
        <w:left w:w="57" w:type="dxa"/>
        <w:bottom w:w="57" w:type="dxa"/>
        <w:right w:w="57" w:type="dxa"/>
      </w:tblCellMar>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106160"/>
    <w:pPr>
      <w:spacing w:line="240" w:lineRule="auto"/>
      <w:ind w:left="720" w:hanging="720"/>
      <w:contextualSpacing/>
    </w:pPr>
    <w:rPr>
      <w:sz w:val="18"/>
    </w:rPr>
  </w:style>
  <w:style w:type="table" w:styleId="LightList">
    <w:name w:val="Light List"/>
    <w:basedOn w:val="TableNormal"/>
    <w:uiPriority w:val="61"/>
    <w:rsid w:val="00106160"/>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1061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106160"/>
    <w:rPr>
      <w:b/>
    </w:rPr>
  </w:style>
  <w:style w:type="character" w:customStyle="1" w:styleId="NormalWebChar">
    <w:name w:val="Normal (Web) Char"/>
    <w:basedOn w:val="DefaultParagraphFont"/>
    <w:link w:val="NormalWeb"/>
    <w:uiPriority w:val="99"/>
    <w:rsid w:val="00106160"/>
  </w:style>
  <w:style w:type="character" w:customStyle="1" w:styleId="CDIfootnotesChar">
    <w:name w:val="CDI_footnotes Char"/>
    <w:basedOn w:val="NormalWebChar"/>
    <w:link w:val="CDIfootnotes"/>
    <w:rsid w:val="00106160"/>
    <w:rPr>
      <w:sz w:val="18"/>
    </w:rPr>
  </w:style>
  <w:style w:type="character" w:customStyle="1" w:styleId="CDIFiguresChar">
    <w:name w:val="CDI_Figures Char"/>
    <w:basedOn w:val="NormalWebChar"/>
    <w:link w:val="CDIFigures"/>
    <w:rsid w:val="00106160"/>
    <w:rPr>
      <w:b/>
    </w:rPr>
  </w:style>
  <w:style w:type="character" w:customStyle="1" w:styleId="URI">
    <w:name w:val="URI"/>
    <w:uiPriority w:val="99"/>
    <w:rsid w:val="00106160"/>
    <w:rPr>
      <w:color w:val="000000"/>
      <w:u w:val="thick"/>
    </w:rPr>
  </w:style>
  <w:style w:type="character" w:customStyle="1" w:styleId="nobreak">
    <w:name w:val="no break"/>
    <w:uiPriority w:val="99"/>
    <w:rsid w:val="00106160"/>
    <w:rPr>
      <w:u w:val="none"/>
    </w:rPr>
  </w:style>
  <w:style w:type="paragraph" w:styleId="FootnoteText">
    <w:name w:val="footnote text"/>
    <w:basedOn w:val="Normal"/>
    <w:link w:val="FootnoteTextChar"/>
    <w:uiPriority w:val="99"/>
    <w:semiHidden/>
    <w:unhideWhenUsed/>
    <w:rsid w:val="0010616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06160"/>
    <w:rPr>
      <w:sz w:val="20"/>
      <w:szCs w:val="20"/>
    </w:rPr>
  </w:style>
  <w:style w:type="character" w:styleId="FootnoteReference">
    <w:name w:val="footnote reference"/>
    <w:basedOn w:val="DefaultParagraphFont"/>
    <w:uiPriority w:val="99"/>
    <w:semiHidden/>
    <w:unhideWhenUsed/>
    <w:rsid w:val="00106160"/>
    <w:rPr>
      <w:vertAlign w:val="superscript"/>
    </w:rPr>
  </w:style>
  <w:style w:type="character" w:styleId="CommentReference">
    <w:name w:val="annotation reference"/>
    <w:basedOn w:val="DefaultParagraphFont"/>
    <w:uiPriority w:val="99"/>
    <w:semiHidden/>
    <w:unhideWhenUsed/>
    <w:rsid w:val="00B56D33"/>
    <w:rPr>
      <w:sz w:val="16"/>
      <w:szCs w:val="16"/>
    </w:rPr>
  </w:style>
  <w:style w:type="paragraph" w:styleId="CommentText">
    <w:name w:val="annotation text"/>
    <w:basedOn w:val="Normal"/>
    <w:link w:val="CommentTextChar"/>
    <w:uiPriority w:val="99"/>
    <w:semiHidden/>
    <w:unhideWhenUsed/>
    <w:rsid w:val="00B56D33"/>
    <w:pPr>
      <w:spacing w:line="240" w:lineRule="auto"/>
    </w:pPr>
    <w:rPr>
      <w:sz w:val="20"/>
      <w:szCs w:val="20"/>
    </w:rPr>
  </w:style>
  <w:style w:type="character" w:customStyle="1" w:styleId="CommentTextChar">
    <w:name w:val="Comment Text Char"/>
    <w:basedOn w:val="DefaultParagraphFont"/>
    <w:link w:val="CommentText"/>
    <w:uiPriority w:val="99"/>
    <w:semiHidden/>
    <w:rsid w:val="00B56D33"/>
    <w:rPr>
      <w:sz w:val="20"/>
      <w:szCs w:val="20"/>
    </w:rPr>
  </w:style>
  <w:style w:type="paragraph" w:styleId="CommentSubject">
    <w:name w:val="annotation subject"/>
    <w:basedOn w:val="CommentText"/>
    <w:next w:val="CommentText"/>
    <w:link w:val="CommentSubjectChar"/>
    <w:uiPriority w:val="99"/>
    <w:semiHidden/>
    <w:unhideWhenUsed/>
    <w:rsid w:val="00B56D33"/>
    <w:rPr>
      <w:b/>
      <w:bCs/>
    </w:rPr>
  </w:style>
  <w:style w:type="character" w:customStyle="1" w:styleId="CommentSubjectChar">
    <w:name w:val="Comment Subject Char"/>
    <w:basedOn w:val="CommentTextChar"/>
    <w:link w:val="CommentSubject"/>
    <w:uiPriority w:val="99"/>
    <w:semiHidden/>
    <w:rsid w:val="00B56D3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mailto:cdi.editor@health.gov.au"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creativecommons.org/licenses/by-nc-nd/4.0/legalcode"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www.health.gov.au/cdi"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www.health.gov.au/cdna"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mailto:copyright@health.gov.au" TargetMode="External"/><Relationship Id="rId10" Type="http://schemas.openxmlformats.org/officeDocument/2006/relationships/image" Target="media/image2.png"/><Relationship Id="rId19" Type="http://schemas.openxmlformats.org/officeDocument/2006/relationships/hyperlink" Target="http://health.gov.au/cdi"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hyperlink" Target="http://www.itsanhonour.gov.au/"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6.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2\template-2022.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template-2022.dotm</Template>
  <TotalTime>22</TotalTime>
  <Pages>15</Pages>
  <Words>4148</Words>
  <Characters>26441</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Communicable Diseases Intelligence 2021 - Nocardiosis in the Illawarra-Shoalhaven region from 2010 to 2019</vt:lpstr>
    </vt:vector>
  </TitlesOfParts>
  <Company>Australian Government, Department of Health</Company>
  <LinksUpToDate>false</LinksUpToDate>
  <CharactersWithSpaces>30528</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Nocardiosis in the Illawarra-Shoalhaven region from 2010 to 2019</dc:title>
  <dc:subject>Case series examining twenty-six cases of Nocardiosis from the Illawarra Shoalhaven region of New South Wales over a 10-year period. This case series examined the epidemiological, microbiological and clinical features of these twenty-six patients presenting with this uncommon opportunistic infection.</dc:subject>
  <dc:creator>Darcy Gray; Simeon Crawford; Peter Newton</dc:creator>
  <cp:keywords>Nocardia; nocardial infection; Australia; microbiology</cp:keywords>
  <dc:description>© Commonwealth of Australia CC BY-NC-ND ISSN: 2209-6051 (Online)</dc:description>
  <cp:lastModifiedBy>YOUSEFI, Kasra</cp:lastModifiedBy>
  <cp:revision>18</cp:revision>
  <cp:lastPrinted>2018-05-10T02:19:00Z</cp:lastPrinted>
  <dcterms:created xsi:type="dcterms:W3CDTF">2022-01-17T23:41:00Z</dcterms:created>
  <dcterms:modified xsi:type="dcterms:W3CDTF">2022-02-11T02:32:00Z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16/02/2022</vt:lpwstr>
  </property>
  <property fmtid="{D5CDD505-2E9C-101B-9397-08002B2CF9AE}" pid="5" name="DOI">
    <vt:lpwstr>https://doi.org/10.33321/cdi.2022.46.7</vt:lpwstr>
  </property>
</Properties>
</file>