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B4870" w14:textId="77777777" w:rsidR="006B2619" w:rsidRPr="008D45B2" w:rsidRDefault="006B2619" w:rsidP="006B2619">
      <w:pPr>
        <w:pStyle w:val="Title"/>
        <w:rPr>
          <w:rFonts w:eastAsia="Times New Roman"/>
          <w:sz w:val="44"/>
          <w:szCs w:val="44"/>
        </w:rPr>
      </w:pPr>
      <w:r w:rsidRPr="008D45B2">
        <w:rPr>
          <w:rFonts w:eastAsia="Times New Roman"/>
          <w:sz w:val="48"/>
          <w:szCs w:val="48"/>
        </w:rPr>
        <w:t xml:space="preserve">The 2018 annual cost burden for children under five years of age hospitalised with respiratory syncytial virus in Australia </w:t>
      </w:r>
    </w:p>
    <w:p w14:paraId="7966A117" w14:textId="77777777" w:rsidR="006B2619" w:rsidRDefault="006B2619" w:rsidP="006B2619">
      <w:r>
        <w:t xml:space="preserve">Natasha K </w:t>
      </w:r>
      <w:proofErr w:type="spellStart"/>
      <w:r>
        <w:t>Brusco</w:t>
      </w:r>
      <w:proofErr w:type="spellEnd"/>
      <w:r>
        <w:t xml:space="preserve">, Annette </w:t>
      </w:r>
      <w:proofErr w:type="spellStart"/>
      <w:r>
        <w:t>Alafaci</w:t>
      </w:r>
      <w:proofErr w:type="spellEnd"/>
      <w:r>
        <w:t xml:space="preserve">, Jane Tuckerman, Helena Frawley, Jeremy Pratt, Andrew J Daley, Angela K Todd, Yi-Mo Deng, </w:t>
      </w:r>
      <w:proofErr w:type="spellStart"/>
      <w:r>
        <w:t>Kanta</w:t>
      </w:r>
      <w:proofErr w:type="spellEnd"/>
      <w:r>
        <w:t xml:space="preserve"> Subbarao, Ian Barr, Nigel W Crawford </w:t>
      </w:r>
    </w:p>
    <w:p w14:paraId="713ED63B" w14:textId="77777777" w:rsidR="006B2619" w:rsidRPr="006B2619" w:rsidRDefault="006B2619" w:rsidP="006B2619">
      <w:pPr>
        <w:pStyle w:val="Heading1"/>
      </w:pPr>
      <w:r w:rsidRPr="006B2619">
        <w:t xml:space="preserve">Abstract </w:t>
      </w:r>
    </w:p>
    <w:p w14:paraId="12AD7E69" w14:textId="77777777" w:rsidR="006B2619" w:rsidRDefault="006B2619" w:rsidP="006B2619">
      <w:r>
        <w:t xml:space="preserve">Respiratory syncytial virus (RSV) is one of the principal causes of acute bronchiolitis and respiratory tract infections in young children. Routine RSV surveillance in Australian children is limited; vaccines are in </w:t>
      </w:r>
      <w:proofErr w:type="gramStart"/>
      <w:r>
        <w:t>late stage</w:t>
      </w:r>
      <w:proofErr w:type="gramEnd"/>
      <w:r>
        <w:t xml:space="preserve"> development; prophylactic monoclonal antibody (</w:t>
      </w:r>
      <w:proofErr w:type="spellStart"/>
      <w:r>
        <w:t>mAb</w:t>
      </w:r>
      <w:proofErr w:type="spellEnd"/>
      <w:r>
        <w:t xml:space="preserve">) treatment is available but expensive; and there has been uncertainty around the cost burden. The objective of this study was to determine the annual cost burden for children under five years of age hospitalised with RSV in a single health service in 2018, with national extrapolation based on published Australian prevalence data. The methods utilised individual patient-level cost data prospectively collected for hospitalised children under five years of age in a tertiary Melbourne paediatric hospital. Results were extrapolated to all Australian children under five years of age to determine the national annual health cost burden, from a healthcare sector perspective over a </w:t>
      </w:r>
      <w:proofErr w:type="gramStart"/>
      <w:r>
        <w:t>12 month</w:t>
      </w:r>
      <w:proofErr w:type="gramEnd"/>
      <w:r>
        <w:t xml:space="preserve"> time horizon. The results included 363 children with a mean age of 9.2 months (standard deviation, SD: 8.5 months). The mean cost per child was $17,120 (SD: $37,562), with a combined health service cost of $6,214,439. The reported Australian hospitalisation rate for RSV in the target age group ranged from 2.2 to 4.5 per 1,000 children under five years of age, resulting in a 2018 extrapolated cost range of $59,218,844–$121,129,453 for the estimated 3,459–7,075 children affected (combined index and all-cause six-month readmissions). This study concluded that RSV represents a significant cost burden to Australia’s health care system. These data are important for future health economic assessments of preventative therapies, such as new RSV </w:t>
      </w:r>
      <w:proofErr w:type="spellStart"/>
      <w:r>
        <w:t>mAb</w:t>
      </w:r>
      <w:proofErr w:type="spellEnd"/>
      <w:r>
        <w:t xml:space="preserve"> treatments and maternal/childhood RSV </w:t>
      </w:r>
      <w:proofErr w:type="gramStart"/>
      <w:r>
        <w:t>vaccines, and</w:t>
      </w:r>
      <w:proofErr w:type="gramEnd"/>
      <w:r>
        <w:t xml:space="preserve"> provides valuable insights to inform health care planning and health policy. </w:t>
      </w:r>
    </w:p>
    <w:p w14:paraId="24D7480E" w14:textId="77777777" w:rsidR="006B2619" w:rsidRPr="007F513F" w:rsidRDefault="006B2619" w:rsidP="00627B3C">
      <w:pPr>
        <w:rPr>
          <w:i/>
          <w:iCs/>
        </w:rPr>
      </w:pPr>
      <w:r w:rsidRPr="006B2619">
        <w:rPr>
          <w:rStyle w:val="Emphasis"/>
          <w:b w:val="0"/>
          <w:bCs w:val="0"/>
          <w:i w:val="0"/>
          <w:iCs w:val="0"/>
        </w:rPr>
        <w:t>Keywords: Respiratory syncytial virus, respiratory infection, cost burden, economic evaluation, paediatrics</w:t>
      </w:r>
      <w:r w:rsidRPr="007F513F">
        <w:rPr>
          <w:i/>
          <w:iCs/>
        </w:rPr>
        <w:t xml:space="preserve"> </w:t>
      </w:r>
    </w:p>
    <w:p w14:paraId="71F4069E" w14:textId="77777777" w:rsidR="006B2619" w:rsidRPr="006B2619" w:rsidRDefault="006B2619" w:rsidP="006B2619">
      <w:pPr>
        <w:pStyle w:val="Heading1"/>
      </w:pPr>
      <w:r w:rsidRPr="006B2619">
        <w:t xml:space="preserve">Introduction </w:t>
      </w:r>
    </w:p>
    <w:p w14:paraId="39AECAD1" w14:textId="77777777" w:rsidR="006B2619" w:rsidRDefault="006B2619" w:rsidP="006B2619">
      <w:r>
        <w:t>Respiratory syncytial virus (RSV) is one of the principal causes of acute bronchiolitis and respiratory tract infections in young children,</w:t>
      </w:r>
      <w:r>
        <w:rPr>
          <w:vertAlign w:val="superscript"/>
        </w:rPr>
        <w:t>1</w:t>
      </w:r>
      <w:r>
        <w:t xml:space="preserve"> with a peak incidence at 2–5 months of age and an almost universal exposure by three years of age.</w:t>
      </w:r>
      <w:r>
        <w:rPr>
          <w:vertAlign w:val="superscript"/>
        </w:rPr>
        <w:t>2–4</w:t>
      </w:r>
      <w:r>
        <w:t xml:space="preserve"> The RSV health care utilisation burden is borne by both primary and tertiary health care,</w:t>
      </w:r>
      <w:r>
        <w:rPr>
          <w:vertAlign w:val="superscript"/>
        </w:rPr>
        <w:t>1</w:t>
      </w:r>
      <w:r>
        <w:t xml:space="preserve"> with significant social, economic, and health impact on a global scale, including in Australia.</w:t>
      </w:r>
      <w:r>
        <w:rPr>
          <w:vertAlign w:val="superscript"/>
        </w:rPr>
        <w:t>5</w:t>
      </w:r>
      <w:r>
        <w:t xml:space="preserve"> Variable prevalence and incidence rates have been reported, with the reported rates consistently higher in communities with lower socio-economic status, younger age groups and medically vulnerable populations.</w:t>
      </w:r>
      <w:r>
        <w:rPr>
          <w:vertAlign w:val="superscript"/>
        </w:rPr>
        <w:t xml:space="preserve">1,5,6 </w:t>
      </w:r>
    </w:p>
    <w:p w14:paraId="01A791AA" w14:textId="77777777" w:rsidR="006B2619" w:rsidRDefault="006B2619" w:rsidP="006B2619">
      <w:r>
        <w:t>More recently, the public health measures during the coronavirus disease 2019 (COVID-19) pandemic have highlighted behaviours that mitigate viral transmission of other respiratory viruses, such as RSV. An association between the implementation of public health measures and a reduction in the burden of RSV disease in children reported in New South Wales, Western Australia and Victoria through winter 2020.</w:t>
      </w:r>
      <w:r>
        <w:rPr>
          <w:vertAlign w:val="superscript"/>
        </w:rPr>
        <w:t>7–9</w:t>
      </w:r>
      <w:r>
        <w:t xml:space="preserve"> However, following the relaxation of COVID-19–related public health measures, there was a large spring and summer RSV surge reported in New South Wales and Western Australia, beginning in September 2020, and a delayed resurgence in Victoria (until early 2021), likely a result of a prolonged and more intense restrictions in that jurisdiction.</w:t>
      </w:r>
      <w:r>
        <w:rPr>
          <w:vertAlign w:val="superscript"/>
        </w:rPr>
        <w:t>9,10</w:t>
      </w:r>
      <w:r>
        <w:t xml:space="preserve"> These outbreaks </w:t>
      </w:r>
      <w:r>
        <w:lastRenderedPageBreak/>
        <w:t xml:space="preserve">highlight that RSV can be sustained in countries for many months or years, even without importation of new cases from overseas. </w:t>
      </w:r>
    </w:p>
    <w:p w14:paraId="50108149" w14:textId="77777777" w:rsidR="001373B6" w:rsidRPr="001373B6" w:rsidRDefault="001373B6" w:rsidP="001373B6">
      <w:pPr>
        <w:rPr>
          <w:vertAlign w:val="superscript"/>
          <w:lang w:val="en-GB"/>
        </w:rPr>
      </w:pPr>
      <w:r w:rsidRPr="001373B6">
        <w:rPr>
          <w:lang w:val="en-GB"/>
        </w:rPr>
        <w:t>Globally, the proportion of infant RSV cases requiring hospitalisation is estimated to be 0.5–2%,</w:t>
      </w:r>
      <w:r w:rsidRPr="001373B6">
        <w:rPr>
          <w:vertAlign w:val="superscript"/>
          <w:lang w:val="en-GB"/>
        </w:rPr>
        <w:t>11,12</w:t>
      </w:r>
      <w:r w:rsidRPr="001373B6">
        <w:rPr>
          <w:lang w:val="en-GB"/>
        </w:rPr>
        <w:t xml:space="preserve"> with hospitalisations for children aged under 5 years to be an estimated 3.2–3.4 million per annum.</w:t>
      </w:r>
      <w:r w:rsidRPr="001373B6">
        <w:rPr>
          <w:vertAlign w:val="superscript"/>
          <w:lang w:val="en-GB"/>
        </w:rPr>
        <w:t>13,14</w:t>
      </w:r>
      <w:r w:rsidRPr="001373B6">
        <w:rPr>
          <w:lang w:val="en-GB"/>
        </w:rPr>
        <w:t xml:space="preserve"> Australia had also been reliant on international estimates as, at the time of this study, there was no systematic national monitoring of RSV activity,</w:t>
      </w:r>
      <w:r w:rsidRPr="001373B6">
        <w:rPr>
          <w:vertAlign w:val="superscript"/>
          <w:lang w:val="en-GB"/>
        </w:rPr>
        <w:t>15</w:t>
      </w:r>
      <w:r w:rsidRPr="001373B6">
        <w:rPr>
          <w:lang w:val="en-GB"/>
        </w:rPr>
        <w:t xml:space="preserve"> with hospitalisations the main source of disease identification. </w:t>
      </w:r>
      <w:proofErr w:type="spellStart"/>
      <w:r w:rsidRPr="001373B6">
        <w:rPr>
          <w:lang w:val="en-GB"/>
        </w:rPr>
        <w:t>Ranmuthugala</w:t>
      </w:r>
      <w:proofErr w:type="spellEnd"/>
      <w:r w:rsidRPr="001373B6">
        <w:rPr>
          <w:lang w:val="en-GB"/>
        </w:rPr>
        <w:t xml:space="preserve"> et al. highlighted the age-related risk in Australia, with a fourfold increase in RSV-related incidence in the under-1 year age group (8.7 per 1,000) compared to the under-5 year age group (2.2 per 1,000).</w:t>
      </w:r>
      <w:r w:rsidRPr="001373B6">
        <w:rPr>
          <w:vertAlign w:val="superscript"/>
          <w:lang w:val="en-GB"/>
        </w:rPr>
        <w:t>15</w:t>
      </w:r>
      <w:r w:rsidRPr="001373B6">
        <w:rPr>
          <w:lang w:val="en-GB"/>
        </w:rPr>
        <w:t xml:space="preserve"> There is currently no RSV vaccine commercially available globally.</w:t>
      </w:r>
      <w:r w:rsidRPr="001373B6">
        <w:rPr>
          <w:vertAlign w:val="superscript"/>
          <w:lang w:val="en-GB"/>
        </w:rPr>
        <w:t>4</w:t>
      </w:r>
      <w:r w:rsidRPr="001373B6">
        <w:rPr>
          <w:lang w:val="en-GB"/>
        </w:rPr>
        <w:t xml:space="preserve"> The only preventative option is monoclonal antibody (</w:t>
      </w:r>
      <w:proofErr w:type="spellStart"/>
      <w:r w:rsidRPr="001373B6">
        <w:rPr>
          <w:lang w:val="en-GB"/>
        </w:rPr>
        <w:t>mAb</w:t>
      </w:r>
      <w:proofErr w:type="spellEnd"/>
      <w:r w:rsidRPr="001373B6">
        <w:rPr>
          <w:lang w:val="en-GB"/>
        </w:rPr>
        <w:t>) treatment, which is prohibitively expensive, requires monthly injections over the RSV season, and is not funded on the Pharmaceutical Benefits Scheme.</w:t>
      </w:r>
      <w:r w:rsidRPr="001373B6">
        <w:rPr>
          <w:vertAlign w:val="superscript"/>
          <w:lang w:val="en-GB"/>
        </w:rPr>
        <w:t>16</w:t>
      </w:r>
      <w:r w:rsidRPr="001373B6">
        <w:rPr>
          <w:lang w:val="en-GB"/>
        </w:rPr>
        <w:t xml:space="preserve"> Some individual Australian hospitals, including Royal Children’s Hospital (RCH) Melbourne, only provide RSV </w:t>
      </w:r>
      <w:proofErr w:type="spellStart"/>
      <w:r w:rsidRPr="001373B6">
        <w:rPr>
          <w:lang w:val="en-GB"/>
        </w:rPr>
        <w:t>mAb</w:t>
      </w:r>
      <w:proofErr w:type="spellEnd"/>
      <w:r w:rsidRPr="001373B6">
        <w:rPr>
          <w:lang w:val="en-GB"/>
        </w:rPr>
        <w:t xml:space="preserve"> to identified high-risk groups (e.g. congenital heart disease in the first year of life). Newer </w:t>
      </w:r>
      <w:proofErr w:type="spellStart"/>
      <w:r w:rsidRPr="001373B6">
        <w:rPr>
          <w:lang w:val="en-GB"/>
        </w:rPr>
        <w:t>mAb</w:t>
      </w:r>
      <w:proofErr w:type="spellEnd"/>
      <w:r w:rsidRPr="001373B6">
        <w:rPr>
          <w:lang w:val="en-GB"/>
        </w:rPr>
        <w:t>, with a longer duration of action, are in phase 3 clinical trials, but are not yet used clinically in high-risk patients.</w:t>
      </w:r>
      <w:r w:rsidRPr="001373B6">
        <w:rPr>
          <w:vertAlign w:val="superscript"/>
          <w:lang w:val="en-GB"/>
        </w:rPr>
        <w:t>17</w:t>
      </w:r>
    </w:p>
    <w:p w14:paraId="55961214" w14:textId="45DB7A33" w:rsidR="006B2619" w:rsidRDefault="006B2619" w:rsidP="006B2619">
      <w:r>
        <w:t xml:space="preserve">Literature on the national cost burden of RSV is scarce, with only one Australian study and a few international studies. In summary, when international costs are converted into </w:t>
      </w:r>
      <w:r w:rsidR="00A55250">
        <w:t>$</w:t>
      </w:r>
      <w:proofErr w:type="gramStart"/>
      <w:r w:rsidR="00A55250">
        <w:t>AUD[</w:t>
      </w:r>
      <w:proofErr w:type="gramEnd"/>
      <w:r w:rsidR="00A55250">
        <w:t>2018/2019]</w:t>
      </w:r>
      <w:r>
        <w:t>, the cost of hospitalisation for RSV has been estimated at between $2,567 and $15,015 per admission, with national annual burdens estimated at $21–44M for Australia, $965M for the United States of America and $34M for Canada.</w:t>
      </w:r>
      <w:r>
        <w:rPr>
          <w:vertAlign w:val="superscript"/>
        </w:rPr>
        <w:t>3,6,12,15,18,19</w:t>
      </w:r>
      <w:r>
        <w:t xml:space="preserve"> A literature review of the international RSV cost data has been detailed in Appendix A, Table A.1. </w:t>
      </w:r>
    </w:p>
    <w:p w14:paraId="79407678" w14:textId="439FBF25" w:rsidR="006B2619" w:rsidRDefault="007A0A4E" w:rsidP="006B2619">
      <w:r w:rsidRPr="007A0A4E">
        <w:t>In Australia, the lack of routine surveillance for RSV at the time of this study impeded the development of a national public health policy. This study is the first in which the cost burden of RSV for children has been undertaken using individual patient-level data in Australia. This study used whole-of-hospital data for children under five years of age hospitalised with RSV at RCH Melbourne, to determine the 2018 health service costs for this age group, and then extrapolated the national annual cost burden for RSV hospitalisations in children under five years of age Australia-wide, to represent the most affected group.</w:t>
      </w:r>
      <w:r w:rsidR="006B2619">
        <w:t xml:space="preserve"> </w:t>
      </w:r>
    </w:p>
    <w:p w14:paraId="390DE303" w14:textId="77777777" w:rsidR="006B2619" w:rsidRPr="00AA4324" w:rsidRDefault="006B2619" w:rsidP="00AA4324">
      <w:pPr>
        <w:pStyle w:val="Heading2"/>
      </w:pPr>
      <w:r w:rsidRPr="00AA4324">
        <w:t xml:space="preserve">Methods </w:t>
      </w:r>
    </w:p>
    <w:p w14:paraId="64CAC906" w14:textId="77777777" w:rsidR="006B2619" w:rsidRDefault="006B2619" w:rsidP="006B2619">
      <w:r>
        <w:t>Individual patient-level cost data were prospectively collected for all confirmed RSV admissions meeting the World Health Organization (WHO) severe acute respiratory infection (SARI) definition (requiring hospitalisation; onset within 10 days; clinical signs of cough or shortness of breath; apnoea in children under 6 months) in children under five years of age.</w:t>
      </w:r>
      <w:r>
        <w:rPr>
          <w:vertAlign w:val="superscript"/>
        </w:rPr>
        <w:t>20</w:t>
      </w:r>
      <w:r>
        <w:t xml:space="preserve"> These data were then modelled to determine the 2018 RSV national annual cost burden for children under five years of age. This study reported the cost of usual hospital care only. There was no intervention nor comparator group. This study was reported according to the Consolidated Health Economic Evaluation Reporting Standards (CHEERS) checklist for economic evaluations.</w:t>
      </w:r>
      <w:r>
        <w:rPr>
          <w:vertAlign w:val="superscript"/>
        </w:rPr>
        <w:t>21</w:t>
      </w:r>
      <w:r>
        <w:t xml:space="preserve"> Data were held in a Murdoch Children’s Research Institute (MCRI) </w:t>
      </w:r>
      <w:proofErr w:type="spellStart"/>
      <w:r>
        <w:t>REDCap</w:t>
      </w:r>
      <w:proofErr w:type="spellEnd"/>
      <w:r>
        <w:t xml:space="preserve"> database with RCH Ethics approval 37185. </w:t>
      </w:r>
    </w:p>
    <w:p w14:paraId="528ECA56" w14:textId="77777777" w:rsidR="006B2619" w:rsidRPr="00AA4324" w:rsidRDefault="006B2619" w:rsidP="00AA4324">
      <w:pPr>
        <w:pStyle w:val="Heading3"/>
      </w:pPr>
      <w:r w:rsidRPr="00AA4324">
        <w:t xml:space="preserve">Population </w:t>
      </w:r>
    </w:p>
    <w:p w14:paraId="4AF5394E" w14:textId="77777777" w:rsidR="006B2619" w:rsidRDefault="006B2619" w:rsidP="006B2619">
      <w:r>
        <w:t xml:space="preserve">Children under five years of age admitted to RCH in 2018 with an RSV laboratory confirmed polymerase chain reaction (PCR) positive infection, who met the SARI criteria, were included in the study. An emergency department (ED) presentation alone did not meet the criterion of “admitted”. There were no exclusion criteria. Subjects were also tested for other respiratory virus co-infections by an in-house multiplex respiratory PCR assay. The following co-infections were on the same panel as RSV during 2018, therefore tested together: Influenza virus A; influenza virus B; parainfluenza virus 1; parainfluenza virus 2; parainfluenza virus 3; and human metapneumovirus. </w:t>
      </w:r>
      <w:r w:rsidRPr="007F513F">
        <w:rPr>
          <w:rStyle w:val="Emphasis"/>
          <w:b w:val="0"/>
          <w:bCs w:val="0"/>
        </w:rPr>
        <w:t>Bordetella pertussis</w:t>
      </w:r>
      <w:r>
        <w:t xml:space="preserve"> was tested on a separate panel alongside the RSV multiplex-panel. The 2018 calendar year was chosen for the time horizon for the index admission, to capture the winter seasonal effect of RSV (particularly March to August). A priori sub-group analysis was planned for children born prematurely (gestation &lt; 37 weeks). </w:t>
      </w:r>
    </w:p>
    <w:p w14:paraId="3CA44D0A" w14:textId="77777777" w:rsidR="006B2619" w:rsidRPr="00AA4324" w:rsidRDefault="006B2619" w:rsidP="00AA4324">
      <w:pPr>
        <w:pStyle w:val="Heading3"/>
      </w:pPr>
      <w:r w:rsidRPr="00AA4324">
        <w:lastRenderedPageBreak/>
        <w:t xml:space="preserve">Setting and location </w:t>
      </w:r>
    </w:p>
    <w:p w14:paraId="062C3B19" w14:textId="77777777" w:rsidR="006B2619" w:rsidRDefault="006B2619" w:rsidP="006B2619">
      <w:r>
        <w:t xml:space="preserve">The location was RCH, Melbourne, Australia, acute health care service setting. </w:t>
      </w:r>
    </w:p>
    <w:p w14:paraId="69E3E5FA" w14:textId="77777777" w:rsidR="006B2619" w:rsidRPr="00AA4324" w:rsidRDefault="006B2619" w:rsidP="00AA4324">
      <w:pPr>
        <w:pStyle w:val="Heading3"/>
      </w:pPr>
      <w:r w:rsidRPr="00AA4324">
        <w:t xml:space="preserve">Study perspective </w:t>
      </w:r>
    </w:p>
    <w:p w14:paraId="66FA94FD" w14:textId="0246F9BC" w:rsidR="006B2619" w:rsidRDefault="006B2619" w:rsidP="006B2619">
      <w:r>
        <w:t xml:space="preserve">This study took a health service perspective and was inclusive of the index admission and all cause re-admissions within six months post-discharge. Health care utilisation and costs refers to </w:t>
      </w:r>
      <w:r w:rsidR="002D70CB" w:rsidRPr="002D70CB">
        <w:t>ambulance, ED</w:t>
      </w:r>
      <w:r w:rsidR="00010E15">
        <w:t>,</w:t>
      </w:r>
      <w:r w:rsidR="002D70CB" w:rsidRPr="002D70CB">
        <w:t xml:space="preserve"> acute</w:t>
      </w:r>
      <w:r>
        <w:t xml:space="preserve"> </w:t>
      </w:r>
      <w:proofErr w:type="gramStart"/>
      <w:r>
        <w:t>ward</w:t>
      </w:r>
      <w:proofErr w:type="gramEnd"/>
      <w:r>
        <w:t xml:space="preserve"> and intensive care resources for the index admission, as well as </w:t>
      </w:r>
      <w:r w:rsidR="0029059C" w:rsidRPr="0029059C">
        <w:t>all ED</w:t>
      </w:r>
      <w:r w:rsidR="00010E15">
        <w:t>,</w:t>
      </w:r>
      <w:r w:rsidR="0029059C" w:rsidRPr="0029059C">
        <w:t xml:space="preserve"> acute</w:t>
      </w:r>
      <w:r w:rsidR="0029059C">
        <w:t xml:space="preserve"> </w:t>
      </w:r>
      <w:r>
        <w:t>ward and intensive care resources for any re-admissions in the 30-days and 1–6-months post-discharge periods, with all cost parameters reported independently. Ambulance costs were not included in the re-admissions as we did not have access to these data. Cost data were collected in the 2017/2018 and 2018/2019 financial years. The 2017/2018 data were inflated by the Consumer Price Index (CPI)</w:t>
      </w:r>
      <w:r w:rsidR="00B80752">
        <w:rPr>
          <w:rStyle w:val="FootnoteReference"/>
        </w:rPr>
        <w:footnoteReference w:id="2"/>
      </w:r>
      <w:r>
        <w:t xml:space="preserve"> to yield a net present value (NPV) in </w:t>
      </w:r>
      <w:r w:rsidR="00A55250">
        <w:t>$</w:t>
      </w:r>
      <w:proofErr w:type="gramStart"/>
      <w:r w:rsidR="00A55250">
        <w:t>AUD[</w:t>
      </w:r>
      <w:proofErr w:type="gramEnd"/>
      <w:r w:rsidR="00A55250">
        <w:t>2018/2019]</w:t>
      </w:r>
      <w:r>
        <w:t xml:space="preserve">. </w:t>
      </w:r>
    </w:p>
    <w:p w14:paraId="3632A0B4" w14:textId="77777777" w:rsidR="006B2619" w:rsidRPr="00AA4324" w:rsidRDefault="006B2619" w:rsidP="00AA4324">
      <w:pPr>
        <w:pStyle w:val="Heading3"/>
      </w:pPr>
      <w:r w:rsidRPr="00AA4324">
        <w:t xml:space="preserve">Outcomes </w:t>
      </w:r>
    </w:p>
    <w:p w14:paraId="4F4BD75B" w14:textId="77777777" w:rsidR="006B2619" w:rsidRDefault="006B2619" w:rsidP="006B2619">
      <w:r>
        <w:t xml:space="preserve">Outcome measures included the cost of RSV for hospitalised children under five years of age with a sub-group analysis for prematurity. These data were extrapolated to derive the main outcome measure of this study, a national annual cost estimate for children with RSV under five years of age, the most affected group. This study also reported on the following clinical outcomes: respiratory support and antibiotic administration, additional admissions for a subsequent acute respiratory infection and an asthma diagnosis. </w:t>
      </w:r>
    </w:p>
    <w:p w14:paraId="2B91A037" w14:textId="77777777" w:rsidR="006B2619" w:rsidRPr="00AA4324" w:rsidRDefault="006B2619" w:rsidP="00AA4324">
      <w:pPr>
        <w:pStyle w:val="Heading3"/>
      </w:pPr>
      <w:r w:rsidRPr="00AA4324">
        <w:t xml:space="preserve">Resources and costs </w:t>
      </w:r>
    </w:p>
    <w:p w14:paraId="0CBC35E0" w14:textId="77E74B54" w:rsidR="006B2619" w:rsidRDefault="006B2619" w:rsidP="006B2619">
      <w:r>
        <w:t xml:space="preserve">Resources and costs were collated from two data sources following identification of relevant cases. The first was through manual medical record audits of cases including demographic data health care utilisation, admission </w:t>
      </w:r>
      <w:r w:rsidR="005A5F11" w:rsidRPr="005A5F11">
        <w:t>into ED</w:t>
      </w:r>
      <w:r w:rsidR="00010E15">
        <w:t>,</w:t>
      </w:r>
      <w:r w:rsidR="005A5F11" w:rsidRPr="005A5F11">
        <w:t xml:space="preserve"> acute</w:t>
      </w:r>
      <w:r>
        <w:t xml:space="preserve"> wards and intensive care, ambulance usage, and discharge information, but not cost data. The second data source was an extract of individual patient-level cost and utilisation data from RCH Decision Support Unit for the index admission and all-cause re-admissions. Opportunity costs for the parents (</w:t>
      </w:r>
      <w:proofErr w:type="gramStart"/>
      <w:r>
        <w:t>e.g.</w:t>
      </w:r>
      <w:proofErr w:type="gramEnd"/>
      <w:r>
        <w:t xml:space="preserve"> lost wages, employment productivity), as well as other costs outside of admissions to the health service (e.g., ambulatory health services), were not included in this cost analysis. </w:t>
      </w:r>
    </w:p>
    <w:p w14:paraId="2B6B8853" w14:textId="77777777" w:rsidR="006B2619" w:rsidRPr="00AA4324" w:rsidRDefault="006B2619" w:rsidP="00AA4324">
      <w:pPr>
        <w:pStyle w:val="Heading3"/>
      </w:pPr>
      <w:r w:rsidRPr="00AA4324">
        <w:t xml:space="preserve">Analysis </w:t>
      </w:r>
    </w:p>
    <w:p w14:paraId="5759A999" w14:textId="4E9AA1E5" w:rsidR="006B2619" w:rsidRDefault="006B2619" w:rsidP="006B2619">
      <w:r>
        <w:t xml:space="preserve">Cost analyses were completed for children under five years of age, as well as for children in the under-one-year age group, to represent RSV-related costs for RCH, presented as a mean and standard deviation (SD). The manual medical record audit was used to report ambulance utilisation, which was costed at the 2018/2019 rate at $930.26 per episode. This was based on 3,537,829 national ambulance episodes in 2016/2017 at a total cost of $3,163,305,000 (p25 and p75, </w:t>
      </w:r>
      <w:r w:rsidR="0029059C" w:rsidRPr="0029059C">
        <w:t>$</w:t>
      </w:r>
      <w:proofErr w:type="gramStart"/>
      <w:r w:rsidR="0029059C" w:rsidRPr="0029059C">
        <w:t>AUD[</w:t>
      </w:r>
      <w:proofErr w:type="gramEnd"/>
      <w:r w:rsidR="0029059C" w:rsidRPr="0029059C">
        <w:t>2016/2017],</w:t>
      </w:r>
      <w:r w:rsidR="0029059C" w:rsidRPr="0029059C">
        <w:rPr>
          <w:vertAlign w:val="superscript"/>
        </w:rPr>
        <w:t>22</w:t>
      </w:r>
      <w:r>
        <w:t xml:space="preserve"> resulting in an average cost of $894.14 per ambulance episode, with the 2016/2017 rate inflated by CPI to calculate the NPV of $930.26 in </w:t>
      </w:r>
      <w:r w:rsidR="00A55250">
        <w:t>$AUD[2018/2019]</w:t>
      </w:r>
      <w:r>
        <w:t>. The sub-group analysis for prematurity status included all children &lt; 37 weeks at birth. The extrapolation used June 2018 Australian Bureau of Statistics data under five years of age,</w:t>
      </w:r>
      <w:r>
        <w:rPr>
          <w:vertAlign w:val="superscript"/>
        </w:rPr>
        <w:t>23</w:t>
      </w:r>
      <w:r>
        <w:t xml:space="preserve"> as well as for children under one year of age, who were RSV positive and hospitalised in Australia.</w:t>
      </w:r>
      <w:r>
        <w:rPr>
          <w:vertAlign w:val="superscript"/>
        </w:rPr>
        <w:t xml:space="preserve">15 </w:t>
      </w:r>
    </w:p>
    <w:p w14:paraId="25CC3D6F" w14:textId="77777777" w:rsidR="006B2619" w:rsidRPr="00AA4324" w:rsidRDefault="006B2619" w:rsidP="00AA4324">
      <w:pPr>
        <w:pStyle w:val="Heading2"/>
      </w:pPr>
      <w:r w:rsidRPr="00AA4324">
        <w:t xml:space="preserve">Results </w:t>
      </w:r>
    </w:p>
    <w:p w14:paraId="275D7F8D" w14:textId="77777777" w:rsidR="006B2619" w:rsidRPr="00AA4324" w:rsidRDefault="006B2619" w:rsidP="00AA4324">
      <w:pPr>
        <w:pStyle w:val="Heading3"/>
      </w:pPr>
      <w:r w:rsidRPr="00AA4324">
        <w:t xml:space="preserve">Population </w:t>
      </w:r>
    </w:p>
    <w:p w14:paraId="48F30EDA" w14:textId="77777777" w:rsidR="006B2619" w:rsidRDefault="006B2619" w:rsidP="006B2619">
      <w:r>
        <w:t xml:space="preserve">Individual-level cost data were collected for 363 children admitted to RCH with confirmed RSV positive SARI in the period January 2018 to December 2018. There were an additional 194 RSV confirmed cases admitted to the RCH during this period who were not eligible to be enrolled as they were not SARI cases, (n = 45 cases under six months of age; n = 27 cases aged 6–11 months; n = 70 cases aged 1–4 years; n = 52 aged 5+ years; Figure 1). Admission and </w:t>
      </w:r>
      <w:r>
        <w:lastRenderedPageBreak/>
        <w:t xml:space="preserve">discharge data are presented in Table 1, based on the index admission, as well as any re-admissions in the thirty-days and 1–6-months post-discharge periods. </w:t>
      </w:r>
    </w:p>
    <w:p w14:paraId="08114FA2" w14:textId="77777777" w:rsidR="007B6962" w:rsidRDefault="007B6962" w:rsidP="007B6962">
      <w:pPr>
        <w:pStyle w:val="CDIFigures"/>
        <w:rPr>
          <w:lang w:val="en-GB"/>
        </w:rPr>
      </w:pPr>
      <w:r>
        <w:rPr>
          <w:lang w:val="en-GB"/>
        </w:rPr>
        <w:t>Figure 1: Flow of participants through the study</w:t>
      </w:r>
    </w:p>
    <w:p w14:paraId="4169849D" w14:textId="22543562" w:rsidR="007B6962" w:rsidRDefault="007B6962" w:rsidP="00367BEB">
      <w:pPr>
        <w:jc w:val="center"/>
      </w:pPr>
      <w:r>
        <w:rPr>
          <w:rFonts w:eastAsia="Times New Roman"/>
          <w:noProof/>
          <w:lang w:val="en-GB"/>
        </w:rPr>
        <w:drawing>
          <wp:inline distT="0" distB="0" distL="0" distR="0" wp14:anchorId="02F89C68" wp14:editId="069FDB92">
            <wp:extent cx="4261113" cy="4550673"/>
            <wp:effectExtent l="0" t="0" r="0" b="2540"/>
            <wp:docPr id="2" name="Picture 2" descr="Flow of participants through the study. This figure notes that of the 557 children with a RSV positive admission, only 363 met the WHO SARI criteria. For these 363 children, there were 51 hospital re-admissions in the first 30 days post discharge and 153 re-admissions between 1 and 6 months post disch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ow of participants through the study. This figure notes that of the 557 children with a RSV positive admission, only 363 met the WHO SARI criteria. For these 363 children, there were 51 hospital re-admissions in the first 30 days post discharge and 153 re-admissions between 1 and 6 months post discharg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261113" cy="4550673"/>
                    </a:xfrm>
                    <a:prstGeom prst="rect">
                      <a:avLst/>
                    </a:prstGeom>
                  </pic:spPr>
                </pic:pic>
              </a:graphicData>
            </a:graphic>
          </wp:inline>
        </w:drawing>
      </w:r>
    </w:p>
    <w:p w14:paraId="2F8D97BD" w14:textId="5B8611E6" w:rsidR="006B2619" w:rsidRDefault="006B2619" w:rsidP="006B2619">
      <w:r>
        <w:t xml:space="preserve">For the index admission, 164/363 cases (45%) were </w:t>
      </w:r>
      <w:proofErr w:type="gramStart"/>
      <w:r>
        <w:t>female</w:t>
      </w:r>
      <w:proofErr w:type="gramEnd"/>
      <w:r>
        <w:t xml:space="preserve"> and the mean age was 9.2 months (SD 8.5 months; range 9 days to 4.7 years). It is noted that 9% were neonates (aged ≤ 28 days [n = 32]) and 36% (n = 130) were aged 1–3 months. Of the 362 children (&gt; 99%) who were typed, 176 children were RSV type A (49%) and 186 were RSV type B (51%). Additionally, 2% of the children (n = 6) had a </w:t>
      </w:r>
      <w:proofErr w:type="gramStart"/>
      <w:r>
        <w:t>previously-confirmed</w:t>
      </w:r>
      <w:proofErr w:type="gramEnd"/>
      <w:r>
        <w:t xml:space="preserve"> RSV infection and 3% (n = 12) had a co-existing respiratory pathogen detected (complete data available for n = 362). </w:t>
      </w:r>
    </w:p>
    <w:p w14:paraId="6602FFA1" w14:textId="52C88622" w:rsidR="006B2619" w:rsidRDefault="006B2619" w:rsidP="006B2619">
      <w:r>
        <w:t xml:space="preserve">Admissions displayed a typical seasonal trend, with 60% of admissions occurring during May–July 2018. Overall, 33% </w:t>
      </w:r>
      <w:r w:rsidR="0091710A">
        <w:t xml:space="preserve">of </w:t>
      </w:r>
      <w:r>
        <w:t xml:space="preserve">cases (n = 119) reported one or more risk factors. This includes two children (0.5%) with bronchopulmonary dysplasia (data available for n = 361), 20 children (6%) with chronic respiratory disease (data available for n = 361), five children (1%) oxygen dependent (data available for n = 361), and 51 children (14%) with previous bronchiolitis (data available for n = 362). Only a few co-infections were detected: these included human metapneumovirus (n = 6); human parainfluenza viruses (n = 6); and </w:t>
      </w:r>
      <w:r w:rsidR="00B95302" w:rsidRPr="00B95302">
        <w:rPr>
          <w:rStyle w:val="Emphasis"/>
          <w:b w:val="0"/>
          <w:bCs w:val="0"/>
        </w:rPr>
        <w:t>B. pertussis</w:t>
      </w:r>
      <w:r>
        <w:t xml:space="preserve"> (n = 1); none were detected in children aged ≥ 24 months. Notably, there were no influenza co-infections. Given the small number of co-infections, we were not able to determine reliable estimates on increased costings. </w:t>
      </w:r>
    </w:p>
    <w:p w14:paraId="1C15B8C1" w14:textId="77777777" w:rsidR="006B2619" w:rsidRDefault="006B2619" w:rsidP="006B2619">
      <w:r>
        <w:t xml:space="preserve">In addition, 76 children (22%) were born with prematurity (data available for n = 352); of these children, the average gestation was 33 weeks (range 23–36 weeks) and the average birth weight was 2010 grams (range 553–3568 grams; birth weight data unknown for n = 22). </w:t>
      </w:r>
    </w:p>
    <w:p w14:paraId="59E34654" w14:textId="2F75D6A6" w:rsidR="007B6962" w:rsidRDefault="007B6962" w:rsidP="007B6962">
      <w:pPr>
        <w:pStyle w:val="CDIFigures"/>
        <w:rPr>
          <w:lang w:val="en-GB"/>
        </w:rPr>
      </w:pPr>
      <w:r>
        <w:rPr>
          <w:lang w:val="en-GB"/>
        </w:rPr>
        <w:lastRenderedPageBreak/>
        <w:t>Table 1: Admission and discharge data for hospitalised children aged 0–4 years</w:t>
      </w:r>
    </w:p>
    <w:tbl>
      <w:tblPr>
        <w:tblStyle w:val="CDI-StandardTable"/>
        <w:tblW w:w="0" w:type="auto"/>
        <w:tblCellMar>
          <w:top w:w="142" w:type="dxa"/>
          <w:left w:w="142" w:type="dxa"/>
          <w:bottom w:w="142" w:type="dxa"/>
          <w:right w:w="142" w:type="dxa"/>
        </w:tblCellMar>
        <w:tblLook w:val="04A0" w:firstRow="1" w:lastRow="0" w:firstColumn="1" w:lastColumn="0" w:noHBand="0" w:noVBand="1"/>
        <w:tblDescription w:val=": Admission and discharge data for hospitalised children aged 0–4 years "/>
      </w:tblPr>
      <w:tblGrid>
        <w:gridCol w:w="4536"/>
        <w:gridCol w:w="1106"/>
        <w:gridCol w:w="737"/>
        <w:gridCol w:w="1193"/>
        <w:gridCol w:w="792"/>
        <w:gridCol w:w="1137"/>
        <w:gridCol w:w="965"/>
      </w:tblGrid>
      <w:tr w:rsidR="00C04443" w:rsidRPr="00C77753" w14:paraId="5A47CAEC" w14:textId="77777777" w:rsidTr="001B7907">
        <w:trPr>
          <w:cnfStyle w:val="100000000000" w:firstRow="1" w:lastRow="0" w:firstColumn="0" w:lastColumn="0" w:oddVBand="0" w:evenVBand="0" w:oddHBand="0" w:evenHBand="0" w:firstRowFirstColumn="0" w:firstRowLastColumn="0" w:lastRowFirstColumn="0" w:lastRowLastColumn="0"/>
          <w:tblHeader/>
        </w:trPr>
        <w:tc>
          <w:tcPr>
            <w:tcW w:w="4536" w:type="dxa"/>
            <w:vMerge w:val="restart"/>
            <w:tcBorders>
              <w:bottom w:val="single" w:sz="2" w:space="0" w:color="FFFFFF" w:themeColor="background1"/>
              <w:right w:val="single" w:sz="2" w:space="0" w:color="FFFFFF" w:themeColor="background1"/>
            </w:tcBorders>
            <w:vAlign w:val="center"/>
            <w:hideMark/>
          </w:tcPr>
          <w:p w14:paraId="7F0DF85A" w14:textId="77777777" w:rsidR="007B6962" w:rsidRPr="00C77753" w:rsidRDefault="007B6962" w:rsidP="001B7907">
            <w:pPr>
              <w:pStyle w:val="NormalWeb"/>
              <w:rPr>
                <w:color w:val="FFFFFF" w:themeColor="background1"/>
                <w:sz w:val="20"/>
                <w:szCs w:val="20"/>
              </w:rPr>
            </w:pPr>
            <w:r w:rsidRPr="00C77753">
              <w:rPr>
                <w:color w:val="FFFFFF" w:themeColor="background1"/>
                <w:sz w:val="20"/>
                <w:szCs w:val="20"/>
              </w:rPr>
              <w:t>under five years of age</w:t>
            </w:r>
          </w:p>
        </w:tc>
        <w:tc>
          <w:tcPr>
            <w:tcW w:w="1843" w:type="dxa"/>
            <w:gridSpan w:val="2"/>
            <w:tcBorders>
              <w:left w:val="single" w:sz="2" w:space="0" w:color="FFFFFF" w:themeColor="background1"/>
              <w:bottom w:val="single" w:sz="2" w:space="0" w:color="FFFFFF" w:themeColor="background1"/>
              <w:right w:val="single" w:sz="2" w:space="0" w:color="FFFFFF" w:themeColor="background1"/>
            </w:tcBorders>
            <w:hideMark/>
          </w:tcPr>
          <w:p w14:paraId="55FD8DDA" w14:textId="77777777" w:rsidR="007B6962" w:rsidRPr="00C77753" w:rsidRDefault="007B6962" w:rsidP="0091710A">
            <w:pPr>
              <w:pStyle w:val="NormalWeb"/>
              <w:jc w:val="center"/>
              <w:rPr>
                <w:color w:val="FFFFFF" w:themeColor="background1"/>
                <w:sz w:val="20"/>
                <w:szCs w:val="20"/>
              </w:rPr>
            </w:pPr>
            <w:r w:rsidRPr="00C77753">
              <w:rPr>
                <w:color w:val="FFFFFF" w:themeColor="background1"/>
                <w:sz w:val="20"/>
                <w:szCs w:val="20"/>
              </w:rPr>
              <w:t>Index admission (N = 363)</w:t>
            </w:r>
          </w:p>
        </w:tc>
        <w:tc>
          <w:tcPr>
            <w:tcW w:w="1985" w:type="dxa"/>
            <w:gridSpan w:val="2"/>
            <w:tcBorders>
              <w:left w:val="single" w:sz="2" w:space="0" w:color="FFFFFF" w:themeColor="background1"/>
              <w:bottom w:val="single" w:sz="2" w:space="0" w:color="FFFFFF" w:themeColor="background1"/>
              <w:right w:val="single" w:sz="2" w:space="0" w:color="FFFFFF" w:themeColor="background1"/>
            </w:tcBorders>
            <w:hideMark/>
          </w:tcPr>
          <w:p w14:paraId="7B37D974" w14:textId="77777777" w:rsidR="007B6962" w:rsidRPr="00C77753" w:rsidRDefault="007B6962" w:rsidP="0091710A">
            <w:pPr>
              <w:pStyle w:val="NormalWeb"/>
              <w:jc w:val="center"/>
              <w:rPr>
                <w:color w:val="FFFFFF" w:themeColor="background1"/>
                <w:sz w:val="20"/>
                <w:szCs w:val="20"/>
              </w:rPr>
            </w:pPr>
            <w:r w:rsidRPr="00C77753">
              <w:rPr>
                <w:color w:val="FFFFFF" w:themeColor="background1"/>
                <w:sz w:val="20"/>
                <w:szCs w:val="20"/>
              </w:rPr>
              <w:t>0–</w:t>
            </w:r>
            <w:proofErr w:type="gramStart"/>
            <w:r w:rsidRPr="00C77753">
              <w:rPr>
                <w:color w:val="FFFFFF" w:themeColor="background1"/>
                <w:sz w:val="20"/>
                <w:szCs w:val="20"/>
              </w:rPr>
              <w:t>30 day</w:t>
            </w:r>
            <w:proofErr w:type="gramEnd"/>
            <w:r w:rsidRPr="00C77753">
              <w:rPr>
                <w:color w:val="FFFFFF" w:themeColor="background1"/>
                <w:sz w:val="20"/>
                <w:szCs w:val="20"/>
              </w:rPr>
              <w:t xml:space="preserve"> re-admissions (N = 51)</w:t>
            </w:r>
          </w:p>
        </w:tc>
        <w:tc>
          <w:tcPr>
            <w:tcW w:w="2102" w:type="dxa"/>
            <w:gridSpan w:val="2"/>
            <w:tcBorders>
              <w:left w:val="single" w:sz="2" w:space="0" w:color="FFFFFF" w:themeColor="background1"/>
              <w:bottom w:val="single" w:sz="2" w:space="0" w:color="FFFFFF" w:themeColor="background1"/>
            </w:tcBorders>
            <w:hideMark/>
          </w:tcPr>
          <w:p w14:paraId="289E419C" w14:textId="77777777" w:rsidR="007B6962" w:rsidRPr="00C77753" w:rsidRDefault="007B6962" w:rsidP="0091710A">
            <w:pPr>
              <w:pStyle w:val="NormalWeb"/>
              <w:jc w:val="center"/>
              <w:rPr>
                <w:color w:val="FFFFFF" w:themeColor="background1"/>
                <w:sz w:val="20"/>
                <w:szCs w:val="20"/>
              </w:rPr>
            </w:pPr>
            <w:r w:rsidRPr="00C77753">
              <w:rPr>
                <w:color w:val="FFFFFF" w:themeColor="background1"/>
                <w:sz w:val="20"/>
                <w:szCs w:val="20"/>
              </w:rPr>
              <w:t>1–</w:t>
            </w:r>
            <w:proofErr w:type="gramStart"/>
            <w:r w:rsidRPr="00C77753">
              <w:rPr>
                <w:color w:val="FFFFFF" w:themeColor="background1"/>
                <w:sz w:val="20"/>
                <w:szCs w:val="20"/>
              </w:rPr>
              <w:t>6 month</w:t>
            </w:r>
            <w:proofErr w:type="gramEnd"/>
            <w:r w:rsidRPr="00C77753">
              <w:rPr>
                <w:color w:val="FFFFFF" w:themeColor="background1"/>
                <w:sz w:val="20"/>
                <w:szCs w:val="20"/>
              </w:rPr>
              <w:t xml:space="preserve"> re-admissions (N = 153)</w:t>
            </w:r>
          </w:p>
        </w:tc>
      </w:tr>
      <w:tr w:rsidR="007B6962" w:rsidRPr="00C77753" w14:paraId="1FA6E7B9" w14:textId="77777777" w:rsidTr="00C77753">
        <w:trPr>
          <w:cnfStyle w:val="100000000000" w:firstRow="1" w:lastRow="0" w:firstColumn="0" w:lastColumn="0" w:oddVBand="0" w:evenVBand="0" w:oddHBand="0" w:evenHBand="0" w:firstRowFirstColumn="0" w:firstRowLastColumn="0" w:lastRowFirstColumn="0" w:lastRowLastColumn="0"/>
          <w:tblHeader/>
        </w:trPr>
        <w:tc>
          <w:tcPr>
            <w:tcW w:w="4536" w:type="dxa"/>
            <w:vMerge/>
            <w:tcBorders>
              <w:top w:val="single" w:sz="2" w:space="0" w:color="FFFFFF" w:themeColor="background1"/>
              <w:right w:val="single" w:sz="2" w:space="0" w:color="FFFFFF" w:themeColor="background1"/>
            </w:tcBorders>
            <w:hideMark/>
          </w:tcPr>
          <w:p w14:paraId="0F40A3FE" w14:textId="77777777" w:rsidR="007B6962" w:rsidRPr="00C77753" w:rsidRDefault="007B6962" w:rsidP="0091710A">
            <w:pPr>
              <w:rPr>
                <w:color w:val="FFFFFF" w:themeColor="background1"/>
                <w:sz w:val="20"/>
                <w:szCs w:val="20"/>
              </w:rPr>
            </w:pPr>
          </w:p>
        </w:tc>
        <w:tc>
          <w:tcPr>
            <w:tcW w:w="1106" w:type="dxa"/>
            <w:tcBorders>
              <w:top w:val="single" w:sz="2" w:space="0" w:color="FFFFFF" w:themeColor="background1"/>
              <w:left w:val="single" w:sz="2" w:space="0" w:color="FFFFFF" w:themeColor="background1"/>
              <w:right w:val="single" w:sz="2" w:space="0" w:color="FFFFFF" w:themeColor="background1"/>
            </w:tcBorders>
            <w:hideMark/>
          </w:tcPr>
          <w:p w14:paraId="3DDFFC19" w14:textId="77777777" w:rsidR="007B6962" w:rsidRPr="00C77753" w:rsidRDefault="007B6962" w:rsidP="0091710A">
            <w:pPr>
              <w:pStyle w:val="NormalWeb"/>
              <w:jc w:val="center"/>
              <w:rPr>
                <w:color w:val="FFFFFF" w:themeColor="background1"/>
                <w:sz w:val="20"/>
                <w:szCs w:val="20"/>
              </w:rPr>
            </w:pPr>
            <w:r w:rsidRPr="00C77753">
              <w:rPr>
                <w:color w:val="FFFFFF" w:themeColor="background1"/>
                <w:sz w:val="20"/>
                <w:szCs w:val="20"/>
              </w:rPr>
              <w:t>Number</w:t>
            </w:r>
          </w:p>
        </w:tc>
        <w:tc>
          <w:tcPr>
            <w:tcW w:w="737" w:type="dxa"/>
            <w:tcBorders>
              <w:top w:val="single" w:sz="2" w:space="0" w:color="FFFFFF" w:themeColor="background1"/>
              <w:left w:val="single" w:sz="2" w:space="0" w:color="FFFFFF" w:themeColor="background1"/>
              <w:right w:val="single" w:sz="2" w:space="0" w:color="FFFFFF" w:themeColor="background1"/>
            </w:tcBorders>
            <w:hideMark/>
          </w:tcPr>
          <w:p w14:paraId="54D72718" w14:textId="77777777" w:rsidR="007B6962" w:rsidRPr="00C77753" w:rsidRDefault="007B6962" w:rsidP="0091710A">
            <w:pPr>
              <w:pStyle w:val="NormalWeb"/>
              <w:jc w:val="center"/>
              <w:rPr>
                <w:color w:val="FFFFFF" w:themeColor="background1"/>
                <w:sz w:val="20"/>
                <w:szCs w:val="20"/>
              </w:rPr>
            </w:pPr>
            <w:r w:rsidRPr="00C77753">
              <w:rPr>
                <w:color w:val="FFFFFF" w:themeColor="background1"/>
                <w:sz w:val="20"/>
                <w:szCs w:val="20"/>
              </w:rPr>
              <w:t>%</w:t>
            </w:r>
          </w:p>
        </w:tc>
        <w:tc>
          <w:tcPr>
            <w:tcW w:w="1193" w:type="dxa"/>
            <w:tcBorders>
              <w:top w:val="single" w:sz="2" w:space="0" w:color="FFFFFF" w:themeColor="background1"/>
              <w:left w:val="single" w:sz="2" w:space="0" w:color="FFFFFF" w:themeColor="background1"/>
              <w:right w:val="single" w:sz="2" w:space="0" w:color="FFFFFF" w:themeColor="background1"/>
            </w:tcBorders>
            <w:hideMark/>
          </w:tcPr>
          <w:p w14:paraId="5D039FA8" w14:textId="77777777" w:rsidR="007B6962" w:rsidRPr="00C77753" w:rsidRDefault="007B6962" w:rsidP="0091710A">
            <w:pPr>
              <w:pStyle w:val="NormalWeb"/>
              <w:jc w:val="center"/>
              <w:rPr>
                <w:color w:val="FFFFFF" w:themeColor="background1"/>
                <w:sz w:val="20"/>
                <w:szCs w:val="20"/>
              </w:rPr>
            </w:pPr>
            <w:r w:rsidRPr="00C77753">
              <w:rPr>
                <w:color w:val="FFFFFF" w:themeColor="background1"/>
                <w:sz w:val="20"/>
                <w:szCs w:val="20"/>
              </w:rPr>
              <w:t>Number</w:t>
            </w:r>
          </w:p>
        </w:tc>
        <w:tc>
          <w:tcPr>
            <w:tcW w:w="792" w:type="dxa"/>
            <w:tcBorders>
              <w:top w:val="single" w:sz="2" w:space="0" w:color="FFFFFF" w:themeColor="background1"/>
              <w:left w:val="single" w:sz="2" w:space="0" w:color="FFFFFF" w:themeColor="background1"/>
              <w:right w:val="single" w:sz="2" w:space="0" w:color="FFFFFF" w:themeColor="background1"/>
            </w:tcBorders>
            <w:hideMark/>
          </w:tcPr>
          <w:p w14:paraId="6F10C4FF" w14:textId="77777777" w:rsidR="007B6962" w:rsidRPr="00C77753" w:rsidRDefault="007B6962" w:rsidP="0091710A">
            <w:pPr>
              <w:pStyle w:val="NormalWeb"/>
              <w:jc w:val="center"/>
              <w:rPr>
                <w:color w:val="FFFFFF" w:themeColor="background1"/>
                <w:sz w:val="20"/>
                <w:szCs w:val="20"/>
              </w:rPr>
            </w:pPr>
            <w:r w:rsidRPr="00C77753">
              <w:rPr>
                <w:color w:val="FFFFFF" w:themeColor="background1"/>
                <w:sz w:val="20"/>
                <w:szCs w:val="20"/>
              </w:rPr>
              <w:t>%</w:t>
            </w:r>
          </w:p>
        </w:tc>
        <w:tc>
          <w:tcPr>
            <w:tcW w:w="1137" w:type="dxa"/>
            <w:tcBorders>
              <w:top w:val="single" w:sz="2" w:space="0" w:color="FFFFFF" w:themeColor="background1"/>
              <w:left w:val="single" w:sz="2" w:space="0" w:color="FFFFFF" w:themeColor="background1"/>
              <w:right w:val="single" w:sz="2" w:space="0" w:color="FFFFFF" w:themeColor="background1"/>
            </w:tcBorders>
            <w:hideMark/>
          </w:tcPr>
          <w:p w14:paraId="71626A16" w14:textId="77777777" w:rsidR="007B6962" w:rsidRPr="00C77753" w:rsidRDefault="007B6962" w:rsidP="0091710A">
            <w:pPr>
              <w:pStyle w:val="NormalWeb"/>
              <w:jc w:val="center"/>
              <w:rPr>
                <w:color w:val="FFFFFF" w:themeColor="background1"/>
                <w:sz w:val="20"/>
                <w:szCs w:val="20"/>
              </w:rPr>
            </w:pPr>
            <w:r w:rsidRPr="00C77753">
              <w:rPr>
                <w:color w:val="FFFFFF" w:themeColor="background1"/>
                <w:sz w:val="20"/>
                <w:szCs w:val="20"/>
              </w:rPr>
              <w:t>Number</w:t>
            </w:r>
          </w:p>
        </w:tc>
        <w:tc>
          <w:tcPr>
            <w:tcW w:w="965" w:type="dxa"/>
            <w:tcBorders>
              <w:top w:val="single" w:sz="2" w:space="0" w:color="FFFFFF" w:themeColor="background1"/>
              <w:left w:val="single" w:sz="2" w:space="0" w:color="FFFFFF" w:themeColor="background1"/>
            </w:tcBorders>
            <w:hideMark/>
          </w:tcPr>
          <w:p w14:paraId="678CCD25" w14:textId="77777777" w:rsidR="007B6962" w:rsidRPr="00C77753" w:rsidRDefault="007B6962" w:rsidP="0091710A">
            <w:pPr>
              <w:pStyle w:val="NormalWeb"/>
              <w:jc w:val="center"/>
              <w:rPr>
                <w:color w:val="FFFFFF" w:themeColor="background1"/>
                <w:sz w:val="20"/>
                <w:szCs w:val="20"/>
              </w:rPr>
            </w:pPr>
            <w:r w:rsidRPr="00C77753">
              <w:rPr>
                <w:color w:val="FFFFFF" w:themeColor="background1"/>
                <w:sz w:val="20"/>
                <w:szCs w:val="20"/>
              </w:rPr>
              <w:t>%</w:t>
            </w:r>
          </w:p>
        </w:tc>
      </w:tr>
      <w:tr w:rsidR="00C04443" w:rsidRPr="00C77753" w14:paraId="1E4A6A3C" w14:textId="77777777" w:rsidTr="00C77753">
        <w:tc>
          <w:tcPr>
            <w:tcW w:w="4536" w:type="dxa"/>
            <w:hideMark/>
          </w:tcPr>
          <w:p w14:paraId="61147188" w14:textId="77777777" w:rsidR="007B6962" w:rsidRPr="00C77753" w:rsidRDefault="007B6962" w:rsidP="0091710A">
            <w:pPr>
              <w:pStyle w:val="NormalWeb"/>
              <w:rPr>
                <w:sz w:val="20"/>
                <w:szCs w:val="20"/>
              </w:rPr>
            </w:pPr>
            <w:r w:rsidRPr="00C77753">
              <w:rPr>
                <w:sz w:val="20"/>
                <w:szCs w:val="20"/>
              </w:rPr>
              <w:t>Transfer from another hospital</w:t>
            </w:r>
          </w:p>
        </w:tc>
        <w:tc>
          <w:tcPr>
            <w:tcW w:w="1106" w:type="dxa"/>
            <w:hideMark/>
          </w:tcPr>
          <w:p w14:paraId="685459A0" w14:textId="77777777" w:rsidR="007B6962" w:rsidRPr="00C77753" w:rsidRDefault="007B6962" w:rsidP="0091710A">
            <w:pPr>
              <w:pStyle w:val="NormalWeb"/>
              <w:jc w:val="center"/>
              <w:rPr>
                <w:sz w:val="20"/>
                <w:szCs w:val="20"/>
              </w:rPr>
            </w:pPr>
            <w:r w:rsidRPr="00C77753">
              <w:rPr>
                <w:sz w:val="20"/>
                <w:szCs w:val="20"/>
              </w:rPr>
              <w:t>58</w:t>
            </w:r>
          </w:p>
        </w:tc>
        <w:tc>
          <w:tcPr>
            <w:tcW w:w="737" w:type="dxa"/>
            <w:hideMark/>
          </w:tcPr>
          <w:p w14:paraId="06FF4C8F" w14:textId="77777777" w:rsidR="007B6962" w:rsidRPr="00C77753" w:rsidRDefault="007B6962" w:rsidP="0091710A">
            <w:pPr>
              <w:pStyle w:val="NormalWeb"/>
              <w:jc w:val="center"/>
              <w:rPr>
                <w:sz w:val="20"/>
                <w:szCs w:val="20"/>
              </w:rPr>
            </w:pPr>
            <w:r w:rsidRPr="00C77753">
              <w:rPr>
                <w:sz w:val="20"/>
                <w:szCs w:val="20"/>
              </w:rPr>
              <w:t>16.0</w:t>
            </w:r>
          </w:p>
        </w:tc>
        <w:tc>
          <w:tcPr>
            <w:tcW w:w="1193" w:type="dxa"/>
            <w:hideMark/>
          </w:tcPr>
          <w:p w14:paraId="0B28BFFA" w14:textId="77777777" w:rsidR="007B6962" w:rsidRPr="00C77753" w:rsidRDefault="007B6962" w:rsidP="0091710A">
            <w:pPr>
              <w:pStyle w:val="NormalWeb"/>
              <w:jc w:val="center"/>
              <w:rPr>
                <w:sz w:val="20"/>
                <w:szCs w:val="20"/>
              </w:rPr>
            </w:pPr>
            <w:r w:rsidRPr="00C77753">
              <w:rPr>
                <w:sz w:val="20"/>
                <w:szCs w:val="20"/>
              </w:rPr>
              <w:t>5</w:t>
            </w:r>
          </w:p>
        </w:tc>
        <w:tc>
          <w:tcPr>
            <w:tcW w:w="792" w:type="dxa"/>
            <w:hideMark/>
          </w:tcPr>
          <w:p w14:paraId="35598BE0" w14:textId="77777777" w:rsidR="007B6962" w:rsidRPr="00C77753" w:rsidRDefault="007B6962" w:rsidP="0091710A">
            <w:pPr>
              <w:pStyle w:val="NormalWeb"/>
              <w:jc w:val="center"/>
              <w:rPr>
                <w:sz w:val="20"/>
                <w:szCs w:val="20"/>
              </w:rPr>
            </w:pPr>
            <w:r w:rsidRPr="00C77753">
              <w:rPr>
                <w:sz w:val="20"/>
                <w:szCs w:val="20"/>
              </w:rPr>
              <w:t>9.8</w:t>
            </w:r>
          </w:p>
        </w:tc>
        <w:tc>
          <w:tcPr>
            <w:tcW w:w="1137" w:type="dxa"/>
            <w:hideMark/>
          </w:tcPr>
          <w:p w14:paraId="4757D0BD" w14:textId="77777777" w:rsidR="007B6962" w:rsidRPr="00C77753" w:rsidRDefault="007B6962" w:rsidP="0091710A">
            <w:pPr>
              <w:pStyle w:val="NormalWeb"/>
              <w:jc w:val="center"/>
              <w:rPr>
                <w:sz w:val="20"/>
                <w:szCs w:val="20"/>
              </w:rPr>
            </w:pPr>
            <w:r w:rsidRPr="00C77753">
              <w:rPr>
                <w:sz w:val="20"/>
                <w:szCs w:val="20"/>
              </w:rPr>
              <w:t>24</w:t>
            </w:r>
          </w:p>
        </w:tc>
        <w:tc>
          <w:tcPr>
            <w:tcW w:w="965" w:type="dxa"/>
            <w:hideMark/>
          </w:tcPr>
          <w:p w14:paraId="0EEFBDA0" w14:textId="77777777" w:rsidR="007B6962" w:rsidRPr="00C77753" w:rsidRDefault="007B6962" w:rsidP="0091710A">
            <w:pPr>
              <w:pStyle w:val="NormalWeb"/>
              <w:jc w:val="center"/>
              <w:rPr>
                <w:sz w:val="20"/>
                <w:szCs w:val="20"/>
              </w:rPr>
            </w:pPr>
            <w:r w:rsidRPr="00C77753">
              <w:rPr>
                <w:sz w:val="20"/>
                <w:szCs w:val="20"/>
              </w:rPr>
              <w:t>15.7</w:t>
            </w:r>
          </w:p>
        </w:tc>
      </w:tr>
      <w:tr w:rsidR="007B6962" w:rsidRPr="00C77753" w14:paraId="7508593F" w14:textId="77777777" w:rsidTr="00C77753">
        <w:trPr>
          <w:cnfStyle w:val="000000010000" w:firstRow="0" w:lastRow="0" w:firstColumn="0" w:lastColumn="0" w:oddVBand="0" w:evenVBand="0" w:oddHBand="0" w:evenHBand="1" w:firstRowFirstColumn="0" w:firstRowLastColumn="0" w:lastRowFirstColumn="0" w:lastRowLastColumn="0"/>
        </w:trPr>
        <w:tc>
          <w:tcPr>
            <w:tcW w:w="4536" w:type="dxa"/>
            <w:hideMark/>
          </w:tcPr>
          <w:p w14:paraId="27DA41BC" w14:textId="77777777" w:rsidR="007B6962" w:rsidRPr="00C77753" w:rsidRDefault="007B6962" w:rsidP="0091710A">
            <w:pPr>
              <w:pStyle w:val="NormalWeb"/>
              <w:rPr>
                <w:sz w:val="20"/>
                <w:szCs w:val="20"/>
              </w:rPr>
            </w:pPr>
            <w:r w:rsidRPr="00C77753">
              <w:rPr>
                <w:sz w:val="20"/>
                <w:szCs w:val="20"/>
              </w:rPr>
              <w:t>Utilisation of an ambulance</w:t>
            </w:r>
          </w:p>
        </w:tc>
        <w:tc>
          <w:tcPr>
            <w:tcW w:w="1106" w:type="dxa"/>
            <w:hideMark/>
          </w:tcPr>
          <w:p w14:paraId="7B189D23" w14:textId="77777777" w:rsidR="007B6962" w:rsidRPr="00C77753" w:rsidRDefault="007B6962" w:rsidP="0091710A">
            <w:pPr>
              <w:pStyle w:val="NormalWeb"/>
              <w:jc w:val="center"/>
              <w:rPr>
                <w:sz w:val="20"/>
                <w:szCs w:val="20"/>
              </w:rPr>
            </w:pPr>
            <w:r w:rsidRPr="00C77753">
              <w:rPr>
                <w:sz w:val="20"/>
                <w:szCs w:val="20"/>
              </w:rPr>
              <w:t>18</w:t>
            </w:r>
          </w:p>
        </w:tc>
        <w:tc>
          <w:tcPr>
            <w:tcW w:w="737" w:type="dxa"/>
            <w:hideMark/>
          </w:tcPr>
          <w:p w14:paraId="7A5151BB" w14:textId="77777777" w:rsidR="007B6962" w:rsidRPr="00C77753" w:rsidRDefault="007B6962" w:rsidP="0091710A">
            <w:pPr>
              <w:pStyle w:val="NormalWeb"/>
              <w:jc w:val="center"/>
              <w:rPr>
                <w:sz w:val="20"/>
                <w:szCs w:val="20"/>
              </w:rPr>
            </w:pPr>
            <w:r w:rsidRPr="00C77753">
              <w:rPr>
                <w:sz w:val="20"/>
                <w:szCs w:val="20"/>
              </w:rPr>
              <w:t>5.0</w:t>
            </w:r>
          </w:p>
        </w:tc>
        <w:tc>
          <w:tcPr>
            <w:tcW w:w="1193" w:type="dxa"/>
            <w:hideMark/>
          </w:tcPr>
          <w:p w14:paraId="1CB96341" w14:textId="77777777" w:rsidR="007B6962" w:rsidRPr="00C77753" w:rsidRDefault="007B6962" w:rsidP="0091710A">
            <w:pPr>
              <w:pStyle w:val="NormalWeb"/>
              <w:jc w:val="center"/>
              <w:rPr>
                <w:sz w:val="20"/>
                <w:szCs w:val="20"/>
              </w:rPr>
            </w:pPr>
            <w:r w:rsidRPr="00C77753">
              <w:rPr>
                <w:sz w:val="20"/>
                <w:szCs w:val="20"/>
              </w:rPr>
              <w:t>2</w:t>
            </w:r>
          </w:p>
        </w:tc>
        <w:tc>
          <w:tcPr>
            <w:tcW w:w="792" w:type="dxa"/>
            <w:hideMark/>
          </w:tcPr>
          <w:p w14:paraId="0F2172E2" w14:textId="77777777" w:rsidR="007B6962" w:rsidRPr="00C77753" w:rsidRDefault="007B6962" w:rsidP="0091710A">
            <w:pPr>
              <w:pStyle w:val="NormalWeb"/>
              <w:jc w:val="center"/>
              <w:rPr>
                <w:sz w:val="20"/>
                <w:szCs w:val="20"/>
              </w:rPr>
            </w:pPr>
            <w:r w:rsidRPr="00C77753">
              <w:rPr>
                <w:sz w:val="20"/>
                <w:szCs w:val="20"/>
              </w:rPr>
              <w:t>3.9</w:t>
            </w:r>
          </w:p>
        </w:tc>
        <w:tc>
          <w:tcPr>
            <w:tcW w:w="1137" w:type="dxa"/>
            <w:hideMark/>
          </w:tcPr>
          <w:p w14:paraId="1140F968" w14:textId="77777777" w:rsidR="007B6962" w:rsidRPr="00C77753" w:rsidRDefault="007B6962" w:rsidP="0091710A">
            <w:pPr>
              <w:pStyle w:val="NormalWeb"/>
              <w:jc w:val="center"/>
              <w:rPr>
                <w:sz w:val="20"/>
                <w:szCs w:val="20"/>
              </w:rPr>
            </w:pPr>
            <w:r w:rsidRPr="00C77753">
              <w:rPr>
                <w:sz w:val="20"/>
                <w:szCs w:val="20"/>
              </w:rPr>
              <w:t>12</w:t>
            </w:r>
          </w:p>
        </w:tc>
        <w:tc>
          <w:tcPr>
            <w:tcW w:w="965" w:type="dxa"/>
            <w:hideMark/>
          </w:tcPr>
          <w:p w14:paraId="04ACD231" w14:textId="77777777" w:rsidR="007B6962" w:rsidRPr="00C77753" w:rsidRDefault="007B6962" w:rsidP="0091710A">
            <w:pPr>
              <w:pStyle w:val="NormalWeb"/>
              <w:jc w:val="center"/>
              <w:rPr>
                <w:sz w:val="20"/>
                <w:szCs w:val="20"/>
              </w:rPr>
            </w:pPr>
            <w:r w:rsidRPr="00C77753">
              <w:rPr>
                <w:sz w:val="20"/>
                <w:szCs w:val="20"/>
              </w:rPr>
              <w:t>7.8</w:t>
            </w:r>
          </w:p>
        </w:tc>
      </w:tr>
      <w:tr w:rsidR="00C04443" w:rsidRPr="00C77753" w14:paraId="5887F1B8" w14:textId="77777777" w:rsidTr="00C77753">
        <w:tc>
          <w:tcPr>
            <w:tcW w:w="4536" w:type="dxa"/>
            <w:hideMark/>
          </w:tcPr>
          <w:p w14:paraId="5C54AF9C" w14:textId="77777777" w:rsidR="007B6962" w:rsidRPr="00C77753" w:rsidRDefault="007B6962" w:rsidP="0091710A">
            <w:pPr>
              <w:pStyle w:val="NormalWeb"/>
              <w:rPr>
                <w:sz w:val="20"/>
                <w:szCs w:val="20"/>
              </w:rPr>
            </w:pPr>
            <w:r w:rsidRPr="00C77753">
              <w:rPr>
                <w:sz w:val="20"/>
                <w:szCs w:val="20"/>
              </w:rPr>
              <w:t>Present to ED prior to admission</w:t>
            </w:r>
          </w:p>
        </w:tc>
        <w:tc>
          <w:tcPr>
            <w:tcW w:w="1106" w:type="dxa"/>
            <w:hideMark/>
          </w:tcPr>
          <w:p w14:paraId="37E1D8E7" w14:textId="77777777" w:rsidR="007B6962" w:rsidRPr="00C77753" w:rsidRDefault="007B6962" w:rsidP="0091710A">
            <w:pPr>
              <w:pStyle w:val="NormalWeb"/>
              <w:jc w:val="center"/>
              <w:rPr>
                <w:sz w:val="20"/>
                <w:szCs w:val="20"/>
              </w:rPr>
            </w:pPr>
            <w:r w:rsidRPr="00C77753">
              <w:rPr>
                <w:sz w:val="20"/>
                <w:szCs w:val="20"/>
              </w:rPr>
              <w:t>318</w:t>
            </w:r>
          </w:p>
        </w:tc>
        <w:tc>
          <w:tcPr>
            <w:tcW w:w="737" w:type="dxa"/>
            <w:hideMark/>
          </w:tcPr>
          <w:p w14:paraId="6E4AD89A" w14:textId="77777777" w:rsidR="007B6962" w:rsidRPr="00C77753" w:rsidRDefault="007B6962" w:rsidP="0091710A">
            <w:pPr>
              <w:pStyle w:val="NormalWeb"/>
              <w:jc w:val="center"/>
              <w:rPr>
                <w:sz w:val="20"/>
                <w:szCs w:val="20"/>
              </w:rPr>
            </w:pPr>
            <w:r w:rsidRPr="00C77753">
              <w:rPr>
                <w:sz w:val="20"/>
                <w:szCs w:val="20"/>
              </w:rPr>
              <w:t>87.6</w:t>
            </w:r>
          </w:p>
        </w:tc>
        <w:tc>
          <w:tcPr>
            <w:tcW w:w="1193" w:type="dxa"/>
            <w:hideMark/>
          </w:tcPr>
          <w:p w14:paraId="48647F1C" w14:textId="77777777" w:rsidR="007B6962" w:rsidRPr="00C77753" w:rsidRDefault="007B6962" w:rsidP="0091710A">
            <w:pPr>
              <w:pStyle w:val="NormalWeb"/>
              <w:jc w:val="center"/>
              <w:rPr>
                <w:sz w:val="20"/>
                <w:szCs w:val="20"/>
              </w:rPr>
            </w:pPr>
            <w:r w:rsidRPr="00C77753">
              <w:rPr>
                <w:sz w:val="20"/>
                <w:szCs w:val="20"/>
              </w:rPr>
              <w:t>47</w:t>
            </w:r>
          </w:p>
        </w:tc>
        <w:tc>
          <w:tcPr>
            <w:tcW w:w="792" w:type="dxa"/>
            <w:hideMark/>
          </w:tcPr>
          <w:p w14:paraId="526D360E" w14:textId="77777777" w:rsidR="007B6962" w:rsidRPr="00C77753" w:rsidRDefault="007B6962" w:rsidP="0091710A">
            <w:pPr>
              <w:pStyle w:val="NormalWeb"/>
              <w:jc w:val="center"/>
              <w:rPr>
                <w:sz w:val="20"/>
                <w:szCs w:val="20"/>
              </w:rPr>
            </w:pPr>
            <w:r w:rsidRPr="00C77753">
              <w:rPr>
                <w:sz w:val="20"/>
                <w:szCs w:val="20"/>
              </w:rPr>
              <w:t>92.2</w:t>
            </w:r>
          </w:p>
        </w:tc>
        <w:tc>
          <w:tcPr>
            <w:tcW w:w="1137" w:type="dxa"/>
            <w:hideMark/>
          </w:tcPr>
          <w:p w14:paraId="42BF8B9B" w14:textId="77777777" w:rsidR="007B6962" w:rsidRPr="00C77753" w:rsidRDefault="007B6962" w:rsidP="0091710A">
            <w:pPr>
              <w:pStyle w:val="NormalWeb"/>
              <w:jc w:val="center"/>
              <w:rPr>
                <w:sz w:val="20"/>
                <w:szCs w:val="20"/>
              </w:rPr>
            </w:pPr>
            <w:r w:rsidRPr="00C77753">
              <w:rPr>
                <w:sz w:val="20"/>
                <w:szCs w:val="20"/>
              </w:rPr>
              <w:t>135</w:t>
            </w:r>
          </w:p>
        </w:tc>
        <w:tc>
          <w:tcPr>
            <w:tcW w:w="965" w:type="dxa"/>
            <w:hideMark/>
          </w:tcPr>
          <w:p w14:paraId="495B8EF4" w14:textId="77777777" w:rsidR="007B6962" w:rsidRPr="00C77753" w:rsidRDefault="007B6962" w:rsidP="0091710A">
            <w:pPr>
              <w:pStyle w:val="NormalWeb"/>
              <w:jc w:val="center"/>
              <w:rPr>
                <w:sz w:val="20"/>
                <w:szCs w:val="20"/>
              </w:rPr>
            </w:pPr>
            <w:r w:rsidRPr="00C77753">
              <w:rPr>
                <w:sz w:val="20"/>
                <w:szCs w:val="20"/>
              </w:rPr>
              <w:t>88.2</w:t>
            </w:r>
          </w:p>
        </w:tc>
      </w:tr>
      <w:tr w:rsidR="007B6962" w:rsidRPr="00C77753" w14:paraId="32D9A404" w14:textId="77777777" w:rsidTr="00C77753">
        <w:trPr>
          <w:cnfStyle w:val="000000010000" w:firstRow="0" w:lastRow="0" w:firstColumn="0" w:lastColumn="0" w:oddVBand="0" w:evenVBand="0" w:oddHBand="0" w:evenHBand="1" w:firstRowFirstColumn="0" w:firstRowLastColumn="0" w:lastRowFirstColumn="0" w:lastRowLastColumn="0"/>
        </w:trPr>
        <w:tc>
          <w:tcPr>
            <w:tcW w:w="4536" w:type="dxa"/>
            <w:hideMark/>
          </w:tcPr>
          <w:p w14:paraId="7250F9D4" w14:textId="77777777" w:rsidR="007B6962" w:rsidRPr="00C77753" w:rsidRDefault="007B6962" w:rsidP="0091710A">
            <w:pPr>
              <w:pStyle w:val="NormalWeb"/>
              <w:rPr>
                <w:sz w:val="20"/>
                <w:szCs w:val="20"/>
              </w:rPr>
            </w:pPr>
            <w:r w:rsidRPr="00C77753">
              <w:rPr>
                <w:sz w:val="20"/>
                <w:szCs w:val="20"/>
              </w:rPr>
              <w:t>Patient admission location - Ward</w:t>
            </w:r>
          </w:p>
        </w:tc>
        <w:tc>
          <w:tcPr>
            <w:tcW w:w="1106" w:type="dxa"/>
            <w:hideMark/>
          </w:tcPr>
          <w:p w14:paraId="278D3FFD" w14:textId="77777777" w:rsidR="007B6962" w:rsidRPr="00C77753" w:rsidRDefault="007B6962" w:rsidP="0091710A">
            <w:pPr>
              <w:pStyle w:val="NormalWeb"/>
              <w:jc w:val="center"/>
              <w:rPr>
                <w:sz w:val="20"/>
                <w:szCs w:val="20"/>
              </w:rPr>
            </w:pPr>
            <w:r w:rsidRPr="00C77753">
              <w:rPr>
                <w:sz w:val="20"/>
                <w:szCs w:val="20"/>
              </w:rPr>
              <w:t>289</w:t>
            </w:r>
          </w:p>
        </w:tc>
        <w:tc>
          <w:tcPr>
            <w:tcW w:w="737" w:type="dxa"/>
            <w:hideMark/>
          </w:tcPr>
          <w:p w14:paraId="70DC9E0E" w14:textId="77777777" w:rsidR="007B6962" w:rsidRPr="00C77753" w:rsidRDefault="007B6962" w:rsidP="0091710A">
            <w:pPr>
              <w:pStyle w:val="NormalWeb"/>
              <w:jc w:val="center"/>
              <w:rPr>
                <w:sz w:val="20"/>
                <w:szCs w:val="20"/>
              </w:rPr>
            </w:pPr>
            <w:r w:rsidRPr="00C77753">
              <w:rPr>
                <w:sz w:val="20"/>
                <w:szCs w:val="20"/>
              </w:rPr>
              <w:t>79.6</w:t>
            </w:r>
          </w:p>
        </w:tc>
        <w:tc>
          <w:tcPr>
            <w:tcW w:w="1193" w:type="dxa"/>
            <w:hideMark/>
          </w:tcPr>
          <w:p w14:paraId="5AA8746C" w14:textId="77777777" w:rsidR="007B6962" w:rsidRPr="00C77753" w:rsidRDefault="007B6962" w:rsidP="0091710A">
            <w:pPr>
              <w:pStyle w:val="NormalWeb"/>
              <w:jc w:val="center"/>
              <w:rPr>
                <w:sz w:val="20"/>
                <w:szCs w:val="20"/>
              </w:rPr>
            </w:pPr>
            <w:r w:rsidRPr="00C77753">
              <w:rPr>
                <w:sz w:val="20"/>
                <w:szCs w:val="20"/>
              </w:rPr>
              <w:t>41</w:t>
            </w:r>
          </w:p>
        </w:tc>
        <w:tc>
          <w:tcPr>
            <w:tcW w:w="792" w:type="dxa"/>
            <w:hideMark/>
          </w:tcPr>
          <w:p w14:paraId="0B873E76" w14:textId="77777777" w:rsidR="007B6962" w:rsidRPr="00C77753" w:rsidRDefault="007B6962" w:rsidP="0091710A">
            <w:pPr>
              <w:pStyle w:val="NormalWeb"/>
              <w:jc w:val="center"/>
              <w:rPr>
                <w:sz w:val="20"/>
                <w:szCs w:val="20"/>
              </w:rPr>
            </w:pPr>
            <w:r w:rsidRPr="00C77753">
              <w:rPr>
                <w:sz w:val="20"/>
                <w:szCs w:val="20"/>
              </w:rPr>
              <w:t>80.4</w:t>
            </w:r>
          </w:p>
        </w:tc>
        <w:tc>
          <w:tcPr>
            <w:tcW w:w="1137" w:type="dxa"/>
            <w:hideMark/>
          </w:tcPr>
          <w:p w14:paraId="5E73E592" w14:textId="77777777" w:rsidR="007B6962" w:rsidRPr="00C77753" w:rsidRDefault="007B6962" w:rsidP="0091710A">
            <w:pPr>
              <w:pStyle w:val="NormalWeb"/>
              <w:jc w:val="center"/>
              <w:rPr>
                <w:sz w:val="20"/>
                <w:szCs w:val="20"/>
              </w:rPr>
            </w:pPr>
            <w:r w:rsidRPr="00C77753">
              <w:rPr>
                <w:sz w:val="20"/>
                <w:szCs w:val="20"/>
              </w:rPr>
              <w:t>115</w:t>
            </w:r>
          </w:p>
        </w:tc>
        <w:tc>
          <w:tcPr>
            <w:tcW w:w="965" w:type="dxa"/>
            <w:hideMark/>
          </w:tcPr>
          <w:p w14:paraId="1F3AEE6E" w14:textId="77777777" w:rsidR="007B6962" w:rsidRPr="00C77753" w:rsidRDefault="007B6962" w:rsidP="0091710A">
            <w:pPr>
              <w:pStyle w:val="NormalWeb"/>
              <w:jc w:val="center"/>
              <w:rPr>
                <w:sz w:val="20"/>
                <w:szCs w:val="20"/>
              </w:rPr>
            </w:pPr>
            <w:r w:rsidRPr="00C77753">
              <w:rPr>
                <w:sz w:val="20"/>
                <w:szCs w:val="20"/>
              </w:rPr>
              <w:t>75.2</w:t>
            </w:r>
          </w:p>
        </w:tc>
      </w:tr>
      <w:tr w:rsidR="00C04443" w:rsidRPr="00C77753" w14:paraId="518D41B4" w14:textId="77777777" w:rsidTr="00C77753">
        <w:tc>
          <w:tcPr>
            <w:tcW w:w="4536" w:type="dxa"/>
            <w:hideMark/>
          </w:tcPr>
          <w:p w14:paraId="6275EDD1" w14:textId="77777777" w:rsidR="007B6962" w:rsidRPr="00C77753" w:rsidRDefault="007B6962" w:rsidP="0091710A">
            <w:pPr>
              <w:pStyle w:val="NormalWeb"/>
              <w:rPr>
                <w:sz w:val="20"/>
                <w:szCs w:val="20"/>
              </w:rPr>
            </w:pPr>
            <w:r w:rsidRPr="00C77753">
              <w:rPr>
                <w:sz w:val="20"/>
                <w:szCs w:val="20"/>
              </w:rPr>
              <w:t>Patient admission location - ICU</w:t>
            </w:r>
          </w:p>
        </w:tc>
        <w:tc>
          <w:tcPr>
            <w:tcW w:w="1106" w:type="dxa"/>
            <w:hideMark/>
          </w:tcPr>
          <w:p w14:paraId="613145E3" w14:textId="77777777" w:rsidR="007B6962" w:rsidRPr="00C77753" w:rsidRDefault="007B6962" w:rsidP="0091710A">
            <w:pPr>
              <w:pStyle w:val="NormalWeb"/>
              <w:jc w:val="center"/>
              <w:rPr>
                <w:sz w:val="20"/>
                <w:szCs w:val="20"/>
              </w:rPr>
            </w:pPr>
            <w:r w:rsidRPr="00C77753">
              <w:rPr>
                <w:sz w:val="20"/>
                <w:szCs w:val="20"/>
              </w:rPr>
              <w:t>74</w:t>
            </w:r>
          </w:p>
        </w:tc>
        <w:tc>
          <w:tcPr>
            <w:tcW w:w="737" w:type="dxa"/>
            <w:hideMark/>
          </w:tcPr>
          <w:p w14:paraId="3A5302F0" w14:textId="77777777" w:rsidR="007B6962" w:rsidRPr="00C77753" w:rsidRDefault="007B6962" w:rsidP="0091710A">
            <w:pPr>
              <w:pStyle w:val="NormalWeb"/>
              <w:jc w:val="center"/>
              <w:rPr>
                <w:sz w:val="20"/>
                <w:szCs w:val="20"/>
              </w:rPr>
            </w:pPr>
            <w:r w:rsidRPr="00C77753">
              <w:rPr>
                <w:sz w:val="20"/>
                <w:szCs w:val="20"/>
              </w:rPr>
              <w:t>20.4</w:t>
            </w:r>
          </w:p>
        </w:tc>
        <w:tc>
          <w:tcPr>
            <w:tcW w:w="1193" w:type="dxa"/>
            <w:hideMark/>
          </w:tcPr>
          <w:p w14:paraId="1DA47320" w14:textId="77777777" w:rsidR="007B6962" w:rsidRPr="00C77753" w:rsidRDefault="007B6962" w:rsidP="0091710A">
            <w:pPr>
              <w:pStyle w:val="NormalWeb"/>
              <w:jc w:val="center"/>
              <w:rPr>
                <w:sz w:val="20"/>
                <w:szCs w:val="20"/>
              </w:rPr>
            </w:pPr>
            <w:r w:rsidRPr="00C77753">
              <w:rPr>
                <w:sz w:val="20"/>
                <w:szCs w:val="20"/>
              </w:rPr>
              <w:t>10</w:t>
            </w:r>
          </w:p>
        </w:tc>
        <w:tc>
          <w:tcPr>
            <w:tcW w:w="792" w:type="dxa"/>
            <w:hideMark/>
          </w:tcPr>
          <w:p w14:paraId="48E16678" w14:textId="77777777" w:rsidR="007B6962" w:rsidRPr="00C77753" w:rsidRDefault="007B6962" w:rsidP="0091710A">
            <w:pPr>
              <w:pStyle w:val="NormalWeb"/>
              <w:jc w:val="center"/>
              <w:rPr>
                <w:sz w:val="20"/>
                <w:szCs w:val="20"/>
              </w:rPr>
            </w:pPr>
            <w:r w:rsidRPr="00C77753">
              <w:rPr>
                <w:sz w:val="20"/>
                <w:szCs w:val="20"/>
              </w:rPr>
              <w:t>19.6</w:t>
            </w:r>
          </w:p>
        </w:tc>
        <w:tc>
          <w:tcPr>
            <w:tcW w:w="1137" w:type="dxa"/>
            <w:hideMark/>
          </w:tcPr>
          <w:p w14:paraId="0A24ED41" w14:textId="77777777" w:rsidR="007B6962" w:rsidRPr="00C77753" w:rsidRDefault="007B6962" w:rsidP="0091710A">
            <w:pPr>
              <w:pStyle w:val="NormalWeb"/>
              <w:jc w:val="center"/>
              <w:rPr>
                <w:sz w:val="20"/>
                <w:szCs w:val="20"/>
              </w:rPr>
            </w:pPr>
            <w:r w:rsidRPr="00C77753">
              <w:rPr>
                <w:sz w:val="20"/>
                <w:szCs w:val="20"/>
              </w:rPr>
              <w:t>38</w:t>
            </w:r>
          </w:p>
        </w:tc>
        <w:tc>
          <w:tcPr>
            <w:tcW w:w="965" w:type="dxa"/>
            <w:hideMark/>
          </w:tcPr>
          <w:p w14:paraId="45AE7A0E" w14:textId="77777777" w:rsidR="007B6962" w:rsidRPr="00C77753" w:rsidRDefault="007B6962" w:rsidP="0091710A">
            <w:pPr>
              <w:pStyle w:val="NormalWeb"/>
              <w:jc w:val="center"/>
              <w:rPr>
                <w:sz w:val="20"/>
                <w:szCs w:val="20"/>
              </w:rPr>
            </w:pPr>
            <w:r w:rsidRPr="00C77753">
              <w:rPr>
                <w:sz w:val="20"/>
                <w:szCs w:val="20"/>
              </w:rPr>
              <w:t>24.8</w:t>
            </w:r>
          </w:p>
        </w:tc>
      </w:tr>
      <w:tr w:rsidR="007B6962" w:rsidRPr="00C77753" w14:paraId="7BDB3BE8" w14:textId="77777777" w:rsidTr="00C77753">
        <w:trPr>
          <w:cnfStyle w:val="000000010000" w:firstRow="0" w:lastRow="0" w:firstColumn="0" w:lastColumn="0" w:oddVBand="0" w:evenVBand="0" w:oddHBand="0" w:evenHBand="1" w:firstRowFirstColumn="0" w:firstRowLastColumn="0" w:lastRowFirstColumn="0" w:lastRowLastColumn="0"/>
        </w:trPr>
        <w:tc>
          <w:tcPr>
            <w:tcW w:w="4536" w:type="dxa"/>
            <w:hideMark/>
          </w:tcPr>
          <w:p w14:paraId="331E6F55" w14:textId="77777777" w:rsidR="007B6962" w:rsidRPr="00C77753" w:rsidRDefault="007B6962" w:rsidP="0091710A">
            <w:pPr>
              <w:pStyle w:val="NormalWeb"/>
              <w:rPr>
                <w:sz w:val="20"/>
                <w:szCs w:val="20"/>
              </w:rPr>
            </w:pPr>
            <w:r w:rsidRPr="00C77753">
              <w:rPr>
                <w:sz w:val="20"/>
                <w:szCs w:val="20"/>
              </w:rPr>
              <w:t>Admitted to ICU (NICU or PICU)</w:t>
            </w:r>
          </w:p>
        </w:tc>
        <w:tc>
          <w:tcPr>
            <w:tcW w:w="1106" w:type="dxa"/>
            <w:hideMark/>
          </w:tcPr>
          <w:p w14:paraId="31A1DAA9" w14:textId="77777777" w:rsidR="007B6962" w:rsidRPr="00C77753" w:rsidRDefault="007B6962" w:rsidP="0091710A">
            <w:pPr>
              <w:pStyle w:val="NormalWeb"/>
              <w:jc w:val="center"/>
              <w:rPr>
                <w:sz w:val="20"/>
                <w:szCs w:val="20"/>
              </w:rPr>
            </w:pPr>
            <w:r w:rsidRPr="00C77753">
              <w:rPr>
                <w:sz w:val="20"/>
                <w:szCs w:val="20"/>
              </w:rPr>
              <w:t>94</w:t>
            </w:r>
          </w:p>
        </w:tc>
        <w:tc>
          <w:tcPr>
            <w:tcW w:w="737" w:type="dxa"/>
            <w:hideMark/>
          </w:tcPr>
          <w:p w14:paraId="294E4383" w14:textId="77777777" w:rsidR="007B6962" w:rsidRPr="00C77753" w:rsidRDefault="007B6962" w:rsidP="0091710A">
            <w:pPr>
              <w:pStyle w:val="NormalWeb"/>
              <w:jc w:val="center"/>
              <w:rPr>
                <w:sz w:val="20"/>
                <w:szCs w:val="20"/>
              </w:rPr>
            </w:pPr>
            <w:r w:rsidRPr="00C77753">
              <w:rPr>
                <w:sz w:val="20"/>
                <w:szCs w:val="20"/>
              </w:rPr>
              <w:t>25.9</w:t>
            </w:r>
          </w:p>
        </w:tc>
        <w:tc>
          <w:tcPr>
            <w:tcW w:w="1193" w:type="dxa"/>
            <w:hideMark/>
          </w:tcPr>
          <w:p w14:paraId="3A80C252" w14:textId="77777777" w:rsidR="007B6962" w:rsidRPr="00C77753" w:rsidRDefault="007B6962" w:rsidP="0091710A">
            <w:pPr>
              <w:pStyle w:val="NormalWeb"/>
              <w:jc w:val="center"/>
              <w:rPr>
                <w:sz w:val="20"/>
                <w:szCs w:val="20"/>
              </w:rPr>
            </w:pPr>
            <w:r w:rsidRPr="00C77753">
              <w:rPr>
                <w:sz w:val="20"/>
                <w:szCs w:val="20"/>
              </w:rPr>
              <w:t>15</w:t>
            </w:r>
          </w:p>
        </w:tc>
        <w:tc>
          <w:tcPr>
            <w:tcW w:w="792" w:type="dxa"/>
            <w:hideMark/>
          </w:tcPr>
          <w:p w14:paraId="78AB936F" w14:textId="77777777" w:rsidR="007B6962" w:rsidRPr="00C77753" w:rsidRDefault="007B6962" w:rsidP="0091710A">
            <w:pPr>
              <w:pStyle w:val="NormalWeb"/>
              <w:jc w:val="center"/>
              <w:rPr>
                <w:sz w:val="20"/>
                <w:szCs w:val="20"/>
              </w:rPr>
            </w:pPr>
            <w:r w:rsidRPr="00C77753">
              <w:rPr>
                <w:sz w:val="20"/>
                <w:szCs w:val="20"/>
              </w:rPr>
              <w:t>29.4</w:t>
            </w:r>
          </w:p>
        </w:tc>
        <w:tc>
          <w:tcPr>
            <w:tcW w:w="1137" w:type="dxa"/>
            <w:hideMark/>
          </w:tcPr>
          <w:p w14:paraId="69440CBF" w14:textId="77777777" w:rsidR="007B6962" w:rsidRPr="00C77753" w:rsidRDefault="007B6962" w:rsidP="0091710A">
            <w:pPr>
              <w:pStyle w:val="NormalWeb"/>
              <w:jc w:val="center"/>
              <w:rPr>
                <w:sz w:val="20"/>
                <w:szCs w:val="20"/>
              </w:rPr>
            </w:pPr>
            <w:r w:rsidRPr="00C77753">
              <w:rPr>
                <w:sz w:val="20"/>
                <w:szCs w:val="20"/>
              </w:rPr>
              <w:t>57</w:t>
            </w:r>
          </w:p>
        </w:tc>
        <w:tc>
          <w:tcPr>
            <w:tcW w:w="965" w:type="dxa"/>
            <w:hideMark/>
          </w:tcPr>
          <w:p w14:paraId="72A9EC4D" w14:textId="77777777" w:rsidR="007B6962" w:rsidRPr="00C77753" w:rsidRDefault="007B6962" w:rsidP="0091710A">
            <w:pPr>
              <w:pStyle w:val="NormalWeb"/>
              <w:jc w:val="center"/>
              <w:rPr>
                <w:sz w:val="20"/>
                <w:szCs w:val="20"/>
              </w:rPr>
            </w:pPr>
            <w:r w:rsidRPr="00C77753">
              <w:rPr>
                <w:sz w:val="20"/>
                <w:szCs w:val="20"/>
              </w:rPr>
              <w:t>37.3</w:t>
            </w:r>
          </w:p>
        </w:tc>
      </w:tr>
      <w:tr w:rsidR="00C04443" w:rsidRPr="00C77753" w14:paraId="364A0CCF" w14:textId="77777777" w:rsidTr="00C77753">
        <w:tc>
          <w:tcPr>
            <w:tcW w:w="4536" w:type="dxa"/>
            <w:hideMark/>
          </w:tcPr>
          <w:p w14:paraId="24962FE4" w14:textId="77777777" w:rsidR="007B6962" w:rsidRPr="00C77753" w:rsidRDefault="007B6962" w:rsidP="0091710A">
            <w:pPr>
              <w:pStyle w:val="NormalWeb"/>
              <w:rPr>
                <w:sz w:val="20"/>
                <w:szCs w:val="20"/>
              </w:rPr>
            </w:pPr>
            <w:r w:rsidRPr="00C77753">
              <w:rPr>
                <w:sz w:val="20"/>
                <w:szCs w:val="20"/>
              </w:rPr>
              <w:t>Discharge destination: Death</w:t>
            </w:r>
          </w:p>
        </w:tc>
        <w:tc>
          <w:tcPr>
            <w:tcW w:w="1106" w:type="dxa"/>
            <w:hideMark/>
          </w:tcPr>
          <w:p w14:paraId="30B7F401" w14:textId="77777777" w:rsidR="007B6962" w:rsidRPr="00C77753" w:rsidRDefault="007B6962" w:rsidP="0091710A">
            <w:pPr>
              <w:pStyle w:val="NormalWeb"/>
              <w:jc w:val="center"/>
              <w:rPr>
                <w:sz w:val="20"/>
                <w:szCs w:val="20"/>
              </w:rPr>
            </w:pPr>
            <w:r w:rsidRPr="00C77753">
              <w:rPr>
                <w:sz w:val="20"/>
                <w:szCs w:val="20"/>
              </w:rPr>
              <w:t>0</w:t>
            </w:r>
          </w:p>
        </w:tc>
        <w:tc>
          <w:tcPr>
            <w:tcW w:w="737" w:type="dxa"/>
            <w:hideMark/>
          </w:tcPr>
          <w:p w14:paraId="1C188A5B" w14:textId="77777777" w:rsidR="007B6962" w:rsidRPr="00C77753" w:rsidRDefault="007B6962" w:rsidP="0091710A">
            <w:pPr>
              <w:pStyle w:val="NormalWeb"/>
              <w:jc w:val="center"/>
              <w:rPr>
                <w:sz w:val="20"/>
                <w:szCs w:val="20"/>
              </w:rPr>
            </w:pPr>
            <w:r w:rsidRPr="00C77753">
              <w:rPr>
                <w:sz w:val="20"/>
                <w:szCs w:val="20"/>
              </w:rPr>
              <w:t>0.0</w:t>
            </w:r>
          </w:p>
        </w:tc>
        <w:tc>
          <w:tcPr>
            <w:tcW w:w="1193" w:type="dxa"/>
            <w:hideMark/>
          </w:tcPr>
          <w:p w14:paraId="74807D2D" w14:textId="77777777" w:rsidR="007B6962" w:rsidRPr="00C77753" w:rsidRDefault="007B6962" w:rsidP="0091710A">
            <w:pPr>
              <w:pStyle w:val="NormalWeb"/>
              <w:jc w:val="center"/>
              <w:rPr>
                <w:sz w:val="20"/>
                <w:szCs w:val="20"/>
              </w:rPr>
            </w:pPr>
            <w:r w:rsidRPr="00C77753">
              <w:rPr>
                <w:sz w:val="20"/>
                <w:szCs w:val="20"/>
              </w:rPr>
              <w:t>0</w:t>
            </w:r>
          </w:p>
        </w:tc>
        <w:tc>
          <w:tcPr>
            <w:tcW w:w="792" w:type="dxa"/>
            <w:hideMark/>
          </w:tcPr>
          <w:p w14:paraId="004F296D" w14:textId="77777777" w:rsidR="007B6962" w:rsidRPr="00C77753" w:rsidRDefault="007B6962" w:rsidP="0091710A">
            <w:pPr>
              <w:pStyle w:val="NormalWeb"/>
              <w:jc w:val="center"/>
              <w:rPr>
                <w:sz w:val="20"/>
                <w:szCs w:val="20"/>
              </w:rPr>
            </w:pPr>
            <w:r w:rsidRPr="00C77753">
              <w:rPr>
                <w:sz w:val="20"/>
                <w:szCs w:val="20"/>
              </w:rPr>
              <w:t>0.0</w:t>
            </w:r>
          </w:p>
        </w:tc>
        <w:tc>
          <w:tcPr>
            <w:tcW w:w="1137" w:type="dxa"/>
            <w:hideMark/>
          </w:tcPr>
          <w:p w14:paraId="77F4FAA9" w14:textId="77777777" w:rsidR="007B6962" w:rsidRPr="00C77753" w:rsidRDefault="007B6962" w:rsidP="0091710A">
            <w:pPr>
              <w:pStyle w:val="NormalWeb"/>
              <w:jc w:val="center"/>
              <w:rPr>
                <w:sz w:val="20"/>
                <w:szCs w:val="20"/>
              </w:rPr>
            </w:pPr>
            <w:r w:rsidRPr="00C77753">
              <w:rPr>
                <w:sz w:val="20"/>
                <w:szCs w:val="20"/>
              </w:rPr>
              <w:t>0</w:t>
            </w:r>
          </w:p>
        </w:tc>
        <w:tc>
          <w:tcPr>
            <w:tcW w:w="965" w:type="dxa"/>
            <w:hideMark/>
          </w:tcPr>
          <w:p w14:paraId="0C410ADA" w14:textId="77777777" w:rsidR="007B6962" w:rsidRPr="00C77753" w:rsidRDefault="007B6962" w:rsidP="0091710A">
            <w:pPr>
              <w:pStyle w:val="NormalWeb"/>
              <w:jc w:val="center"/>
              <w:rPr>
                <w:sz w:val="20"/>
                <w:szCs w:val="20"/>
              </w:rPr>
            </w:pPr>
            <w:r w:rsidRPr="00C77753">
              <w:rPr>
                <w:sz w:val="20"/>
                <w:szCs w:val="20"/>
              </w:rPr>
              <w:t>0.0</w:t>
            </w:r>
          </w:p>
        </w:tc>
      </w:tr>
      <w:tr w:rsidR="007B6962" w:rsidRPr="00C77753" w14:paraId="7DBBBBD7" w14:textId="77777777" w:rsidTr="00C77753">
        <w:trPr>
          <w:cnfStyle w:val="000000010000" w:firstRow="0" w:lastRow="0" w:firstColumn="0" w:lastColumn="0" w:oddVBand="0" w:evenVBand="0" w:oddHBand="0" w:evenHBand="1" w:firstRowFirstColumn="0" w:firstRowLastColumn="0" w:lastRowFirstColumn="0" w:lastRowLastColumn="0"/>
        </w:trPr>
        <w:tc>
          <w:tcPr>
            <w:tcW w:w="4536" w:type="dxa"/>
            <w:hideMark/>
          </w:tcPr>
          <w:p w14:paraId="51DA4334" w14:textId="77777777" w:rsidR="007B6962" w:rsidRPr="00C77753" w:rsidRDefault="007B6962" w:rsidP="0091710A">
            <w:pPr>
              <w:pStyle w:val="NormalWeb"/>
              <w:rPr>
                <w:sz w:val="20"/>
                <w:szCs w:val="20"/>
              </w:rPr>
            </w:pPr>
            <w:r w:rsidRPr="00C77753">
              <w:rPr>
                <w:sz w:val="20"/>
                <w:szCs w:val="20"/>
              </w:rPr>
              <w:t>Discharge destination: Home with nil support</w:t>
            </w:r>
          </w:p>
        </w:tc>
        <w:tc>
          <w:tcPr>
            <w:tcW w:w="1106" w:type="dxa"/>
            <w:hideMark/>
          </w:tcPr>
          <w:p w14:paraId="3D511235" w14:textId="77777777" w:rsidR="007B6962" w:rsidRPr="00C77753" w:rsidRDefault="007B6962" w:rsidP="0091710A">
            <w:pPr>
              <w:pStyle w:val="NormalWeb"/>
              <w:jc w:val="center"/>
              <w:rPr>
                <w:sz w:val="20"/>
                <w:szCs w:val="20"/>
              </w:rPr>
            </w:pPr>
            <w:r w:rsidRPr="00C77753">
              <w:rPr>
                <w:sz w:val="20"/>
                <w:szCs w:val="20"/>
              </w:rPr>
              <w:t>293</w:t>
            </w:r>
          </w:p>
        </w:tc>
        <w:tc>
          <w:tcPr>
            <w:tcW w:w="737" w:type="dxa"/>
            <w:hideMark/>
          </w:tcPr>
          <w:p w14:paraId="6A345FCE" w14:textId="77777777" w:rsidR="007B6962" w:rsidRPr="00C77753" w:rsidRDefault="007B6962" w:rsidP="0091710A">
            <w:pPr>
              <w:pStyle w:val="NormalWeb"/>
              <w:jc w:val="center"/>
              <w:rPr>
                <w:sz w:val="20"/>
                <w:szCs w:val="20"/>
              </w:rPr>
            </w:pPr>
            <w:r w:rsidRPr="00C77753">
              <w:rPr>
                <w:sz w:val="20"/>
                <w:szCs w:val="20"/>
              </w:rPr>
              <w:t>80.7</w:t>
            </w:r>
          </w:p>
        </w:tc>
        <w:tc>
          <w:tcPr>
            <w:tcW w:w="1193" w:type="dxa"/>
            <w:hideMark/>
          </w:tcPr>
          <w:p w14:paraId="764C58E5" w14:textId="77777777" w:rsidR="007B6962" w:rsidRPr="00C77753" w:rsidRDefault="007B6962" w:rsidP="0091710A">
            <w:pPr>
              <w:pStyle w:val="NormalWeb"/>
              <w:jc w:val="center"/>
              <w:rPr>
                <w:sz w:val="20"/>
                <w:szCs w:val="20"/>
              </w:rPr>
            </w:pPr>
            <w:r w:rsidRPr="00C77753">
              <w:rPr>
                <w:sz w:val="20"/>
                <w:szCs w:val="20"/>
              </w:rPr>
              <w:t>30</w:t>
            </w:r>
          </w:p>
        </w:tc>
        <w:tc>
          <w:tcPr>
            <w:tcW w:w="792" w:type="dxa"/>
            <w:hideMark/>
          </w:tcPr>
          <w:p w14:paraId="69FB3B15" w14:textId="77777777" w:rsidR="007B6962" w:rsidRPr="00C77753" w:rsidRDefault="007B6962" w:rsidP="0091710A">
            <w:pPr>
              <w:pStyle w:val="NormalWeb"/>
              <w:jc w:val="center"/>
              <w:rPr>
                <w:sz w:val="20"/>
                <w:szCs w:val="20"/>
              </w:rPr>
            </w:pPr>
            <w:r w:rsidRPr="00C77753">
              <w:rPr>
                <w:sz w:val="20"/>
                <w:szCs w:val="20"/>
              </w:rPr>
              <w:t>58.8</w:t>
            </w:r>
          </w:p>
        </w:tc>
        <w:tc>
          <w:tcPr>
            <w:tcW w:w="1137" w:type="dxa"/>
            <w:hideMark/>
          </w:tcPr>
          <w:p w14:paraId="66167210" w14:textId="77777777" w:rsidR="007B6962" w:rsidRPr="00C77753" w:rsidRDefault="007B6962" w:rsidP="0091710A">
            <w:pPr>
              <w:pStyle w:val="NormalWeb"/>
              <w:jc w:val="center"/>
              <w:rPr>
                <w:sz w:val="20"/>
                <w:szCs w:val="20"/>
              </w:rPr>
            </w:pPr>
            <w:r w:rsidRPr="00C77753">
              <w:rPr>
                <w:sz w:val="20"/>
                <w:szCs w:val="20"/>
              </w:rPr>
              <w:t>82</w:t>
            </w:r>
          </w:p>
        </w:tc>
        <w:tc>
          <w:tcPr>
            <w:tcW w:w="965" w:type="dxa"/>
            <w:hideMark/>
          </w:tcPr>
          <w:p w14:paraId="0622BD10" w14:textId="77777777" w:rsidR="007B6962" w:rsidRPr="00C77753" w:rsidRDefault="007B6962" w:rsidP="0091710A">
            <w:pPr>
              <w:pStyle w:val="NormalWeb"/>
              <w:jc w:val="center"/>
              <w:rPr>
                <w:sz w:val="20"/>
                <w:szCs w:val="20"/>
              </w:rPr>
            </w:pPr>
            <w:r w:rsidRPr="00C77753">
              <w:rPr>
                <w:sz w:val="20"/>
                <w:szCs w:val="20"/>
              </w:rPr>
              <w:t>53.6</w:t>
            </w:r>
          </w:p>
        </w:tc>
      </w:tr>
      <w:tr w:rsidR="00C04443" w:rsidRPr="00C77753" w14:paraId="3125EC72" w14:textId="77777777" w:rsidTr="00C77753">
        <w:tc>
          <w:tcPr>
            <w:tcW w:w="4536" w:type="dxa"/>
            <w:hideMark/>
          </w:tcPr>
          <w:p w14:paraId="26222DAE" w14:textId="77777777" w:rsidR="007B6962" w:rsidRPr="00C77753" w:rsidRDefault="007B6962" w:rsidP="0091710A">
            <w:pPr>
              <w:pStyle w:val="NormalWeb"/>
              <w:rPr>
                <w:sz w:val="20"/>
                <w:szCs w:val="20"/>
              </w:rPr>
            </w:pPr>
            <w:r w:rsidRPr="00C77753">
              <w:rPr>
                <w:sz w:val="20"/>
                <w:szCs w:val="20"/>
              </w:rPr>
              <w:t>Discharge destination: Home with hospital support</w:t>
            </w:r>
          </w:p>
        </w:tc>
        <w:tc>
          <w:tcPr>
            <w:tcW w:w="1106" w:type="dxa"/>
            <w:hideMark/>
          </w:tcPr>
          <w:p w14:paraId="083F2862" w14:textId="77777777" w:rsidR="007B6962" w:rsidRPr="00C77753" w:rsidRDefault="007B6962" w:rsidP="0091710A">
            <w:pPr>
              <w:pStyle w:val="NormalWeb"/>
              <w:jc w:val="center"/>
              <w:rPr>
                <w:sz w:val="20"/>
                <w:szCs w:val="20"/>
              </w:rPr>
            </w:pPr>
            <w:r w:rsidRPr="00C77753">
              <w:rPr>
                <w:sz w:val="20"/>
                <w:szCs w:val="20"/>
              </w:rPr>
              <w:t>54</w:t>
            </w:r>
          </w:p>
        </w:tc>
        <w:tc>
          <w:tcPr>
            <w:tcW w:w="737" w:type="dxa"/>
            <w:hideMark/>
          </w:tcPr>
          <w:p w14:paraId="79FCE59B" w14:textId="77777777" w:rsidR="007B6962" w:rsidRPr="00C77753" w:rsidRDefault="007B6962" w:rsidP="0091710A">
            <w:pPr>
              <w:pStyle w:val="NormalWeb"/>
              <w:jc w:val="center"/>
              <w:rPr>
                <w:sz w:val="20"/>
                <w:szCs w:val="20"/>
              </w:rPr>
            </w:pPr>
            <w:r w:rsidRPr="00C77753">
              <w:rPr>
                <w:sz w:val="20"/>
                <w:szCs w:val="20"/>
              </w:rPr>
              <w:t>14.9</w:t>
            </w:r>
          </w:p>
        </w:tc>
        <w:tc>
          <w:tcPr>
            <w:tcW w:w="1193" w:type="dxa"/>
            <w:hideMark/>
          </w:tcPr>
          <w:p w14:paraId="76015960" w14:textId="77777777" w:rsidR="007B6962" w:rsidRPr="00C77753" w:rsidRDefault="007B6962" w:rsidP="0091710A">
            <w:pPr>
              <w:pStyle w:val="NormalWeb"/>
              <w:jc w:val="center"/>
              <w:rPr>
                <w:sz w:val="20"/>
                <w:szCs w:val="20"/>
              </w:rPr>
            </w:pPr>
            <w:r w:rsidRPr="00C77753">
              <w:rPr>
                <w:sz w:val="20"/>
                <w:szCs w:val="20"/>
              </w:rPr>
              <w:t>19</w:t>
            </w:r>
          </w:p>
        </w:tc>
        <w:tc>
          <w:tcPr>
            <w:tcW w:w="792" w:type="dxa"/>
            <w:hideMark/>
          </w:tcPr>
          <w:p w14:paraId="2CCEB1A3" w14:textId="77777777" w:rsidR="007B6962" w:rsidRPr="00C77753" w:rsidRDefault="007B6962" w:rsidP="0091710A">
            <w:pPr>
              <w:pStyle w:val="NormalWeb"/>
              <w:jc w:val="center"/>
              <w:rPr>
                <w:sz w:val="20"/>
                <w:szCs w:val="20"/>
              </w:rPr>
            </w:pPr>
            <w:r w:rsidRPr="00C77753">
              <w:rPr>
                <w:sz w:val="20"/>
                <w:szCs w:val="20"/>
              </w:rPr>
              <w:t>37.3</w:t>
            </w:r>
          </w:p>
        </w:tc>
        <w:tc>
          <w:tcPr>
            <w:tcW w:w="1137" w:type="dxa"/>
            <w:hideMark/>
          </w:tcPr>
          <w:p w14:paraId="10817423" w14:textId="77777777" w:rsidR="007B6962" w:rsidRPr="00C77753" w:rsidRDefault="007B6962" w:rsidP="0091710A">
            <w:pPr>
              <w:pStyle w:val="NormalWeb"/>
              <w:jc w:val="center"/>
              <w:rPr>
                <w:sz w:val="20"/>
                <w:szCs w:val="20"/>
              </w:rPr>
            </w:pPr>
            <w:r w:rsidRPr="00C77753">
              <w:rPr>
                <w:sz w:val="20"/>
                <w:szCs w:val="20"/>
              </w:rPr>
              <w:t>67</w:t>
            </w:r>
          </w:p>
        </w:tc>
        <w:tc>
          <w:tcPr>
            <w:tcW w:w="965" w:type="dxa"/>
            <w:hideMark/>
          </w:tcPr>
          <w:p w14:paraId="515125DA" w14:textId="77777777" w:rsidR="007B6962" w:rsidRPr="00C77753" w:rsidRDefault="007B6962" w:rsidP="0091710A">
            <w:pPr>
              <w:pStyle w:val="NormalWeb"/>
              <w:jc w:val="center"/>
              <w:rPr>
                <w:sz w:val="20"/>
                <w:szCs w:val="20"/>
              </w:rPr>
            </w:pPr>
            <w:r w:rsidRPr="00C77753">
              <w:rPr>
                <w:sz w:val="20"/>
                <w:szCs w:val="20"/>
              </w:rPr>
              <w:t>43.8</w:t>
            </w:r>
          </w:p>
        </w:tc>
      </w:tr>
      <w:tr w:rsidR="007B6962" w:rsidRPr="00C77753" w14:paraId="503031F6" w14:textId="77777777" w:rsidTr="00C77753">
        <w:trPr>
          <w:cnfStyle w:val="000000010000" w:firstRow="0" w:lastRow="0" w:firstColumn="0" w:lastColumn="0" w:oddVBand="0" w:evenVBand="0" w:oddHBand="0" w:evenHBand="1" w:firstRowFirstColumn="0" w:firstRowLastColumn="0" w:lastRowFirstColumn="0" w:lastRowLastColumn="0"/>
        </w:trPr>
        <w:tc>
          <w:tcPr>
            <w:tcW w:w="4536" w:type="dxa"/>
            <w:hideMark/>
          </w:tcPr>
          <w:p w14:paraId="16EC997F" w14:textId="77777777" w:rsidR="007B6962" w:rsidRPr="00C77753" w:rsidRDefault="007B6962" w:rsidP="0091710A">
            <w:pPr>
              <w:pStyle w:val="NormalWeb"/>
              <w:rPr>
                <w:sz w:val="20"/>
                <w:szCs w:val="20"/>
              </w:rPr>
            </w:pPr>
            <w:r w:rsidRPr="00C77753">
              <w:rPr>
                <w:sz w:val="20"/>
                <w:szCs w:val="20"/>
              </w:rPr>
              <w:t>Discharge destination: Home with community support / other</w:t>
            </w:r>
          </w:p>
        </w:tc>
        <w:tc>
          <w:tcPr>
            <w:tcW w:w="1106" w:type="dxa"/>
            <w:hideMark/>
          </w:tcPr>
          <w:p w14:paraId="0DC96CF0" w14:textId="77777777" w:rsidR="007B6962" w:rsidRPr="00C77753" w:rsidRDefault="007B6962" w:rsidP="0091710A">
            <w:pPr>
              <w:pStyle w:val="NormalWeb"/>
              <w:jc w:val="center"/>
              <w:rPr>
                <w:sz w:val="20"/>
                <w:szCs w:val="20"/>
              </w:rPr>
            </w:pPr>
            <w:r w:rsidRPr="00C77753">
              <w:rPr>
                <w:sz w:val="20"/>
                <w:szCs w:val="20"/>
              </w:rPr>
              <w:t>17</w:t>
            </w:r>
          </w:p>
        </w:tc>
        <w:tc>
          <w:tcPr>
            <w:tcW w:w="737" w:type="dxa"/>
            <w:hideMark/>
          </w:tcPr>
          <w:p w14:paraId="0364F7D3" w14:textId="77777777" w:rsidR="007B6962" w:rsidRPr="00C77753" w:rsidRDefault="007B6962" w:rsidP="0091710A">
            <w:pPr>
              <w:pStyle w:val="NormalWeb"/>
              <w:jc w:val="center"/>
              <w:rPr>
                <w:sz w:val="20"/>
                <w:szCs w:val="20"/>
              </w:rPr>
            </w:pPr>
            <w:r w:rsidRPr="00C77753">
              <w:rPr>
                <w:sz w:val="20"/>
                <w:szCs w:val="20"/>
              </w:rPr>
              <w:t>4.7</w:t>
            </w:r>
          </w:p>
        </w:tc>
        <w:tc>
          <w:tcPr>
            <w:tcW w:w="1193" w:type="dxa"/>
            <w:hideMark/>
          </w:tcPr>
          <w:p w14:paraId="53841BD0" w14:textId="77777777" w:rsidR="007B6962" w:rsidRPr="00C77753" w:rsidRDefault="007B6962" w:rsidP="0091710A">
            <w:pPr>
              <w:pStyle w:val="NormalWeb"/>
              <w:jc w:val="center"/>
              <w:rPr>
                <w:sz w:val="20"/>
                <w:szCs w:val="20"/>
              </w:rPr>
            </w:pPr>
            <w:r w:rsidRPr="00C77753">
              <w:rPr>
                <w:sz w:val="20"/>
                <w:szCs w:val="20"/>
              </w:rPr>
              <w:t>2</w:t>
            </w:r>
          </w:p>
        </w:tc>
        <w:tc>
          <w:tcPr>
            <w:tcW w:w="792" w:type="dxa"/>
            <w:hideMark/>
          </w:tcPr>
          <w:p w14:paraId="0E2BE351" w14:textId="77777777" w:rsidR="007B6962" w:rsidRPr="00C77753" w:rsidRDefault="007B6962" w:rsidP="0091710A">
            <w:pPr>
              <w:pStyle w:val="NormalWeb"/>
              <w:jc w:val="center"/>
              <w:rPr>
                <w:sz w:val="20"/>
                <w:szCs w:val="20"/>
              </w:rPr>
            </w:pPr>
            <w:r w:rsidRPr="00C77753">
              <w:rPr>
                <w:sz w:val="20"/>
                <w:szCs w:val="20"/>
              </w:rPr>
              <w:t>3.9</w:t>
            </w:r>
          </w:p>
        </w:tc>
        <w:tc>
          <w:tcPr>
            <w:tcW w:w="1137" w:type="dxa"/>
            <w:hideMark/>
          </w:tcPr>
          <w:p w14:paraId="44BC4B5B" w14:textId="77777777" w:rsidR="007B6962" w:rsidRPr="00C77753" w:rsidRDefault="007B6962" w:rsidP="0091710A">
            <w:pPr>
              <w:pStyle w:val="NormalWeb"/>
              <w:jc w:val="center"/>
              <w:rPr>
                <w:sz w:val="20"/>
                <w:szCs w:val="20"/>
              </w:rPr>
            </w:pPr>
            <w:r w:rsidRPr="00C77753">
              <w:rPr>
                <w:sz w:val="20"/>
                <w:szCs w:val="20"/>
              </w:rPr>
              <w:t>7</w:t>
            </w:r>
          </w:p>
        </w:tc>
        <w:tc>
          <w:tcPr>
            <w:tcW w:w="965" w:type="dxa"/>
            <w:hideMark/>
          </w:tcPr>
          <w:p w14:paraId="06A3ACFE" w14:textId="77777777" w:rsidR="007B6962" w:rsidRPr="00C77753" w:rsidRDefault="007B6962" w:rsidP="0091710A">
            <w:pPr>
              <w:pStyle w:val="NormalWeb"/>
              <w:jc w:val="center"/>
              <w:rPr>
                <w:sz w:val="20"/>
                <w:szCs w:val="20"/>
              </w:rPr>
            </w:pPr>
            <w:r w:rsidRPr="00C77753">
              <w:rPr>
                <w:sz w:val="20"/>
                <w:szCs w:val="20"/>
              </w:rPr>
              <w:t>4.6</w:t>
            </w:r>
          </w:p>
        </w:tc>
      </w:tr>
      <w:tr w:rsidR="00C04443" w:rsidRPr="00C77753" w14:paraId="7927B15F" w14:textId="77777777" w:rsidTr="00C77753">
        <w:tc>
          <w:tcPr>
            <w:tcW w:w="4536" w:type="dxa"/>
            <w:tcBorders>
              <w:bottom w:val="single" w:sz="2" w:space="0" w:color="000000" w:themeColor="text1"/>
            </w:tcBorders>
            <w:hideMark/>
          </w:tcPr>
          <w:p w14:paraId="63F99237" w14:textId="77777777" w:rsidR="007B6962" w:rsidRPr="00C77753" w:rsidRDefault="007B6962" w:rsidP="0091710A">
            <w:pPr>
              <w:pStyle w:val="NormalWeb"/>
              <w:rPr>
                <w:sz w:val="20"/>
                <w:szCs w:val="20"/>
              </w:rPr>
            </w:pPr>
            <w:r w:rsidRPr="00C77753">
              <w:rPr>
                <w:sz w:val="20"/>
                <w:szCs w:val="20"/>
              </w:rPr>
              <w:t>Discharge destination: Another hospital</w:t>
            </w:r>
          </w:p>
        </w:tc>
        <w:tc>
          <w:tcPr>
            <w:tcW w:w="1106" w:type="dxa"/>
            <w:tcBorders>
              <w:bottom w:val="single" w:sz="2" w:space="0" w:color="000000" w:themeColor="text1"/>
            </w:tcBorders>
            <w:hideMark/>
          </w:tcPr>
          <w:p w14:paraId="786B3EBD" w14:textId="77777777" w:rsidR="007B6962" w:rsidRPr="00C77753" w:rsidRDefault="007B6962" w:rsidP="0091710A">
            <w:pPr>
              <w:pStyle w:val="NormalWeb"/>
              <w:jc w:val="center"/>
              <w:rPr>
                <w:sz w:val="20"/>
                <w:szCs w:val="20"/>
              </w:rPr>
            </w:pPr>
            <w:r w:rsidRPr="00C77753">
              <w:rPr>
                <w:sz w:val="20"/>
                <w:szCs w:val="20"/>
              </w:rPr>
              <w:t>10</w:t>
            </w:r>
          </w:p>
        </w:tc>
        <w:tc>
          <w:tcPr>
            <w:tcW w:w="737" w:type="dxa"/>
            <w:tcBorders>
              <w:bottom w:val="single" w:sz="2" w:space="0" w:color="000000" w:themeColor="text1"/>
            </w:tcBorders>
            <w:hideMark/>
          </w:tcPr>
          <w:p w14:paraId="4552D50B" w14:textId="77777777" w:rsidR="007B6962" w:rsidRPr="00C77753" w:rsidRDefault="007B6962" w:rsidP="0091710A">
            <w:pPr>
              <w:pStyle w:val="NormalWeb"/>
              <w:jc w:val="center"/>
              <w:rPr>
                <w:sz w:val="20"/>
                <w:szCs w:val="20"/>
              </w:rPr>
            </w:pPr>
            <w:r w:rsidRPr="00C77753">
              <w:rPr>
                <w:sz w:val="20"/>
                <w:szCs w:val="20"/>
              </w:rPr>
              <w:t>2.8</w:t>
            </w:r>
          </w:p>
        </w:tc>
        <w:tc>
          <w:tcPr>
            <w:tcW w:w="1193" w:type="dxa"/>
            <w:tcBorders>
              <w:bottom w:val="single" w:sz="2" w:space="0" w:color="000000" w:themeColor="text1"/>
            </w:tcBorders>
            <w:hideMark/>
          </w:tcPr>
          <w:p w14:paraId="15C3CE8E" w14:textId="77777777" w:rsidR="007B6962" w:rsidRPr="00C77753" w:rsidRDefault="007B6962" w:rsidP="0091710A">
            <w:pPr>
              <w:pStyle w:val="NormalWeb"/>
              <w:jc w:val="center"/>
              <w:rPr>
                <w:sz w:val="20"/>
                <w:szCs w:val="20"/>
              </w:rPr>
            </w:pPr>
            <w:r w:rsidRPr="00C77753">
              <w:rPr>
                <w:sz w:val="20"/>
                <w:szCs w:val="20"/>
              </w:rPr>
              <w:t>2</w:t>
            </w:r>
          </w:p>
        </w:tc>
        <w:tc>
          <w:tcPr>
            <w:tcW w:w="792" w:type="dxa"/>
            <w:tcBorders>
              <w:bottom w:val="single" w:sz="2" w:space="0" w:color="000000" w:themeColor="text1"/>
            </w:tcBorders>
            <w:hideMark/>
          </w:tcPr>
          <w:p w14:paraId="13D7E2F9" w14:textId="77777777" w:rsidR="007B6962" w:rsidRPr="00C77753" w:rsidRDefault="007B6962" w:rsidP="0091710A">
            <w:pPr>
              <w:pStyle w:val="NormalWeb"/>
              <w:jc w:val="center"/>
              <w:rPr>
                <w:sz w:val="20"/>
                <w:szCs w:val="20"/>
              </w:rPr>
            </w:pPr>
            <w:r w:rsidRPr="00C77753">
              <w:rPr>
                <w:sz w:val="20"/>
                <w:szCs w:val="20"/>
              </w:rPr>
              <w:t>3.9</w:t>
            </w:r>
          </w:p>
        </w:tc>
        <w:tc>
          <w:tcPr>
            <w:tcW w:w="1137" w:type="dxa"/>
            <w:tcBorders>
              <w:bottom w:val="single" w:sz="2" w:space="0" w:color="000000" w:themeColor="text1"/>
            </w:tcBorders>
            <w:hideMark/>
          </w:tcPr>
          <w:p w14:paraId="5C2B2593" w14:textId="77777777" w:rsidR="007B6962" w:rsidRPr="00C77753" w:rsidRDefault="007B6962" w:rsidP="0091710A">
            <w:pPr>
              <w:pStyle w:val="NormalWeb"/>
              <w:jc w:val="center"/>
              <w:rPr>
                <w:sz w:val="20"/>
                <w:szCs w:val="20"/>
              </w:rPr>
            </w:pPr>
            <w:r w:rsidRPr="00C77753">
              <w:rPr>
                <w:sz w:val="20"/>
                <w:szCs w:val="20"/>
              </w:rPr>
              <w:t>2</w:t>
            </w:r>
          </w:p>
        </w:tc>
        <w:tc>
          <w:tcPr>
            <w:tcW w:w="965" w:type="dxa"/>
            <w:tcBorders>
              <w:bottom w:val="single" w:sz="2" w:space="0" w:color="000000" w:themeColor="text1"/>
            </w:tcBorders>
            <w:hideMark/>
          </w:tcPr>
          <w:p w14:paraId="7E4D5E4D" w14:textId="77777777" w:rsidR="007B6962" w:rsidRPr="00C77753" w:rsidRDefault="007B6962" w:rsidP="0091710A">
            <w:pPr>
              <w:pStyle w:val="NormalWeb"/>
              <w:jc w:val="center"/>
              <w:rPr>
                <w:sz w:val="20"/>
                <w:szCs w:val="20"/>
              </w:rPr>
            </w:pPr>
            <w:r w:rsidRPr="00C77753">
              <w:rPr>
                <w:sz w:val="20"/>
                <w:szCs w:val="20"/>
              </w:rPr>
              <w:t>1.3</w:t>
            </w:r>
          </w:p>
        </w:tc>
      </w:tr>
    </w:tbl>
    <w:p w14:paraId="426FE64F" w14:textId="77777777" w:rsidR="007B6962" w:rsidRDefault="007B6962" w:rsidP="006B2619"/>
    <w:p w14:paraId="085D81DC" w14:textId="52EBFDAE" w:rsidR="006B2619" w:rsidRDefault="006B2619" w:rsidP="006B2619">
      <w:r>
        <w:t xml:space="preserve">Overall, 88% of children displayed accessory respiratory muscle use at presentation. Specifically, accessory respiratory muscle use at presentation included 33 children (10%) with marked accessory respiratory muscle use, including head bobbing or tracheal tug; 120 children (35%) with mild intercostal recession; 149 children (44%) with moderate accessory respiratory muscle use; and 39 (11%) with none (data available for n = 341). </w:t>
      </w:r>
    </w:p>
    <w:p w14:paraId="064B7BD0" w14:textId="76A970DA" w:rsidR="006B2619" w:rsidRDefault="006B2619" w:rsidP="006B2619">
      <w:r>
        <w:t>For the 363 children admitted, 51 (14%) were re-admitted 0–30 days post discharge, and 153 (42%) from 1–6 months post discharge. For the index admission, 58 (16%) children were transferred from another hospital, 18 (5%) utilised an ambulance, 94 (26%) children were admitted to ICU and the majority (</w:t>
      </w:r>
      <w:r w:rsidR="00104EB6" w:rsidRPr="00104EB6">
        <w:t>n = 318; 88%</w:t>
      </w:r>
      <w:r>
        <w:t xml:space="preserve">) presented to ED prior to admission compared to a direct admission to the ward (Table 1). </w:t>
      </w:r>
    </w:p>
    <w:p w14:paraId="18D99875" w14:textId="77777777" w:rsidR="006B2619" w:rsidRDefault="006B2619" w:rsidP="006B2619">
      <w:r>
        <w:t xml:space="preserve">Australian Refined Diagnosis-Related Groups (AR-DRG) are detailed in Appendix A, Table A.2 for the index admission and re-admissions. The top ten AR-DRGs for the index admission are detailed in Table 2; these make up 296 of the </w:t>
      </w:r>
      <w:proofErr w:type="gramStart"/>
      <w:r>
        <w:t>363 index</w:t>
      </w:r>
      <w:proofErr w:type="gramEnd"/>
      <w:r>
        <w:t xml:space="preserve"> admission AR-DRGs (82%). </w:t>
      </w:r>
    </w:p>
    <w:p w14:paraId="4D2A43B0" w14:textId="1301689D" w:rsidR="006E3337" w:rsidRDefault="006B2619" w:rsidP="006B2619">
      <w:pPr>
        <w:sectPr w:rsidR="006E3337" w:rsidSect="00A30C37">
          <w:headerReference w:type="default" r:id="rId10"/>
          <w:footerReference w:type="default" r:id="rId11"/>
          <w:footerReference w:type="first" r:id="rId12"/>
          <w:footnotePr>
            <w:numFmt w:val="lowerRoman"/>
          </w:footnotePr>
          <w:pgSz w:w="11906" w:h="16838"/>
          <w:pgMar w:top="720" w:right="720" w:bottom="1134" w:left="720" w:header="709" w:footer="284" w:gutter="0"/>
          <w:cols w:space="708"/>
          <w:titlePg/>
          <w:docGrid w:linePitch="360"/>
        </w:sectPr>
      </w:pPr>
      <w:r>
        <w:t>Respiratory support included seven different modes of delivery (Table 3). In the index admission, the most common mode was low-flow oxygen (n = 138; 38%), followed by high-flow oxygen (n</w:t>
      </w:r>
      <w:r w:rsidR="000377E2">
        <w:t xml:space="preserve"> </w:t>
      </w:r>
      <w:r>
        <w:t>=</w:t>
      </w:r>
      <w:r w:rsidR="000377E2">
        <w:t xml:space="preserve"> </w:t>
      </w:r>
      <w:r>
        <w:t>113; 31%) and CPAP/BiPAP (n</w:t>
      </w:r>
      <w:r w:rsidR="000377E2">
        <w:t xml:space="preserve"> </w:t>
      </w:r>
      <w:r>
        <w:t>=</w:t>
      </w:r>
      <w:r w:rsidR="000377E2">
        <w:t xml:space="preserve"> </w:t>
      </w:r>
      <w:r>
        <w:t xml:space="preserve">32; </w:t>
      </w:r>
      <w:r w:rsidR="000377E2">
        <w:t>9</w:t>
      </w:r>
      <w:r>
        <w:t>%). Antibiotics were given to 189 children (52%) in the index admission, 29 (</w:t>
      </w:r>
      <w:r w:rsidR="00C75640">
        <w:t>57</w:t>
      </w:r>
      <w:r>
        <w:t>%) in the 0–</w:t>
      </w:r>
      <w:proofErr w:type="gramStart"/>
      <w:r>
        <w:t>30 day</w:t>
      </w:r>
      <w:proofErr w:type="gramEnd"/>
      <w:r>
        <w:t xml:space="preserve"> readmissions, and 113 (74%) in the 1–6 month readmissions. A new diagnosis of asthma was given to three children (1%) in the index admission, none in the </w:t>
      </w:r>
      <w:proofErr w:type="gramStart"/>
      <w:r>
        <w:t>0-30 day</w:t>
      </w:r>
      <w:proofErr w:type="gramEnd"/>
      <w:r>
        <w:t xml:space="preserve"> readmissions, and four (3%) in the 1–6 month readmissions. </w:t>
      </w:r>
    </w:p>
    <w:p w14:paraId="37BB415D" w14:textId="12387CF5" w:rsidR="006A618B" w:rsidRPr="00AA4324" w:rsidRDefault="006A618B" w:rsidP="006E3337">
      <w:pPr>
        <w:pStyle w:val="CDIFigures"/>
      </w:pPr>
      <w:r w:rsidRPr="00AA4324">
        <w:lastRenderedPageBreak/>
        <w:t>Table 2: The top ten Australian Refined Diagnosis-Related Groups (AR-DRG) for the index admission</w:t>
      </w:r>
    </w:p>
    <w:tbl>
      <w:tblPr>
        <w:tblStyle w:val="CDI-StandardTable"/>
        <w:tblW w:w="0" w:type="auto"/>
        <w:tblCellMar>
          <w:top w:w="85" w:type="dxa"/>
          <w:left w:w="142" w:type="dxa"/>
          <w:bottom w:w="85" w:type="dxa"/>
          <w:right w:w="142" w:type="dxa"/>
        </w:tblCellMar>
        <w:tblLook w:val="04A0" w:firstRow="1" w:lastRow="0" w:firstColumn="1" w:lastColumn="0" w:noHBand="0" w:noVBand="1"/>
        <w:tblDescription w:val="The top ten Australian Refined Diagnosis-Related Groups (AR-DRG) for the index admission"/>
      </w:tblPr>
      <w:tblGrid>
        <w:gridCol w:w="1418"/>
        <w:gridCol w:w="7371"/>
        <w:gridCol w:w="1677"/>
      </w:tblGrid>
      <w:tr w:rsidR="006A618B" w:rsidRPr="00C04443" w14:paraId="409D32EB" w14:textId="77777777" w:rsidTr="008557A2">
        <w:trPr>
          <w:cnfStyle w:val="100000000000" w:firstRow="1" w:lastRow="0" w:firstColumn="0" w:lastColumn="0" w:oddVBand="0" w:evenVBand="0" w:oddHBand="0" w:evenHBand="0" w:firstRowFirstColumn="0" w:firstRowLastColumn="0" w:lastRowFirstColumn="0" w:lastRowLastColumn="0"/>
        </w:trPr>
        <w:tc>
          <w:tcPr>
            <w:tcW w:w="1418" w:type="dxa"/>
            <w:tcBorders>
              <w:right w:val="single" w:sz="2" w:space="0" w:color="FFFFFF" w:themeColor="background1"/>
            </w:tcBorders>
            <w:hideMark/>
          </w:tcPr>
          <w:p w14:paraId="25C74B5A" w14:textId="77777777" w:rsidR="006A618B" w:rsidRPr="00C04443" w:rsidRDefault="006A618B" w:rsidP="0091710A">
            <w:pPr>
              <w:pStyle w:val="NormalWeb"/>
              <w:rPr>
                <w:color w:val="FFFFFF" w:themeColor="background1"/>
                <w:sz w:val="18"/>
                <w:szCs w:val="18"/>
              </w:rPr>
            </w:pPr>
            <w:r w:rsidRPr="00C04443">
              <w:rPr>
                <w:color w:val="FFFFFF" w:themeColor="background1"/>
                <w:sz w:val="18"/>
                <w:szCs w:val="18"/>
              </w:rPr>
              <w:t>AR-DRG</w:t>
            </w:r>
          </w:p>
        </w:tc>
        <w:tc>
          <w:tcPr>
            <w:tcW w:w="7371" w:type="dxa"/>
            <w:tcBorders>
              <w:left w:val="single" w:sz="2" w:space="0" w:color="FFFFFF" w:themeColor="background1"/>
              <w:right w:val="single" w:sz="2" w:space="0" w:color="FFFFFF" w:themeColor="background1"/>
            </w:tcBorders>
            <w:hideMark/>
          </w:tcPr>
          <w:p w14:paraId="69A288DF" w14:textId="77777777" w:rsidR="006A618B" w:rsidRPr="00C04443" w:rsidRDefault="006A618B" w:rsidP="0091710A">
            <w:pPr>
              <w:pStyle w:val="NormalWeb"/>
              <w:rPr>
                <w:color w:val="FFFFFF" w:themeColor="background1"/>
                <w:sz w:val="18"/>
                <w:szCs w:val="18"/>
              </w:rPr>
            </w:pPr>
            <w:r w:rsidRPr="00C04443">
              <w:rPr>
                <w:color w:val="FFFFFF" w:themeColor="background1"/>
                <w:sz w:val="18"/>
                <w:szCs w:val="18"/>
              </w:rPr>
              <w:t>Description</w:t>
            </w:r>
          </w:p>
        </w:tc>
        <w:tc>
          <w:tcPr>
            <w:tcW w:w="1677" w:type="dxa"/>
            <w:tcBorders>
              <w:left w:val="single" w:sz="2" w:space="0" w:color="FFFFFF" w:themeColor="background1"/>
            </w:tcBorders>
            <w:hideMark/>
          </w:tcPr>
          <w:p w14:paraId="1B69B04D" w14:textId="77777777" w:rsidR="006A618B" w:rsidRPr="00C04443" w:rsidRDefault="006A618B" w:rsidP="008557A2">
            <w:pPr>
              <w:pStyle w:val="NormalWeb"/>
              <w:jc w:val="center"/>
              <w:rPr>
                <w:color w:val="FFFFFF" w:themeColor="background1"/>
                <w:sz w:val="18"/>
                <w:szCs w:val="18"/>
              </w:rPr>
            </w:pPr>
            <w:r w:rsidRPr="00C04443">
              <w:rPr>
                <w:color w:val="FFFFFF" w:themeColor="background1"/>
                <w:sz w:val="18"/>
                <w:szCs w:val="18"/>
              </w:rPr>
              <w:t>Index admission</w:t>
            </w:r>
          </w:p>
        </w:tc>
      </w:tr>
      <w:tr w:rsidR="006A618B" w:rsidRPr="00C04443" w14:paraId="31AD1886" w14:textId="77777777" w:rsidTr="008557A2">
        <w:tc>
          <w:tcPr>
            <w:tcW w:w="1418" w:type="dxa"/>
            <w:hideMark/>
          </w:tcPr>
          <w:p w14:paraId="69B73D02" w14:textId="77777777" w:rsidR="006A618B" w:rsidRPr="00C04443" w:rsidRDefault="006A618B" w:rsidP="0091710A">
            <w:pPr>
              <w:pStyle w:val="NormalWeb"/>
              <w:rPr>
                <w:sz w:val="18"/>
                <w:szCs w:val="18"/>
              </w:rPr>
            </w:pPr>
            <w:r w:rsidRPr="00C04443">
              <w:rPr>
                <w:sz w:val="18"/>
                <w:szCs w:val="18"/>
              </w:rPr>
              <w:t>E70B</w:t>
            </w:r>
          </w:p>
        </w:tc>
        <w:tc>
          <w:tcPr>
            <w:tcW w:w="7371" w:type="dxa"/>
            <w:hideMark/>
          </w:tcPr>
          <w:p w14:paraId="35AC5530" w14:textId="77777777" w:rsidR="006A618B" w:rsidRPr="00C04443" w:rsidRDefault="006A618B" w:rsidP="0091710A">
            <w:pPr>
              <w:pStyle w:val="NormalWeb"/>
              <w:rPr>
                <w:sz w:val="18"/>
                <w:szCs w:val="18"/>
              </w:rPr>
            </w:pPr>
            <w:r w:rsidRPr="00C04443">
              <w:rPr>
                <w:sz w:val="18"/>
                <w:szCs w:val="18"/>
              </w:rPr>
              <w:t>Whooping Cough and Acute Bronchiolitis, Minor Complexity</w:t>
            </w:r>
          </w:p>
        </w:tc>
        <w:tc>
          <w:tcPr>
            <w:tcW w:w="1677" w:type="dxa"/>
            <w:hideMark/>
          </w:tcPr>
          <w:p w14:paraId="2F4CD5A6" w14:textId="77777777" w:rsidR="006A618B" w:rsidRPr="00C04443" w:rsidRDefault="006A618B" w:rsidP="008557A2">
            <w:pPr>
              <w:pStyle w:val="NormalWeb"/>
              <w:jc w:val="center"/>
              <w:rPr>
                <w:sz w:val="18"/>
                <w:szCs w:val="18"/>
              </w:rPr>
            </w:pPr>
            <w:r w:rsidRPr="00C04443">
              <w:rPr>
                <w:sz w:val="18"/>
                <w:szCs w:val="18"/>
              </w:rPr>
              <w:t>107</w:t>
            </w:r>
          </w:p>
        </w:tc>
      </w:tr>
      <w:tr w:rsidR="006A618B" w:rsidRPr="00C04443" w14:paraId="5BB5E8FD" w14:textId="77777777" w:rsidTr="008557A2">
        <w:trPr>
          <w:cnfStyle w:val="000000010000" w:firstRow="0" w:lastRow="0" w:firstColumn="0" w:lastColumn="0" w:oddVBand="0" w:evenVBand="0" w:oddHBand="0" w:evenHBand="1" w:firstRowFirstColumn="0" w:firstRowLastColumn="0" w:lastRowFirstColumn="0" w:lastRowLastColumn="0"/>
        </w:trPr>
        <w:tc>
          <w:tcPr>
            <w:tcW w:w="1418" w:type="dxa"/>
            <w:hideMark/>
          </w:tcPr>
          <w:p w14:paraId="589290A3" w14:textId="77777777" w:rsidR="006A618B" w:rsidRPr="00C04443" w:rsidRDefault="006A618B" w:rsidP="0091710A">
            <w:pPr>
              <w:pStyle w:val="NormalWeb"/>
              <w:rPr>
                <w:sz w:val="18"/>
                <w:szCs w:val="18"/>
              </w:rPr>
            </w:pPr>
            <w:r w:rsidRPr="00C04443">
              <w:rPr>
                <w:sz w:val="18"/>
                <w:szCs w:val="18"/>
              </w:rPr>
              <w:t>E41A</w:t>
            </w:r>
          </w:p>
        </w:tc>
        <w:tc>
          <w:tcPr>
            <w:tcW w:w="7371" w:type="dxa"/>
            <w:hideMark/>
          </w:tcPr>
          <w:p w14:paraId="09C3B3C1" w14:textId="77777777" w:rsidR="006A618B" w:rsidRPr="00C04443" w:rsidRDefault="006A618B" w:rsidP="0091710A">
            <w:pPr>
              <w:pStyle w:val="NormalWeb"/>
              <w:rPr>
                <w:sz w:val="18"/>
                <w:szCs w:val="18"/>
              </w:rPr>
            </w:pPr>
            <w:r w:rsidRPr="00C04443">
              <w:rPr>
                <w:sz w:val="18"/>
                <w:szCs w:val="18"/>
              </w:rPr>
              <w:t>Respiratory System Disorders W Non-Invasive Ventilation, Major Complexity</w:t>
            </w:r>
          </w:p>
        </w:tc>
        <w:tc>
          <w:tcPr>
            <w:tcW w:w="1677" w:type="dxa"/>
            <w:hideMark/>
          </w:tcPr>
          <w:p w14:paraId="33D3B43A" w14:textId="77777777" w:rsidR="006A618B" w:rsidRPr="00C04443" w:rsidRDefault="006A618B" w:rsidP="008557A2">
            <w:pPr>
              <w:pStyle w:val="NormalWeb"/>
              <w:jc w:val="center"/>
              <w:rPr>
                <w:sz w:val="18"/>
                <w:szCs w:val="18"/>
              </w:rPr>
            </w:pPr>
            <w:r w:rsidRPr="00C04443">
              <w:rPr>
                <w:sz w:val="18"/>
                <w:szCs w:val="18"/>
              </w:rPr>
              <w:t>36</w:t>
            </w:r>
          </w:p>
        </w:tc>
      </w:tr>
      <w:tr w:rsidR="006A618B" w:rsidRPr="00C04443" w14:paraId="50FF6396" w14:textId="77777777" w:rsidTr="008557A2">
        <w:tc>
          <w:tcPr>
            <w:tcW w:w="1418" w:type="dxa"/>
            <w:hideMark/>
          </w:tcPr>
          <w:p w14:paraId="6CB81C88" w14:textId="77777777" w:rsidR="006A618B" w:rsidRPr="00C04443" w:rsidRDefault="006A618B" w:rsidP="0091710A">
            <w:pPr>
              <w:pStyle w:val="NormalWeb"/>
              <w:rPr>
                <w:sz w:val="18"/>
                <w:szCs w:val="18"/>
              </w:rPr>
            </w:pPr>
            <w:r w:rsidRPr="00C04443">
              <w:rPr>
                <w:sz w:val="18"/>
                <w:szCs w:val="18"/>
              </w:rPr>
              <w:t>E41B</w:t>
            </w:r>
          </w:p>
        </w:tc>
        <w:tc>
          <w:tcPr>
            <w:tcW w:w="7371" w:type="dxa"/>
            <w:hideMark/>
          </w:tcPr>
          <w:p w14:paraId="6E2B7973" w14:textId="77777777" w:rsidR="006A618B" w:rsidRPr="00C04443" w:rsidRDefault="006A618B" w:rsidP="0091710A">
            <w:pPr>
              <w:pStyle w:val="NormalWeb"/>
              <w:rPr>
                <w:sz w:val="18"/>
                <w:szCs w:val="18"/>
              </w:rPr>
            </w:pPr>
            <w:r w:rsidRPr="00C04443">
              <w:rPr>
                <w:sz w:val="18"/>
                <w:szCs w:val="18"/>
              </w:rPr>
              <w:t>Respiratory System Disorders W Non-Invasive Ventilation, Minor Complexity</w:t>
            </w:r>
          </w:p>
        </w:tc>
        <w:tc>
          <w:tcPr>
            <w:tcW w:w="1677" w:type="dxa"/>
            <w:hideMark/>
          </w:tcPr>
          <w:p w14:paraId="14DF2E49" w14:textId="77777777" w:rsidR="006A618B" w:rsidRPr="00C04443" w:rsidRDefault="006A618B" w:rsidP="008557A2">
            <w:pPr>
              <w:pStyle w:val="NormalWeb"/>
              <w:jc w:val="center"/>
              <w:rPr>
                <w:sz w:val="18"/>
                <w:szCs w:val="18"/>
              </w:rPr>
            </w:pPr>
            <w:r w:rsidRPr="00C04443">
              <w:rPr>
                <w:sz w:val="18"/>
                <w:szCs w:val="18"/>
              </w:rPr>
              <w:t>34</w:t>
            </w:r>
          </w:p>
        </w:tc>
      </w:tr>
      <w:tr w:rsidR="006A618B" w:rsidRPr="00C04443" w14:paraId="75D0EFFB" w14:textId="77777777" w:rsidTr="008557A2">
        <w:trPr>
          <w:cnfStyle w:val="000000010000" w:firstRow="0" w:lastRow="0" w:firstColumn="0" w:lastColumn="0" w:oddVBand="0" w:evenVBand="0" w:oddHBand="0" w:evenHBand="1" w:firstRowFirstColumn="0" w:firstRowLastColumn="0" w:lastRowFirstColumn="0" w:lastRowLastColumn="0"/>
        </w:trPr>
        <w:tc>
          <w:tcPr>
            <w:tcW w:w="1418" w:type="dxa"/>
            <w:hideMark/>
          </w:tcPr>
          <w:p w14:paraId="709C4CC1" w14:textId="77777777" w:rsidR="006A618B" w:rsidRPr="00C04443" w:rsidRDefault="006A618B" w:rsidP="0091710A">
            <w:pPr>
              <w:pStyle w:val="NormalWeb"/>
              <w:rPr>
                <w:sz w:val="18"/>
                <w:szCs w:val="18"/>
              </w:rPr>
            </w:pPr>
            <w:r w:rsidRPr="00C04443">
              <w:rPr>
                <w:sz w:val="18"/>
                <w:szCs w:val="18"/>
              </w:rPr>
              <w:t>E70A</w:t>
            </w:r>
          </w:p>
        </w:tc>
        <w:tc>
          <w:tcPr>
            <w:tcW w:w="7371" w:type="dxa"/>
            <w:hideMark/>
          </w:tcPr>
          <w:p w14:paraId="37396B18" w14:textId="77777777" w:rsidR="006A618B" w:rsidRPr="00C04443" w:rsidRDefault="006A618B" w:rsidP="0091710A">
            <w:pPr>
              <w:pStyle w:val="NormalWeb"/>
              <w:rPr>
                <w:sz w:val="18"/>
                <w:szCs w:val="18"/>
              </w:rPr>
            </w:pPr>
            <w:r w:rsidRPr="00C04443">
              <w:rPr>
                <w:sz w:val="18"/>
                <w:szCs w:val="18"/>
              </w:rPr>
              <w:t>Whooping Cough and Acute Bronchiolitis, Major Complexity</w:t>
            </w:r>
          </w:p>
        </w:tc>
        <w:tc>
          <w:tcPr>
            <w:tcW w:w="1677" w:type="dxa"/>
            <w:hideMark/>
          </w:tcPr>
          <w:p w14:paraId="30CE4F9C" w14:textId="77777777" w:rsidR="006A618B" w:rsidRPr="00C04443" w:rsidRDefault="006A618B" w:rsidP="008557A2">
            <w:pPr>
              <w:pStyle w:val="NormalWeb"/>
              <w:jc w:val="center"/>
              <w:rPr>
                <w:sz w:val="18"/>
                <w:szCs w:val="18"/>
              </w:rPr>
            </w:pPr>
            <w:r w:rsidRPr="00C04443">
              <w:rPr>
                <w:sz w:val="18"/>
                <w:szCs w:val="18"/>
              </w:rPr>
              <w:t>26</w:t>
            </w:r>
          </w:p>
        </w:tc>
      </w:tr>
      <w:tr w:rsidR="006A618B" w:rsidRPr="00C04443" w14:paraId="625AF895" w14:textId="77777777" w:rsidTr="008557A2">
        <w:tc>
          <w:tcPr>
            <w:tcW w:w="1418" w:type="dxa"/>
            <w:hideMark/>
          </w:tcPr>
          <w:p w14:paraId="6B9367FE" w14:textId="77777777" w:rsidR="006A618B" w:rsidRPr="00C04443" w:rsidRDefault="006A618B" w:rsidP="0091710A">
            <w:pPr>
              <w:pStyle w:val="NormalWeb"/>
              <w:rPr>
                <w:sz w:val="18"/>
                <w:szCs w:val="18"/>
              </w:rPr>
            </w:pPr>
            <w:r w:rsidRPr="00C04443">
              <w:rPr>
                <w:sz w:val="18"/>
                <w:szCs w:val="18"/>
              </w:rPr>
              <w:t>E62B</w:t>
            </w:r>
          </w:p>
        </w:tc>
        <w:tc>
          <w:tcPr>
            <w:tcW w:w="7371" w:type="dxa"/>
            <w:hideMark/>
          </w:tcPr>
          <w:p w14:paraId="11096633" w14:textId="77777777" w:rsidR="006A618B" w:rsidRPr="00C04443" w:rsidRDefault="006A618B" w:rsidP="0091710A">
            <w:pPr>
              <w:pStyle w:val="NormalWeb"/>
              <w:rPr>
                <w:sz w:val="18"/>
                <w:szCs w:val="18"/>
              </w:rPr>
            </w:pPr>
            <w:r w:rsidRPr="00C04443">
              <w:rPr>
                <w:sz w:val="18"/>
                <w:szCs w:val="18"/>
              </w:rPr>
              <w:t>Respiratory Infections and Inflammations, Minor Complexity</w:t>
            </w:r>
          </w:p>
        </w:tc>
        <w:tc>
          <w:tcPr>
            <w:tcW w:w="1677" w:type="dxa"/>
            <w:hideMark/>
          </w:tcPr>
          <w:p w14:paraId="30A26DCC" w14:textId="77777777" w:rsidR="006A618B" w:rsidRPr="00C04443" w:rsidRDefault="006A618B" w:rsidP="008557A2">
            <w:pPr>
              <w:pStyle w:val="NormalWeb"/>
              <w:jc w:val="center"/>
              <w:rPr>
                <w:sz w:val="18"/>
                <w:szCs w:val="18"/>
              </w:rPr>
            </w:pPr>
            <w:r w:rsidRPr="00C04443">
              <w:rPr>
                <w:sz w:val="18"/>
                <w:szCs w:val="18"/>
              </w:rPr>
              <w:t>24</w:t>
            </w:r>
          </w:p>
        </w:tc>
      </w:tr>
      <w:tr w:rsidR="006A618B" w:rsidRPr="00C04443" w14:paraId="25D64E34" w14:textId="77777777" w:rsidTr="008557A2">
        <w:trPr>
          <w:cnfStyle w:val="000000010000" w:firstRow="0" w:lastRow="0" w:firstColumn="0" w:lastColumn="0" w:oddVBand="0" w:evenVBand="0" w:oddHBand="0" w:evenHBand="1" w:firstRowFirstColumn="0" w:firstRowLastColumn="0" w:lastRowFirstColumn="0" w:lastRowLastColumn="0"/>
        </w:trPr>
        <w:tc>
          <w:tcPr>
            <w:tcW w:w="1418" w:type="dxa"/>
            <w:hideMark/>
          </w:tcPr>
          <w:p w14:paraId="56FF6549" w14:textId="77777777" w:rsidR="006A618B" w:rsidRPr="00C04443" w:rsidRDefault="006A618B" w:rsidP="0091710A">
            <w:pPr>
              <w:pStyle w:val="NormalWeb"/>
              <w:rPr>
                <w:sz w:val="18"/>
                <w:szCs w:val="18"/>
              </w:rPr>
            </w:pPr>
            <w:r w:rsidRPr="00C04443">
              <w:rPr>
                <w:sz w:val="18"/>
                <w:szCs w:val="18"/>
              </w:rPr>
              <w:t>E62A</w:t>
            </w:r>
          </w:p>
        </w:tc>
        <w:tc>
          <w:tcPr>
            <w:tcW w:w="7371" w:type="dxa"/>
            <w:hideMark/>
          </w:tcPr>
          <w:p w14:paraId="1EDD96B6" w14:textId="77777777" w:rsidR="006A618B" w:rsidRPr="00C04443" w:rsidRDefault="006A618B" w:rsidP="0091710A">
            <w:pPr>
              <w:pStyle w:val="NormalWeb"/>
              <w:rPr>
                <w:sz w:val="18"/>
                <w:szCs w:val="18"/>
              </w:rPr>
            </w:pPr>
            <w:r w:rsidRPr="00C04443">
              <w:rPr>
                <w:sz w:val="18"/>
                <w:szCs w:val="18"/>
              </w:rPr>
              <w:t>Respiratory Infections and Inflammations, Major Complexity</w:t>
            </w:r>
          </w:p>
        </w:tc>
        <w:tc>
          <w:tcPr>
            <w:tcW w:w="1677" w:type="dxa"/>
            <w:hideMark/>
          </w:tcPr>
          <w:p w14:paraId="35EB7AE4" w14:textId="77777777" w:rsidR="006A618B" w:rsidRPr="00C04443" w:rsidRDefault="006A618B" w:rsidP="008557A2">
            <w:pPr>
              <w:pStyle w:val="NormalWeb"/>
              <w:jc w:val="center"/>
              <w:rPr>
                <w:sz w:val="18"/>
                <w:szCs w:val="18"/>
              </w:rPr>
            </w:pPr>
            <w:r w:rsidRPr="00C04443">
              <w:rPr>
                <w:sz w:val="18"/>
                <w:szCs w:val="18"/>
              </w:rPr>
              <w:t>19</w:t>
            </w:r>
          </w:p>
        </w:tc>
      </w:tr>
      <w:tr w:rsidR="006A618B" w:rsidRPr="00C04443" w14:paraId="0710CC9C" w14:textId="77777777" w:rsidTr="008557A2">
        <w:tc>
          <w:tcPr>
            <w:tcW w:w="1418" w:type="dxa"/>
            <w:hideMark/>
          </w:tcPr>
          <w:p w14:paraId="2982DE69" w14:textId="77777777" w:rsidR="006A618B" w:rsidRPr="00C04443" w:rsidRDefault="006A618B" w:rsidP="0091710A">
            <w:pPr>
              <w:pStyle w:val="NormalWeb"/>
              <w:rPr>
                <w:sz w:val="18"/>
                <w:szCs w:val="18"/>
              </w:rPr>
            </w:pPr>
            <w:r w:rsidRPr="00C04443">
              <w:rPr>
                <w:sz w:val="18"/>
                <w:szCs w:val="18"/>
              </w:rPr>
              <w:t>D63B</w:t>
            </w:r>
          </w:p>
        </w:tc>
        <w:tc>
          <w:tcPr>
            <w:tcW w:w="7371" w:type="dxa"/>
            <w:hideMark/>
          </w:tcPr>
          <w:p w14:paraId="1C9B1A7E" w14:textId="77777777" w:rsidR="006A618B" w:rsidRPr="00C04443" w:rsidRDefault="006A618B" w:rsidP="0091710A">
            <w:pPr>
              <w:pStyle w:val="NormalWeb"/>
              <w:rPr>
                <w:sz w:val="18"/>
                <w:szCs w:val="18"/>
              </w:rPr>
            </w:pPr>
            <w:r w:rsidRPr="00C04443">
              <w:rPr>
                <w:sz w:val="18"/>
                <w:szCs w:val="18"/>
              </w:rPr>
              <w:t>Otitis Media and Upper Respiratory Infections, Minor Complexity</w:t>
            </w:r>
          </w:p>
        </w:tc>
        <w:tc>
          <w:tcPr>
            <w:tcW w:w="1677" w:type="dxa"/>
            <w:hideMark/>
          </w:tcPr>
          <w:p w14:paraId="05541E08" w14:textId="77777777" w:rsidR="006A618B" w:rsidRPr="00C04443" w:rsidRDefault="006A618B" w:rsidP="008557A2">
            <w:pPr>
              <w:pStyle w:val="NormalWeb"/>
              <w:jc w:val="center"/>
              <w:rPr>
                <w:sz w:val="18"/>
                <w:szCs w:val="18"/>
              </w:rPr>
            </w:pPr>
            <w:r w:rsidRPr="00C04443">
              <w:rPr>
                <w:sz w:val="18"/>
                <w:szCs w:val="18"/>
              </w:rPr>
              <w:t>17</w:t>
            </w:r>
          </w:p>
        </w:tc>
      </w:tr>
      <w:tr w:rsidR="006A618B" w:rsidRPr="00C04443" w14:paraId="28691EE4" w14:textId="77777777" w:rsidTr="008557A2">
        <w:trPr>
          <w:cnfStyle w:val="000000010000" w:firstRow="0" w:lastRow="0" w:firstColumn="0" w:lastColumn="0" w:oddVBand="0" w:evenVBand="0" w:oddHBand="0" w:evenHBand="1" w:firstRowFirstColumn="0" w:firstRowLastColumn="0" w:lastRowFirstColumn="0" w:lastRowLastColumn="0"/>
        </w:trPr>
        <w:tc>
          <w:tcPr>
            <w:tcW w:w="1418" w:type="dxa"/>
            <w:hideMark/>
          </w:tcPr>
          <w:p w14:paraId="2A863CE3" w14:textId="77777777" w:rsidR="006A618B" w:rsidRPr="00C04443" w:rsidRDefault="006A618B" w:rsidP="0091710A">
            <w:pPr>
              <w:pStyle w:val="NormalWeb"/>
              <w:rPr>
                <w:sz w:val="18"/>
                <w:szCs w:val="18"/>
              </w:rPr>
            </w:pPr>
            <w:r w:rsidRPr="00C04443">
              <w:rPr>
                <w:sz w:val="18"/>
                <w:szCs w:val="18"/>
              </w:rPr>
              <w:t>E75B</w:t>
            </w:r>
          </w:p>
        </w:tc>
        <w:tc>
          <w:tcPr>
            <w:tcW w:w="7371" w:type="dxa"/>
            <w:hideMark/>
          </w:tcPr>
          <w:p w14:paraId="7ADA9D7D" w14:textId="77777777" w:rsidR="006A618B" w:rsidRPr="00C04443" w:rsidRDefault="006A618B" w:rsidP="0091710A">
            <w:pPr>
              <w:pStyle w:val="NormalWeb"/>
              <w:rPr>
                <w:sz w:val="18"/>
                <w:szCs w:val="18"/>
              </w:rPr>
            </w:pPr>
            <w:r w:rsidRPr="00C04443">
              <w:rPr>
                <w:sz w:val="18"/>
                <w:szCs w:val="18"/>
              </w:rPr>
              <w:t>Other Respiratory System Disorders, Minor Complexity</w:t>
            </w:r>
          </w:p>
        </w:tc>
        <w:tc>
          <w:tcPr>
            <w:tcW w:w="1677" w:type="dxa"/>
            <w:hideMark/>
          </w:tcPr>
          <w:p w14:paraId="2FD8BA20" w14:textId="77777777" w:rsidR="006A618B" w:rsidRPr="00C04443" w:rsidRDefault="006A618B" w:rsidP="008557A2">
            <w:pPr>
              <w:pStyle w:val="NormalWeb"/>
              <w:jc w:val="center"/>
              <w:rPr>
                <w:sz w:val="18"/>
                <w:szCs w:val="18"/>
              </w:rPr>
            </w:pPr>
            <w:r w:rsidRPr="00C04443">
              <w:rPr>
                <w:sz w:val="18"/>
                <w:szCs w:val="18"/>
              </w:rPr>
              <w:t>13</w:t>
            </w:r>
          </w:p>
        </w:tc>
      </w:tr>
      <w:tr w:rsidR="006A618B" w:rsidRPr="00C04443" w14:paraId="47D786D2" w14:textId="77777777" w:rsidTr="008557A2">
        <w:tc>
          <w:tcPr>
            <w:tcW w:w="1418" w:type="dxa"/>
            <w:hideMark/>
          </w:tcPr>
          <w:p w14:paraId="63D2CC52" w14:textId="77777777" w:rsidR="006A618B" w:rsidRPr="00C04443" w:rsidRDefault="006A618B" w:rsidP="0091710A">
            <w:pPr>
              <w:pStyle w:val="NormalWeb"/>
              <w:rPr>
                <w:sz w:val="18"/>
                <w:szCs w:val="18"/>
              </w:rPr>
            </w:pPr>
            <w:r w:rsidRPr="00C04443">
              <w:rPr>
                <w:sz w:val="18"/>
                <w:szCs w:val="18"/>
              </w:rPr>
              <w:t>P68B</w:t>
            </w:r>
          </w:p>
        </w:tc>
        <w:tc>
          <w:tcPr>
            <w:tcW w:w="7371" w:type="dxa"/>
            <w:hideMark/>
          </w:tcPr>
          <w:p w14:paraId="28F5482C" w14:textId="77777777" w:rsidR="006A618B" w:rsidRPr="00C04443" w:rsidRDefault="006A618B" w:rsidP="0091710A">
            <w:pPr>
              <w:pStyle w:val="NormalWeb"/>
              <w:rPr>
                <w:sz w:val="18"/>
                <w:szCs w:val="18"/>
              </w:rPr>
            </w:pPr>
            <w:r w:rsidRPr="00C04443">
              <w:rPr>
                <w:sz w:val="18"/>
                <w:szCs w:val="18"/>
              </w:rPr>
              <w:t xml:space="preserve">Neonate, </w:t>
            </w:r>
            <w:proofErr w:type="spellStart"/>
            <w:r w:rsidRPr="00C04443">
              <w:rPr>
                <w:sz w:val="18"/>
                <w:szCs w:val="18"/>
              </w:rPr>
              <w:t>AdmWt</w:t>
            </w:r>
            <w:proofErr w:type="spellEnd"/>
            <w:r w:rsidRPr="00C04443">
              <w:rPr>
                <w:sz w:val="18"/>
                <w:szCs w:val="18"/>
              </w:rPr>
              <w:t xml:space="preserve"> &gt;=2500g W/O Sig GI/Vent&gt;=96hrs, &gt;=37 Comp </w:t>
            </w:r>
            <w:proofErr w:type="spellStart"/>
            <w:r w:rsidRPr="00C04443">
              <w:rPr>
                <w:sz w:val="18"/>
                <w:szCs w:val="18"/>
              </w:rPr>
              <w:t>Wks</w:t>
            </w:r>
            <w:proofErr w:type="spellEnd"/>
            <w:r w:rsidRPr="00C04443">
              <w:rPr>
                <w:sz w:val="18"/>
                <w:szCs w:val="18"/>
              </w:rPr>
              <w:t xml:space="preserve"> Gest, Maj Comp</w:t>
            </w:r>
          </w:p>
        </w:tc>
        <w:tc>
          <w:tcPr>
            <w:tcW w:w="1677" w:type="dxa"/>
            <w:hideMark/>
          </w:tcPr>
          <w:p w14:paraId="64DE866A" w14:textId="77777777" w:rsidR="006A618B" w:rsidRPr="00C04443" w:rsidRDefault="006A618B" w:rsidP="008557A2">
            <w:pPr>
              <w:pStyle w:val="NormalWeb"/>
              <w:jc w:val="center"/>
              <w:rPr>
                <w:sz w:val="18"/>
                <w:szCs w:val="18"/>
              </w:rPr>
            </w:pPr>
            <w:r w:rsidRPr="00C04443">
              <w:rPr>
                <w:sz w:val="18"/>
                <w:szCs w:val="18"/>
              </w:rPr>
              <w:t>11</w:t>
            </w:r>
          </w:p>
        </w:tc>
      </w:tr>
      <w:tr w:rsidR="006A618B" w:rsidRPr="00C04443" w14:paraId="195BA094" w14:textId="77777777" w:rsidTr="008557A2">
        <w:trPr>
          <w:cnfStyle w:val="000000010000" w:firstRow="0" w:lastRow="0" w:firstColumn="0" w:lastColumn="0" w:oddVBand="0" w:evenVBand="0" w:oddHBand="0" w:evenHBand="1" w:firstRowFirstColumn="0" w:firstRowLastColumn="0" w:lastRowFirstColumn="0" w:lastRowLastColumn="0"/>
        </w:trPr>
        <w:tc>
          <w:tcPr>
            <w:tcW w:w="1418" w:type="dxa"/>
            <w:hideMark/>
          </w:tcPr>
          <w:p w14:paraId="325BF8DC" w14:textId="77777777" w:rsidR="006A618B" w:rsidRPr="00C04443" w:rsidRDefault="006A618B" w:rsidP="0091710A">
            <w:pPr>
              <w:pStyle w:val="NormalWeb"/>
              <w:rPr>
                <w:sz w:val="18"/>
                <w:szCs w:val="18"/>
              </w:rPr>
            </w:pPr>
            <w:r w:rsidRPr="00C04443">
              <w:rPr>
                <w:sz w:val="18"/>
                <w:szCs w:val="18"/>
              </w:rPr>
              <w:t>E75A</w:t>
            </w:r>
          </w:p>
        </w:tc>
        <w:tc>
          <w:tcPr>
            <w:tcW w:w="7371" w:type="dxa"/>
            <w:hideMark/>
          </w:tcPr>
          <w:p w14:paraId="0D66F035" w14:textId="77777777" w:rsidR="006A618B" w:rsidRPr="00C04443" w:rsidRDefault="006A618B" w:rsidP="0091710A">
            <w:pPr>
              <w:pStyle w:val="NormalWeb"/>
              <w:rPr>
                <w:sz w:val="18"/>
                <w:szCs w:val="18"/>
              </w:rPr>
            </w:pPr>
            <w:r w:rsidRPr="00C04443">
              <w:rPr>
                <w:sz w:val="18"/>
                <w:szCs w:val="18"/>
              </w:rPr>
              <w:t>Other Respiratory System Disorders, Major Complexity</w:t>
            </w:r>
          </w:p>
        </w:tc>
        <w:tc>
          <w:tcPr>
            <w:tcW w:w="1677" w:type="dxa"/>
            <w:hideMark/>
          </w:tcPr>
          <w:p w14:paraId="4119E464" w14:textId="77777777" w:rsidR="006A618B" w:rsidRPr="00C04443" w:rsidRDefault="006A618B" w:rsidP="008557A2">
            <w:pPr>
              <w:pStyle w:val="NormalWeb"/>
              <w:jc w:val="center"/>
              <w:rPr>
                <w:sz w:val="18"/>
                <w:szCs w:val="18"/>
              </w:rPr>
            </w:pPr>
            <w:r w:rsidRPr="00C04443">
              <w:rPr>
                <w:sz w:val="18"/>
                <w:szCs w:val="18"/>
              </w:rPr>
              <w:t>9</w:t>
            </w:r>
          </w:p>
        </w:tc>
      </w:tr>
    </w:tbl>
    <w:p w14:paraId="492D0D41" w14:textId="77777777" w:rsidR="00B42099" w:rsidRDefault="00B42099" w:rsidP="00B42099">
      <w:pPr>
        <w:pStyle w:val="CDIFigures"/>
        <w:rPr>
          <w:lang w:val="en-GB"/>
        </w:rPr>
        <w:sectPr w:rsidR="00B42099" w:rsidSect="00A30C37">
          <w:footnotePr>
            <w:numFmt w:val="lowerRoman"/>
          </w:footnotePr>
          <w:pgSz w:w="11906" w:h="16838"/>
          <w:pgMar w:top="720" w:right="720" w:bottom="1134" w:left="720" w:header="709" w:footer="284" w:gutter="0"/>
          <w:cols w:space="708"/>
          <w:titlePg/>
          <w:docGrid w:linePitch="360"/>
        </w:sectPr>
      </w:pPr>
    </w:p>
    <w:p w14:paraId="715454FE" w14:textId="64B32F5E" w:rsidR="006B21DA" w:rsidRDefault="006B21DA" w:rsidP="00B42099">
      <w:pPr>
        <w:pStyle w:val="CDIFigures"/>
        <w:rPr>
          <w:lang w:val="en-GB"/>
        </w:rPr>
      </w:pPr>
      <w:r>
        <w:rPr>
          <w:lang w:val="en-GB"/>
        </w:rPr>
        <w:lastRenderedPageBreak/>
        <w:t>Table 3: Respiratory support for children under five years of age</w:t>
      </w:r>
      <w:r w:rsidRPr="00EA7792">
        <w:rPr>
          <w:vertAlign w:val="superscript"/>
          <w:lang w:val="en-US"/>
        </w:rPr>
        <w:t>a</w:t>
      </w:r>
    </w:p>
    <w:tbl>
      <w:tblPr>
        <w:tblStyle w:val="CDI-StandardTable"/>
        <w:tblW w:w="0" w:type="auto"/>
        <w:tblCellMar>
          <w:top w:w="142" w:type="dxa"/>
          <w:bottom w:w="142" w:type="dxa"/>
        </w:tblCellMar>
        <w:tblLook w:val="04A0" w:firstRow="1" w:lastRow="0" w:firstColumn="1" w:lastColumn="0" w:noHBand="0" w:noVBand="1"/>
        <w:tblDescription w:val="Respiratory support for children under five years of age"/>
      </w:tblPr>
      <w:tblGrid>
        <w:gridCol w:w="3261"/>
        <w:gridCol w:w="708"/>
        <w:gridCol w:w="567"/>
        <w:gridCol w:w="993"/>
        <w:gridCol w:w="708"/>
        <w:gridCol w:w="1276"/>
        <w:gridCol w:w="709"/>
        <w:gridCol w:w="551"/>
        <w:gridCol w:w="722"/>
        <w:gridCol w:w="570"/>
        <w:gridCol w:w="992"/>
        <w:gridCol w:w="567"/>
        <w:gridCol w:w="554"/>
        <w:gridCol w:w="722"/>
        <w:gridCol w:w="992"/>
        <w:gridCol w:w="1092"/>
      </w:tblGrid>
      <w:tr w:rsidR="00E86B30" w:rsidRPr="00E86B30" w14:paraId="5C762045" w14:textId="77777777" w:rsidTr="001B7907">
        <w:trPr>
          <w:cnfStyle w:val="100000000000" w:firstRow="1" w:lastRow="0" w:firstColumn="0" w:lastColumn="0" w:oddVBand="0" w:evenVBand="0" w:oddHBand="0" w:evenHBand="0" w:firstRowFirstColumn="0" w:firstRowLastColumn="0" w:lastRowFirstColumn="0" w:lastRowLastColumn="0"/>
          <w:tblHeader/>
        </w:trPr>
        <w:tc>
          <w:tcPr>
            <w:tcW w:w="3261" w:type="dxa"/>
            <w:vMerge w:val="restart"/>
            <w:tcBorders>
              <w:bottom w:val="single" w:sz="2" w:space="0" w:color="FFFFFF" w:themeColor="background1"/>
              <w:right w:val="single" w:sz="2" w:space="0" w:color="FFFFFF" w:themeColor="background1"/>
            </w:tcBorders>
            <w:vAlign w:val="center"/>
            <w:hideMark/>
          </w:tcPr>
          <w:p w14:paraId="4B4D87F6" w14:textId="77777777" w:rsidR="006B21DA" w:rsidRPr="00E86B30" w:rsidRDefault="006B21DA" w:rsidP="001B7907">
            <w:pPr>
              <w:pStyle w:val="NormalWeb"/>
              <w:rPr>
                <w:color w:val="FFFFFF" w:themeColor="background1"/>
                <w:sz w:val="20"/>
                <w:szCs w:val="20"/>
              </w:rPr>
            </w:pPr>
            <w:r w:rsidRPr="00E86B30">
              <w:rPr>
                <w:color w:val="FFFFFF" w:themeColor="background1"/>
                <w:sz w:val="20"/>
                <w:szCs w:val="20"/>
              </w:rPr>
              <w:t>Respiratory support technique</w:t>
            </w:r>
          </w:p>
        </w:tc>
        <w:tc>
          <w:tcPr>
            <w:tcW w:w="4252" w:type="dxa"/>
            <w:gridSpan w:val="5"/>
            <w:tcBorders>
              <w:left w:val="single" w:sz="2" w:space="0" w:color="FFFFFF" w:themeColor="background1"/>
              <w:bottom w:val="single" w:sz="2" w:space="0" w:color="FFFFFF" w:themeColor="background1"/>
              <w:right w:val="single" w:sz="2" w:space="0" w:color="FFFFFF" w:themeColor="background1"/>
            </w:tcBorders>
            <w:vAlign w:val="center"/>
            <w:hideMark/>
          </w:tcPr>
          <w:p w14:paraId="7865D396"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lang w:val="en-US"/>
              </w:rPr>
              <w:t>RSV index admission</w:t>
            </w:r>
          </w:p>
        </w:tc>
        <w:tc>
          <w:tcPr>
            <w:tcW w:w="7471" w:type="dxa"/>
            <w:gridSpan w:val="10"/>
            <w:tcBorders>
              <w:left w:val="single" w:sz="2" w:space="0" w:color="FFFFFF" w:themeColor="background1"/>
              <w:bottom w:val="single" w:sz="2" w:space="0" w:color="FFFFFF" w:themeColor="background1"/>
            </w:tcBorders>
            <w:vAlign w:val="center"/>
            <w:hideMark/>
          </w:tcPr>
          <w:p w14:paraId="75731EEB"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 xml:space="preserve">Follow-up period </w:t>
            </w:r>
            <w:r w:rsidRPr="00E86B30">
              <w:rPr>
                <w:color w:val="FFFFFF" w:themeColor="background1"/>
                <w:sz w:val="20"/>
                <w:szCs w:val="20"/>
              </w:rPr>
              <w:br/>
              <w:t>(only including children with a re-admission)</w:t>
            </w:r>
          </w:p>
        </w:tc>
      </w:tr>
      <w:tr w:rsidR="00E86B30" w:rsidRPr="00E86B30" w14:paraId="56598A18" w14:textId="77777777" w:rsidTr="00EE0F1F">
        <w:trPr>
          <w:cnfStyle w:val="100000000000" w:firstRow="1" w:lastRow="0" w:firstColumn="0" w:lastColumn="0" w:oddVBand="0" w:evenVBand="0" w:oddHBand="0" w:evenHBand="0" w:firstRowFirstColumn="0" w:firstRowLastColumn="0" w:lastRowFirstColumn="0" w:lastRowLastColumn="0"/>
          <w:tblHeader/>
        </w:trPr>
        <w:tc>
          <w:tcPr>
            <w:tcW w:w="3261" w:type="dxa"/>
            <w:vMerge/>
            <w:tcBorders>
              <w:top w:val="single" w:sz="2" w:space="0" w:color="FFFFFF" w:themeColor="background1"/>
              <w:bottom w:val="single" w:sz="2" w:space="0" w:color="FFFFFF" w:themeColor="background1"/>
              <w:right w:val="single" w:sz="2" w:space="0" w:color="FFFFFF" w:themeColor="background1"/>
            </w:tcBorders>
            <w:vAlign w:val="center"/>
            <w:hideMark/>
          </w:tcPr>
          <w:p w14:paraId="3AC0DD7E" w14:textId="77777777" w:rsidR="006B21DA" w:rsidRPr="00E86B30" w:rsidRDefault="006B21DA" w:rsidP="0091710A">
            <w:pPr>
              <w:jc w:val="center"/>
              <w:rPr>
                <w:color w:val="FFFFFF" w:themeColor="background1"/>
                <w:sz w:val="20"/>
                <w:szCs w:val="20"/>
              </w:rPr>
            </w:pPr>
          </w:p>
        </w:tc>
        <w:tc>
          <w:tcPr>
            <w:tcW w:w="4252"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3FE103B"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Index admission (N = 363)</w:t>
            </w:r>
          </w:p>
        </w:tc>
        <w:tc>
          <w:tcPr>
            <w:tcW w:w="354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4C158AA"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0–</w:t>
            </w:r>
            <w:proofErr w:type="gramStart"/>
            <w:r w:rsidRPr="00E86B30">
              <w:rPr>
                <w:color w:val="FFFFFF" w:themeColor="background1"/>
                <w:sz w:val="20"/>
                <w:szCs w:val="20"/>
              </w:rPr>
              <w:t>30 day</w:t>
            </w:r>
            <w:proofErr w:type="gramEnd"/>
            <w:r w:rsidRPr="00E86B30">
              <w:rPr>
                <w:color w:val="FFFFFF" w:themeColor="background1"/>
                <w:sz w:val="20"/>
                <w:szCs w:val="20"/>
              </w:rPr>
              <w:t xml:space="preserve"> re-admissions (N = 51)</w:t>
            </w:r>
          </w:p>
        </w:tc>
        <w:tc>
          <w:tcPr>
            <w:tcW w:w="3927" w:type="dxa"/>
            <w:gridSpan w:val="5"/>
            <w:tcBorders>
              <w:top w:val="single" w:sz="2" w:space="0" w:color="FFFFFF" w:themeColor="background1"/>
              <w:left w:val="single" w:sz="2" w:space="0" w:color="FFFFFF" w:themeColor="background1"/>
              <w:bottom w:val="single" w:sz="2" w:space="0" w:color="FFFFFF" w:themeColor="background1"/>
            </w:tcBorders>
            <w:vAlign w:val="center"/>
            <w:hideMark/>
          </w:tcPr>
          <w:p w14:paraId="58733232"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1–</w:t>
            </w:r>
            <w:proofErr w:type="gramStart"/>
            <w:r w:rsidRPr="00E86B30">
              <w:rPr>
                <w:color w:val="FFFFFF" w:themeColor="background1"/>
                <w:sz w:val="20"/>
                <w:szCs w:val="20"/>
              </w:rPr>
              <w:t>6 month</w:t>
            </w:r>
            <w:proofErr w:type="gramEnd"/>
            <w:r w:rsidRPr="00E86B30">
              <w:rPr>
                <w:color w:val="FFFFFF" w:themeColor="background1"/>
                <w:sz w:val="20"/>
                <w:szCs w:val="20"/>
              </w:rPr>
              <w:t xml:space="preserve"> re-admissions (N = 153)</w:t>
            </w:r>
          </w:p>
        </w:tc>
      </w:tr>
      <w:tr w:rsidR="00E86B30" w:rsidRPr="00E86B30" w14:paraId="7F1BEED5" w14:textId="77777777" w:rsidTr="00EE0F1F">
        <w:trPr>
          <w:cnfStyle w:val="100000000000" w:firstRow="1" w:lastRow="0" w:firstColumn="0" w:lastColumn="0" w:oddVBand="0" w:evenVBand="0" w:oddHBand="0" w:evenHBand="0" w:firstRowFirstColumn="0" w:firstRowLastColumn="0" w:lastRowFirstColumn="0" w:lastRowLastColumn="0"/>
          <w:tblHeader/>
        </w:trPr>
        <w:tc>
          <w:tcPr>
            <w:tcW w:w="3261" w:type="dxa"/>
            <w:vMerge/>
            <w:tcBorders>
              <w:top w:val="single" w:sz="2" w:space="0" w:color="FFFFFF" w:themeColor="background1"/>
              <w:bottom w:val="single" w:sz="2" w:space="0" w:color="FFFFFF" w:themeColor="background1"/>
              <w:right w:val="single" w:sz="2" w:space="0" w:color="FFFFFF" w:themeColor="background1"/>
            </w:tcBorders>
            <w:vAlign w:val="center"/>
            <w:hideMark/>
          </w:tcPr>
          <w:p w14:paraId="4413A411" w14:textId="77777777" w:rsidR="006B21DA" w:rsidRPr="00E86B30" w:rsidRDefault="006B21DA" w:rsidP="0091710A">
            <w:pPr>
              <w:jc w:val="center"/>
              <w:rPr>
                <w:color w:val="FFFFFF" w:themeColor="background1"/>
                <w:sz w:val="20"/>
                <w:szCs w:val="20"/>
              </w:rPr>
            </w:pPr>
          </w:p>
        </w:tc>
        <w:tc>
          <w:tcPr>
            <w:tcW w:w="708"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08A08DA"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n</w:t>
            </w:r>
          </w:p>
        </w:tc>
        <w:tc>
          <w:tcPr>
            <w:tcW w:w="567"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0A826386"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w:t>
            </w:r>
          </w:p>
        </w:tc>
        <w:tc>
          <w:tcPr>
            <w:tcW w:w="297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730B45E"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lang w:val="en-US"/>
              </w:rPr>
              <w:t>Hours</w:t>
            </w:r>
          </w:p>
        </w:tc>
        <w:tc>
          <w:tcPr>
            <w:tcW w:w="709"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328445D4"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n</w:t>
            </w:r>
          </w:p>
        </w:tc>
        <w:tc>
          <w:tcPr>
            <w:tcW w:w="551"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7779B07"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w:t>
            </w:r>
          </w:p>
        </w:tc>
        <w:tc>
          <w:tcPr>
            <w:tcW w:w="228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62831A2E"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lang w:val="en-US"/>
              </w:rPr>
              <w:t>Hours</w:t>
            </w:r>
          </w:p>
        </w:tc>
        <w:tc>
          <w:tcPr>
            <w:tcW w:w="567"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A905138"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n</w:t>
            </w:r>
          </w:p>
        </w:tc>
        <w:tc>
          <w:tcPr>
            <w:tcW w:w="554"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6D88AA82"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w:t>
            </w:r>
          </w:p>
        </w:tc>
        <w:tc>
          <w:tcPr>
            <w:tcW w:w="2806" w:type="dxa"/>
            <w:gridSpan w:val="3"/>
            <w:tcBorders>
              <w:top w:val="single" w:sz="2" w:space="0" w:color="FFFFFF" w:themeColor="background1"/>
              <w:left w:val="single" w:sz="2" w:space="0" w:color="FFFFFF" w:themeColor="background1"/>
              <w:bottom w:val="single" w:sz="2" w:space="0" w:color="FFFFFF" w:themeColor="background1"/>
            </w:tcBorders>
            <w:vAlign w:val="center"/>
            <w:hideMark/>
          </w:tcPr>
          <w:p w14:paraId="2F021CE9"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lang w:val="en-US"/>
              </w:rPr>
              <w:t>Hours</w:t>
            </w:r>
          </w:p>
        </w:tc>
      </w:tr>
      <w:tr w:rsidR="00E86B30" w:rsidRPr="00E86B30" w14:paraId="06F39BD9" w14:textId="77777777" w:rsidTr="00EE0F1F">
        <w:trPr>
          <w:cnfStyle w:val="100000000000" w:firstRow="1" w:lastRow="0" w:firstColumn="0" w:lastColumn="0" w:oddVBand="0" w:evenVBand="0" w:oddHBand="0" w:evenHBand="0" w:firstRowFirstColumn="0" w:firstRowLastColumn="0" w:lastRowFirstColumn="0" w:lastRowLastColumn="0"/>
          <w:tblHeader/>
        </w:trPr>
        <w:tc>
          <w:tcPr>
            <w:tcW w:w="3261" w:type="dxa"/>
            <w:vMerge/>
            <w:tcBorders>
              <w:top w:val="single" w:sz="2" w:space="0" w:color="FFFFFF" w:themeColor="background1"/>
              <w:right w:val="single" w:sz="2" w:space="0" w:color="FFFFFF" w:themeColor="background1"/>
            </w:tcBorders>
            <w:vAlign w:val="center"/>
            <w:hideMark/>
          </w:tcPr>
          <w:p w14:paraId="6DA65990" w14:textId="77777777" w:rsidR="006B21DA" w:rsidRPr="00E86B30" w:rsidRDefault="006B21DA" w:rsidP="0091710A">
            <w:pPr>
              <w:jc w:val="center"/>
              <w:rPr>
                <w:color w:val="FFFFFF" w:themeColor="background1"/>
                <w:sz w:val="20"/>
                <w:szCs w:val="20"/>
              </w:rPr>
            </w:pPr>
          </w:p>
        </w:tc>
        <w:tc>
          <w:tcPr>
            <w:tcW w:w="708"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21C6D0A4" w14:textId="77777777" w:rsidR="006B21DA" w:rsidRPr="00E86B30" w:rsidRDefault="006B21DA" w:rsidP="00227EDF">
            <w:pPr>
              <w:jc w:val="center"/>
              <w:rPr>
                <w:color w:val="FFFFFF" w:themeColor="background1"/>
                <w:sz w:val="20"/>
                <w:szCs w:val="20"/>
              </w:rPr>
            </w:pPr>
          </w:p>
        </w:tc>
        <w:tc>
          <w:tcPr>
            <w:tcW w:w="567"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633EE9A2" w14:textId="77777777" w:rsidR="006B21DA" w:rsidRPr="00E86B30" w:rsidRDefault="006B21DA" w:rsidP="00227EDF">
            <w:pPr>
              <w:jc w:val="center"/>
              <w:rPr>
                <w:color w:val="FFFFFF" w:themeColor="background1"/>
                <w:sz w:val="20"/>
                <w:szCs w:val="20"/>
              </w:rPr>
            </w:pPr>
          </w:p>
        </w:tc>
        <w:tc>
          <w:tcPr>
            <w:tcW w:w="993" w:type="dxa"/>
            <w:tcBorders>
              <w:top w:val="single" w:sz="2" w:space="0" w:color="FFFFFF" w:themeColor="background1"/>
              <w:left w:val="single" w:sz="2" w:space="0" w:color="FFFFFF" w:themeColor="background1"/>
              <w:right w:val="single" w:sz="2" w:space="0" w:color="FFFFFF" w:themeColor="background1"/>
            </w:tcBorders>
            <w:vAlign w:val="center"/>
            <w:hideMark/>
          </w:tcPr>
          <w:p w14:paraId="7F95E5AE"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Mean</w:t>
            </w:r>
          </w:p>
        </w:tc>
        <w:tc>
          <w:tcPr>
            <w:tcW w:w="708" w:type="dxa"/>
            <w:tcBorders>
              <w:top w:val="single" w:sz="2" w:space="0" w:color="FFFFFF" w:themeColor="background1"/>
              <w:left w:val="single" w:sz="2" w:space="0" w:color="FFFFFF" w:themeColor="background1"/>
              <w:right w:val="single" w:sz="2" w:space="0" w:color="FFFFFF" w:themeColor="background1"/>
            </w:tcBorders>
            <w:vAlign w:val="center"/>
            <w:hideMark/>
          </w:tcPr>
          <w:p w14:paraId="349951C0"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SD</w:t>
            </w:r>
          </w:p>
        </w:tc>
        <w:tc>
          <w:tcPr>
            <w:tcW w:w="1276" w:type="dxa"/>
            <w:tcBorders>
              <w:top w:val="single" w:sz="2" w:space="0" w:color="FFFFFF" w:themeColor="background1"/>
              <w:left w:val="single" w:sz="2" w:space="0" w:color="FFFFFF" w:themeColor="background1"/>
              <w:right w:val="single" w:sz="2" w:space="0" w:color="FFFFFF" w:themeColor="background1"/>
            </w:tcBorders>
            <w:vAlign w:val="center"/>
            <w:hideMark/>
          </w:tcPr>
          <w:p w14:paraId="78E2113B"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lang w:val="en-US"/>
              </w:rPr>
              <w:t>Range</w:t>
            </w:r>
          </w:p>
        </w:tc>
        <w:tc>
          <w:tcPr>
            <w:tcW w:w="709"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13BC0683" w14:textId="77777777" w:rsidR="006B21DA" w:rsidRPr="00E86B30" w:rsidRDefault="006B21DA" w:rsidP="00227EDF">
            <w:pPr>
              <w:jc w:val="center"/>
              <w:rPr>
                <w:color w:val="FFFFFF" w:themeColor="background1"/>
                <w:sz w:val="20"/>
                <w:szCs w:val="20"/>
              </w:rPr>
            </w:pPr>
          </w:p>
        </w:tc>
        <w:tc>
          <w:tcPr>
            <w:tcW w:w="551"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2F528FA8" w14:textId="77777777" w:rsidR="006B21DA" w:rsidRPr="00E86B30" w:rsidRDefault="006B21DA" w:rsidP="00227EDF">
            <w:pPr>
              <w:jc w:val="center"/>
              <w:rPr>
                <w:color w:val="FFFFFF" w:themeColor="background1"/>
                <w:sz w:val="20"/>
                <w:szCs w:val="20"/>
              </w:rPr>
            </w:pPr>
          </w:p>
        </w:tc>
        <w:tc>
          <w:tcPr>
            <w:tcW w:w="722" w:type="dxa"/>
            <w:tcBorders>
              <w:top w:val="single" w:sz="2" w:space="0" w:color="FFFFFF" w:themeColor="background1"/>
              <w:left w:val="single" w:sz="2" w:space="0" w:color="FFFFFF" w:themeColor="background1"/>
              <w:right w:val="single" w:sz="2" w:space="0" w:color="FFFFFF" w:themeColor="background1"/>
            </w:tcBorders>
            <w:vAlign w:val="center"/>
            <w:hideMark/>
          </w:tcPr>
          <w:p w14:paraId="0D5DDF20"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Mean</w:t>
            </w:r>
          </w:p>
        </w:tc>
        <w:tc>
          <w:tcPr>
            <w:tcW w:w="570" w:type="dxa"/>
            <w:tcBorders>
              <w:top w:val="single" w:sz="2" w:space="0" w:color="FFFFFF" w:themeColor="background1"/>
              <w:left w:val="single" w:sz="2" w:space="0" w:color="FFFFFF" w:themeColor="background1"/>
              <w:right w:val="single" w:sz="2" w:space="0" w:color="FFFFFF" w:themeColor="background1"/>
            </w:tcBorders>
            <w:vAlign w:val="center"/>
            <w:hideMark/>
          </w:tcPr>
          <w:p w14:paraId="65457FDA"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SD</w:t>
            </w:r>
          </w:p>
        </w:tc>
        <w:tc>
          <w:tcPr>
            <w:tcW w:w="992" w:type="dxa"/>
            <w:tcBorders>
              <w:top w:val="single" w:sz="2" w:space="0" w:color="FFFFFF" w:themeColor="background1"/>
              <w:left w:val="single" w:sz="2" w:space="0" w:color="FFFFFF" w:themeColor="background1"/>
              <w:right w:val="single" w:sz="2" w:space="0" w:color="FFFFFF" w:themeColor="background1"/>
            </w:tcBorders>
            <w:vAlign w:val="center"/>
            <w:hideMark/>
          </w:tcPr>
          <w:p w14:paraId="3646B4FF"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lang w:val="en-US"/>
              </w:rPr>
              <w:t>Range</w:t>
            </w:r>
          </w:p>
        </w:tc>
        <w:tc>
          <w:tcPr>
            <w:tcW w:w="567"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519A7C91" w14:textId="77777777" w:rsidR="006B21DA" w:rsidRPr="00E86B30" w:rsidRDefault="006B21DA" w:rsidP="00227EDF">
            <w:pPr>
              <w:jc w:val="center"/>
              <w:rPr>
                <w:color w:val="FFFFFF" w:themeColor="background1"/>
                <w:sz w:val="20"/>
                <w:szCs w:val="20"/>
              </w:rPr>
            </w:pPr>
          </w:p>
        </w:tc>
        <w:tc>
          <w:tcPr>
            <w:tcW w:w="554"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2EA9B007" w14:textId="77777777" w:rsidR="006B21DA" w:rsidRPr="00E86B30" w:rsidRDefault="006B21DA" w:rsidP="00227EDF">
            <w:pPr>
              <w:jc w:val="center"/>
              <w:rPr>
                <w:color w:val="FFFFFF" w:themeColor="background1"/>
                <w:sz w:val="20"/>
                <w:szCs w:val="20"/>
              </w:rPr>
            </w:pPr>
          </w:p>
        </w:tc>
        <w:tc>
          <w:tcPr>
            <w:tcW w:w="722" w:type="dxa"/>
            <w:tcBorders>
              <w:top w:val="single" w:sz="2" w:space="0" w:color="FFFFFF" w:themeColor="background1"/>
              <w:left w:val="single" w:sz="2" w:space="0" w:color="FFFFFF" w:themeColor="background1"/>
              <w:right w:val="single" w:sz="2" w:space="0" w:color="FFFFFF" w:themeColor="background1"/>
            </w:tcBorders>
            <w:vAlign w:val="center"/>
            <w:hideMark/>
          </w:tcPr>
          <w:p w14:paraId="3ED2BEDB"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Mean</w:t>
            </w:r>
          </w:p>
        </w:tc>
        <w:tc>
          <w:tcPr>
            <w:tcW w:w="992" w:type="dxa"/>
            <w:tcBorders>
              <w:top w:val="single" w:sz="2" w:space="0" w:color="FFFFFF" w:themeColor="background1"/>
              <w:left w:val="single" w:sz="2" w:space="0" w:color="FFFFFF" w:themeColor="background1"/>
              <w:right w:val="single" w:sz="2" w:space="0" w:color="FFFFFF" w:themeColor="background1"/>
            </w:tcBorders>
            <w:vAlign w:val="center"/>
            <w:hideMark/>
          </w:tcPr>
          <w:p w14:paraId="35F0A7E2"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rPr>
              <w:t>SD</w:t>
            </w:r>
          </w:p>
        </w:tc>
        <w:tc>
          <w:tcPr>
            <w:tcW w:w="1092" w:type="dxa"/>
            <w:tcBorders>
              <w:top w:val="single" w:sz="2" w:space="0" w:color="FFFFFF" w:themeColor="background1"/>
              <w:left w:val="single" w:sz="2" w:space="0" w:color="FFFFFF" w:themeColor="background1"/>
            </w:tcBorders>
            <w:vAlign w:val="center"/>
            <w:hideMark/>
          </w:tcPr>
          <w:p w14:paraId="6C655826" w14:textId="77777777" w:rsidR="006B21DA" w:rsidRPr="00E86B30" w:rsidRDefault="006B21DA" w:rsidP="00227EDF">
            <w:pPr>
              <w:pStyle w:val="NormalWeb"/>
              <w:jc w:val="center"/>
              <w:rPr>
                <w:color w:val="FFFFFF" w:themeColor="background1"/>
                <w:sz w:val="20"/>
                <w:szCs w:val="20"/>
              </w:rPr>
            </w:pPr>
            <w:r w:rsidRPr="00E86B30">
              <w:rPr>
                <w:color w:val="FFFFFF" w:themeColor="background1"/>
                <w:sz w:val="20"/>
                <w:szCs w:val="20"/>
                <w:lang w:val="en-US"/>
              </w:rPr>
              <w:t>Range</w:t>
            </w:r>
          </w:p>
        </w:tc>
      </w:tr>
      <w:tr w:rsidR="00E86B30" w:rsidRPr="00E86B30" w14:paraId="73516DAF" w14:textId="77777777" w:rsidTr="00EE0F1F">
        <w:tblPrEx>
          <w:tblCellMar>
            <w:left w:w="57" w:type="dxa"/>
            <w:right w:w="57" w:type="dxa"/>
          </w:tblCellMar>
        </w:tblPrEx>
        <w:tc>
          <w:tcPr>
            <w:tcW w:w="3261" w:type="dxa"/>
            <w:hideMark/>
          </w:tcPr>
          <w:p w14:paraId="4AAE98FE" w14:textId="77777777" w:rsidR="006B21DA" w:rsidRPr="00E86B30" w:rsidRDefault="006B21DA" w:rsidP="0091710A">
            <w:pPr>
              <w:pStyle w:val="NormalWeb"/>
              <w:rPr>
                <w:sz w:val="20"/>
                <w:szCs w:val="20"/>
              </w:rPr>
            </w:pPr>
            <w:r w:rsidRPr="00E86B30">
              <w:rPr>
                <w:sz w:val="20"/>
                <w:szCs w:val="20"/>
              </w:rPr>
              <w:t>CPAP/Bi-</w:t>
            </w:r>
            <w:proofErr w:type="spellStart"/>
            <w:r w:rsidRPr="00E86B30">
              <w:rPr>
                <w:sz w:val="20"/>
                <w:szCs w:val="20"/>
              </w:rPr>
              <w:t>PAP</w:t>
            </w:r>
            <w:r w:rsidRPr="00E86B30">
              <w:rPr>
                <w:sz w:val="20"/>
                <w:szCs w:val="20"/>
                <w:vertAlign w:val="superscript"/>
              </w:rPr>
              <w:t>b</w:t>
            </w:r>
            <w:proofErr w:type="spellEnd"/>
          </w:p>
        </w:tc>
        <w:tc>
          <w:tcPr>
            <w:tcW w:w="708" w:type="dxa"/>
            <w:hideMark/>
          </w:tcPr>
          <w:p w14:paraId="273014DA" w14:textId="77777777" w:rsidR="006B21DA" w:rsidRPr="00E86B30" w:rsidRDefault="006B21DA" w:rsidP="00227EDF">
            <w:pPr>
              <w:pStyle w:val="NormalWeb"/>
              <w:jc w:val="center"/>
              <w:rPr>
                <w:sz w:val="20"/>
                <w:szCs w:val="20"/>
              </w:rPr>
            </w:pPr>
            <w:r w:rsidRPr="00E86B30">
              <w:rPr>
                <w:sz w:val="20"/>
                <w:szCs w:val="20"/>
              </w:rPr>
              <w:t>32</w:t>
            </w:r>
          </w:p>
        </w:tc>
        <w:tc>
          <w:tcPr>
            <w:tcW w:w="567" w:type="dxa"/>
            <w:hideMark/>
          </w:tcPr>
          <w:p w14:paraId="7A9CBB18" w14:textId="77777777" w:rsidR="006B21DA" w:rsidRPr="00E86B30" w:rsidRDefault="006B21DA" w:rsidP="00227EDF">
            <w:pPr>
              <w:pStyle w:val="NormalWeb"/>
              <w:jc w:val="center"/>
              <w:rPr>
                <w:sz w:val="20"/>
                <w:szCs w:val="20"/>
              </w:rPr>
            </w:pPr>
            <w:r w:rsidRPr="00E86B30">
              <w:rPr>
                <w:sz w:val="20"/>
                <w:szCs w:val="20"/>
              </w:rPr>
              <w:t>8.8</w:t>
            </w:r>
          </w:p>
        </w:tc>
        <w:tc>
          <w:tcPr>
            <w:tcW w:w="993" w:type="dxa"/>
            <w:hideMark/>
          </w:tcPr>
          <w:p w14:paraId="69C287FE" w14:textId="77777777" w:rsidR="006B21DA" w:rsidRPr="00E86B30" w:rsidRDefault="006B21DA" w:rsidP="00227EDF">
            <w:pPr>
              <w:pStyle w:val="NormalWeb"/>
              <w:jc w:val="center"/>
              <w:rPr>
                <w:sz w:val="20"/>
                <w:szCs w:val="20"/>
              </w:rPr>
            </w:pPr>
            <w:r w:rsidRPr="00E86B30">
              <w:rPr>
                <w:sz w:val="20"/>
                <w:szCs w:val="20"/>
              </w:rPr>
              <w:t>5.3</w:t>
            </w:r>
          </w:p>
        </w:tc>
        <w:tc>
          <w:tcPr>
            <w:tcW w:w="708" w:type="dxa"/>
            <w:hideMark/>
          </w:tcPr>
          <w:p w14:paraId="66E81A46" w14:textId="77777777" w:rsidR="006B21DA" w:rsidRPr="00E86B30" w:rsidRDefault="006B21DA" w:rsidP="00227EDF">
            <w:pPr>
              <w:pStyle w:val="NormalWeb"/>
              <w:jc w:val="center"/>
              <w:rPr>
                <w:sz w:val="20"/>
                <w:szCs w:val="20"/>
              </w:rPr>
            </w:pPr>
            <w:r w:rsidRPr="00E86B30">
              <w:rPr>
                <w:sz w:val="20"/>
                <w:szCs w:val="20"/>
              </w:rPr>
              <w:t>22.0</w:t>
            </w:r>
          </w:p>
        </w:tc>
        <w:tc>
          <w:tcPr>
            <w:tcW w:w="1276" w:type="dxa"/>
            <w:hideMark/>
          </w:tcPr>
          <w:p w14:paraId="7144EB0F" w14:textId="77777777" w:rsidR="006B21DA" w:rsidRPr="00E86B30" w:rsidRDefault="006B21DA" w:rsidP="00227EDF">
            <w:pPr>
              <w:pStyle w:val="NormalWeb"/>
              <w:jc w:val="center"/>
              <w:rPr>
                <w:sz w:val="20"/>
                <w:szCs w:val="20"/>
              </w:rPr>
            </w:pPr>
            <w:r w:rsidRPr="00E86B30">
              <w:rPr>
                <w:sz w:val="20"/>
                <w:szCs w:val="20"/>
              </w:rPr>
              <w:t>0–299</w:t>
            </w:r>
          </w:p>
        </w:tc>
        <w:tc>
          <w:tcPr>
            <w:tcW w:w="709" w:type="dxa"/>
            <w:hideMark/>
          </w:tcPr>
          <w:p w14:paraId="7BFA9369" w14:textId="77777777" w:rsidR="006B21DA" w:rsidRPr="00E86B30" w:rsidRDefault="006B21DA" w:rsidP="00227EDF">
            <w:pPr>
              <w:pStyle w:val="NormalWeb"/>
              <w:jc w:val="center"/>
              <w:rPr>
                <w:sz w:val="20"/>
                <w:szCs w:val="20"/>
              </w:rPr>
            </w:pPr>
            <w:r w:rsidRPr="00E86B30">
              <w:rPr>
                <w:sz w:val="20"/>
                <w:szCs w:val="20"/>
              </w:rPr>
              <w:t>6</w:t>
            </w:r>
          </w:p>
        </w:tc>
        <w:tc>
          <w:tcPr>
            <w:tcW w:w="551" w:type="dxa"/>
            <w:hideMark/>
          </w:tcPr>
          <w:p w14:paraId="56F611D0" w14:textId="77777777" w:rsidR="006B21DA" w:rsidRPr="00E86B30" w:rsidRDefault="006B21DA" w:rsidP="00227EDF">
            <w:pPr>
              <w:pStyle w:val="NormalWeb"/>
              <w:jc w:val="center"/>
              <w:rPr>
                <w:sz w:val="20"/>
                <w:szCs w:val="20"/>
              </w:rPr>
            </w:pPr>
            <w:r w:rsidRPr="00E86B30">
              <w:rPr>
                <w:sz w:val="20"/>
                <w:szCs w:val="20"/>
              </w:rPr>
              <w:t>11.8</w:t>
            </w:r>
          </w:p>
        </w:tc>
        <w:tc>
          <w:tcPr>
            <w:tcW w:w="722" w:type="dxa"/>
            <w:hideMark/>
          </w:tcPr>
          <w:p w14:paraId="39163D58" w14:textId="77777777" w:rsidR="006B21DA" w:rsidRPr="00E86B30" w:rsidRDefault="006B21DA" w:rsidP="00227EDF">
            <w:pPr>
              <w:pStyle w:val="NormalWeb"/>
              <w:jc w:val="center"/>
              <w:rPr>
                <w:sz w:val="20"/>
                <w:szCs w:val="20"/>
              </w:rPr>
            </w:pPr>
            <w:r w:rsidRPr="00E86B30">
              <w:rPr>
                <w:sz w:val="20"/>
                <w:szCs w:val="20"/>
              </w:rPr>
              <w:t>11.5</w:t>
            </w:r>
          </w:p>
        </w:tc>
        <w:tc>
          <w:tcPr>
            <w:tcW w:w="570" w:type="dxa"/>
            <w:hideMark/>
          </w:tcPr>
          <w:p w14:paraId="253C1836" w14:textId="77777777" w:rsidR="006B21DA" w:rsidRPr="00E86B30" w:rsidRDefault="006B21DA" w:rsidP="00227EDF">
            <w:pPr>
              <w:pStyle w:val="NormalWeb"/>
              <w:jc w:val="center"/>
              <w:rPr>
                <w:sz w:val="20"/>
                <w:szCs w:val="20"/>
              </w:rPr>
            </w:pPr>
            <w:r w:rsidRPr="00E86B30">
              <w:rPr>
                <w:sz w:val="20"/>
                <w:szCs w:val="20"/>
              </w:rPr>
              <w:t>40.2</w:t>
            </w:r>
          </w:p>
        </w:tc>
        <w:tc>
          <w:tcPr>
            <w:tcW w:w="992" w:type="dxa"/>
            <w:hideMark/>
          </w:tcPr>
          <w:p w14:paraId="0D798EC9" w14:textId="77777777" w:rsidR="006B21DA" w:rsidRPr="00E86B30" w:rsidRDefault="006B21DA" w:rsidP="00227EDF">
            <w:pPr>
              <w:pStyle w:val="NormalWeb"/>
              <w:jc w:val="center"/>
              <w:rPr>
                <w:sz w:val="20"/>
                <w:szCs w:val="20"/>
              </w:rPr>
            </w:pPr>
            <w:r w:rsidRPr="00E86B30">
              <w:rPr>
                <w:sz w:val="20"/>
                <w:szCs w:val="20"/>
              </w:rPr>
              <w:t>0–196</w:t>
            </w:r>
          </w:p>
        </w:tc>
        <w:tc>
          <w:tcPr>
            <w:tcW w:w="567" w:type="dxa"/>
            <w:hideMark/>
          </w:tcPr>
          <w:p w14:paraId="0B676D38" w14:textId="77777777" w:rsidR="006B21DA" w:rsidRPr="00E86B30" w:rsidRDefault="006B21DA" w:rsidP="00227EDF">
            <w:pPr>
              <w:pStyle w:val="NormalWeb"/>
              <w:jc w:val="center"/>
              <w:rPr>
                <w:sz w:val="20"/>
                <w:szCs w:val="20"/>
              </w:rPr>
            </w:pPr>
            <w:r w:rsidRPr="00E86B30">
              <w:rPr>
                <w:sz w:val="20"/>
                <w:szCs w:val="20"/>
              </w:rPr>
              <w:t>29</w:t>
            </w:r>
          </w:p>
        </w:tc>
        <w:tc>
          <w:tcPr>
            <w:tcW w:w="554" w:type="dxa"/>
            <w:hideMark/>
          </w:tcPr>
          <w:p w14:paraId="19D5B9AA" w14:textId="77777777" w:rsidR="006B21DA" w:rsidRPr="00E86B30" w:rsidRDefault="006B21DA" w:rsidP="00227EDF">
            <w:pPr>
              <w:pStyle w:val="NormalWeb"/>
              <w:jc w:val="center"/>
              <w:rPr>
                <w:sz w:val="20"/>
                <w:szCs w:val="20"/>
              </w:rPr>
            </w:pPr>
            <w:r w:rsidRPr="00E86B30">
              <w:rPr>
                <w:sz w:val="20"/>
                <w:szCs w:val="20"/>
              </w:rPr>
              <w:t>19.0</w:t>
            </w:r>
          </w:p>
        </w:tc>
        <w:tc>
          <w:tcPr>
            <w:tcW w:w="722" w:type="dxa"/>
            <w:hideMark/>
          </w:tcPr>
          <w:p w14:paraId="37406AB4" w14:textId="77777777" w:rsidR="006B21DA" w:rsidRPr="00E86B30" w:rsidRDefault="006B21DA" w:rsidP="00227EDF">
            <w:pPr>
              <w:pStyle w:val="NormalWeb"/>
              <w:jc w:val="center"/>
              <w:rPr>
                <w:sz w:val="20"/>
                <w:szCs w:val="20"/>
              </w:rPr>
            </w:pPr>
            <w:r w:rsidRPr="00E86B30">
              <w:rPr>
                <w:sz w:val="20"/>
                <w:szCs w:val="20"/>
              </w:rPr>
              <w:t>17.9</w:t>
            </w:r>
          </w:p>
        </w:tc>
        <w:tc>
          <w:tcPr>
            <w:tcW w:w="992" w:type="dxa"/>
            <w:hideMark/>
          </w:tcPr>
          <w:p w14:paraId="3D4A3ADB" w14:textId="77777777" w:rsidR="006B21DA" w:rsidRPr="00E86B30" w:rsidRDefault="006B21DA" w:rsidP="00227EDF">
            <w:pPr>
              <w:pStyle w:val="NormalWeb"/>
              <w:jc w:val="center"/>
              <w:rPr>
                <w:sz w:val="20"/>
                <w:szCs w:val="20"/>
              </w:rPr>
            </w:pPr>
            <w:r w:rsidRPr="00E86B30">
              <w:rPr>
                <w:sz w:val="20"/>
                <w:szCs w:val="20"/>
              </w:rPr>
              <w:t>47.7</w:t>
            </w:r>
          </w:p>
        </w:tc>
        <w:tc>
          <w:tcPr>
            <w:tcW w:w="1092" w:type="dxa"/>
            <w:hideMark/>
          </w:tcPr>
          <w:p w14:paraId="63C0B7A0" w14:textId="77777777" w:rsidR="006B21DA" w:rsidRPr="00E86B30" w:rsidRDefault="006B21DA" w:rsidP="00227EDF">
            <w:pPr>
              <w:pStyle w:val="NormalWeb"/>
              <w:jc w:val="center"/>
              <w:rPr>
                <w:sz w:val="20"/>
                <w:szCs w:val="20"/>
              </w:rPr>
            </w:pPr>
            <w:r w:rsidRPr="00E86B30">
              <w:rPr>
                <w:sz w:val="20"/>
                <w:szCs w:val="20"/>
              </w:rPr>
              <w:t>0–229</w:t>
            </w:r>
          </w:p>
        </w:tc>
      </w:tr>
      <w:tr w:rsidR="00E86B30" w:rsidRPr="00E86B30" w14:paraId="67FD8457" w14:textId="77777777" w:rsidTr="00EE0F1F">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15E9B662" w14:textId="77777777" w:rsidR="006B21DA" w:rsidRPr="00E86B30" w:rsidRDefault="006B21DA" w:rsidP="0091710A">
            <w:pPr>
              <w:pStyle w:val="NormalWeb"/>
              <w:rPr>
                <w:sz w:val="20"/>
                <w:szCs w:val="20"/>
              </w:rPr>
            </w:pPr>
            <w:r w:rsidRPr="00E86B30">
              <w:rPr>
                <w:sz w:val="20"/>
                <w:szCs w:val="20"/>
                <w:lang w:val="en-US"/>
              </w:rPr>
              <w:t>Mechanical ventilation – conventional</w:t>
            </w:r>
          </w:p>
        </w:tc>
        <w:tc>
          <w:tcPr>
            <w:tcW w:w="708" w:type="dxa"/>
            <w:hideMark/>
          </w:tcPr>
          <w:p w14:paraId="42067EFB" w14:textId="77777777" w:rsidR="006B21DA" w:rsidRPr="00E86B30" w:rsidRDefault="006B21DA" w:rsidP="00227EDF">
            <w:pPr>
              <w:pStyle w:val="NormalWeb"/>
              <w:jc w:val="center"/>
              <w:rPr>
                <w:sz w:val="20"/>
                <w:szCs w:val="20"/>
              </w:rPr>
            </w:pPr>
            <w:r w:rsidRPr="00E86B30">
              <w:rPr>
                <w:sz w:val="20"/>
                <w:szCs w:val="20"/>
              </w:rPr>
              <w:t>13</w:t>
            </w:r>
          </w:p>
        </w:tc>
        <w:tc>
          <w:tcPr>
            <w:tcW w:w="567" w:type="dxa"/>
            <w:hideMark/>
          </w:tcPr>
          <w:p w14:paraId="0E423190" w14:textId="77777777" w:rsidR="006B21DA" w:rsidRPr="00E86B30" w:rsidRDefault="006B21DA" w:rsidP="00227EDF">
            <w:pPr>
              <w:pStyle w:val="NormalWeb"/>
              <w:jc w:val="center"/>
              <w:rPr>
                <w:sz w:val="20"/>
                <w:szCs w:val="20"/>
              </w:rPr>
            </w:pPr>
            <w:r w:rsidRPr="00E86B30">
              <w:rPr>
                <w:sz w:val="20"/>
                <w:szCs w:val="20"/>
              </w:rPr>
              <w:t>3.6</w:t>
            </w:r>
          </w:p>
        </w:tc>
        <w:tc>
          <w:tcPr>
            <w:tcW w:w="993" w:type="dxa"/>
            <w:hideMark/>
          </w:tcPr>
          <w:p w14:paraId="1C7414A4" w14:textId="77777777" w:rsidR="006B21DA" w:rsidRPr="00E86B30" w:rsidRDefault="006B21DA" w:rsidP="00227EDF">
            <w:pPr>
              <w:pStyle w:val="NormalWeb"/>
              <w:jc w:val="center"/>
              <w:rPr>
                <w:sz w:val="20"/>
                <w:szCs w:val="20"/>
              </w:rPr>
            </w:pPr>
            <w:r w:rsidRPr="00E86B30">
              <w:rPr>
                <w:sz w:val="20"/>
                <w:szCs w:val="20"/>
              </w:rPr>
              <w:t>5.9</w:t>
            </w:r>
          </w:p>
        </w:tc>
        <w:tc>
          <w:tcPr>
            <w:tcW w:w="708" w:type="dxa"/>
            <w:hideMark/>
          </w:tcPr>
          <w:p w14:paraId="2C489B51" w14:textId="77777777" w:rsidR="006B21DA" w:rsidRPr="00E86B30" w:rsidRDefault="006B21DA" w:rsidP="00227EDF">
            <w:pPr>
              <w:pStyle w:val="NormalWeb"/>
              <w:jc w:val="center"/>
              <w:rPr>
                <w:sz w:val="20"/>
                <w:szCs w:val="20"/>
              </w:rPr>
            </w:pPr>
            <w:r w:rsidRPr="00E86B30">
              <w:rPr>
                <w:sz w:val="20"/>
                <w:szCs w:val="20"/>
              </w:rPr>
              <w:t>57.3</w:t>
            </w:r>
          </w:p>
        </w:tc>
        <w:tc>
          <w:tcPr>
            <w:tcW w:w="1276" w:type="dxa"/>
            <w:hideMark/>
          </w:tcPr>
          <w:p w14:paraId="787B2DB1" w14:textId="77777777" w:rsidR="006B21DA" w:rsidRPr="00E86B30" w:rsidRDefault="006B21DA" w:rsidP="00227EDF">
            <w:pPr>
              <w:pStyle w:val="NormalWeb"/>
              <w:jc w:val="center"/>
              <w:rPr>
                <w:sz w:val="20"/>
                <w:szCs w:val="20"/>
              </w:rPr>
            </w:pPr>
            <w:r w:rsidRPr="00E86B30">
              <w:rPr>
                <w:sz w:val="20"/>
                <w:szCs w:val="20"/>
              </w:rPr>
              <w:t>0–1,026</w:t>
            </w:r>
          </w:p>
        </w:tc>
        <w:tc>
          <w:tcPr>
            <w:tcW w:w="709" w:type="dxa"/>
            <w:hideMark/>
          </w:tcPr>
          <w:p w14:paraId="2894D324" w14:textId="77777777" w:rsidR="006B21DA" w:rsidRPr="00E86B30" w:rsidRDefault="006B21DA" w:rsidP="00227EDF">
            <w:pPr>
              <w:pStyle w:val="NormalWeb"/>
              <w:jc w:val="center"/>
              <w:rPr>
                <w:sz w:val="20"/>
                <w:szCs w:val="20"/>
              </w:rPr>
            </w:pPr>
            <w:r w:rsidRPr="00E86B30">
              <w:rPr>
                <w:sz w:val="20"/>
                <w:szCs w:val="20"/>
              </w:rPr>
              <w:t>6</w:t>
            </w:r>
          </w:p>
        </w:tc>
        <w:tc>
          <w:tcPr>
            <w:tcW w:w="551" w:type="dxa"/>
            <w:hideMark/>
          </w:tcPr>
          <w:p w14:paraId="7074DF05" w14:textId="77777777" w:rsidR="006B21DA" w:rsidRPr="00E86B30" w:rsidRDefault="006B21DA" w:rsidP="00227EDF">
            <w:pPr>
              <w:pStyle w:val="NormalWeb"/>
              <w:jc w:val="center"/>
              <w:rPr>
                <w:sz w:val="20"/>
                <w:szCs w:val="20"/>
              </w:rPr>
            </w:pPr>
            <w:r w:rsidRPr="00E86B30">
              <w:rPr>
                <w:sz w:val="20"/>
                <w:szCs w:val="20"/>
              </w:rPr>
              <w:t>11.8</w:t>
            </w:r>
          </w:p>
        </w:tc>
        <w:tc>
          <w:tcPr>
            <w:tcW w:w="722" w:type="dxa"/>
            <w:hideMark/>
          </w:tcPr>
          <w:p w14:paraId="4E9CC5F1" w14:textId="77777777" w:rsidR="006B21DA" w:rsidRPr="00E86B30" w:rsidRDefault="006B21DA" w:rsidP="00227EDF">
            <w:pPr>
              <w:pStyle w:val="NormalWeb"/>
              <w:jc w:val="center"/>
              <w:rPr>
                <w:sz w:val="20"/>
                <w:szCs w:val="20"/>
              </w:rPr>
            </w:pPr>
            <w:r w:rsidRPr="00E86B30">
              <w:rPr>
                <w:sz w:val="20"/>
                <w:szCs w:val="20"/>
              </w:rPr>
              <w:t>28.9</w:t>
            </w:r>
          </w:p>
        </w:tc>
        <w:tc>
          <w:tcPr>
            <w:tcW w:w="570" w:type="dxa"/>
            <w:hideMark/>
          </w:tcPr>
          <w:p w14:paraId="6F628398" w14:textId="77777777" w:rsidR="006B21DA" w:rsidRPr="00E86B30" w:rsidRDefault="006B21DA" w:rsidP="00227EDF">
            <w:pPr>
              <w:pStyle w:val="NormalWeb"/>
              <w:jc w:val="center"/>
              <w:rPr>
                <w:sz w:val="20"/>
                <w:szCs w:val="20"/>
              </w:rPr>
            </w:pPr>
            <w:r w:rsidRPr="00E86B30">
              <w:rPr>
                <w:sz w:val="20"/>
                <w:szCs w:val="20"/>
              </w:rPr>
              <w:t>146.5</w:t>
            </w:r>
          </w:p>
        </w:tc>
        <w:tc>
          <w:tcPr>
            <w:tcW w:w="992" w:type="dxa"/>
            <w:hideMark/>
          </w:tcPr>
          <w:p w14:paraId="315F3E47" w14:textId="77777777" w:rsidR="006B21DA" w:rsidRPr="00E86B30" w:rsidRDefault="006B21DA" w:rsidP="00227EDF">
            <w:pPr>
              <w:pStyle w:val="NormalWeb"/>
              <w:jc w:val="center"/>
              <w:rPr>
                <w:sz w:val="20"/>
                <w:szCs w:val="20"/>
              </w:rPr>
            </w:pPr>
            <w:r w:rsidRPr="00E86B30">
              <w:rPr>
                <w:sz w:val="20"/>
                <w:szCs w:val="20"/>
              </w:rPr>
              <w:t>0–1,026</w:t>
            </w:r>
          </w:p>
        </w:tc>
        <w:tc>
          <w:tcPr>
            <w:tcW w:w="567" w:type="dxa"/>
            <w:hideMark/>
          </w:tcPr>
          <w:p w14:paraId="2DE4FE8A" w14:textId="77777777" w:rsidR="006B21DA" w:rsidRPr="00E86B30" w:rsidRDefault="006B21DA" w:rsidP="00227EDF">
            <w:pPr>
              <w:pStyle w:val="NormalWeb"/>
              <w:jc w:val="center"/>
              <w:rPr>
                <w:sz w:val="20"/>
                <w:szCs w:val="20"/>
              </w:rPr>
            </w:pPr>
            <w:r w:rsidRPr="00E86B30">
              <w:rPr>
                <w:sz w:val="20"/>
                <w:szCs w:val="20"/>
              </w:rPr>
              <w:t>21</w:t>
            </w:r>
          </w:p>
        </w:tc>
        <w:tc>
          <w:tcPr>
            <w:tcW w:w="554" w:type="dxa"/>
            <w:hideMark/>
          </w:tcPr>
          <w:p w14:paraId="4505B851" w14:textId="77777777" w:rsidR="006B21DA" w:rsidRPr="00E86B30" w:rsidRDefault="006B21DA" w:rsidP="00227EDF">
            <w:pPr>
              <w:pStyle w:val="NormalWeb"/>
              <w:jc w:val="center"/>
              <w:rPr>
                <w:sz w:val="20"/>
                <w:szCs w:val="20"/>
              </w:rPr>
            </w:pPr>
            <w:r w:rsidRPr="00E86B30">
              <w:rPr>
                <w:sz w:val="20"/>
                <w:szCs w:val="20"/>
              </w:rPr>
              <w:t>13.7</w:t>
            </w:r>
          </w:p>
        </w:tc>
        <w:tc>
          <w:tcPr>
            <w:tcW w:w="722" w:type="dxa"/>
            <w:hideMark/>
          </w:tcPr>
          <w:p w14:paraId="077CE082" w14:textId="77777777" w:rsidR="006B21DA" w:rsidRPr="00E86B30" w:rsidRDefault="006B21DA" w:rsidP="00227EDF">
            <w:pPr>
              <w:pStyle w:val="NormalWeb"/>
              <w:jc w:val="center"/>
              <w:rPr>
                <w:sz w:val="20"/>
                <w:szCs w:val="20"/>
              </w:rPr>
            </w:pPr>
            <w:r w:rsidRPr="00E86B30">
              <w:rPr>
                <w:sz w:val="20"/>
                <w:szCs w:val="20"/>
              </w:rPr>
              <w:t>13.4</w:t>
            </w:r>
          </w:p>
        </w:tc>
        <w:tc>
          <w:tcPr>
            <w:tcW w:w="992" w:type="dxa"/>
            <w:hideMark/>
          </w:tcPr>
          <w:p w14:paraId="5CBD8FFA" w14:textId="77777777" w:rsidR="006B21DA" w:rsidRPr="00E86B30" w:rsidRDefault="006B21DA" w:rsidP="00227EDF">
            <w:pPr>
              <w:pStyle w:val="NormalWeb"/>
              <w:jc w:val="center"/>
              <w:rPr>
                <w:sz w:val="20"/>
                <w:szCs w:val="20"/>
              </w:rPr>
            </w:pPr>
            <w:r w:rsidRPr="00E86B30">
              <w:rPr>
                <w:sz w:val="20"/>
                <w:szCs w:val="20"/>
              </w:rPr>
              <w:t>40.5</w:t>
            </w:r>
          </w:p>
        </w:tc>
        <w:tc>
          <w:tcPr>
            <w:tcW w:w="1092" w:type="dxa"/>
            <w:hideMark/>
          </w:tcPr>
          <w:p w14:paraId="6F493EDD" w14:textId="77777777" w:rsidR="006B21DA" w:rsidRPr="00E86B30" w:rsidRDefault="006B21DA" w:rsidP="00227EDF">
            <w:pPr>
              <w:pStyle w:val="NormalWeb"/>
              <w:jc w:val="center"/>
              <w:rPr>
                <w:sz w:val="20"/>
                <w:szCs w:val="20"/>
              </w:rPr>
            </w:pPr>
            <w:r w:rsidRPr="00E86B30">
              <w:rPr>
                <w:sz w:val="20"/>
                <w:szCs w:val="20"/>
              </w:rPr>
              <w:t>0–188</w:t>
            </w:r>
          </w:p>
        </w:tc>
      </w:tr>
      <w:tr w:rsidR="00E86B30" w:rsidRPr="00E86B30" w14:paraId="71572ECF" w14:textId="77777777" w:rsidTr="00EE0F1F">
        <w:tblPrEx>
          <w:tblCellMar>
            <w:left w:w="57" w:type="dxa"/>
            <w:right w:w="57" w:type="dxa"/>
          </w:tblCellMar>
        </w:tblPrEx>
        <w:tc>
          <w:tcPr>
            <w:tcW w:w="3261" w:type="dxa"/>
            <w:hideMark/>
          </w:tcPr>
          <w:p w14:paraId="03CAF8B7" w14:textId="77777777" w:rsidR="006B21DA" w:rsidRPr="00E86B30" w:rsidRDefault="006B21DA" w:rsidP="0091710A">
            <w:pPr>
              <w:pStyle w:val="NormalWeb"/>
              <w:rPr>
                <w:sz w:val="20"/>
                <w:szCs w:val="20"/>
              </w:rPr>
            </w:pPr>
            <w:r w:rsidRPr="00E86B30">
              <w:rPr>
                <w:sz w:val="20"/>
                <w:szCs w:val="20"/>
              </w:rPr>
              <w:t xml:space="preserve">Mechanical ventilation – </w:t>
            </w:r>
            <w:proofErr w:type="spellStart"/>
            <w:r w:rsidRPr="00E86B30">
              <w:rPr>
                <w:sz w:val="20"/>
                <w:szCs w:val="20"/>
              </w:rPr>
              <w:t>HFOV</w:t>
            </w:r>
            <w:r w:rsidRPr="00E86B30">
              <w:rPr>
                <w:sz w:val="20"/>
                <w:szCs w:val="20"/>
                <w:vertAlign w:val="superscript"/>
              </w:rPr>
              <w:t>c</w:t>
            </w:r>
            <w:proofErr w:type="spellEnd"/>
          </w:p>
        </w:tc>
        <w:tc>
          <w:tcPr>
            <w:tcW w:w="708" w:type="dxa"/>
            <w:hideMark/>
          </w:tcPr>
          <w:p w14:paraId="1CB448AB" w14:textId="77777777" w:rsidR="006B21DA" w:rsidRPr="00E86B30" w:rsidRDefault="006B21DA" w:rsidP="00227EDF">
            <w:pPr>
              <w:pStyle w:val="NormalWeb"/>
              <w:jc w:val="center"/>
              <w:rPr>
                <w:sz w:val="20"/>
                <w:szCs w:val="20"/>
              </w:rPr>
            </w:pPr>
            <w:r w:rsidRPr="00E86B30">
              <w:rPr>
                <w:sz w:val="20"/>
                <w:szCs w:val="20"/>
              </w:rPr>
              <w:t>1</w:t>
            </w:r>
          </w:p>
        </w:tc>
        <w:tc>
          <w:tcPr>
            <w:tcW w:w="567" w:type="dxa"/>
            <w:hideMark/>
          </w:tcPr>
          <w:p w14:paraId="4B5486D6" w14:textId="77777777" w:rsidR="006B21DA" w:rsidRPr="00E86B30" w:rsidRDefault="006B21DA" w:rsidP="00227EDF">
            <w:pPr>
              <w:pStyle w:val="NormalWeb"/>
              <w:jc w:val="center"/>
              <w:rPr>
                <w:sz w:val="20"/>
                <w:szCs w:val="20"/>
              </w:rPr>
            </w:pPr>
            <w:r w:rsidRPr="00E86B30">
              <w:rPr>
                <w:sz w:val="20"/>
                <w:szCs w:val="20"/>
              </w:rPr>
              <w:t>0.3</w:t>
            </w:r>
          </w:p>
        </w:tc>
        <w:tc>
          <w:tcPr>
            <w:tcW w:w="993" w:type="dxa"/>
            <w:hideMark/>
          </w:tcPr>
          <w:p w14:paraId="04C59ADC" w14:textId="77777777" w:rsidR="006B21DA" w:rsidRPr="00E86B30" w:rsidRDefault="006B21DA" w:rsidP="00227EDF">
            <w:pPr>
              <w:pStyle w:val="NormalWeb"/>
              <w:jc w:val="center"/>
              <w:rPr>
                <w:sz w:val="20"/>
                <w:szCs w:val="20"/>
              </w:rPr>
            </w:pPr>
            <w:r w:rsidRPr="00E86B30">
              <w:rPr>
                <w:sz w:val="20"/>
                <w:szCs w:val="20"/>
              </w:rPr>
              <w:t>0.6</w:t>
            </w:r>
          </w:p>
        </w:tc>
        <w:tc>
          <w:tcPr>
            <w:tcW w:w="708" w:type="dxa"/>
            <w:hideMark/>
          </w:tcPr>
          <w:p w14:paraId="2BD2989B" w14:textId="77777777" w:rsidR="006B21DA" w:rsidRPr="00E86B30" w:rsidRDefault="006B21DA" w:rsidP="00227EDF">
            <w:pPr>
              <w:pStyle w:val="NormalWeb"/>
              <w:jc w:val="center"/>
              <w:rPr>
                <w:sz w:val="20"/>
                <w:szCs w:val="20"/>
              </w:rPr>
            </w:pPr>
            <w:r w:rsidRPr="00E86B30">
              <w:rPr>
                <w:sz w:val="20"/>
                <w:szCs w:val="20"/>
              </w:rPr>
              <w:t>11.2</w:t>
            </w:r>
          </w:p>
        </w:tc>
        <w:tc>
          <w:tcPr>
            <w:tcW w:w="1276" w:type="dxa"/>
            <w:hideMark/>
          </w:tcPr>
          <w:p w14:paraId="49352C01" w14:textId="77777777" w:rsidR="006B21DA" w:rsidRPr="00E86B30" w:rsidRDefault="006B21DA" w:rsidP="00227EDF">
            <w:pPr>
              <w:pStyle w:val="NormalWeb"/>
              <w:jc w:val="center"/>
              <w:rPr>
                <w:sz w:val="20"/>
                <w:szCs w:val="20"/>
              </w:rPr>
            </w:pPr>
            <w:r w:rsidRPr="00E86B30">
              <w:rPr>
                <w:sz w:val="20"/>
                <w:szCs w:val="20"/>
              </w:rPr>
              <w:t>0–214</w:t>
            </w:r>
          </w:p>
        </w:tc>
        <w:tc>
          <w:tcPr>
            <w:tcW w:w="709" w:type="dxa"/>
            <w:hideMark/>
          </w:tcPr>
          <w:p w14:paraId="17E5F6F6" w14:textId="77777777" w:rsidR="006B21DA" w:rsidRPr="00E86B30" w:rsidRDefault="006B21DA" w:rsidP="00227EDF">
            <w:pPr>
              <w:pStyle w:val="NormalWeb"/>
              <w:jc w:val="center"/>
              <w:rPr>
                <w:sz w:val="20"/>
                <w:szCs w:val="20"/>
              </w:rPr>
            </w:pPr>
            <w:r w:rsidRPr="00E86B30">
              <w:rPr>
                <w:sz w:val="20"/>
                <w:szCs w:val="20"/>
              </w:rPr>
              <w:t>1</w:t>
            </w:r>
          </w:p>
        </w:tc>
        <w:tc>
          <w:tcPr>
            <w:tcW w:w="551" w:type="dxa"/>
            <w:hideMark/>
          </w:tcPr>
          <w:p w14:paraId="6C3FF19D" w14:textId="77777777" w:rsidR="006B21DA" w:rsidRPr="00E86B30" w:rsidRDefault="006B21DA" w:rsidP="00227EDF">
            <w:pPr>
              <w:pStyle w:val="NormalWeb"/>
              <w:jc w:val="center"/>
              <w:rPr>
                <w:sz w:val="20"/>
                <w:szCs w:val="20"/>
              </w:rPr>
            </w:pPr>
            <w:r w:rsidRPr="00E86B30">
              <w:rPr>
                <w:sz w:val="20"/>
                <w:szCs w:val="20"/>
              </w:rPr>
              <w:t>2.0</w:t>
            </w:r>
          </w:p>
        </w:tc>
        <w:tc>
          <w:tcPr>
            <w:tcW w:w="722" w:type="dxa"/>
            <w:hideMark/>
          </w:tcPr>
          <w:p w14:paraId="6C25015A" w14:textId="77777777" w:rsidR="006B21DA" w:rsidRPr="00E86B30" w:rsidRDefault="006B21DA" w:rsidP="00227EDF">
            <w:pPr>
              <w:pStyle w:val="NormalWeb"/>
              <w:jc w:val="center"/>
              <w:rPr>
                <w:sz w:val="20"/>
                <w:szCs w:val="20"/>
              </w:rPr>
            </w:pPr>
            <w:r w:rsidRPr="00E86B30">
              <w:rPr>
                <w:sz w:val="20"/>
                <w:szCs w:val="20"/>
              </w:rPr>
              <w:t>4.2</w:t>
            </w:r>
          </w:p>
        </w:tc>
        <w:tc>
          <w:tcPr>
            <w:tcW w:w="570" w:type="dxa"/>
            <w:hideMark/>
          </w:tcPr>
          <w:p w14:paraId="62B1DA7F" w14:textId="77777777" w:rsidR="006B21DA" w:rsidRPr="00E86B30" w:rsidRDefault="006B21DA" w:rsidP="00227EDF">
            <w:pPr>
              <w:pStyle w:val="NormalWeb"/>
              <w:jc w:val="center"/>
              <w:rPr>
                <w:sz w:val="20"/>
                <w:szCs w:val="20"/>
              </w:rPr>
            </w:pPr>
            <w:r w:rsidRPr="00E86B30">
              <w:rPr>
                <w:sz w:val="20"/>
                <w:szCs w:val="20"/>
              </w:rPr>
              <w:t>30.0</w:t>
            </w:r>
          </w:p>
        </w:tc>
        <w:tc>
          <w:tcPr>
            <w:tcW w:w="992" w:type="dxa"/>
            <w:hideMark/>
          </w:tcPr>
          <w:p w14:paraId="5C181D44" w14:textId="77777777" w:rsidR="006B21DA" w:rsidRPr="00E86B30" w:rsidRDefault="006B21DA" w:rsidP="00227EDF">
            <w:pPr>
              <w:pStyle w:val="NormalWeb"/>
              <w:jc w:val="center"/>
              <w:rPr>
                <w:sz w:val="20"/>
                <w:szCs w:val="20"/>
              </w:rPr>
            </w:pPr>
            <w:r w:rsidRPr="00E86B30">
              <w:rPr>
                <w:sz w:val="20"/>
                <w:szCs w:val="20"/>
              </w:rPr>
              <w:t>0–214</w:t>
            </w:r>
          </w:p>
        </w:tc>
        <w:tc>
          <w:tcPr>
            <w:tcW w:w="567" w:type="dxa"/>
            <w:hideMark/>
          </w:tcPr>
          <w:p w14:paraId="24279F75" w14:textId="77777777" w:rsidR="006B21DA" w:rsidRPr="00E86B30" w:rsidRDefault="006B21DA" w:rsidP="00227EDF">
            <w:pPr>
              <w:pStyle w:val="NormalWeb"/>
              <w:jc w:val="center"/>
              <w:rPr>
                <w:sz w:val="20"/>
                <w:szCs w:val="20"/>
              </w:rPr>
            </w:pPr>
            <w:r w:rsidRPr="00E86B30">
              <w:rPr>
                <w:sz w:val="20"/>
                <w:szCs w:val="20"/>
              </w:rPr>
              <w:t>8</w:t>
            </w:r>
          </w:p>
        </w:tc>
        <w:tc>
          <w:tcPr>
            <w:tcW w:w="554" w:type="dxa"/>
            <w:hideMark/>
          </w:tcPr>
          <w:p w14:paraId="1F1D189C" w14:textId="77777777" w:rsidR="006B21DA" w:rsidRPr="00E86B30" w:rsidRDefault="006B21DA" w:rsidP="00227EDF">
            <w:pPr>
              <w:pStyle w:val="NormalWeb"/>
              <w:jc w:val="center"/>
              <w:rPr>
                <w:sz w:val="20"/>
                <w:szCs w:val="20"/>
              </w:rPr>
            </w:pPr>
            <w:r w:rsidRPr="00E86B30">
              <w:rPr>
                <w:sz w:val="20"/>
                <w:szCs w:val="20"/>
              </w:rPr>
              <w:t>5.2</w:t>
            </w:r>
          </w:p>
        </w:tc>
        <w:tc>
          <w:tcPr>
            <w:tcW w:w="722" w:type="dxa"/>
            <w:hideMark/>
          </w:tcPr>
          <w:p w14:paraId="3A45C8A0" w14:textId="77777777" w:rsidR="006B21DA" w:rsidRPr="00E86B30" w:rsidRDefault="006B21DA" w:rsidP="00227EDF">
            <w:pPr>
              <w:pStyle w:val="NormalWeb"/>
              <w:jc w:val="center"/>
              <w:rPr>
                <w:sz w:val="20"/>
                <w:szCs w:val="20"/>
              </w:rPr>
            </w:pPr>
            <w:r w:rsidRPr="00E86B30">
              <w:rPr>
                <w:sz w:val="20"/>
                <w:szCs w:val="20"/>
              </w:rPr>
              <w:t>11.2</w:t>
            </w:r>
          </w:p>
        </w:tc>
        <w:tc>
          <w:tcPr>
            <w:tcW w:w="992" w:type="dxa"/>
            <w:hideMark/>
          </w:tcPr>
          <w:p w14:paraId="222E858F" w14:textId="77777777" w:rsidR="006B21DA" w:rsidRPr="00E86B30" w:rsidRDefault="006B21DA" w:rsidP="00227EDF">
            <w:pPr>
              <w:pStyle w:val="NormalWeb"/>
              <w:jc w:val="center"/>
              <w:rPr>
                <w:sz w:val="20"/>
                <w:szCs w:val="20"/>
              </w:rPr>
            </w:pPr>
            <w:r w:rsidRPr="00E86B30">
              <w:rPr>
                <w:sz w:val="20"/>
                <w:szCs w:val="20"/>
              </w:rPr>
              <w:t>47.8</w:t>
            </w:r>
          </w:p>
        </w:tc>
        <w:tc>
          <w:tcPr>
            <w:tcW w:w="1092" w:type="dxa"/>
            <w:hideMark/>
          </w:tcPr>
          <w:p w14:paraId="6DC673D9" w14:textId="77777777" w:rsidR="006B21DA" w:rsidRPr="00E86B30" w:rsidRDefault="006B21DA" w:rsidP="00227EDF">
            <w:pPr>
              <w:pStyle w:val="NormalWeb"/>
              <w:jc w:val="center"/>
              <w:rPr>
                <w:sz w:val="20"/>
                <w:szCs w:val="20"/>
              </w:rPr>
            </w:pPr>
            <w:r w:rsidRPr="00E86B30">
              <w:rPr>
                <w:sz w:val="20"/>
                <w:szCs w:val="20"/>
              </w:rPr>
              <w:t>0–214</w:t>
            </w:r>
          </w:p>
        </w:tc>
      </w:tr>
      <w:tr w:rsidR="00E86B30" w:rsidRPr="00E86B30" w14:paraId="622E6B90" w14:textId="77777777" w:rsidTr="00EE0F1F">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38ABB974" w14:textId="77777777" w:rsidR="006B21DA" w:rsidRPr="00E86B30" w:rsidRDefault="006B21DA" w:rsidP="0091710A">
            <w:pPr>
              <w:pStyle w:val="NormalWeb"/>
              <w:rPr>
                <w:sz w:val="20"/>
                <w:szCs w:val="20"/>
              </w:rPr>
            </w:pPr>
            <w:r w:rsidRPr="00E86B30">
              <w:rPr>
                <w:sz w:val="20"/>
                <w:szCs w:val="20"/>
                <w:lang w:val="en-US"/>
              </w:rPr>
              <w:t>Mechanical ventilation – jet ventilator</w:t>
            </w:r>
          </w:p>
        </w:tc>
        <w:tc>
          <w:tcPr>
            <w:tcW w:w="708" w:type="dxa"/>
            <w:hideMark/>
          </w:tcPr>
          <w:p w14:paraId="2EF67387" w14:textId="77777777" w:rsidR="006B21DA" w:rsidRPr="00E86B30" w:rsidRDefault="006B21DA" w:rsidP="00227EDF">
            <w:pPr>
              <w:pStyle w:val="NormalWeb"/>
              <w:jc w:val="center"/>
              <w:rPr>
                <w:sz w:val="20"/>
                <w:szCs w:val="20"/>
              </w:rPr>
            </w:pPr>
            <w:r w:rsidRPr="00E86B30">
              <w:rPr>
                <w:sz w:val="20"/>
                <w:szCs w:val="20"/>
              </w:rPr>
              <w:t>1</w:t>
            </w:r>
          </w:p>
        </w:tc>
        <w:tc>
          <w:tcPr>
            <w:tcW w:w="567" w:type="dxa"/>
            <w:hideMark/>
          </w:tcPr>
          <w:p w14:paraId="3FBADA75" w14:textId="77777777" w:rsidR="006B21DA" w:rsidRPr="00E86B30" w:rsidRDefault="006B21DA" w:rsidP="00227EDF">
            <w:pPr>
              <w:pStyle w:val="NormalWeb"/>
              <w:jc w:val="center"/>
              <w:rPr>
                <w:sz w:val="20"/>
                <w:szCs w:val="20"/>
              </w:rPr>
            </w:pPr>
            <w:r w:rsidRPr="00E86B30">
              <w:rPr>
                <w:sz w:val="20"/>
                <w:szCs w:val="20"/>
              </w:rPr>
              <w:t>0.3</w:t>
            </w:r>
          </w:p>
        </w:tc>
        <w:tc>
          <w:tcPr>
            <w:tcW w:w="993" w:type="dxa"/>
            <w:hideMark/>
          </w:tcPr>
          <w:p w14:paraId="7E5BA13A" w14:textId="77777777" w:rsidR="006B21DA" w:rsidRPr="00E86B30" w:rsidRDefault="006B21DA" w:rsidP="00227EDF">
            <w:pPr>
              <w:pStyle w:val="NormalWeb"/>
              <w:jc w:val="center"/>
              <w:rPr>
                <w:sz w:val="20"/>
                <w:szCs w:val="20"/>
              </w:rPr>
            </w:pPr>
            <w:r w:rsidRPr="00E86B30">
              <w:rPr>
                <w:sz w:val="20"/>
                <w:szCs w:val="20"/>
              </w:rPr>
              <w:t>0.4</w:t>
            </w:r>
          </w:p>
        </w:tc>
        <w:tc>
          <w:tcPr>
            <w:tcW w:w="708" w:type="dxa"/>
            <w:hideMark/>
          </w:tcPr>
          <w:p w14:paraId="1C452F66" w14:textId="77777777" w:rsidR="006B21DA" w:rsidRPr="00E86B30" w:rsidRDefault="006B21DA" w:rsidP="00227EDF">
            <w:pPr>
              <w:pStyle w:val="NormalWeb"/>
              <w:jc w:val="center"/>
              <w:rPr>
                <w:sz w:val="20"/>
                <w:szCs w:val="20"/>
              </w:rPr>
            </w:pPr>
            <w:r w:rsidRPr="00E86B30">
              <w:rPr>
                <w:sz w:val="20"/>
                <w:szCs w:val="20"/>
              </w:rPr>
              <w:t>7.0</w:t>
            </w:r>
          </w:p>
        </w:tc>
        <w:tc>
          <w:tcPr>
            <w:tcW w:w="1276" w:type="dxa"/>
            <w:hideMark/>
          </w:tcPr>
          <w:p w14:paraId="25382350" w14:textId="77777777" w:rsidR="006B21DA" w:rsidRPr="00E86B30" w:rsidRDefault="006B21DA" w:rsidP="00227EDF">
            <w:pPr>
              <w:pStyle w:val="NormalWeb"/>
              <w:jc w:val="center"/>
              <w:rPr>
                <w:sz w:val="20"/>
                <w:szCs w:val="20"/>
              </w:rPr>
            </w:pPr>
            <w:r w:rsidRPr="00E86B30">
              <w:rPr>
                <w:sz w:val="20"/>
                <w:szCs w:val="20"/>
              </w:rPr>
              <w:t>0–134</w:t>
            </w:r>
          </w:p>
        </w:tc>
        <w:tc>
          <w:tcPr>
            <w:tcW w:w="709" w:type="dxa"/>
            <w:hideMark/>
          </w:tcPr>
          <w:p w14:paraId="75AF83EF" w14:textId="77777777" w:rsidR="006B21DA" w:rsidRPr="00E86B30" w:rsidRDefault="006B21DA" w:rsidP="00227EDF">
            <w:pPr>
              <w:pStyle w:val="NormalWeb"/>
              <w:jc w:val="center"/>
              <w:rPr>
                <w:sz w:val="20"/>
                <w:szCs w:val="20"/>
              </w:rPr>
            </w:pPr>
            <w:r w:rsidRPr="00E86B30">
              <w:rPr>
                <w:sz w:val="20"/>
                <w:szCs w:val="20"/>
              </w:rPr>
              <w:t>1</w:t>
            </w:r>
          </w:p>
        </w:tc>
        <w:tc>
          <w:tcPr>
            <w:tcW w:w="551" w:type="dxa"/>
            <w:hideMark/>
          </w:tcPr>
          <w:p w14:paraId="696559CA" w14:textId="77777777" w:rsidR="006B21DA" w:rsidRPr="00E86B30" w:rsidRDefault="006B21DA" w:rsidP="00227EDF">
            <w:pPr>
              <w:pStyle w:val="NormalWeb"/>
              <w:jc w:val="center"/>
              <w:rPr>
                <w:sz w:val="20"/>
                <w:szCs w:val="20"/>
              </w:rPr>
            </w:pPr>
            <w:r w:rsidRPr="00E86B30">
              <w:rPr>
                <w:sz w:val="20"/>
                <w:szCs w:val="20"/>
              </w:rPr>
              <w:t>2.0</w:t>
            </w:r>
          </w:p>
        </w:tc>
        <w:tc>
          <w:tcPr>
            <w:tcW w:w="722" w:type="dxa"/>
            <w:hideMark/>
          </w:tcPr>
          <w:p w14:paraId="70327EDC" w14:textId="77777777" w:rsidR="006B21DA" w:rsidRPr="00E86B30" w:rsidRDefault="006B21DA" w:rsidP="00227EDF">
            <w:pPr>
              <w:pStyle w:val="NormalWeb"/>
              <w:jc w:val="center"/>
              <w:rPr>
                <w:sz w:val="20"/>
                <w:szCs w:val="20"/>
              </w:rPr>
            </w:pPr>
            <w:r w:rsidRPr="00E86B30">
              <w:rPr>
                <w:sz w:val="20"/>
                <w:szCs w:val="20"/>
              </w:rPr>
              <w:t>2.6</w:t>
            </w:r>
          </w:p>
        </w:tc>
        <w:tc>
          <w:tcPr>
            <w:tcW w:w="570" w:type="dxa"/>
            <w:hideMark/>
          </w:tcPr>
          <w:p w14:paraId="5C39AE03" w14:textId="77777777" w:rsidR="006B21DA" w:rsidRPr="00E86B30" w:rsidRDefault="006B21DA" w:rsidP="00227EDF">
            <w:pPr>
              <w:pStyle w:val="NormalWeb"/>
              <w:jc w:val="center"/>
              <w:rPr>
                <w:sz w:val="20"/>
                <w:szCs w:val="20"/>
              </w:rPr>
            </w:pPr>
            <w:r w:rsidRPr="00E86B30">
              <w:rPr>
                <w:sz w:val="20"/>
                <w:szCs w:val="20"/>
              </w:rPr>
              <w:t>18.8</w:t>
            </w:r>
          </w:p>
        </w:tc>
        <w:tc>
          <w:tcPr>
            <w:tcW w:w="992" w:type="dxa"/>
            <w:hideMark/>
          </w:tcPr>
          <w:p w14:paraId="2BD59F1A" w14:textId="77777777" w:rsidR="006B21DA" w:rsidRPr="00E86B30" w:rsidRDefault="006B21DA" w:rsidP="00227EDF">
            <w:pPr>
              <w:pStyle w:val="NormalWeb"/>
              <w:jc w:val="center"/>
              <w:rPr>
                <w:sz w:val="20"/>
                <w:szCs w:val="20"/>
              </w:rPr>
            </w:pPr>
            <w:r w:rsidRPr="00E86B30">
              <w:rPr>
                <w:sz w:val="20"/>
                <w:szCs w:val="20"/>
              </w:rPr>
              <w:t>0–214</w:t>
            </w:r>
          </w:p>
        </w:tc>
        <w:tc>
          <w:tcPr>
            <w:tcW w:w="567" w:type="dxa"/>
            <w:hideMark/>
          </w:tcPr>
          <w:p w14:paraId="3D458582" w14:textId="77777777" w:rsidR="006B21DA" w:rsidRPr="00E86B30" w:rsidRDefault="006B21DA" w:rsidP="00227EDF">
            <w:pPr>
              <w:pStyle w:val="NormalWeb"/>
              <w:jc w:val="center"/>
              <w:rPr>
                <w:sz w:val="20"/>
                <w:szCs w:val="20"/>
              </w:rPr>
            </w:pPr>
            <w:r w:rsidRPr="00E86B30">
              <w:rPr>
                <w:sz w:val="20"/>
                <w:szCs w:val="20"/>
              </w:rPr>
              <w:t>8</w:t>
            </w:r>
          </w:p>
        </w:tc>
        <w:tc>
          <w:tcPr>
            <w:tcW w:w="554" w:type="dxa"/>
            <w:hideMark/>
          </w:tcPr>
          <w:p w14:paraId="2F1F96A2" w14:textId="77777777" w:rsidR="006B21DA" w:rsidRPr="00E86B30" w:rsidRDefault="006B21DA" w:rsidP="00227EDF">
            <w:pPr>
              <w:pStyle w:val="NormalWeb"/>
              <w:jc w:val="center"/>
              <w:rPr>
                <w:sz w:val="20"/>
                <w:szCs w:val="20"/>
              </w:rPr>
            </w:pPr>
            <w:r w:rsidRPr="00E86B30">
              <w:rPr>
                <w:sz w:val="20"/>
                <w:szCs w:val="20"/>
              </w:rPr>
              <w:t>5.2</w:t>
            </w:r>
          </w:p>
        </w:tc>
        <w:tc>
          <w:tcPr>
            <w:tcW w:w="722" w:type="dxa"/>
            <w:hideMark/>
          </w:tcPr>
          <w:p w14:paraId="69E2867D" w14:textId="77777777" w:rsidR="006B21DA" w:rsidRPr="00E86B30" w:rsidRDefault="006B21DA" w:rsidP="00227EDF">
            <w:pPr>
              <w:pStyle w:val="NormalWeb"/>
              <w:jc w:val="center"/>
              <w:rPr>
                <w:sz w:val="20"/>
                <w:szCs w:val="20"/>
              </w:rPr>
            </w:pPr>
            <w:r w:rsidRPr="00E86B30">
              <w:rPr>
                <w:sz w:val="20"/>
                <w:szCs w:val="20"/>
              </w:rPr>
              <w:t>7.0</w:t>
            </w:r>
          </w:p>
        </w:tc>
        <w:tc>
          <w:tcPr>
            <w:tcW w:w="992" w:type="dxa"/>
            <w:hideMark/>
          </w:tcPr>
          <w:p w14:paraId="324E47BF" w14:textId="77777777" w:rsidR="006B21DA" w:rsidRPr="00E86B30" w:rsidRDefault="006B21DA" w:rsidP="00227EDF">
            <w:pPr>
              <w:pStyle w:val="NormalWeb"/>
              <w:jc w:val="center"/>
              <w:rPr>
                <w:sz w:val="20"/>
                <w:szCs w:val="20"/>
              </w:rPr>
            </w:pPr>
            <w:r w:rsidRPr="00E86B30">
              <w:rPr>
                <w:sz w:val="20"/>
                <w:szCs w:val="20"/>
              </w:rPr>
              <w:t>29.9</w:t>
            </w:r>
          </w:p>
        </w:tc>
        <w:tc>
          <w:tcPr>
            <w:tcW w:w="1092" w:type="dxa"/>
            <w:hideMark/>
          </w:tcPr>
          <w:p w14:paraId="0023382B" w14:textId="77777777" w:rsidR="006B21DA" w:rsidRPr="00E86B30" w:rsidRDefault="006B21DA" w:rsidP="00227EDF">
            <w:pPr>
              <w:pStyle w:val="NormalWeb"/>
              <w:jc w:val="center"/>
              <w:rPr>
                <w:sz w:val="20"/>
                <w:szCs w:val="20"/>
              </w:rPr>
            </w:pPr>
            <w:r w:rsidRPr="00E86B30">
              <w:rPr>
                <w:sz w:val="20"/>
                <w:szCs w:val="20"/>
              </w:rPr>
              <w:t>0–134</w:t>
            </w:r>
          </w:p>
        </w:tc>
      </w:tr>
      <w:tr w:rsidR="00E86B30" w:rsidRPr="00E86B30" w14:paraId="65DBEBE8" w14:textId="77777777" w:rsidTr="00EE0F1F">
        <w:tblPrEx>
          <w:tblCellMar>
            <w:left w:w="57" w:type="dxa"/>
            <w:right w:w="57" w:type="dxa"/>
          </w:tblCellMar>
        </w:tblPrEx>
        <w:tc>
          <w:tcPr>
            <w:tcW w:w="3261" w:type="dxa"/>
            <w:hideMark/>
          </w:tcPr>
          <w:p w14:paraId="29E15805" w14:textId="77777777" w:rsidR="006B21DA" w:rsidRPr="00E86B30" w:rsidRDefault="006B21DA" w:rsidP="0091710A">
            <w:pPr>
              <w:pStyle w:val="NormalWeb"/>
              <w:rPr>
                <w:sz w:val="20"/>
                <w:szCs w:val="20"/>
              </w:rPr>
            </w:pPr>
            <w:proofErr w:type="spellStart"/>
            <w:r w:rsidRPr="00E86B30">
              <w:rPr>
                <w:sz w:val="20"/>
                <w:szCs w:val="20"/>
              </w:rPr>
              <w:t>ECMOd</w:t>
            </w:r>
            <w:proofErr w:type="spellEnd"/>
          </w:p>
        </w:tc>
        <w:tc>
          <w:tcPr>
            <w:tcW w:w="708" w:type="dxa"/>
            <w:hideMark/>
          </w:tcPr>
          <w:p w14:paraId="44FA7E79" w14:textId="77777777" w:rsidR="006B21DA" w:rsidRPr="00E86B30" w:rsidRDefault="006B21DA" w:rsidP="00227EDF">
            <w:pPr>
              <w:pStyle w:val="NormalWeb"/>
              <w:jc w:val="center"/>
              <w:rPr>
                <w:sz w:val="20"/>
                <w:szCs w:val="20"/>
              </w:rPr>
            </w:pPr>
            <w:r w:rsidRPr="00E86B30">
              <w:rPr>
                <w:sz w:val="20"/>
                <w:szCs w:val="20"/>
              </w:rPr>
              <w:t>1</w:t>
            </w:r>
          </w:p>
        </w:tc>
        <w:tc>
          <w:tcPr>
            <w:tcW w:w="567" w:type="dxa"/>
            <w:hideMark/>
          </w:tcPr>
          <w:p w14:paraId="58D2CCCF" w14:textId="77777777" w:rsidR="006B21DA" w:rsidRPr="00E86B30" w:rsidRDefault="006B21DA" w:rsidP="00227EDF">
            <w:pPr>
              <w:pStyle w:val="NormalWeb"/>
              <w:jc w:val="center"/>
              <w:rPr>
                <w:sz w:val="20"/>
                <w:szCs w:val="20"/>
              </w:rPr>
            </w:pPr>
            <w:r w:rsidRPr="00E86B30">
              <w:rPr>
                <w:sz w:val="20"/>
                <w:szCs w:val="20"/>
              </w:rPr>
              <w:t>0.3</w:t>
            </w:r>
          </w:p>
        </w:tc>
        <w:tc>
          <w:tcPr>
            <w:tcW w:w="993" w:type="dxa"/>
            <w:hideMark/>
          </w:tcPr>
          <w:p w14:paraId="2A080DC6" w14:textId="77777777" w:rsidR="006B21DA" w:rsidRPr="00E86B30" w:rsidRDefault="006B21DA" w:rsidP="00227EDF">
            <w:pPr>
              <w:pStyle w:val="NormalWeb"/>
              <w:jc w:val="center"/>
              <w:rPr>
                <w:sz w:val="20"/>
                <w:szCs w:val="20"/>
              </w:rPr>
            </w:pPr>
            <w:r w:rsidRPr="00E86B30">
              <w:rPr>
                <w:sz w:val="20"/>
                <w:szCs w:val="20"/>
              </w:rPr>
              <w:t>0.01</w:t>
            </w:r>
          </w:p>
        </w:tc>
        <w:tc>
          <w:tcPr>
            <w:tcW w:w="708" w:type="dxa"/>
            <w:hideMark/>
          </w:tcPr>
          <w:p w14:paraId="12051FFA" w14:textId="77777777" w:rsidR="006B21DA" w:rsidRPr="00E86B30" w:rsidRDefault="006B21DA" w:rsidP="00227EDF">
            <w:pPr>
              <w:pStyle w:val="NormalWeb"/>
              <w:jc w:val="center"/>
              <w:rPr>
                <w:sz w:val="20"/>
                <w:szCs w:val="20"/>
              </w:rPr>
            </w:pPr>
            <w:r w:rsidRPr="00E86B30">
              <w:rPr>
                <w:sz w:val="20"/>
                <w:szCs w:val="20"/>
              </w:rPr>
              <w:t>0.3</w:t>
            </w:r>
          </w:p>
        </w:tc>
        <w:tc>
          <w:tcPr>
            <w:tcW w:w="1276" w:type="dxa"/>
            <w:hideMark/>
          </w:tcPr>
          <w:p w14:paraId="69A87264" w14:textId="77777777" w:rsidR="006B21DA" w:rsidRPr="00E86B30" w:rsidRDefault="006B21DA" w:rsidP="00227EDF">
            <w:pPr>
              <w:pStyle w:val="NormalWeb"/>
              <w:jc w:val="center"/>
              <w:rPr>
                <w:sz w:val="20"/>
                <w:szCs w:val="20"/>
              </w:rPr>
            </w:pPr>
            <w:r w:rsidRPr="00E86B30">
              <w:rPr>
                <w:sz w:val="20"/>
                <w:szCs w:val="20"/>
              </w:rPr>
              <w:t>0–5</w:t>
            </w:r>
          </w:p>
        </w:tc>
        <w:tc>
          <w:tcPr>
            <w:tcW w:w="709" w:type="dxa"/>
            <w:hideMark/>
          </w:tcPr>
          <w:p w14:paraId="7E39457C" w14:textId="77777777" w:rsidR="006B21DA" w:rsidRPr="00E86B30" w:rsidRDefault="006B21DA" w:rsidP="00227EDF">
            <w:pPr>
              <w:pStyle w:val="NormalWeb"/>
              <w:jc w:val="center"/>
              <w:rPr>
                <w:sz w:val="20"/>
                <w:szCs w:val="20"/>
              </w:rPr>
            </w:pPr>
            <w:r w:rsidRPr="00E86B30">
              <w:rPr>
                <w:sz w:val="20"/>
                <w:szCs w:val="20"/>
              </w:rPr>
              <w:t>1</w:t>
            </w:r>
          </w:p>
        </w:tc>
        <w:tc>
          <w:tcPr>
            <w:tcW w:w="551" w:type="dxa"/>
            <w:hideMark/>
          </w:tcPr>
          <w:p w14:paraId="762B9A1C" w14:textId="77777777" w:rsidR="006B21DA" w:rsidRPr="00E86B30" w:rsidRDefault="006B21DA" w:rsidP="00227EDF">
            <w:pPr>
              <w:pStyle w:val="NormalWeb"/>
              <w:jc w:val="center"/>
              <w:rPr>
                <w:sz w:val="20"/>
                <w:szCs w:val="20"/>
              </w:rPr>
            </w:pPr>
            <w:r w:rsidRPr="00E86B30">
              <w:rPr>
                <w:sz w:val="20"/>
                <w:szCs w:val="20"/>
              </w:rPr>
              <w:t>2.0</w:t>
            </w:r>
          </w:p>
        </w:tc>
        <w:tc>
          <w:tcPr>
            <w:tcW w:w="722" w:type="dxa"/>
            <w:hideMark/>
          </w:tcPr>
          <w:p w14:paraId="01C40BF4" w14:textId="77777777" w:rsidR="006B21DA" w:rsidRPr="00E86B30" w:rsidRDefault="006B21DA" w:rsidP="00227EDF">
            <w:pPr>
              <w:pStyle w:val="NormalWeb"/>
              <w:jc w:val="center"/>
              <w:rPr>
                <w:sz w:val="20"/>
                <w:szCs w:val="20"/>
              </w:rPr>
            </w:pPr>
            <w:r w:rsidRPr="00E86B30">
              <w:rPr>
                <w:sz w:val="20"/>
                <w:szCs w:val="20"/>
              </w:rPr>
              <w:t>0.1</w:t>
            </w:r>
          </w:p>
        </w:tc>
        <w:tc>
          <w:tcPr>
            <w:tcW w:w="570" w:type="dxa"/>
            <w:hideMark/>
          </w:tcPr>
          <w:p w14:paraId="590B32C8" w14:textId="77777777" w:rsidR="006B21DA" w:rsidRPr="00E86B30" w:rsidRDefault="006B21DA" w:rsidP="00227EDF">
            <w:pPr>
              <w:pStyle w:val="NormalWeb"/>
              <w:jc w:val="center"/>
              <w:rPr>
                <w:sz w:val="20"/>
                <w:szCs w:val="20"/>
              </w:rPr>
            </w:pPr>
            <w:r w:rsidRPr="00E86B30">
              <w:rPr>
                <w:sz w:val="20"/>
                <w:szCs w:val="20"/>
              </w:rPr>
              <w:t>0.7</w:t>
            </w:r>
          </w:p>
        </w:tc>
        <w:tc>
          <w:tcPr>
            <w:tcW w:w="992" w:type="dxa"/>
            <w:hideMark/>
          </w:tcPr>
          <w:p w14:paraId="1DA803C5" w14:textId="77777777" w:rsidR="006B21DA" w:rsidRPr="00E86B30" w:rsidRDefault="006B21DA" w:rsidP="00227EDF">
            <w:pPr>
              <w:pStyle w:val="NormalWeb"/>
              <w:jc w:val="center"/>
              <w:rPr>
                <w:sz w:val="20"/>
                <w:szCs w:val="20"/>
              </w:rPr>
            </w:pPr>
            <w:r w:rsidRPr="00E86B30">
              <w:rPr>
                <w:sz w:val="20"/>
                <w:szCs w:val="20"/>
              </w:rPr>
              <w:t>0–5</w:t>
            </w:r>
          </w:p>
        </w:tc>
        <w:tc>
          <w:tcPr>
            <w:tcW w:w="567" w:type="dxa"/>
            <w:hideMark/>
          </w:tcPr>
          <w:p w14:paraId="51A55044" w14:textId="77777777" w:rsidR="006B21DA" w:rsidRPr="00E86B30" w:rsidRDefault="006B21DA" w:rsidP="00227EDF">
            <w:pPr>
              <w:pStyle w:val="NormalWeb"/>
              <w:jc w:val="center"/>
              <w:rPr>
                <w:sz w:val="20"/>
                <w:szCs w:val="20"/>
              </w:rPr>
            </w:pPr>
            <w:r w:rsidRPr="00E86B30">
              <w:rPr>
                <w:sz w:val="20"/>
                <w:szCs w:val="20"/>
              </w:rPr>
              <w:t>0</w:t>
            </w:r>
          </w:p>
        </w:tc>
        <w:tc>
          <w:tcPr>
            <w:tcW w:w="554" w:type="dxa"/>
            <w:hideMark/>
          </w:tcPr>
          <w:p w14:paraId="4E052748" w14:textId="77777777" w:rsidR="006B21DA" w:rsidRPr="00E86B30" w:rsidRDefault="006B21DA" w:rsidP="00227EDF">
            <w:pPr>
              <w:pStyle w:val="NormalWeb"/>
              <w:jc w:val="center"/>
              <w:rPr>
                <w:sz w:val="20"/>
                <w:szCs w:val="20"/>
              </w:rPr>
            </w:pPr>
            <w:r w:rsidRPr="00E86B30">
              <w:rPr>
                <w:sz w:val="20"/>
                <w:szCs w:val="20"/>
              </w:rPr>
              <w:t>0</w:t>
            </w:r>
          </w:p>
        </w:tc>
        <w:tc>
          <w:tcPr>
            <w:tcW w:w="722" w:type="dxa"/>
            <w:hideMark/>
          </w:tcPr>
          <w:p w14:paraId="36C0C22F" w14:textId="77777777" w:rsidR="006B21DA" w:rsidRPr="00E86B30" w:rsidRDefault="006B21DA" w:rsidP="00227EDF">
            <w:pPr>
              <w:pStyle w:val="NormalWeb"/>
              <w:jc w:val="center"/>
              <w:rPr>
                <w:sz w:val="20"/>
                <w:szCs w:val="20"/>
              </w:rPr>
            </w:pPr>
            <w:r w:rsidRPr="00E86B30">
              <w:rPr>
                <w:sz w:val="20"/>
                <w:szCs w:val="20"/>
              </w:rPr>
              <w:t>0</w:t>
            </w:r>
          </w:p>
        </w:tc>
        <w:tc>
          <w:tcPr>
            <w:tcW w:w="992" w:type="dxa"/>
            <w:hideMark/>
          </w:tcPr>
          <w:p w14:paraId="1BE6546D" w14:textId="77777777" w:rsidR="006B21DA" w:rsidRPr="00E86B30" w:rsidRDefault="006B21DA" w:rsidP="00227EDF">
            <w:pPr>
              <w:pStyle w:val="NormalWeb"/>
              <w:jc w:val="center"/>
              <w:rPr>
                <w:sz w:val="20"/>
                <w:szCs w:val="20"/>
              </w:rPr>
            </w:pPr>
            <w:r w:rsidRPr="00E86B30">
              <w:rPr>
                <w:sz w:val="20"/>
                <w:szCs w:val="20"/>
              </w:rPr>
              <w:t>—</w:t>
            </w:r>
          </w:p>
        </w:tc>
        <w:tc>
          <w:tcPr>
            <w:tcW w:w="1092" w:type="dxa"/>
            <w:hideMark/>
          </w:tcPr>
          <w:p w14:paraId="6E419AC8" w14:textId="77777777" w:rsidR="006B21DA" w:rsidRPr="00E86B30" w:rsidRDefault="006B21DA" w:rsidP="00227EDF">
            <w:pPr>
              <w:pStyle w:val="NormalWeb"/>
              <w:jc w:val="center"/>
              <w:rPr>
                <w:sz w:val="20"/>
                <w:szCs w:val="20"/>
              </w:rPr>
            </w:pPr>
            <w:r w:rsidRPr="00E86B30">
              <w:rPr>
                <w:sz w:val="20"/>
                <w:szCs w:val="20"/>
              </w:rPr>
              <w:t>—</w:t>
            </w:r>
          </w:p>
        </w:tc>
      </w:tr>
      <w:tr w:rsidR="00E86B30" w:rsidRPr="00E86B30" w14:paraId="3E6AE452" w14:textId="77777777" w:rsidTr="00EE0F1F">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40F609DC" w14:textId="77777777" w:rsidR="006B21DA" w:rsidRPr="00E86B30" w:rsidRDefault="006B21DA" w:rsidP="0091710A">
            <w:pPr>
              <w:pStyle w:val="NormalWeb"/>
              <w:rPr>
                <w:sz w:val="20"/>
                <w:szCs w:val="20"/>
              </w:rPr>
            </w:pPr>
            <w:proofErr w:type="gramStart"/>
            <w:r w:rsidRPr="00E86B30">
              <w:rPr>
                <w:sz w:val="20"/>
                <w:szCs w:val="20"/>
                <w:lang w:val="en-US"/>
              </w:rPr>
              <w:t>High-flow</w:t>
            </w:r>
            <w:proofErr w:type="gramEnd"/>
          </w:p>
        </w:tc>
        <w:tc>
          <w:tcPr>
            <w:tcW w:w="708" w:type="dxa"/>
            <w:hideMark/>
          </w:tcPr>
          <w:p w14:paraId="39E509F3" w14:textId="77777777" w:rsidR="006B21DA" w:rsidRPr="00E86B30" w:rsidRDefault="006B21DA" w:rsidP="00227EDF">
            <w:pPr>
              <w:pStyle w:val="NormalWeb"/>
              <w:jc w:val="center"/>
              <w:rPr>
                <w:sz w:val="20"/>
                <w:szCs w:val="20"/>
              </w:rPr>
            </w:pPr>
            <w:r w:rsidRPr="00E86B30">
              <w:rPr>
                <w:sz w:val="20"/>
                <w:szCs w:val="20"/>
              </w:rPr>
              <w:t>113</w:t>
            </w:r>
          </w:p>
        </w:tc>
        <w:tc>
          <w:tcPr>
            <w:tcW w:w="567" w:type="dxa"/>
            <w:hideMark/>
          </w:tcPr>
          <w:p w14:paraId="22BB7EA1" w14:textId="77777777" w:rsidR="006B21DA" w:rsidRPr="00E86B30" w:rsidRDefault="006B21DA" w:rsidP="00227EDF">
            <w:pPr>
              <w:pStyle w:val="NormalWeb"/>
              <w:jc w:val="center"/>
              <w:rPr>
                <w:sz w:val="20"/>
                <w:szCs w:val="20"/>
              </w:rPr>
            </w:pPr>
            <w:r w:rsidRPr="00E86B30">
              <w:rPr>
                <w:sz w:val="20"/>
                <w:szCs w:val="20"/>
              </w:rPr>
              <w:t>31.1</w:t>
            </w:r>
          </w:p>
        </w:tc>
        <w:tc>
          <w:tcPr>
            <w:tcW w:w="993" w:type="dxa"/>
            <w:hideMark/>
          </w:tcPr>
          <w:p w14:paraId="0DF5A7AE" w14:textId="77777777" w:rsidR="006B21DA" w:rsidRPr="00E86B30" w:rsidRDefault="006B21DA" w:rsidP="00227EDF">
            <w:pPr>
              <w:pStyle w:val="NormalWeb"/>
              <w:jc w:val="center"/>
              <w:rPr>
                <w:sz w:val="20"/>
                <w:szCs w:val="20"/>
              </w:rPr>
            </w:pPr>
            <w:r w:rsidRPr="00E86B30">
              <w:rPr>
                <w:sz w:val="20"/>
                <w:szCs w:val="20"/>
              </w:rPr>
              <w:t>13.5</w:t>
            </w:r>
          </w:p>
        </w:tc>
        <w:tc>
          <w:tcPr>
            <w:tcW w:w="708" w:type="dxa"/>
            <w:hideMark/>
          </w:tcPr>
          <w:p w14:paraId="242E72BD" w14:textId="77777777" w:rsidR="006B21DA" w:rsidRPr="00E86B30" w:rsidRDefault="006B21DA" w:rsidP="00227EDF">
            <w:pPr>
              <w:pStyle w:val="NormalWeb"/>
              <w:jc w:val="center"/>
              <w:rPr>
                <w:sz w:val="20"/>
                <w:szCs w:val="20"/>
              </w:rPr>
            </w:pPr>
            <w:r w:rsidRPr="00E86B30">
              <w:rPr>
                <w:sz w:val="20"/>
                <w:szCs w:val="20"/>
              </w:rPr>
              <w:t>29.0</w:t>
            </w:r>
          </w:p>
        </w:tc>
        <w:tc>
          <w:tcPr>
            <w:tcW w:w="1276" w:type="dxa"/>
            <w:hideMark/>
          </w:tcPr>
          <w:p w14:paraId="24F47CCD" w14:textId="77777777" w:rsidR="006B21DA" w:rsidRPr="00E86B30" w:rsidRDefault="006B21DA" w:rsidP="00227EDF">
            <w:pPr>
              <w:pStyle w:val="NormalWeb"/>
              <w:jc w:val="center"/>
              <w:rPr>
                <w:sz w:val="20"/>
                <w:szCs w:val="20"/>
              </w:rPr>
            </w:pPr>
            <w:r w:rsidRPr="00E86B30">
              <w:rPr>
                <w:sz w:val="20"/>
                <w:szCs w:val="20"/>
              </w:rPr>
              <w:t>0–315</w:t>
            </w:r>
          </w:p>
        </w:tc>
        <w:tc>
          <w:tcPr>
            <w:tcW w:w="709" w:type="dxa"/>
            <w:hideMark/>
          </w:tcPr>
          <w:p w14:paraId="52648A88" w14:textId="77777777" w:rsidR="006B21DA" w:rsidRPr="00E86B30" w:rsidRDefault="006B21DA" w:rsidP="00227EDF">
            <w:pPr>
              <w:pStyle w:val="NormalWeb"/>
              <w:jc w:val="center"/>
              <w:rPr>
                <w:sz w:val="20"/>
                <w:szCs w:val="20"/>
              </w:rPr>
            </w:pPr>
            <w:r w:rsidRPr="00E86B30">
              <w:rPr>
                <w:sz w:val="20"/>
                <w:szCs w:val="20"/>
              </w:rPr>
              <w:t>14</w:t>
            </w:r>
          </w:p>
        </w:tc>
        <w:tc>
          <w:tcPr>
            <w:tcW w:w="551" w:type="dxa"/>
            <w:hideMark/>
          </w:tcPr>
          <w:p w14:paraId="762356E0" w14:textId="77777777" w:rsidR="006B21DA" w:rsidRPr="00E86B30" w:rsidRDefault="006B21DA" w:rsidP="00227EDF">
            <w:pPr>
              <w:pStyle w:val="NormalWeb"/>
              <w:jc w:val="center"/>
              <w:rPr>
                <w:sz w:val="20"/>
                <w:szCs w:val="20"/>
              </w:rPr>
            </w:pPr>
            <w:r w:rsidRPr="00E86B30">
              <w:rPr>
                <w:sz w:val="20"/>
                <w:szCs w:val="20"/>
              </w:rPr>
              <w:t>27.5</w:t>
            </w:r>
          </w:p>
        </w:tc>
        <w:tc>
          <w:tcPr>
            <w:tcW w:w="722" w:type="dxa"/>
            <w:hideMark/>
          </w:tcPr>
          <w:p w14:paraId="44C8B68D" w14:textId="77777777" w:rsidR="006B21DA" w:rsidRPr="00E86B30" w:rsidRDefault="006B21DA" w:rsidP="00227EDF">
            <w:pPr>
              <w:pStyle w:val="NormalWeb"/>
              <w:jc w:val="center"/>
              <w:rPr>
                <w:sz w:val="20"/>
                <w:szCs w:val="20"/>
              </w:rPr>
            </w:pPr>
            <w:r w:rsidRPr="00E86B30">
              <w:rPr>
                <w:sz w:val="20"/>
                <w:szCs w:val="20"/>
              </w:rPr>
              <w:t>12.2</w:t>
            </w:r>
          </w:p>
        </w:tc>
        <w:tc>
          <w:tcPr>
            <w:tcW w:w="570" w:type="dxa"/>
            <w:hideMark/>
          </w:tcPr>
          <w:p w14:paraId="63101DB5" w14:textId="77777777" w:rsidR="006B21DA" w:rsidRPr="00E86B30" w:rsidRDefault="006B21DA" w:rsidP="00227EDF">
            <w:pPr>
              <w:pStyle w:val="NormalWeb"/>
              <w:jc w:val="center"/>
              <w:rPr>
                <w:sz w:val="20"/>
                <w:szCs w:val="20"/>
              </w:rPr>
            </w:pPr>
            <w:r w:rsidRPr="00E86B30">
              <w:rPr>
                <w:sz w:val="20"/>
                <w:szCs w:val="20"/>
              </w:rPr>
              <w:t>25.2</w:t>
            </w:r>
          </w:p>
        </w:tc>
        <w:tc>
          <w:tcPr>
            <w:tcW w:w="992" w:type="dxa"/>
            <w:hideMark/>
          </w:tcPr>
          <w:p w14:paraId="7C508476" w14:textId="77777777" w:rsidR="006B21DA" w:rsidRPr="00E86B30" w:rsidRDefault="006B21DA" w:rsidP="00227EDF">
            <w:pPr>
              <w:pStyle w:val="NormalWeb"/>
              <w:jc w:val="center"/>
              <w:rPr>
                <w:sz w:val="20"/>
                <w:szCs w:val="20"/>
              </w:rPr>
            </w:pPr>
            <w:r w:rsidRPr="00E86B30">
              <w:rPr>
                <w:sz w:val="20"/>
                <w:szCs w:val="20"/>
              </w:rPr>
              <w:t>0–100</w:t>
            </w:r>
          </w:p>
        </w:tc>
        <w:tc>
          <w:tcPr>
            <w:tcW w:w="567" w:type="dxa"/>
            <w:hideMark/>
          </w:tcPr>
          <w:p w14:paraId="37F6AFA9" w14:textId="77777777" w:rsidR="006B21DA" w:rsidRPr="00E86B30" w:rsidRDefault="006B21DA" w:rsidP="00227EDF">
            <w:pPr>
              <w:pStyle w:val="NormalWeb"/>
              <w:jc w:val="center"/>
              <w:rPr>
                <w:sz w:val="20"/>
                <w:szCs w:val="20"/>
              </w:rPr>
            </w:pPr>
            <w:r w:rsidRPr="00E86B30">
              <w:rPr>
                <w:sz w:val="20"/>
                <w:szCs w:val="20"/>
              </w:rPr>
              <w:t>54</w:t>
            </w:r>
          </w:p>
        </w:tc>
        <w:tc>
          <w:tcPr>
            <w:tcW w:w="554" w:type="dxa"/>
            <w:hideMark/>
          </w:tcPr>
          <w:p w14:paraId="0DBDA590" w14:textId="77777777" w:rsidR="006B21DA" w:rsidRPr="00E86B30" w:rsidRDefault="006B21DA" w:rsidP="00227EDF">
            <w:pPr>
              <w:pStyle w:val="NormalWeb"/>
              <w:jc w:val="center"/>
              <w:rPr>
                <w:sz w:val="20"/>
                <w:szCs w:val="20"/>
              </w:rPr>
            </w:pPr>
            <w:r w:rsidRPr="00E86B30">
              <w:rPr>
                <w:sz w:val="20"/>
                <w:szCs w:val="20"/>
              </w:rPr>
              <w:t>35.3</w:t>
            </w:r>
          </w:p>
        </w:tc>
        <w:tc>
          <w:tcPr>
            <w:tcW w:w="722" w:type="dxa"/>
            <w:hideMark/>
          </w:tcPr>
          <w:p w14:paraId="3F853D82" w14:textId="77777777" w:rsidR="006B21DA" w:rsidRPr="00E86B30" w:rsidRDefault="006B21DA" w:rsidP="00227EDF">
            <w:pPr>
              <w:pStyle w:val="NormalWeb"/>
              <w:jc w:val="center"/>
              <w:rPr>
                <w:sz w:val="20"/>
                <w:szCs w:val="20"/>
              </w:rPr>
            </w:pPr>
            <w:r w:rsidRPr="00E86B30">
              <w:rPr>
                <w:sz w:val="20"/>
                <w:szCs w:val="20"/>
              </w:rPr>
              <w:t>16.8</w:t>
            </w:r>
          </w:p>
        </w:tc>
        <w:tc>
          <w:tcPr>
            <w:tcW w:w="992" w:type="dxa"/>
            <w:hideMark/>
          </w:tcPr>
          <w:p w14:paraId="759586E7" w14:textId="77777777" w:rsidR="006B21DA" w:rsidRPr="00E86B30" w:rsidRDefault="006B21DA" w:rsidP="00227EDF">
            <w:pPr>
              <w:pStyle w:val="NormalWeb"/>
              <w:jc w:val="center"/>
              <w:rPr>
                <w:sz w:val="20"/>
                <w:szCs w:val="20"/>
              </w:rPr>
            </w:pPr>
            <w:r w:rsidRPr="00E86B30">
              <w:rPr>
                <w:sz w:val="20"/>
                <w:szCs w:val="20"/>
              </w:rPr>
              <w:t>28.6</w:t>
            </w:r>
          </w:p>
        </w:tc>
        <w:tc>
          <w:tcPr>
            <w:tcW w:w="1092" w:type="dxa"/>
            <w:hideMark/>
          </w:tcPr>
          <w:p w14:paraId="04655497" w14:textId="77777777" w:rsidR="006B21DA" w:rsidRPr="00E86B30" w:rsidRDefault="006B21DA" w:rsidP="00227EDF">
            <w:pPr>
              <w:pStyle w:val="NormalWeb"/>
              <w:jc w:val="center"/>
              <w:rPr>
                <w:sz w:val="20"/>
                <w:szCs w:val="20"/>
              </w:rPr>
            </w:pPr>
            <w:r w:rsidRPr="00E86B30">
              <w:rPr>
                <w:sz w:val="20"/>
                <w:szCs w:val="20"/>
              </w:rPr>
              <w:t>0–130</w:t>
            </w:r>
          </w:p>
        </w:tc>
      </w:tr>
      <w:tr w:rsidR="00E86B30" w:rsidRPr="00E86B30" w14:paraId="1352A2DD" w14:textId="77777777" w:rsidTr="00EE0F1F">
        <w:tblPrEx>
          <w:tblCellMar>
            <w:left w:w="57" w:type="dxa"/>
            <w:right w:w="57" w:type="dxa"/>
          </w:tblCellMar>
        </w:tblPrEx>
        <w:tc>
          <w:tcPr>
            <w:tcW w:w="3261" w:type="dxa"/>
            <w:tcBorders>
              <w:bottom w:val="single" w:sz="2" w:space="0" w:color="auto"/>
            </w:tcBorders>
            <w:hideMark/>
          </w:tcPr>
          <w:p w14:paraId="25C5F1DC" w14:textId="77777777" w:rsidR="006B21DA" w:rsidRPr="00E86B30" w:rsidRDefault="006B21DA" w:rsidP="0091710A">
            <w:pPr>
              <w:pStyle w:val="NormalWeb"/>
              <w:rPr>
                <w:sz w:val="20"/>
                <w:szCs w:val="20"/>
              </w:rPr>
            </w:pPr>
            <w:proofErr w:type="gramStart"/>
            <w:r w:rsidRPr="00E86B30">
              <w:rPr>
                <w:sz w:val="20"/>
                <w:szCs w:val="20"/>
                <w:lang w:val="en-US"/>
              </w:rPr>
              <w:t>Low-flow</w:t>
            </w:r>
            <w:proofErr w:type="gramEnd"/>
          </w:p>
        </w:tc>
        <w:tc>
          <w:tcPr>
            <w:tcW w:w="708" w:type="dxa"/>
            <w:tcBorders>
              <w:bottom w:val="single" w:sz="2" w:space="0" w:color="auto"/>
            </w:tcBorders>
            <w:hideMark/>
          </w:tcPr>
          <w:p w14:paraId="35DC571F" w14:textId="77777777" w:rsidR="006B21DA" w:rsidRPr="00E86B30" w:rsidRDefault="006B21DA" w:rsidP="00227EDF">
            <w:pPr>
              <w:pStyle w:val="NormalWeb"/>
              <w:jc w:val="center"/>
              <w:rPr>
                <w:sz w:val="20"/>
                <w:szCs w:val="20"/>
              </w:rPr>
            </w:pPr>
            <w:r w:rsidRPr="00E86B30">
              <w:rPr>
                <w:sz w:val="20"/>
                <w:szCs w:val="20"/>
              </w:rPr>
              <w:t>138</w:t>
            </w:r>
          </w:p>
        </w:tc>
        <w:tc>
          <w:tcPr>
            <w:tcW w:w="567" w:type="dxa"/>
            <w:tcBorders>
              <w:bottom w:val="single" w:sz="2" w:space="0" w:color="auto"/>
            </w:tcBorders>
            <w:hideMark/>
          </w:tcPr>
          <w:p w14:paraId="6106FDB4" w14:textId="77777777" w:rsidR="006B21DA" w:rsidRPr="00E86B30" w:rsidRDefault="006B21DA" w:rsidP="00227EDF">
            <w:pPr>
              <w:pStyle w:val="NormalWeb"/>
              <w:jc w:val="center"/>
              <w:rPr>
                <w:sz w:val="20"/>
                <w:szCs w:val="20"/>
              </w:rPr>
            </w:pPr>
            <w:r w:rsidRPr="00E86B30">
              <w:rPr>
                <w:sz w:val="20"/>
                <w:szCs w:val="20"/>
              </w:rPr>
              <w:t>38.0</w:t>
            </w:r>
          </w:p>
        </w:tc>
        <w:tc>
          <w:tcPr>
            <w:tcW w:w="993" w:type="dxa"/>
            <w:tcBorders>
              <w:bottom w:val="single" w:sz="2" w:space="0" w:color="auto"/>
            </w:tcBorders>
            <w:hideMark/>
          </w:tcPr>
          <w:p w14:paraId="643FBA21" w14:textId="77777777" w:rsidR="006B21DA" w:rsidRPr="00E86B30" w:rsidRDefault="006B21DA" w:rsidP="00227EDF">
            <w:pPr>
              <w:pStyle w:val="NormalWeb"/>
              <w:jc w:val="center"/>
              <w:rPr>
                <w:sz w:val="20"/>
                <w:szCs w:val="20"/>
              </w:rPr>
            </w:pPr>
            <w:r w:rsidRPr="00E86B30">
              <w:rPr>
                <w:sz w:val="20"/>
                <w:szCs w:val="20"/>
              </w:rPr>
              <w:t>12.3</w:t>
            </w:r>
          </w:p>
        </w:tc>
        <w:tc>
          <w:tcPr>
            <w:tcW w:w="708" w:type="dxa"/>
            <w:tcBorders>
              <w:bottom w:val="single" w:sz="2" w:space="0" w:color="auto"/>
            </w:tcBorders>
            <w:hideMark/>
          </w:tcPr>
          <w:p w14:paraId="7BD478B9" w14:textId="77777777" w:rsidR="006B21DA" w:rsidRPr="00E86B30" w:rsidRDefault="006B21DA" w:rsidP="00227EDF">
            <w:pPr>
              <w:pStyle w:val="NormalWeb"/>
              <w:jc w:val="center"/>
              <w:rPr>
                <w:sz w:val="20"/>
                <w:szCs w:val="20"/>
              </w:rPr>
            </w:pPr>
            <w:r w:rsidRPr="00E86B30">
              <w:rPr>
                <w:sz w:val="20"/>
                <w:szCs w:val="20"/>
              </w:rPr>
              <w:t>28.8</w:t>
            </w:r>
          </w:p>
        </w:tc>
        <w:tc>
          <w:tcPr>
            <w:tcW w:w="1276" w:type="dxa"/>
            <w:tcBorders>
              <w:bottom w:val="single" w:sz="2" w:space="0" w:color="auto"/>
            </w:tcBorders>
            <w:hideMark/>
          </w:tcPr>
          <w:p w14:paraId="21285143" w14:textId="77777777" w:rsidR="006B21DA" w:rsidRPr="00E86B30" w:rsidRDefault="006B21DA" w:rsidP="00227EDF">
            <w:pPr>
              <w:pStyle w:val="NormalWeb"/>
              <w:jc w:val="center"/>
              <w:rPr>
                <w:sz w:val="20"/>
                <w:szCs w:val="20"/>
              </w:rPr>
            </w:pPr>
            <w:r w:rsidRPr="00E86B30">
              <w:rPr>
                <w:sz w:val="20"/>
                <w:szCs w:val="20"/>
              </w:rPr>
              <w:t>0–212</w:t>
            </w:r>
          </w:p>
        </w:tc>
        <w:tc>
          <w:tcPr>
            <w:tcW w:w="709" w:type="dxa"/>
            <w:tcBorders>
              <w:bottom w:val="single" w:sz="2" w:space="0" w:color="auto"/>
            </w:tcBorders>
            <w:hideMark/>
          </w:tcPr>
          <w:p w14:paraId="22C23B27" w14:textId="77777777" w:rsidR="006B21DA" w:rsidRPr="00E86B30" w:rsidRDefault="006B21DA" w:rsidP="00227EDF">
            <w:pPr>
              <w:pStyle w:val="NormalWeb"/>
              <w:jc w:val="center"/>
              <w:rPr>
                <w:sz w:val="20"/>
                <w:szCs w:val="20"/>
              </w:rPr>
            </w:pPr>
            <w:r w:rsidRPr="00E86B30">
              <w:rPr>
                <w:sz w:val="20"/>
                <w:szCs w:val="20"/>
              </w:rPr>
              <w:t>15</w:t>
            </w:r>
          </w:p>
        </w:tc>
        <w:tc>
          <w:tcPr>
            <w:tcW w:w="551" w:type="dxa"/>
            <w:tcBorders>
              <w:bottom w:val="single" w:sz="2" w:space="0" w:color="auto"/>
            </w:tcBorders>
            <w:hideMark/>
          </w:tcPr>
          <w:p w14:paraId="10640968" w14:textId="77777777" w:rsidR="006B21DA" w:rsidRPr="00E86B30" w:rsidRDefault="006B21DA" w:rsidP="00227EDF">
            <w:pPr>
              <w:pStyle w:val="NormalWeb"/>
              <w:jc w:val="center"/>
              <w:rPr>
                <w:sz w:val="20"/>
                <w:szCs w:val="20"/>
              </w:rPr>
            </w:pPr>
            <w:r w:rsidRPr="00E86B30">
              <w:rPr>
                <w:sz w:val="20"/>
                <w:szCs w:val="20"/>
              </w:rPr>
              <w:t>29.4</w:t>
            </w:r>
          </w:p>
        </w:tc>
        <w:tc>
          <w:tcPr>
            <w:tcW w:w="722" w:type="dxa"/>
            <w:tcBorders>
              <w:bottom w:val="single" w:sz="2" w:space="0" w:color="auto"/>
            </w:tcBorders>
            <w:hideMark/>
          </w:tcPr>
          <w:p w14:paraId="68C9A422" w14:textId="77777777" w:rsidR="006B21DA" w:rsidRPr="00E86B30" w:rsidRDefault="006B21DA" w:rsidP="00227EDF">
            <w:pPr>
              <w:pStyle w:val="NormalWeb"/>
              <w:jc w:val="center"/>
              <w:rPr>
                <w:sz w:val="20"/>
                <w:szCs w:val="20"/>
              </w:rPr>
            </w:pPr>
            <w:r w:rsidRPr="00E86B30">
              <w:rPr>
                <w:sz w:val="20"/>
                <w:szCs w:val="20"/>
              </w:rPr>
              <w:t>8.5</w:t>
            </w:r>
          </w:p>
        </w:tc>
        <w:tc>
          <w:tcPr>
            <w:tcW w:w="570" w:type="dxa"/>
            <w:tcBorders>
              <w:bottom w:val="single" w:sz="2" w:space="0" w:color="auto"/>
            </w:tcBorders>
            <w:hideMark/>
          </w:tcPr>
          <w:p w14:paraId="1AAAA5E3" w14:textId="77777777" w:rsidR="006B21DA" w:rsidRPr="00E86B30" w:rsidRDefault="006B21DA" w:rsidP="00227EDF">
            <w:pPr>
              <w:pStyle w:val="NormalWeb"/>
              <w:jc w:val="center"/>
              <w:rPr>
                <w:sz w:val="20"/>
                <w:szCs w:val="20"/>
              </w:rPr>
            </w:pPr>
            <w:r w:rsidRPr="00E86B30">
              <w:rPr>
                <w:sz w:val="20"/>
                <w:szCs w:val="20"/>
              </w:rPr>
              <w:t>18.2</w:t>
            </w:r>
          </w:p>
        </w:tc>
        <w:tc>
          <w:tcPr>
            <w:tcW w:w="992" w:type="dxa"/>
            <w:tcBorders>
              <w:bottom w:val="single" w:sz="2" w:space="0" w:color="auto"/>
            </w:tcBorders>
            <w:hideMark/>
          </w:tcPr>
          <w:p w14:paraId="1FAAC0C5" w14:textId="77777777" w:rsidR="006B21DA" w:rsidRPr="00E86B30" w:rsidRDefault="006B21DA" w:rsidP="00227EDF">
            <w:pPr>
              <w:pStyle w:val="NormalWeb"/>
              <w:jc w:val="center"/>
              <w:rPr>
                <w:sz w:val="20"/>
                <w:szCs w:val="20"/>
              </w:rPr>
            </w:pPr>
            <w:r w:rsidRPr="00E86B30">
              <w:rPr>
                <w:sz w:val="20"/>
                <w:szCs w:val="20"/>
              </w:rPr>
              <w:t>0–94</w:t>
            </w:r>
          </w:p>
        </w:tc>
        <w:tc>
          <w:tcPr>
            <w:tcW w:w="567" w:type="dxa"/>
            <w:tcBorders>
              <w:bottom w:val="single" w:sz="2" w:space="0" w:color="auto"/>
            </w:tcBorders>
            <w:hideMark/>
          </w:tcPr>
          <w:p w14:paraId="74B20E18" w14:textId="77777777" w:rsidR="006B21DA" w:rsidRPr="00E86B30" w:rsidRDefault="006B21DA" w:rsidP="00227EDF">
            <w:pPr>
              <w:pStyle w:val="NormalWeb"/>
              <w:jc w:val="center"/>
              <w:rPr>
                <w:sz w:val="20"/>
                <w:szCs w:val="20"/>
              </w:rPr>
            </w:pPr>
            <w:r w:rsidRPr="00E86B30">
              <w:rPr>
                <w:sz w:val="20"/>
                <w:szCs w:val="20"/>
              </w:rPr>
              <w:t>78</w:t>
            </w:r>
          </w:p>
        </w:tc>
        <w:tc>
          <w:tcPr>
            <w:tcW w:w="554" w:type="dxa"/>
            <w:tcBorders>
              <w:bottom w:val="single" w:sz="2" w:space="0" w:color="auto"/>
            </w:tcBorders>
            <w:hideMark/>
          </w:tcPr>
          <w:p w14:paraId="6DD3A853" w14:textId="77777777" w:rsidR="006B21DA" w:rsidRPr="00E86B30" w:rsidRDefault="006B21DA" w:rsidP="00227EDF">
            <w:pPr>
              <w:pStyle w:val="NormalWeb"/>
              <w:jc w:val="center"/>
              <w:rPr>
                <w:sz w:val="20"/>
                <w:szCs w:val="20"/>
              </w:rPr>
            </w:pPr>
            <w:r w:rsidRPr="00E86B30">
              <w:rPr>
                <w:sz w:val="20"/>
                <w:szCs w:val="20"/>
              </w:rPr>
              <w:t>51.0</w:t>
            </w:r>
          </w:p>
        </w:tc>
        <w:tc>
          <w:tcPr>
            <w:tcW w:w="722" w:type="dxa"/>
            <w:tcBorders>
              <w:bottom w:val="single" w:sz="2" w:space="0" w:color="auto"/>
            </w:tcBorders>
            <w:hideMark/>
          </w:tcPr>
          <w:p w14:paraId="6BED70DC" w14:textId="77777777" w:rsidR="006B21DA" w:rsidRPr="00E86B30" w:rsidRDefault="006B21DA" w:rsidP="00227EDF">
            <w:pPr>
              <w:pStyle w:val="NormalWeb"/>
              <w:jc w:val="center"/>
              <w:rPr>
                <w:sz w:val="20"/>
                <w:szCs w:val="20"/>
              </w:rPr>
            </w:pPr>
            <w:r w:rsidRPr="00E86B30">
              <w:rPr>
                <w:sz w:val="20"/>
                <w:szCs w:val="20"/>
              </w:rPr>
              <w:t>17.6</w:t>
            </w:r>
          </w:p>
        </w:tc>
        <w:tc>
          <w:tcPr>
            <w:tcW w:w="992" w:type="dxa"/>
            <w:tcBorders>
              <w:bottom w:val="single" w:sz="2" w:space="0" w:color="auto"/>
            </w:tcBorders>
            <w:hideMark/>
          </w:tcPr>
          <w:p w14:paraId="0F0F99BE" w14:textId="77777777" w:rsidR="006B21DA" w:rsidRPr="00E86B30" w:rsidRDefault="006B21DA" w:rsidP="00227EDF">
            <w:pPr>
              <w:pStyle w:val="NormalWeb"/>
              <w:jc w:val="center"/>
              <w:rPr>
                <w:sz w:val="20"/>
                <w:szCs w:val="20"/>
              </w:rPr>
            </w:pPr>
            <w:r w:rsidRPr="00E86B30">
              <w:rPr>
                <w:sz w:val="20"/>
                <w:szCs w:val="20"/>
              </w:rPr>
              <w:t>31.0</w:t>
            </w:r>
          </w:p>
        </w:tc>
        <w:tc>
          <w:tcPr>
            <w:tcW w:w="1092" w:type="dxa"/>
            <w:tcBorders>
              <w:bottom w:val="single" w:sz="2" w:space="0" w:color="auto"/>
            </w:tcBorders>
            <w:hideMark/>
          </w:tcPr>
          <w:p w14:paraId="6489BE33" w14:textId="77777777" w:rsidR="006B21DA" w:rsidRPr="00E86B30" w:rsidRDefault="006B21DA" w:rsidP="00227EDF">
            <w:pPr>
              <w:pStyle w:val="NormalWeb"/>
              <w:jc w:val="center"/>
              <w:rPr>
                <w:sz w:val="20"/>
                <w:szCs w:val="20"/>
              </w:rPr>
            </w:pPr>
            <w:r w:rsidRPr="00E86B30">
              <w:rPr>
                <w:sz w:val="20"/>
                <w:szCs w:val="20"/>
                <w:lang w:val="en-US"/>
              </w:rPr>
              <w:t>0–202</w:t>
            </w:r>
          </w:p>
        </w:tc>
      </w:tr>
    </w:tbl>
    <w:p w14:paraId="643EC72F" w14:textId="77777777" w:rsidR="006B21DA" w:rsidRDefault="006B21DA" w:rsidP="006B21DA">
      <w:pPr>
        <w:pStyle w:val="CDIfootnotes"/>
        <w:rPr>
          <w:lang w:val="en-GB"/>
        </w:rPr>
      </w:pPr>
      <w:r>
        <w:rPr>
          <w:lang w:val="en-GB"/>
        </w:rPr>
        <w:t>a</w:t>
      </w:r>
      <w:r>
        <w:rPr>
          <w:lang w:val="en-GB"/>
        </w:rPr>
        <w:tab/>
        <w:t>Note: the costs of respiratory support have been incorporated into the general ward and ICU costs for each admission.</w:t>
      </w:r>
    </w:p>
    <w:p w14:paraId="576C3A2D" w14:textId="77777777" w:rsidR="006B21DA" w:rsidRDefault="006B21DA" w:rsidP="006B21DA">
      <w:pPr>
        <w:pStyle w:val="CDIfootnotes"/>
        <w:rPr>
          <w:lang w:val="en-GB"/>
        </w:rPr>
      </w:pPr>
      <w:r>
        <w:rPr>
          <w:lang w:val="en-GB"/>
        </w:rPr>
        <w:t>b</w:t>
      </w:r>
      <w:r>
        <w:rPr>
          <w:lang w:val="en-GB"/>
        </w:rPr>
        <w:tab/>
        <w:t>CPAP: continuous positive airway pressure. Bi-PAP: bi-level positive airway pressure.</w:t>
      </w:r>
    </w:p>
    <w:p w14:paraId="6E00C3F6" w14:textId="77777777" w:rsidR="006B21DA" w:rsidRDefault="006B21DA" w:rsidP="006B21DA">
      <w:pPr>
        <w:pStyle w:val="CDIfootnotes"/>
        <w:rPr>
          <w:lang w:val="en-GB"/>
        </w:rPr>
      </w:pPr>
      <w:r>
        <w:rPr>
          <w:lang w:val="en-GB"/>
        </w:rPr>
        <w:t>c</w:t>
      </w:r>
      <w:r>
        <w:rPr>
          <w:lang w:val="en-GB"/>
        </w:rPr>
        <w:tab/>
        <w:t>HFOV: high frequency oscillatory ventilation.</w:t>
      </w:r>
    </w:p>
    <w:p w14:paraId="0661CF24" w14:textId="50872AF2" w:rsidR="006B21DA" w:rsidRPr="006B21DA" w:rsidRDefault="006B21DA" w:rsidP="006B21DA">
      <w:pPr>
        <w:pStyle w:val="CDIfootnotes"/>
        <w:rPr>
          <w:lang w:val="en-GB"/>
        </w:rPr>
      </w:pPr>
      <w:r>
        <w:rPr>
          <w:lang w:val="en-GB"/>
        </w:rPr>
        <w:t>d</w:t>
      </w:r>
      <w:r>
        <w:rPr>
          <w:lang w:val="en-GB"/>
        </w:rPr>
        <w:tab/>
        <w:t>ECMO: extracorporeal membrane oxygenation.</w:t>
      </w:r>
    </w:p>
    <w:p w14:paraId="34D2598A" w14:textId="77777777" w:rsidR="00B42099" w:rsidRDefault="00B42099" w:rsidP="00AA4324">
      <w:pPr>
        <w:pStyle w:val="Heading3"/>
        <w:sectPr w:rsidR="00B42099" w:rsidSect="00B42099">
          <w:footnotePr>
            <w:numFmt w:val="lowerRoman"/>
          </w:footnotePr>
          <w:pgSz w:w="16838" w:h="11906" w:orient="landscape"/>
          <w:pgMar w:top="720" w:right="720" w:bottom="720" w:left="1134" w:header="709" w:footer="284" w:gutter="0"/>
          <w:cols w:space="708"/>
          <w:titlePg/>
          <w:docGrid w:linePitch="360"/>
        </w:sectPr>
      </w:pPr>
    </w:p>
    <w:p w14:paraId="0233F388" w14:textId="606243DD" w:rsidR="006B2619" w:rsidRPr="00AA4324" w:rsidRDefault="006B2619" w:rsidP="00AA4324">
      <w:pPr>
        <w:pStyle w:val="Heading3"/>
      </w:pPr>
      <w:r w:rsidRPr="00AA4324">
        <w:lastRenderedPageBreak/>
        <w:t xml:space="preserve">Resources and costs </w:t>
      </w:r>
    </w:p>
    <w:p w14:paraId="1E125DFB" w14:textId="06991054" w:rsidR="006B2619" w:rsidRDefault="006B2619" w:rsidP="006B2619">
      <w:r>
        <w:t xml:space="preserve">Heath service resource utilisation has been reported in Tables 4 and 5, with Table 4 only including children with a re-admission, and Table 5 including all children. Health service cost has been reported in Table 6. For index admissions, ICU hours were skewed due to three children requiring extended ICU care, specifically 1,050 hours, 936 </w:t>
      </w:r>
      <w:proofErr w:type="gramStart"/>
      <w:r>
        <w:t>hours</w:t>
      </w:r>
      <w:proofErr w:type="gramEnd"/>
      <w:r>
        <w:t xml:space="preserve"> and 560 hours. Total hospital length of stay (LOS) was equal highest for index admissions and 0–</w:t>
      </w:r>
      <w:proofErr w:type="gramStart"/>
      <w:r>
        <w:t>30 day</w:t>
      </w:r>
      <w:proofErr w:type="gramEnd"/>
      <w:r>
        <w:t xml:space="preserve"> readmissions (3.7 days, SD 5.4; and 3.7 days, SD 8.1 respectively), with a shorter LOS in the 1–6 month readmissions (2.3 days, SD 2.9) (Table 2). Index admission (n = 363) cost per child was $12,643 (SD $21,644); combined index (n = 363) plus 6-month readmission (n = 204) cost per child was $17,120 (SD $37,562), with a combined health service cost for all admissions of $6,214,439. </w:t>
      </w:r>
    </w:p>
    <w:p w14:paraId="5213A402" w14:textId="77777777" w:rsidR="00841FB0" w:rsidRDefault="00841FB0" w:rsidP="00841FB0">
      <w:pPr>
        <w:pStyle w:val="CDIFigures"/>
        <w:rPr>
          <w:lang w:val="en-GB"/>
        </w:rPr>
      </w:pPr>
      <w:r>
        <w:rPr>
          <w:lang w:val="en-GB"/>
        </w:rPr>
        <w:t>Table 4: Quantity of resource allocation for children under five years of age (only including children with a re-admission in follow-up period calculations)</w:t>
      </w:r>
    </w:p>
    <w:tbl>
      <w:tblPr>
        <w:tblStyle w:val="CDI-StandardTable"/>
        <w:tblW w:w="0" w:type="auto"/>
        <w:tblLook w:val="04A0" w:firstRow="1" w:lastRow="0" w:firstColumn="1" w:lastColumn="0" w:noHBand="0" w:noVBand="1"/>
        <w:tblDescription w:val="Quantity of resource allocation for children under five years of age (only including children with a re-admission in follow-up period calculations)"/>
      </w:tblPr>
      <w:tblGrid>
        <w:gridCol w:w="2661"/>
        <w:gridCol w:w="1450"/>
        <w:gridCol w:w="1276"/>
        <w:gridCol w:w="1134"/>
        <w:gridCol w:w="1365"/>
        <w:gridCol w:w="1174"/>
        <w:gridCol w:w="1406"/>
      </w:tblGrid>
      <w:tr w:rsidR="003645D3" w:rsidRPr="00A42D18" w14:paraId="105A279B" w14:textId="77777777" w:rsidTr="003645D3">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5687B458" w14:textId="77777777" w:rsidR="00841FB0" w:rsidRPr="00A42D18" w:rsidRDefault="00841FB0" w:rsidP="003645D3">
            <w:pPr>
              <w:pStyle w:val="NormalWeb"/>
              <w:rPr>
                <w:color w:val="FFFFFF" w:themeColor="background1"/>
                <w:sz w:val="18"/>
                <w:szCs w:val="18"/>
              </w:rPr>
            </w:pPr>
            <w:r w:rsidRPr="00A42D18">
              <w:rPr>
                <w:color w:val="FFFFFF" w:themeColor="background1"/>
                <w:sz w:val="18"/>
                <w:szCs w:val="18"/>
              </w:rPr>
              <w:t>Resource allocation unit</w:t>
            </w:r>
          </w:p>
        </w:tc>
        <w:tc>
          <w:tcPr>
            <w:tcW w:w="2726" w:type="dxa"/>
            <w:gridSpan w:val="2"/>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2F1E8915" w14:textId="77777777" w:rsidR="00841FB0" w:rsidRPr="00A42D18" w:rsidRDefault="00841FB0" w:rsidP="003645D3">
            <w:pPr>
              <w:pStyle w:val="NormalWeb"/>
              <w:jc w:val="center"/>
              <w:rPr>
                <w:color w:val="FFFFFF" w:themeColor="background1"/>
                <w:sz w:val="18"/>
                <w:szCs w:val="18"/>
              </w:rPr>
            </w:pPr>
            <w:r w:rsidRPr="00A42D18">
              <w:rPr>
                <w:color w:val="FFFFFF" w:themeColor="background1"/>
                <w:sz w:val="18"/>
                <w:szCs w:val="18"/>
                <w:lang w:val="en-US"/>
              </w:rPr>
              <w:t>RSV index admission</w:t>
            </w:r>
            <w:r w:rsidRPr="00A42D18">
              <w:rPr>
                <w:color w:val="FFFFFF" w:themeColor="background1"/>
                <w:sz w:val="18"/>
                <w:szCs w:val="18"/>
                <w:lang w:val="en-US"/>
              </w:rPr>
              <w:br/>
              <w:t>(N = 363)</w:t>
            </w:r>
          </w:p>
        </w:tc>
        <w:tc>
          <w:tcPr>
            <w:tcW w:w="5079" w:type="dxa"/>
            <w:gridSpan w:val="4"/>
            <w:tcBorders>
              <w:left w:val="single" w:sz="2" w:space="0" w:color="FFFFFF" w:themeColor="background1"/>
              <w:bottom w:val="single" w:sz="2" w:space="0" w:color="FFFFFF" w:themeColor="background1"/>
            </w:tcBorders>
            <w:vAlign w:val="center"/>
            <w:hideMark/>
          </w:tcPr>
          <w:p w14:paraId="417DC0CC" w14:textId="77777777" w:rsidR="00841FB0" w:rsidRPr="00A42D18" w:rsidRDefault="00841FB0" w:rsidP="003645D3">
            <w:pPr>
              <w:pStyle w:val="NormalWeb"/>
              <w:jc w:val="center"/>
              <w:rPr>
                <w:color w:val="FFFFFF" w:themeColor="background1"/>
                <w:sz w:val="18"/>
                <w:szCs w:val="18"/>
              </w:rPr>
            </w:pPr>
            <w:r w:rsidRPr="00A42D18">
              <w:rPr>
                <w:color w:val="FFFFFF" w:themeColor="background1"/>
                <w:sz w:val="18"/>
                <w:szCs w:val="18"/>
              </w:rPr>
              <w:t xml:space="preserve">Follow-up period </w:t>
            </w:r>
            <w:r w:rsidRPr="00A42D18">
              <w:rPr>
                <w:color w:val="FFFFFF" w:themeColor="background1"/>
                <w:sz w:val="18"/>
                <w:szCs w:val="18"/>
              </w:rPr>
              <w:br/>
              <w:t>(only including children with a re-admission)</w:t>
            </w:r>
          </w:p>
        </w:tc>
      </w:tr>
      <w:tr w:rsidR="003645D3" w:rsidRPr="00A42D18" w14:paraId="52625A70" w14:textId="77777777" w:rsidTr="003645D3">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vAlign w:val="center"/>
            <w:hideMark/>
          </w:tcPr>
          <w:p w14:paraId="6DAE2273" w14:textId="77777777" w:rsidR="00841FB0" w:rsidRPr="00A42D18" w:rsidRDefault="00841FB0" w:rsidP="003645D3">
            <w:pPr>
              <w:jc w:val="center"/>
              <w:rPr>
                <w:color w:val="FFFFFF" w:themeColor="background1"/>
                <w:sz w:val="18"/>
                <w:szCs w:val="18"/>
              </w:rPr>
            </w:pPr>
          </w:p>
        </w:tc>
        <w:tc>
          <w:tcPr>
            <w:tcW w:w="2726" w:type="dxa"/>
            <w:gridSpan w:val="2"/>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C6C7802" w14:textId="77777777" w:rsidR="00841FB0" w:rsidRPr="00A42D18" w:rsidRDefault="00841FB0" w:rsidP="003645D3">
            <w:pPr>
              <w:jc w:val="center"/>
              <w:rPr>
                <w:color w:val="FFFFFF" w:themeColor="background1"/>
                <w:sz w:val="18"/>
                <w:szCs w:val="18"/>
              </w:rPr>
            </w:pPr>
          </w:p>
        </w:tc>
        <w:tc>
          <w:tcPr>
            <w:tcW w:w="249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7844C3A8" w14:textId="77777777" w:rsidR="00841FB0" w:rsidRPr="00A42D18" w:rsidRDefault="00841FB0" w:rsidP="003645D3">
            <w:pPr>
              <w:pStyle w:val="NormalWeb"/>
              <w:jc w:val="center"/>
              <w:rPr>
                <w:color w:val="FFFFFF" w:themeColor="background1"/>
                <w:sz w:val="18"/>
                <w:szCs w:val="18"/>
              </w:rPr>
            </w:pPr>
            <w:r w:rsidRPr="00A42D18">
              <w:rPr>
                <w:color w:val="FFFFFF" w:themeColor="background1"/>
                <w:sz w:val="18"/>
                <w:szCs w:val="18"/>
              </w:rPr>
              <w:t>0–</w:t>
            </w:r>
            <w:proofErr w:type="gramStart"/>
            <w:r w:rsidRPr="00A42D18">
              <w:rPr>
                <w:color w:val="FFFFFF" w:themeColor="background1"/>
                <w:sz w:val="18"/>
                <w:szCs w:val="18"/>
              </w:rPr>
              <w:t>30 day</w:t>
            </w:r>
            <w:proofErr w:type="gramEnd"/>
            <w:r w:rsidRPr="00A42D18">
              <w:rPr>
                <w:color w:val="FFFFFF" w:themeColor="background1"/>
                <w:sz w:val="18"/>
                <w:szCs w:val="18"/>
              </w:rPr>
              <w:t xml:space="preserve"> re-admissions</w:t>
            </w:r>
            <w:r w:rsidRPr="00A42D18">
              <w:rPr>
                <w:color w:val="FFFFFF" w:themeColor="background1"/>
                <w:sz w:val="18"/>
                <w:szCs w:val="18"/>
              </w:rPr>
              <w:br/>
              <w:t>(N = 51)</w:t>
            </w:r>
          </w:p>
        </w:tc>
        <w:tc>
          <w:tcPr>
            <w:tcW w:w="2580" w:type="dxa"/>
            <w:gridSpan w:val="2"/>
            <w:tcBorders>
              <w:top w:val="single" w:sz="2" w:space="0" w:color="FFFFFF" w:themeColor="background1"/>
              <w:left w:val="single" w:sz="2" w:space="0" w:color="FFFFFF" w:themeColor="background1"/>
              <w:bottom w:val="single" w:sz="2" w:space="0" w:color="FFFFFF" w:themeColor="background1"/>
            </w:tcBorders>
            <w:vAlign w:val="center"/>
            <w:hideMark/>
          </w:tcPr>
          <w:p w14:paraId="0113098F" w14:textId="77777777" w:rsidR="00841FB0" w:rsidRPr="00A42D18" w:rsidRDefault="00841FB0" w:rsidP="003645D3">
            <w:pPr>
              <w:pStyle w:val="NormalWeb"/>
              <w:jc w:val="center"/>
              <w:rPr>
                <w:color w:val="FFFFFF" w:themeColor="background1"/>
                <w:sz w:val="18"/>
                <w:szCs w:val="18"/>
              </w:rPr>
            </w:pPr>
            <w:r w:rsidRPr="00A42D18">
              <w:rPr>
                <w:color w:val="FFFFFF" w:themeColor="background1"/>
                <w:sz w:val="18"/>
                <w:szCs w:val="18"/>
              </w:rPr>
              <w:t>1–</w:t>
            </w:r>
            <w:proofErr w:type="gramStart"/>
            <w:r w:rsidRPr="00A42D18">
              <w:rPr>
                <w:color w:val="FFFFFF" w:themeColor="background1"/>
                <w:sz w:val="18"/>
                <w:szCs w:val="18"/>
              </w:rPr>
              <w:t>6 month</w:t>
            </w:r>
            <w:proofErr w:type="gramEnd"/>
            <w:r w:rsidRPr="00A42D18">
              <w:rPr>
                <w:color w:val="FFFFFF" w:themeColor="background1"/>
                <w:sz w:val="18"/>
                <w:szCs w:val="18"/>
              </w:rPr>
              <w:t xml:space="preserve"> re-admissions</w:t>
            </w:r>
            <w:r w:rsidRPr="00A42D18">
              <w:rPr>
                <w:color w:val="FFFFFF" w:themeColor="background1"/>
                <w:sz w:val="18"/>
                <w:szCs w:val="18"/>
              </w:rPr>
              <w:br/>
              <w:t>(N = 153)</w:t>
            </w:r>
          </w:p>
        </w:tc>
      </w:tr>
      <w:tr w:rsidR="003645D3" w:rsidRPr="00A42D18" w14:paraId="56DBC8D8" w14:textId="77777777" w:rsidTr="003645D3">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vAlign w:val="center"/>
            <w:hideMark/>
          </w:tcPr>
          <w:p w14:paraId="223449F7" w14:textId="77777777" w:rsidR="00841FB0" w:rsidRPr="00A42D18" w:rsidRDefault="00841FB0" w:rsidP="003645D3">
            <w:pPr>
              <w:jc w:val="center"/>
              <w:rPr>
                <w:color w:val="FFFFFF" w:themeColor="background1"/>
                <w:sz w:val="18"/>
                <w:szCs w:val="18"/>
              </w:rPr>
            </w:pPr>
          </w:p>
        </w:tc>
        <w:tc>
          <w:tcPr>
            <w:tcW w:w="1450" w:type="dxa"/>
            <w:tcBorders>
              <w:top w:val="single" w:sz="2" w:space="0" w:color="FFFFFF" w:themeColor="background1"/>
              <w:left w:val="single" w:sz="2" w:space="0" w:color="FFFFFF" w:themeColor="background1"/>
              <w:right w:val="single" w:sz="2" w:space="0" w:color="FFFFFF" w:themeColor="background1"/>
            </w:tcBorders>
            <w:vAlign w:val="center"/>
            <w:hideMark/>
          </w:tcPr>
          <w:p w14:paraId="4B064E6A" w14:textId="77777777" w:rsidR="00841FB0" w:rsidRPr="00A42D18" w:rsidRDefault="00841FB0" w:rsidP="003645D3">
            <w:pPr>
              <w:pStyle w:val="NormalWeb"/>
              <w:jc w:val="center"/>
              <w:rPr>
                <w:color w:val="FFFFFF" w:themeColor="background1"/>
                <w:sz w:val="18"/>
                <w:szCs w:val="18"/>
              </w:rPr>
            </w:pPr>
            <w:r w:rsidRPr="00A42D18">
              <w:rPr>
                <w:color w:val="FFFFFF" w:themeColor="background1"/>
                <w:sz w:val="18"/>
                <w:szCs w:val="18"/>
              </w:rPr>
              <w:t>n</w:t>
            </w:r>
          </w:p>
        </w:tc>
        <w:tc>
          <w:tcPr>
            <w:tcW w:w="1276" w:type="dxa"/>
            <w:tcBorders>
              <w:top w:val="single" w:sz="2" w:space="0" w:color="FFFFFF" w:themeColor="background1"/>
              <w:left w:val="single" w:sz="2" w:space="0" w:color="FFFFFF" w:themeColor="background1"/>
              <w:right w:val="single" w:sz="2" w:space="0" w:color="FFFFFF" w:themeColor="background1"/>
            </w:tcBorders>
            <w:vAlign w:val="center"/>
            <w:hideMark/>
          </w:tcPr>
          <w:p w14:paraId="4BFB0F80" w14:textId="77777777" w:rsidR="00841FB0" w:rsidRPr="00A42D18" w:rsidRDefault="00841FB0" w:rsidP="003645D3">
            <w:pPr>
              <w:pStyle w:val="NormalWeb"/>
              <w:jc w:val="center"/>
              <w:rPr>
                <w:color w:val="FFFFFF" w:themeColor="background1"/>
                <w:sz w:val="18"/>
                <w:szCs w:val="18"/>
              </w:rPr>
            </w:pPr>
            <w:r w:rsidRPr="00A42D18">
              <w:rPr>
                <w:color w:val="FFFFFF" w:themeColor="background1"/>
                <w:sz w:val="18"/>
                <w:szCs w:val="18"/>
              </w:rPr>
              <w:t>%</w:t>
            </w:r>
          </w:p>
        </w:tc>
        <w:tc>
          <w:tcPr>
            <w:tcW w:w="1134" w:type="dxa"/>
            <w:tcBorders>
              <w:top w:val="single" w:sz="2" w:space="0" w:color="FFFFFF" w:themeColor="background1"/>
              <w:left w:val="single" w:sz="2" w:space="0" w:color="FFFFFF" w:themeColor="background1"/>
              <w:right w:val="single" w:sz="2" w:space="0" w:color="FFFFFF" w:themeColor="background1"/>
            </w:tcBorders>
            <w:vAlign w:val="center"/>
            <w:hideMark/>
          </w:tcPr>
          <w:p w14:paraId="798E76EA" w14:textId="77777777" w:rsidR="00841FB0" w:rsidRPr="00A42D18" w:rsidRDefault="00841FB0" w:rsidP="003645D3">
            <w:pPr>
              <w:pStyle w:val="NormalWeb"/>
              <w:jc w:val="center"/>
              <w:rPr>
                <w:color w:val="FFFFFF" w:themeColor="background1"/>
                <w:sz w:val="18"/>
                <w:szCs w:val="18"/>
              </w:rPr>
            </w:pPr>
            <w:r w:rsidRPr="00A42D18">
              <w:rPr>
                <w:color w:val="FFFFFF" w:themeColor="background1"/>
                <w:sz w:val="18"/>
                <w:szCs w:val="18"/>
              </w:rPr>
              <w:t>n</w:t>
            </w:r>
          </w:p>
        </w:tc>
        <w:tc>
          <w:tcPr>
            <w:tcW w:w="1365" w:type="dxa"/>
            <w:tcBorders>
              <w:top w:val="single" w:sz="2" w:space="0" w:color="FFFFFF" w:themeColor="background1"/>
              <w:left w:val="single" w:sz="2" w:space="0" w:color="FFFFFF" w:themeColor="background1"/>
              <w:right w:val="single" w:sz="2" w:space="0" w:color="FFFFFF" w:themeColor="background1"/>
            </w:tcBorders>
            <w:vAlign w:val="center"/>
            <w:hideMark/>
          </w:tcPr>
          <w:p w14:paraId="6974F1E8" w14:textId="77777777" w:rsidR="00841FB0" w:rsidRPr="00A42D18" w:rsidRDefault="00841FB0" w:rsidP="003645D3">
            <w:pPr>
              <w:pStyle w:val="NormalWeb"/>
              <w:jc w:val="center"/>
              <w:rPr>
                <w:color w:val="FFFFFF" w:themeColor="background1"/>
                <w:sz w:val="18"/>
                <w:szCs w:val="18"/>
              </w:rPr>
            </w:pPr>
            <w:r w:rsidRPr="00A42D18">
              <w:rPr>
                <w:color w:val="FFFFFF" w:themeColor="background1"/>
                <w:sz w:val="18"/>
                <w:szCs w:val="18"/>
              </w:rPr>
              <w:t>%</w:t>
            </w:r>
          </w:p>
        </w:tc>
        <w:tc>
          <w:tcPr>
            <w:tcW w:w="1174" w:type="dxa"/>
            <w:tcBorders>
              <w:top w:val="single" w:sz="2" w:space="0" w:color="FFFFFF" w:themeColor="background1"/>
              <w:left w:val="single" w:sz="2" w:space="0" w:color="FFFFFF" w:themeColor="background1"/>
              <w:right w:val="single" w:sz="2" w:space="0" w:color="FFFFFF" w:themeColor="background1"/>
            </w:tcBorders>
            <w:vAlign w:val="center"/>
            <w:hideMark/>
          </w:tcPr>
          <w:p w14:paraId="467137B5" w14:textId="77777777" w:rsidR="00841FB0" w:rsidRPr="00A42D18" w:rsidRDefault="00841FB0" w:rsidP="003645D3">
            <w:pPr>
              <w:pStyle w:val="NormalWeb"/>
              <w:jc w:val="center"/>
              <w:rPr>
                <w:color w:val="FFFFFF" w:themeColor="background1"/>
                <w:sz w:val="18"/>
                <w:szCs w:val="18"/>
              </w:rPr>
            </w:pPr>
            <w:r w:rsidRPr="00A42D18">
              <w:rPr>
                <w:color w:val="FFFFFF" w:themeColor="background1"/>
                <w:sz w:val="18"/>
                <w:szCs w:val="18"/>
              </w:rPr>
              <w:t>n</w:t>
            </w:r>
          </w:p>
        </w:tc>
        <w:tc>
          <w:tcPr>
            <w:tcW w:w="1406" w:type="dxa"/>
            <w:tcBorders>
              <w:top w:val="single" w:sz="2" w:space="0" w:color="FFFFFF" w:themeColor="background1"/>
              <w:left w:val="single" w:sz="2" w:space="0" w:color="FFFFFF" w:themeColor="background1"/>
            </w:tcBorders>
            <w:vAlign w:val="center"/>
            <w:hideMark/>
          </w:tcPr>
          <w:p w14:paraId="00730036" w14:textId="77777777" w:rsidR="00841FB0" w:rsidRPr="00A42D18" w:rsidRDefault="00841FB0" w:rsidP="003645D3">
            <w:pPr>
              <w:pStyle w:val="NormalWeb"/>
              <w:jc w:val="center"/>
              <w:rPr>
                <w:color w:val="FFFFFF" w:themeColor="background1"/>
                <w:sz w:val="18"/>
                <w:szCs w:val="18"/>
              </w:rPr>
            </w:pPr>
            <w:r w:rsidRPr="00A42D18">
              <w:rPr>
                <w:color w:val="FFFFFF" w:themeColor="background1"/>
                <w:sz w:val="18"/>
                <w:szCs w:val="18"/>
                <w:lang w:val="en-US"/>
              </w:rPr>
              <w:t>%</w:t>
            </w:r>
          </w:p>
        </w:tc>
      </w:tr>
      <w:tr w:rsidR="00841FB0" w:rsidRPr="00A42D18" w14:paraId="397DA837" w14:textId="77777777" w:rsidTr="003645D3">
        <w:tblPrEx>
          <w:tblCellMar>
            <w:top w:w="57" w:type="dxa"/>
            <w:left w:w="57" w:type="dxa"/>
            <w:bottom w:w="57" w:type="dxa"/>
            <w:right w:w="57" w:type="dxa"/>
          </w:tblCellMar>
        </w:tblPrEx>
        <w:tc>
          <w:tcPr>
            <w:tcW w:w="0" w:type="auto"/>
            <w:hideMark/>
          </w:tcPr>
          <w:p w14:paraId="48B4ED45" w14:textId="77777777" w:rsidR="00841FB0" w:rsidRPr="00A42D18" w:rsidRDefault="00841FB0" w:rsidP="0091710A">
            <w:pPr>
              <w:pStyle w:val="NormalWeb"/>
              <w:rPr>
                <w:sz w:val="18"/>
                <w:szCs w:val="18"/>
              </w:rPr>
            </w:pPr>
            <w:r w:rsidRPr="00A42D18">
              <w:rPr>
                <w:sz w:val="18"/>
                <w:szCs w:val="18"/>
              </w:rPr>
              <w:t>Ambulance</w:t>
            </w:r>
          </w:p>
        </w:tc>
        <w:tc>
          <w:tcPr>
            <w:tcW w:w="1450" w:type="dxa"/>
            <w:hideMark/>
          </w:tcPr>
          <w:p w14:paraId="5FFF5D76" w14:textId="77777777" w:rsidR="00841FB0" w:rsidRPr="00A42D18" w:rsidRDefault="00841FB0" w:rsidP="0091710A">
            <w:pPr>
              <w:pStyle w:val="NormalWeb"/>
              <w:jc w:val="center"/>
              <w:rPr>
                <w:sz w:val="18"/>
                <w:szCs w:val="18"/>
              </w:rPr>
            </w:pPr>
            <w:r w:rsidRPr="00A42D18">
              <w:rPr>
                <w:sz w:val="18"/>
                <w:szCs w:val="18"/>
              </w:rPr>
              <w:t>18</w:t>
            </w:r>
          </w:p>
        </w:tc>
        <w:tc>
          <w:tcPr>
            <w:tcW w:w="1276" w:type="dxa"/>
            <w:hideMark/>
          </w:tcPr>
          <w:p w14:paraId="62B15932" w14:textId="77777777" w:rsidR="00841FB0" w:rsidRPr="00A42D18" w:rsidRDefault="00841FB0" w:rsidP="0091710A">
            <w:pPr>
              <w:pStyle w:val="NormalWeb"/>
              <w:jc w:val="center"/>
              <w:rPr>
                <w:sz w:val="18"/>
                <w:szCs w:val="18"/>
              </w:rPr>
            </w:pPr>
            <w:r w:rsidRPr="00A42D18">
              <w:rPr>
                <w:sz w:val="18"/>
                <w:szCs w:val="18"/>
              </w:rPr>
              <w:t>5.0</w:t>
            </w:r>
          </w:p>
        </w:tc>
        <w:tc>
          <w:tcPr>
            <w:tcW w:w="1134" w:type="dxa"/>
            <w:hideMark/>
          </w:tcPr>
          <w:p w14:paraId="48B7D17E" w14:textId="77777777" w:rsidR="00841FB0" w:rsidRPr="00A42D18" w:rsidRDefault="00841FB0" w:rsidP="0091710A">
            <w:pPr>
              <w:pStyle w:val="NormalWeb"/>
              <w:jc w:val="center"/>
              <w:rPr>
                <w:sz w:val="18"/>
                <w:szCs w:val="18"/>
              </w:rPr>
            </w:pPr>
            <w:r w:rsidRPr="00A42D18">
              <w:rPr>
                <w:sz w:val="18"/>
                <w:szCs w:val="18"/>
              </w:rPr>
              <w:t>2</w:t>
            </w:r>
          </w:p>
        </w:tc>
        <w:tc>
          <w:tcPr>
            <w:tcW w:w="1365" w:type="dxa"/>
            <w:hideMark/>
          </w:tcPr>
          <w:p w14:paraId="4EECB20E" w14:textId="77777777" w:rsidR="00841FB0" w:rsidRPr="00A42D18" w:rsidRDefault="00841FB0" w:rsidP="0091710A">
            <w:pPr>
              <w:pStyle w:val="NormalWeb"/>
              <w:jc w:val="center"/>
              <w:rPr>
                <w:sz w:val="18"/>
                <w:szCs w:val="18"/>
              </w:rPr>
            </w:pPr>
            <w:r w:rsidRPr="00A42D18">
              <w:rPr>
                <w:sz w:val="18"/>
                <w:szCs w:val="18"/>
              </w:rPr>
              <w:t>3.9</w:t>
            </w:r>
          </w:p>
        </w:tc>
        <w:tc>
          <w:tcPr>
            <w:tcW w:w="1174" w:type="dxa"/>
            <w:hideMark/>
          </w:tcPr>
          <w:p w14:paraId="69779069" w14:textId="77777777" w:rsidR="00841FB0" w:rsidRPr="00A42D18" w:rsidRDefault="00841FB0" w:rsidP="0091710A">
            <w:pPr>
              <w:pStyle w:val="NormalWeb"/>
              <w:jc w:val="center"/>
              <w:rPr>
                <w:sz w:val="18"/>
                <w:szCs w:val="18"/>
              </w:rPr>
            </w:pPr>
            <w:r w:rsidRPr="00A42D18">
              <w:rPr>
                <w:sz w:val="18"/>
                <w:szCs w:val="18"/>
              </w:rPr>
              <w:t>12</w:t>
            </w:r>
          </w:p>
        </w:tc>
        <w:tc>
          <w:tcPr>
            <w:tcW w:w="1406" w:type="dxa"/>
            <w:hideMark/>
          </w:tcPr>
          <w:p w14:paraId="2AEBF75E" w14:textId="77777777" w:rsidR="00841FB0" w:rsidRPr="00A42D18" w:rsidRDefault="00841FB0" w:rsidP="0091710A">
            <w:pPr>
              <w:pStyle w:val="NormalWeb"/>
              <w:jc w:val="center"/>
              <w:rPr>
                <w:sz w:val="18"/>
                <w:szCs w:val="18"/>
              </w:rPr>
            </w:pPr>
            <w:r w:rsidRPr="00A42D18">
              <w:rPr>
                <w:sz w:val="18"/>
                <w:szCs w:val="18"/>
              </w:rPr>
              <w:t>7.8</w:t>
            </w:r>
          </w:p>
        </w:tc>
      </w:tr>
      <w:tr w:rsidR="003645D3" w:rsidRPr="00A42D18" w14:paraId="34792F6D" w14:textId="77777777" w:rsidTr="003645D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4AB225E" w14:textId="77777777" w:rsidR="00841FB0" w:rsidRPr="00A42D18" w:rsidRDefault="00841FB0" w:rsidP="0091710A">
            <w:pPr>
              <w:pStyle w:val="NormalWeb"/>
              <w:rPr>
                <w:sz w:val="18"/>
                <w:szCs w:val="18"/>
              </w:rPr>
            </w:pPr>
            <w:r w:rsidRPr="00A42D18">
              <w:rPr>
                <w:sz w:val="18"/>
                <w:szCs w:val="18"/>
                <w:lang w:val="en-US"/>
              </w:rPr>
              <w:t>ED presentation prior to the acute admission</w:t>
            </w:r>
          </w:p>
        </w:tc>
        <w:tc>
          <w:tcPr>
            <w:tcW w:w="1450" w:type="dxa"/>
            <w:hideMark/>
          </w:tcPr>
          <w:p w14:paraId="54524890" w14:textId="77777777" w:rsidR="00841FB0" w:rsidRPr="00A42D18" w:rsidRDefault="00841FB0" w:rsidP="0091710A">
            <w:pPr>
              <w:pStyle w:val="NormalWeb"/>
              <w:jc w:val="center"/>
              <w:rPr>
                <w:sz w:val="18"/>
                <w:szCs w:val="18"/>
              </w:rPr>
            </w:pPr>
            <w:r w:rsidRPr="00A42D18">
              <w:rPr>
                <w:sz w:val="18"/>
                <w:szCs w:val="18"/>
              </w:rPr>
              <w:t>318</w:t>
            </w:r>
          </w:p>
        </w:tc>
        <w:tc>
          <w:tcPr>
            <w:tcW w:w="1276" w:type="dxa"/>
            <w:hideMark/>
          </w:tcPr>
          <w:p w14:paraId="73B6A309" w14:textId="77777777" w:rsidR="00841FB0" w:rsidRPr="00A42D18" w:rsidRDefault="00841FB0" w:rsidP="0091710A">
            <w:pPr>
              <w:pStyle w:val="NormalWeb"/>
              <w:jc w:val="center"/>
              <w:rPr>
                <w:sz w:val="18"/>
                <w:szCs w:val="18"/>
              </w:rPr>
            </w:pPr>
            <w:r w:rsidRPr="00A42D18">
              <w:rPr>
                <w:sz w:val="18"/>
                <w:szCs w:val="18"/>
              </w:rPr>
              <w:t>87.6</w:t>
            </w:r>
          </w:p>
        </w:tc>
        <w:tc>
          <w:tcPr>
            <w:tcW w:w="1134" w:type="dxa"/>
            <w:hideMark/>
          </w:tcPr>
          <w:p w14:paraId="40999199" w14:textId="77777777" w:rsidR="00841FB0" w:rsidRPr="00A42D18" w:rsidRDefault="00841FB0" w:rsidP="0091710A">
            <w:pPr>
              <w:pStyle w:val="NormalWeb"/>
              <w:jc w:val="center"/>
              <w:rPr>
                <w:sz w:val="18"/>
                <w:szCs w:val="18"/>
              </w:rPr>
            </w:pPr>
            <w:r w:rsidRPr="00A42D18">
              <w:rPr>
                <w:sz w:val="18"/>
                <w:szCs w:val="18"/>
              </w:rPr>
              <w:t>47</w:t>
            </w:r>
          </w:p>
        </w:tc>
        <w:tc>
          <w:tcPr>
            <w:tcW w:w="1365" w:type="dxa"/>
            <w:hideMark/>
          </w:tcPr>
          <w:p w14:paraId="5E7361D6" w14:textId="77777777" w:rsidR="00841FB0" w:rsidRPr="00A42D18" w:rsidRDefault="00841FB0" w:rsidP="0091710A">
            <w:pPr>
              <w:pStyle w:val="NormalWeb"/>
              <w:jc w:val="center"/>
              <w:rPr>
                <w:sz w:val="18"/>
                <w:szCs w:val="18"/>
              </w:rPr>
            </w:pPr>
            <w:r w:rsidRPr="00A42D18">
              <w:rPr>
                <w:sz w:val="18"/>
                <w:szCs w:val="18"/>
              </w:rPr>
              <w:t>92.2</w:t>
            </w:r>
          </w:p>
        </w:tc>
        <w:tc>
          <w:tcPr>
            <w:tcW w:w="1174" w:type="dxa"/>
            <w:hideMark/>
          </w:tcPr>
          <w:p w14:paraId="0B7D44FC" w14:textId="77777777" w:rsidR="00841FB0" w:rsidRPr="00A42D18" w:rsidRDefault="00841FB0" w:rsidP="0091710A">
            <w:pPr>
              <w:pStyle w:val="NormalWeb"/>
              <w:jc w:val="center"/>
              <w:rPr>
                <w:sz w:val="18"/>
                <w:szCs w:val="18"/>
              </w:rPr>
            </w:pPr>
            <w:r w:rsidRPr="00A42D18">
              <w:rPr>
                <w:sz w:val="18"/>
                <w:szCs w:val="18"/>
              </w:rPr>
              <w:t>135</w:t>
            </w:r>
          </w:p>
        </w:tc>
        <w:tc>
          <w:tcPr>
            <w:tcW w:w="1406" w:type="dxa"/>
            <w:hideMark/>
          </w:tcPr>
          <w:p w14:paraId="5FCC1CC9" w14:textId="77777777" w:rsidR="00841FB0" w:rsidRPr="00A42D18" w:rsidRDefault="00841FB0" w:rsidP="0091710A">
            <w:pPr>
              <w:pStyle w:val="NormalWeb"/>
              <w:jc w:val="center"/>
              <w:rPr>
                <w:sz w:val="18"/>
                <w:szCs w:val="18"/>
              </w:rPr>
            </w:pPr>
            <w:r w:rsidRPr="00A42D18">
              <w:rPr>
                <w:sz w:val="18"/>
                <w:szCs w:val="18"/>
                <w:lang w:val="en-US"/>
              </w:rPr>
              <w:t>88.3</w:t>
            </w:r>
          </w:p>
        </w:tc>
      </w:tr>
      <w:tr w:rsidR="003645D3" w:rsidRPr="00A42D18" w14:paraId="326F957B" w14:textId="77777777" w:rsidTr="003645D3">
        <w:tblPrEx>
          <w:tblCellMar>
            <w:top w:w="57" w:type="dxa"/>
            <w:left w:w="57" w:type="dxa"/>
            <w:bottom w:w="57" w:type="dxa"/>
            <w:right w:w="57" w:type="dxa"/>
          </w:tblCellMar>
        </w:tblPrEx>
        <w:tc>
          <w:tcPr>
            <w:tcW w:w="0" w:type="auto"/>
            <w:vMerge w:val="restart"/>
            <w:hideMark/>
          </w:tcPr>
          <w:p w14:paraId="281D2B5C" w14:textId="77777777" w:rsidR="00841FB0" w:rsidRPr="00A42D18" w:rsidRDefault="00841FB0" w:rsidP="0091710A">
            <w:pPr>
              <w:rPr>
                <w:sz w:val="18"/>
                <w:szCs w:val="18"/>
              </w:rPr>
            </w:pPr>
          </w:p>
        </w:tc>
        <w:tc>
          <w:tcPr>
            <w:tcW w:w="2726" w:type="dxa"/>
            <w:gridSpan w:val="2"/>
            <w:tcBorders>
              <w:bottom w:val="single" w:sz="2" w:space="0" w:color="FFFFFF" w:themeColor="background1"/>
              <w:right w:val="single" w:sz="2" w:space="0" w:color="FFFFFF" w:themeColor="background1"/>
            </w:tcBorders>
            <w:shd w:val="clear" w:color="auto" w:fill="595959" w:themeFill="text1" w:themeFillTint="A6"/>
            <w:hideMark/>
          </w:tcPr>
          <w:p w14:paraId="02153C32" w14:textId="77777777" w:rsidR="00841FB0" w:rsidRPr="00A42D18" w:rsidRDefault="00841FB0" w:rsidP="003645D3">
            <w:pPr>
              <w:pStyle w:val="NormalWeb"/>
              <w:jc w:val="center"/>
              <w:rPr>
                <w:b/>
                <w:bCs/>
                <w:color w:val="FFFFFF" w:themeColor="background1"/>
                <w:sz w:val="18"/>
                <w:szCs w:val="18"/>
              </w:rPr>
            </w:pPr>
            <w:r w:rsidRPr="00A42D18">
              <w:rPr>
                <w:b/>
                <w:bCs/>
                <w:color w:val="FFFFFF" w:themeColor="background1"/>
                <w:sz w:val="18"/>
                <w:szCs w:val="18"/>
              </w:rPr>
              <w:t>Hours/days per child</w:t>
            </w:r>
          </w:p>
        </w:tc>
        <w:tc>
          <w:tcPr>
            <w:tcW w:w="2499"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hideMark/>
          </w:tcPr>
          <w:p w14:paraId="03B3007E" w14:textId="77777777" w:rsidR="00841FB0" w:rsidRPr="00A42D18" w:rsidRDefault="00841FB0" w:rsidP="003645D3">
            <w:pPr>
              <w:pStyle w:val="NormalWeb"/>
              <w:jc w:val="center"/>
              <w:rPr>
                <w:b/>
                <w:bCs/>
                <w:color w:val="FFFFFF" w:themeColor="background1"/>
                <w:sz w:val="18"/>
                <w:szCs w:val="18"/>
              </w:rPr>
            </w:pPr>
            <w:r w:rsidRPr="00A42D18">
              <w:rPr>
                <w:b/>
                <w:bCs/>
                <w:color w:val="FFFFFF" w:themeColor="background1"/>
                <w:sz w:val="18"/>
                <w:szCs w:val="18"/>
              </w:rPr>
              <w:t>Hours/days per child</w:t>
            </w:r>
          </w:p>
        </w:tc>
        <w:tc>
          <w:tcPr>
            <w:tcW w:w="2580" w:type="dxa"/>
            <w:gridSpan w:val="2"/>
            <w:tcBorders>
              <w:left w:val="single" w:sz="2" w:space="0" w:color="FFFFFF" w:themeColor="background1"/>
              <w:bottom w:val="single" w:sz="2" w:space="0" w:color="FFFFFF" w:themeColor="background1"/>
            </w:tcBorders>
            <w:shd w:val="clear" w:color="auto" w:fill="595959" w:themeFill="text1" w:themeFillTint="A6"/>
            <w:hideMark/>
          </w:tcPr>
          <w:p w14:paraId="05268958" w14:textId="77777777" w:rsidR="00841FB0" w:rsidRPr="00A42D18" w:rsidRDefault="00841FB0" w:rsidP="003645D3">
            <w:pPr>
              <w:pStyle w:val="NormalWeb"/>
              <w:jc w:val="center"/>
              <w:rPr>
                <w:b/>
                <w:bCs/>
                <w:color w:val="FFFFFF" w:themeColor="background1"/>
                <w:sz w:val="18"/>
                <w:szCs w:val="18"/>
              </w:rPr>
            </w:pPr>
            <w:r w:rsidRPr="00A42D18">
              <w:rPr>
                <w:b/>
                <w:bCs/>
                <w:color w:val="FFFFFF" w:themeColor="background1"/>
                <w:sz w:val="18"/>
                <w:szCs w:val="18"/>
              </w:rPr>
              <w:t>Hours/days per child</w:t>
            </w:r>
          </w:p>
        </w:tc>
      </w:tr>
      <w:tr w:rsidR="003645D3" w:rsidRPr="00A42D18" w14:paraId="1AF40779" w14:textId="77777777" w:rsidTr="003645D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7DC653D1" w14:textId="77777777" w:rsidR="00841FB0" w:rsidRPr="00A42D18" w:rsidRDefault="00841FB0" w:rsidP="0091710A">
            <w:pPr>
              <w:rPr>
                <w:sz w:val="18"/>
                <w:szCs w:val="18"/>
              </w:rPr>
            </w:pPr>
          </w:p>
        </w:tc>
        <w:tc>
          <w:tcPr>
            <w:tcW w:w="1450" w:type="dxa"/>
            <w:tcBorders>
              <w:top w:val="single" w:sz="2" w:space="0" w:color="FFFFFF" w:themeColor="background1"/>
              <w:right w:val="single" w:sz="2" w:space="0" w:color="FFFFFF" w:themeColor="background1"/>
            </w:tcBorders>
            <w:shd w:val="clear" w:color="auto" w:fill="595959" w:themeFill="text1" w:themeFillTint="A6"/>
            <w:hideMark/>
          </w:tcPr>
          <w:p w14:paraId="3C8A84D1" w14:textId="77777777" w:rsidR="00841FB0" w:rsidRPr="00A42D18" w:rsidRDefault="00841FB0" w:rsidP="003645D3">
            <w:pPr>
              <w:pStyle w:val="NormalWeb"/>
              <w:jc w:val="center"/>
              <w:rPr>
                <w:b/>
                <w:bCs/>
                <w:color w:val="FFFFFF" w:themeColor="background1"/>
                <w:sz w:val="18"/>
                <w:szCs w:val="18"/>
              </w:rPr>
            </w:pPr>
            <w:r w:rsidRPr="00A42D18">
              <w:rPr>
                <w:b/>
                <w:bCs/>
                <w:color w:val="FFFFFF" w:themeColor="background1"/>
                <w:sz w:val="18"/>
                <w:szCs w:val="18"/>
              </w:rPr>
              <w:t>Mean</w:t>
            </w:r>
          </w:p>
        </w:tc>
        <w:tc>
          <w:tcPr>
            <w:tcW w:w="1276"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29162490" w14:textId="77777777" w:rsidR="00841FB0" w:rsidRPr="00A42D18" w:rsidRDefault="00841FB0" w:rsidP="003645D3">
            <w:pPr>
              <w:pStyle w:val="NormalWeb"/>
              <w:jc w:val="center"/>
              <w:rPr>
                <w:b/>
                <w:bCs/>
                <w:color w:val="FFFFFF" w:themeColor="background1"/>
                <w:sz w:val="18"/>
                <w:szCs w:val="18"/>
              </w:rPr>
            </w:pPr>
            <w:r w:rsidRPr="00A42D18">
              <w:rPr>
                <w:b/>
                <w:bCs/>
                <w:color w:val="FFFFFF" w:themeColor="background1"/>
                <w:sz w:val="18"/>
                <w:szCs w:val="18"/>
              </w:rPr>
              <w:t>SD</w:t>
            </w:r>
          </w:p>
        </w:tc>
        <w:tc>
          <w:tcPr>
            <w:tcW w:w="1134"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51856B99" w14:textId="77777777" w:rsidR="00841FB0" w:rsidRPr="00A42D18" w:rsidRDefault="00841FB0" w:rsidP="003645D3">
            <w:pPr>
              <w:pStyle w:val="NormalWeb"/>
              <w:jc w:val="center"/>
              <w:rPr>
                <w:b/>
                <w:bCs/>
                <w:color w:val="FFFFFF" w:themeColor="background1"/>
                <w:sz w:val="18"/>
                <w:szCs w:val="18"/>
              </w:rPr>
            </w:pPr>
            <w:r w:rsidRPr="00A42D18">
              <w:rPr>
                <w:b/>
                <w:bCs/>
                <w:color w:val="FFFFFF" w:themeColor="background1"/>
                <w:sz w:val="18"/>
                <w:szCs w:val="18"/>
              </w:rPr>
              <w:t>Mean</w:t>
            </w:r>
          </w:p>
        </w:tc>
        <w:tc>
          <w:tcPr>
            <w:tcW w:w="1365"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067DAAC5" w14:textId="77777777" w:rsidR="00841FB0" w:rsidRPr="00A42D18" w:rsidRDefault="00841FB0" w:rsidP="003645D3">
            <w:pPr>
              <w:pStyle w:val="NormalWeb"/>
              <w:jc w:val="center"/>
              <w:rPr>
                <w:b/>
                <w:bCs/>
                <w:color w:val="FFFFFF" w:themeColor="background1"/>
                <w:sz w:val="18"/>
                <w:szCs w:val="18"/>
              </w:rPr>
            </w:pPr>
            <w:r w:rsidRPr="00A42D18">
              <w:rPr>
                <w:b/>
                <w:bCs/>
                <w:color w:val="FFFFFF" w:themeColor="background1"/>
                <w:sz w:val="18"/>
                <w:szCs w:val="18"/>
              </w:rPr>
              <w:t>SD</w:t>
            </w:r>
          </w:p>
        </w:tc>
        <w:tc>
          <w:tcPr>
            <w:tcW w:w="1174"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1E0D0768" w14:textId="77777777" w:rsidR="00841FB0" w:rsidRPr="00A42D18" w:rsidRDefault="00841FB0" w:rsidP="003645D3">
            <w:pPr>
              <w:pStyle w:val="NormalWeb"/>
              <w:jc w:val="center"/>
              <w:rPr>
                <w:b/>
                <w:bCs/>
                <w:color w:val="FFFFFF" w:themeColor="background1"/>
                <w:sz w:val="18"/>
                <w:szCs w:val="18"/>
              </w:rPr>
            </w:pPr>
            <w:r w:rsidRPr="00A42D18">
              <w:rPr>
                <w:b/>
                <w:bCs/>
                <w:color w:val="FFFFFF" w:themeColor="background1"/>
                <w:sz w:val="18"/>
                <w:szCs w:val="18"/>
              </w:rPr>
              <w:t>Mean</w:t>
            </w:r>
          </w:p>
        </w:tc>
        <w:tc>
          <w:tcPr>
            <w:tcW w:w="1406" w:type="dxa"/>
            <w:tcBorders>
              <w:top w:val="single" w:sz="2" w:space="0" w:color="FFFFFF" w:themeColor="background1"/>
              <w:left w:val="single" w:sz="2" w:space="0" w:color="FFFFFF" w:themeColor="background1"/>
            </w:tcBorders>
            <w:shd w:val="clear" w:color="auto" w:fill="595959" w:themeFill="text1" w:themeFillTint="A6"/>
            <w:hideMark/>
          </w:tcPr>
          <w:p w14:paraId="74E1F154" w14:textId="77777777" w:rsidR="00841FB0" w:rsidRPr="00A42D18" w:rsidRDefault="00841FB0" w:rsidP="003645D3">
            <w:pPr>
              <w:pStyle w:val="NormalWeb"/>
              <w:jc w:val="center"/>
              <w:rPr>
                <w:b/>
                <w:bCs/>
                <w:color w:val="FFFFFF" w:themeColor="background1"/>
                <w:sz w:val="18"/>
                <w:szCs w:val="18"/>
              </w:rPr>
            </w:pPr>
            <w:r w:rsidRPr="00A42D18">
              <w:rPr>
                <w:b/>
                <w:bCs/>
                <w:color w:val="FFFFFF" w:themeColor="background1"/>
                <w:sz w:val="18"/>
                <w:szCs w:val="18"/>
                <w:lang w:val="en-US"/>
              </w:rPr>
              <w:t>SD</w:t>
            </w:r>
          </w:p>
        </w:tc>
      </w:tr>
      <w:tr w:rsidR="00841FB0" w:rsidRPr="00A42D18" w14:paraId="48016B35" w14:textId="77777777" w:rsidTr="003645D3">
        <w:tblPrEx>
          <w:tblCellMar>
            <w:top w:w="57" w:type="dxa"/>
            <w:left w:w="57" w:type="dxa"/>
            <w:bottom w:w="57" w:type="dxa"/>
            <w:right w:w="57" w:type="dxa"/>
          </w:tblCellMar>
        </w:tblPrEx>
        <w:tc>
          <w:tcPr>
            <w:tcW w:w="0" w:type="auto"/>
            <w:hideMark/>
          </w:tcPr>
          <w:p w14:paraId="1ECF6C6C" w14:textId="77777777" w:rsidR="00841FB0" w:rsidRPr="00A42D18" w:rsidRDefault="00841FB0" w:rsidP="0091710A">
            <w:pPr>
              <w:pStyle w:val="NormalWeb"/>
              <w:rPr>
                <w:sz w:val="18"/>
                <w:szCs w:val="18"/>
              </w:rPr>
            </w:pPr>
            <w:r w:rsidRPr="00A42D18">
              <w:rPr>
                <w:sz w:val="18"/>
                <w:szCs w:val="18"/>
              </w:rPr>
              <w:t>ICU hours during admission</w:t>
            </w:r>
          </w:p>
        </w:tc>
        <w:tc>
          <w:tcPr>
            <w:tcW w:w="1450" w:type="dxa"/>
            <w:hideMark/>
          </w:tcPr>
          <w:p w14:paraId="167F3F4F" w14:textId="77777777" w:rsidR="00841FB0" w:rsidRPr="00A42D18" w:rsidRDefault="00841FB0" w:rsidP="0091710A">
            <w:pPr>
              <w:pStyle w:val="NormalWeb"/>
              <w:jc w:val="center"/>
              <w:rPr>
                <w:sz w:val="18"/>
                <w:szCs w:val="18"/>
              </w:rPr>
            </w:pPr>
            <w:r w:rsidRPr="00A42D18">
              <w:rPr>
                <w:sz w:val="18"/>
                <w:szCs w:val="18"/>
              </w:rPr>
              <w:t>30.2</w:t>
            </w:r>
          </w:p>
        </w:tc>
        <w:tc>
          <w:tcPr>
            <w:tcW w:w="1276" w:type="dxa"/>
            <w:hideMark/>
          </w:tcPr>
          <w:p w14:paraId="2AAC6589" w14:textId="77777777" w:rsidR="00841FB0" w:rsidRPr="00A42D18" w:rsidRDefault="00841FB0" w:rsidP="0091710A">
            <w:pPr>
              <w:pStyle w:val="NormalWeb"/>
              <w:jc w:val="center"/>
              <w:rPr>
                <w:sz w:val="18"/>
                <w:szCs w:val="18"/>
              </w:rPr>
            </w:pPr>
            <w:r w:rsidRPr="00A42D18">
              <w:rPr>
                <w:sz w:val="18"/>
                <w:szCs w:val="18"/>
              </w:rPr>
              <w:t>92.9</w:t>
            </w:r>
          </w:p>
        </w:tc>
        <w:tc>
          <w:tcPr>
            <w:tcW w:w="1134" w:type="dxa"/>
            <w:hideMark/>
          </w:tcPr>
          <w:p w14:paraId="32BFF636" w14:textId="77777777" w:rsidR="00841FB0" w:rsidRPr="00A42D18" w:rsidRDefault="00841FB0" w:rsidP="0091710A">
            <w:pPr>
              <w:pStyle w:val="NormalWeb"/>
              <w:jc w:val="center"/>
              <w:rPr>
                <w:sz w:val="18"/>
                <w:szCs w:val="18"/>
              </w:rPr>
            </w:pPr>
            <w:r w:rsidRPr="00A42D18">
              <w:rPr>
                <w:sz w:val="18"/>
                <w:szCs w:val="18"/>
              </w:rPr>
              <w:t>7.3</w:t>
            </w:r>
          </w:p>
        </w:tc>
        <w:tc>
          <w:tcPr>
            <w:tcW w:w="1365" w:type="dxa"/>
            <w:hideMark/>
          </w:tcPr>
          <w:p w14:paraId="09554D5D" w14:textId="77777777" w:rsidR="00841FB0" w:rsidRPr="00A42D18" w:rsidRDefault="00841FB0" w:rsidP="0091710A">
            <w:pPr>
              <w:pStyle w:val="NormalWeb"/>
              <w:jc w:val="center"/>
              <w:rPr>
                <w:sz w:val="18"/>
                <w:szCs w:val="18"/>
              </w:rPr>
            </w:pPr>
            <w:r w:rsidRPr="00A42D18">
              <w:rPr>
                <w:sz w:val="18"/>
                <w:szCs w:val="18"/>
              </w:rPr>
              <w:t>29.6</w:t>
            </w:r>
          </w:p>
        </w:tc>
        <w:tc>
          <w:tcPr>
            <w:tcW w:w="1174" w:type="dxa"/>
            <w:hideMark/>
          </w:tcPr>
          <w:p w14:paraId="288590CC" w14:textId="77777777" w:rsidR="00841FB0" w:rsidRPr="00A42D18" w:rsidRDefault="00841FB0" w:rsidP="0091710A">
            <w:pPr>
              <w:pStyle w:val="NormalWeb"/>
              <w:jc w:val="center"/>
              <w:rPr>
                <w:sz w:val="18"/>
                <w:szCs w:val="18"/>
              </w:rPr>
            </w:pPr>
            <w:r w:rsidRPr="00A42D18">
              <w:rPr>
                <w:sz w:val="18"/>
                <w:szCs w:val="18"/>
              </w:rPr>
              <w:t>3.8</w:t>
            </w:r>
          </w:p>
        </w:tc>
        <w:tc>
          <w:tcPr>
            <w:tcW w:w="1406" w:type="dxa"/>
            <w:hideMark/>
          </w:tcPr>
          <w:p w14:paraId="2710BBCD" w14:textId="77777777" w:rsidR="00841FB0" w:rsidRPr="00A42D18" w:rsidRDefault="00841FB0" w:rsidP="0091710A">
            <w:pPr>
              <w:pStyle w:val="NormalWeb"/>
              <w:jc w:val="center"/>
              <w:rPr>
                <w:sz w:val="18"/>
                <w:szCs w:val="18"/>
              </w:rPr>
            </w:pPr>
            <w:r w:rsidRPr="00A42D18">
              <w:rPr>
                <w:sz w:val="18"/>
                <w:szCs w:val="18"/>
              </w:rPr>
              <w:t>13.9</w:t>
            </w:r>
          </w:p>
        </w:tc>
      </w:tr>
      <w:tr w:rsidR="003645D3" w:rsidRPr="00A42D18" w14:paraId="289576D7" w14:textId="77777777" w:rsidTr="003645D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97AB1E2" w14:textId="77777777" w:rsidR="00841FB0" w:rsidRPr="00A42D18" w:rsidRDefault="00841FB0" w:rsidP="0091710A">
            <w:pPr>
              <w:pStyle w:val="NormalWeb"/>
              <w:rPr>
                <w:sz w:val="18"/>
                <w:szCs w:val="18"/>
              </w:rPr>
            </w:pPr>
            <w:r w:rsidRPr="00A42D18">
              <w:rPr>
                <w:sz w:val="18"/>
                <w:szCs w:val="18"/>
                <w:lang w:val="en-US"/>
              </w:rPr>
              <w:t>Total hospital admission length of stay, in days</w:t>
            </w:r>
          </w:p>
        </w:tc>
        <w:tc>
          <w:tcPr>
            <w:tcW w:w="1450" w:type="dxa"/>
            <w:hideMark/>
          </w:tcPr>
          <w:p w14:paraId="73071EF0" w14:textId="77777777" w:rsidR="00841FB0" w:rsidRPr="00A42D18" w:rsidRDefault="00841FB0" w:rsidP="0091710A">
            <w:pPr>
              <w:pStyle w:val="NormalWeb"/>
              <w:jc w:val="center"/>
              <w:rPr>
                <w:sz w:val="18"/>
                <w:szCs w:val="18"/>
              </w:rPr>
            </w:pPr>
            <w:r w:rsidRPr="00A42D18">
              <w:rPr>
                <w:sz w:val="18"/>
                <w:szCs w:val="18"/>
              </w:rPr>
              <w:t>3.7</w:t>
            </w:r>
          </w:p>
        </w:tc>
        <w:tc>
          <w:tcPr>
            <w:tcW w:w="1276" w:type="dxa"/>
            <w:hideMark/>
          </w:tcPr>
          <w:p w14:paraId="733AD67E" w14:textId="77777777" w:rsidR="00841FB0" w:rsidRPr="00A42D18" w:rsidRDefault="00841FB0" w:rsidP="0091710A">
            <w:pPr>
              <w:pStyle w:val="NormalWeb"/>
              <w:jc w:val="center"/>
              <w:rPr>
                <w:sz w:val="18"/>
                <w:szCs w:val="18"/>
              </w:rPr>
            </w:pPr>
            <w:r w:rsidRPr="00A42D18">
              <w:rPr>
                <w:sz w:val="18"/>
                <w:szCs w:val="18"/>
              </w:rPr>
              <w:t>5.4</w:t>
            </w:r>
          </w:p>
        </w:tc>
        <w:tc>
          <w:tcPr>
            <w:tcW w:w="1134" w:type="dxa"/>
            <w:hideMark/>
          </w:tcPr>
          <w:p w14:paraId="3343A2F9" w14:textId="77777777" w:rsidR="00841FB0" w:rsidRPr="00A42D18" w:rsidRDefault="00841FB0" w:rsidP="0091710A">
            <w:pPr>
              <w:pStyle w:val="NormalWeb"/>
              <w:jc w:val="center"/>
              <w:rPr>
                <w:sz w:val="18"/>
                <w:szCs w:val="18"/>
              </w:rPr>
            </w:pPr>
            <w:r w:rsidRPr="00A42D18">
              <w:rPr>
                <w:sz w:val="18"/>
                <w:szCs w:val="18"/>
              </w:rPr>
              <w:t>3.7</w:t>
            </w:r>
          </w:p>
        </w:tc>
        <w:tc>
          <w:tcPr>
            <w:tcW w:w="1365" w:type="dxa"/>
            <w:hideMark/>
          </w:tcPr>
          <w:p w14:paraId="44D00665" w14:textId="77777777" w:rsidR="00841FB0" w:rsidRPr="00A42D18" w:rsidRDefault="00841FB0" w:rsidP="0091710A">
            <w:pPr>
              <w:pStyle w:val="NormalWeb"/>
              <w:jc w:val="center"/>
              <w:rPr>
                <w:sz w:val="18"/>
                <w:szCs w:val="18"/>
              </w:rPr>
            </w:pPr>
            <w:r w:rsidRPr="00A42D18">
              <w:rPr>
                <w:sz w:val="18"/>
                <w:szCs w:val="18"/>
              </w:rPr>
              <w:t>8.1</w:t>
            </w:r>
          </w:p>
        </w:tc>
        <w:tc>
          <w:tcPr>
            <w:tcW w:w="1174" w:type="dxa"/>
            <w:hideMark/>
          </w:tcPr>
          <w:p w14:paraId="7B9225A8" w14:textId="77777777" w:rsidR="00841FB0" w:rsidRPr="00A42D18" w:rsidRDefault="00841FB0" w:rsidP="0091710A">
            <w:pPr>
              <w:pStyle w:val="NormalWeb"/>
              <w:jc w:val="center"/>
              <w:rPr>
                <w:sz w:val="18"/>
                <w:szCs w:val="18"/>
              </w:rPr>
            </w:pPr>
            <w:r w:rsidRPr="00A42D18">
              <w:rPr>
                <w:sz w:val="18"/>
                <w:szCs w:val="18"/>
              </w:rPr>
              <w:t>2.3</w:t>
            </w:r>
          </w:p>
        </w:tc>
        <w:tc>
          <w:tcPr>
            <w:tcW w:w="1406" w:type="dxa"/>
            <w:hideMark/>
          </w:tcPr>
          <w:p w14:paraId="30BB9D7C" w14:textId="77777777" w:rsidR="00841FB0" w:rsidRPr="00A42D18" w:rsidRDefault="00841FB0" w:rsidP="0091710A">
            <w:pPr>
              <w:pStyle w:val="NormalWeb"/>
              <w:jc w:val="center"/>
              <w:rPr>
                <w:sz w:val="18"/>
                <w:szCs w:val="18"/>
              </w:rPr>
            </w:pPr>
            <w:r w:rsidRPr="00A42D18">
              <w:rPr>
                <w:sz w:val="18"/>
                <w:szCs w:val="18"/>
                <w:lang w:val="en-US"/>
              </w:rPr>
              <w:t>2.9</w:t>
            </w:r>
          </w:p>
        </w:tc>
      </w:tr>
    </w:tbl>
    <w:p w14:paraId="198B359E" w14:textId="77777777" w:rsidR="0073239F" w:rsidRDefault="0073239F" w:rsidP="0073239F">
      <w:pPr>
        <w:pStyle w:val="CDIFigures"/>
        <w:rPr>
          <w:lang w:val="en-GB"/>
        </w:rPr>
      </w:pPr>
      <w:r>
        <w:rPr>
          <w:lang w:val="en-GB"/>
        </w:rPr>
        <w:t xml:space="preserve">Table 5: Quantity of resource allocation for children under five years of age (follow-up period calculations include all children) </w:t>
      </w:r>
    </w:p>
    <w:tbl>
      <w:tblPr>
        <w:tblStyle w:val="CDI-StandardTable"/>
        <w:tblW w:w="0" w:type="auto"/>
        <w:tblLook w:val="04A0" w:firstRow="1" w:lastRow="0" w:firstColumn="1" w:lastColumn="0" w:noHBand="0" w:noVBand="1"/>
        <w:tblDescription w:val="Quantity of resource allocation for children under five years of age (follow-up period calculations include all children)"/>
      </w:tblPr>
      <w:tblGrid>
        <w:gridCol w:w="2694"/>
        <w:gridCol w:w="1335"/>
        <w:gridCol w:w="730"/>
        <w:gridCol w:w="830"/>
        <w:gridCol w:w="647"/>
        <w:gridCol w:w="669"/>
        <w:gridCol w:w="1884"/>
        <w:gridCol w:w="891"/>
        <w:gridCol w:w="786"/>
      </w:tblGrid>
      <w:tr w:rsidR="0073239F" w:rsidRPr="003F6439" w14:paraId="1B56BFC6" w14:textId="77777777" w:rsidTr="0014037F">
        <w:trPr>
          <w:cnfStyle w:val="100000000000" w:firstRow="1" w:lastRow="0" w:firstColumn="0" w:lastColumn="0" w:oddVBand="0" w:evenVBand="0" w:oddHBand="0" w:evenHBand="0" w:firstRowFirstColumn="0" w:firstRowLastColumn="0" w:lastRowFirstColumn="0" w:lastRowLastColumn="0"/>
          <w:tblHeader/>
        </w:trPr>
        <w:tc>
          <w:tcPr>
            <w:tcW w:w="2694" w:type="dxa"/>
            <w:vMerge w:val="restart"/>
            <w:tcBorders>
              <w:bottom w:val="single" w:sz="2" w:space="0" w:color="FFFFFF" w:themeColor="background1"/>
              <w:right w:val="single" w:sz="2" w:space="0" w:color="FFFFFF" w:themeColor="background1"/>
            </w:tcBorders>
            <w:vAlign w:val="center"/>
            <w:hideMark/>
          </w:tcPr>
          <w:p w14:paraId="0C94AB3E" w14:textId="77777777" w:rsidR="0073239F" w:rsidRPr="003F6439" w:rsidRDefault="0073239F" w:rsidP="001B7907">
            <w:pPr>
              <w:pStyle w:val="NormalWeb"/>
              <w:rPr>
                <w:color w:val="FFFFFF" w:themeColor="background1"/>
                <w:sz w:val="18"/>
                <w:szCs w:val="18"/>
              </w:rPr>
            </w:pPr>
            <w:r w:rsidRPr="003F6439">
              <w:rPr>
                <w:color w:val="FFFFFF" w:themeColor="background1"/>
                <w:sz w:val="18"/>
                <w:szCs w:val="18"/>
              </w:rPr>
              <w:t>Resource allocation unit</w:t>
            </w:r>
          </w:p>
        </w:tc>
        <w:tc>
          <w:tcPr>
            <w:tcW w:w="2065" w:type="dxa"/>
            <w:gridSpan w:val="2"/>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3E7A2FE2" w14:textId="77777777" w:rsidR="0073239F" w:rsidRPr="003F6439" w:rsidRDefault="0073239F" w:rsidP="0091710A">
            <w:pPr>
              <w:pStyle w:val="NormalWeb"/>
              <w:jc w:val="center"/>
              <w:rPr>
                <w:color w:val="FFFFFF" w:themeColor="background1"/>
                <w:sz w:val="18"/>
                <w:szCs w:val="18"/>
              </w:rPr>
            </w:pPr>
            <w:r w:rsidRPr="003F6439">
              <w:rPr>
                <w:color w:val="FFFFFF" w:themeColor="background1"/>
                <w:sz w:val="18"/>
                <w:szCs w:val="18"/>
                <w:lang w:val="en-US"/>
              </w:rPr>
              <w:t>RSV index admission</w:t>
            </w:r>
            <w:r w:rsidRPr="003F6439">
              <w:rPr>
                <w:color w:val="FFFFFF" w:themeColor="background1"/>
                <w:sz w:val="18"/>
                <w:szCs w:val="18"/>
                <w:lang w:val="en-US"/>
              </w:rPr>
              <w:br/>
              <w:t>(N = 363)</w:t>
            </w:r>
          </w:p>
        </w:tc>
        <w:tc>
          <w:tcPr>
            <w:tcW w:w="4030" w:type="dxa"/>
            <w:gridSpan w:val="4"/>
            <w:tcBorders>
              <w:left w:val="single" w:sz="2" w:space="0" w:color="FFFFFF" w:themeColor="background1"/>
              <w:bottom w:val="single" w:sz="2" w:space="0" w:color="FFFFFF" w:themeColor="background1"/>
              <w:right w:val="single" w:sz="2" w:space="0" w:color="FFFFFF" w:themeColor="background1"/>
            </w:tcBorders>
            <w:vAlign w:val="center"/>
            <w:hideMark/>
          </w:tcPr>
          <w:p w14:paraId="708BBA14" w14:textId="77777777" w:rsidR="0073239F" w:rsidRPr="003F6439" w:rsidRDefault="0073239F" w:rsidP="0091710A">
            <w:pPr>
              <w:pStyle w:val="NormalWeb"/>
              <w:jc w:val="center"/>
              <w:rPr>
                <w:color w:val="FFFFFF" w:themeColor="background1"/>
                <w:sz w:val="18"/>
                <w:szCs w:val="18"/>
              </w:rPr>
            </w:pPr>
            <w:r w:rsidRPr="003F6439">
              <w:rPr>
                <w:color w:val="FFFFFF" w:themeColor="background1"/>
                <w:sz w:val="18"/>
                <w:szCs w:val="18"/>
              </w:rPr>
              <w:t>Follow-up period (across all children)</w:t>
            </w:r>
          </w:p>
        </w:tc>
        <w:tc>
          <w:tcPr>
            <w:tcW w:w="1677" w:type="dxa"/>
            <w:gridSpan w:val="2"/>
            <w:vMerge w:val="restart"/>
            <w:tcBorders>
              <w:left w:val="single" w:sz="2" w:space="0" w:color="FFFFFF" w:themeColor="background1"/>
              <w:bottom w:val="single" w:sz="2" w:space="0" w:color="FFFFFF" w:themeColor="background1"/>
            </w:tcBorders>
            <w:vAlign w:val="center"/>
            <w:hideMark/>
          </w:tcPr>
          <w:p w14:paraId="3B6E8E52" w14:textId="77777777" w:rsidR="0073239F" w:rsidRPr="003F6439" w:rsidRDefault="0073239F" w:rsidP="0091710A">
            <w:pPr>
              <w:pStyle w:val="NormalWeb"/>
              <w:jc w:val="center"/>
              <w:rPr>
                <w:color w:val="FFFFFF" w:themeColor="background1"/>
                <w:sz w:val="18"/>
                <w:szCs w:val="18"/>
              </w:rPr>
            </w:pPr>
            <w:r w:rsidRPr="003F6439">
              <w:rPr>
                <w:color w:val="FFFFFF" w:themeColor="background1"/>
                <w:sz w:val="18"/>
                <w:szCs w:val="18"/>
              </w:rPr>
              <w:t>Total</w:t>
            </w:r>
            <w:r w:rsidRPr="003F6439">
              <w:rPr>
                <w:color w:val="FFFFFF" w:themeColor="background1"/>
                <w:sz w:val="18"/>
                <w:szCs w:val="18"/>
              </w:rPr>
              <w:br/>
              <w:t xml:space="preserve">(index admission </w:t>
            </w:r>
            <w:r w:rsidRPr="003F6439">
              <w:rPr>
                <w:color w:val="FFFFFF" w:themeColor="background1"/>
                <w:sz w:val="18"/>
                <w:szCs w:val="18"/>
              </w:rPr>
              <w:br/>
              <w:t>and re-admissions)</w:t>
            </w:r>
            <w:r w:rsidRPr="003F6439">
              <w:rPr>
                <w:color w:val="FFFFFF" w:themeColor="background1"/>
                <w:sz w:val="18"/>
                <w:szCs w:val="18"/>
              </w:rPr>
              <w:br/>
              <w:t>(N = 363)</w:t>
            </w:r>
          </w:p>
        </w:tc>
      </w:tr>
      <w:tr w:rsidR="0014037F" w:rsidRPr="003F6439" w14:paraId="776885A1" w14:textId="77777777" w:rsidTr="0014037F">
        <w:trPr>
          <w:cnfStyle w:val="100000000000" w:firstRow="1" w:lastRow="0" w:firstColumn="0" w:lastColumn="0" w:oddVBand="0" w:evenVBand="0" w:oddHBand="0" w:evenHBand="0" w:firstRowFirstColumn="0" w:firstRowLastColumn="0" w:lastRowFirstColumn="0" w:lastRowLastColumn="0"/>
          <w:tblHeader/>
        </w:trPr>
        <w:tc>
          <w:tcPr>
            <w:tcW w:w="2694" w:type="dxa"/>
            <w:vMerge/>
            <w:tcBorders>
              <w:top w:val="single" w:sz="2" w:space="0" w:color="FFFFFF" w:themeColor="background1"/>
              <w:bottom w:val="single" w:sz="2" w:space="0" w:color="FFFFFF" w:themeColor="background1"/>
              <w:right w:val="single" w:sz="2" w:space="0" w:color="FFFFFF" w:themeColor="background1"/>
            </w:tcBorders>
            <w:hideMark/>
          </w:tcPr>
          <w:p w14:paraId="6A07DC8E" w14:textId="77777777" w:rsidR="0073239F" w:rsidRPr="003F6439" w:rsidRDefault="0073239F" w:rsidP="0091710A">
            <w:pPr>
              <w:rPr>
                <w:color w:val="FFFFFF" w:themeColor="background1"/>
                <w:sz w:val="18"/>
                <w:szCs w:val="18"/>
              </w:rPr>
            </w:pPr>
          </w:p>
        </w:tc>
        <w:tc>
          <w:tcPr>
            <w:tcW w:w="2065" w:type="dxa"/>
            <w:gridSpan w:val="2"/>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AA51451" w14:textId="77777777" w:rsidR="0073239F" w:rsidRPr="003F6439" w:rsidRDefault="0073239F" w:rsidP="0091710A">
            <w:pPr>
              <w:jc w:val="center"/>
              <w:rPr>
                <w:color w:val="FFFFFF" w:themeColor="background1"/>
                <w:sz w:val="18"/>
                <w:szCs w:val="18"/>
              </w:rPr>
            </w:pPr>
          </w:p>
        </w:tc>
        <w:tc>
          <w:tcPr>
            <w:tcW w:w="0" w:type="auto"/>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3A09545F" w14:textId="77777777" w:rsidR="0073239F" w:rsidRPr="003F6439" w:rsidRDefault="0073239F" w:rsidP="0091710A">
            <w:pPr>
              <w:pStyle w:val="NormalWeb"/>
              <w:jc w:val="center"/>
              <w:rPr>
                <w:color w:val="FFFFFF" w:themeColor="background1"/>
                <w:sz w:val="18"/>
                <w:szCs w:val="18"/>
              </w:rPr>
            </w:pPr>
            <w:r w:rsidRPr="003F6439">
              <w:rPr>
                <w:color w:val="FFFFFF" w:themeColor="background1"/>
                <w:sz w:val="18"/>
                <w:szCs w:val="18"/>
              </w:rPr>
              <w:t>0–</w:t>
            </w:r>
            <w:proofErr w:type="gramStart"/>
            <w:r w:rsidRPr="003F6439">
              <w:rPr>
                <w:color w:val="FFFFFF" w:themeColor="background1"/>
                <w:sz w:val="18"/>
                <w:szCs w:val="18"/>
              </w:rPr>
              <w:t>30 day</w:t>
            </w:r>
            <w:proofErr w:type="gramEnd"/>
            <w:r w:rsidRPr="003F6439">
              <w:rPr>
                <w:color w:val="FFFFFF" w:themeColor="background1"/>
                <w:sz w:val="18"/>
                <w:szCs w:val="18"/>
              </w:rPr>
              <w:t xml:space="preserve"> re-admissions</w:t>
            </w:r>
            <w:r w:rsidRPr="003F6439">
              <w:rPr>
                <w:color w:val="FFFFFF" w:themeColor="background1"/>
                <w:sz w:val="18"/>
                <w:szCs w:val="18"/>
              </w:rPr>
              <w:br/>
              <w:t>(N = 363)</w:t>
            </w:r>
          </w:p>
        </w:tc>
        <w:tc>
          <w:tcPr>
            <w:tcW w:w="218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2F69E66" w14:textId="77777777" w:rsidR="0073239F" w:rsidRPr="003F6439" w:rsidRDefault="0073239F" w:rsidP="0091710A">
            <w:pPr>
              <w:pStyle w:val="NormalWeb"/>
              <w:jc w:val="center"/>
              <w:rPr>
                <w:color w:val="FFFFFF" w:themeColor="background1"/>
                <w:sz w:val="18"/>
                <w:szCs w:val="18"/>
              </w:rPr>
            </w:pPr>
            <w:r w:rsidRPr="003F6439">
              <w:rPr>
                <w:color w:val="FFFFFF" w:themeColor="background1"/>
                <w:sz w:val="18"/>
                <w:szCs w:val="18"/>
              </w:rPr>
              <w:t>1–</w:t>
            </w:r>
            <w:proofErr w:type="gramStart"/>
            <w:r w:rsidRPr="003F6439">
              <w:rPr>
                <w:color w:val="FFFFFF" w:themeColor="background1"/>
                <w:sz w:val="18"/>
                <w:szCs w:val="18"/>
              </w:rPr>
              <w:t>6 month</w:t>
            </w:r>
            <w:proofErr w:type="gramEnd"/>
            <w:r w:rsidRPr="003F6439">
              <w:rPr>
                <w:color w:val="FFFFFF" w:themeColor="background1"/>
                <w:sz w:val="18"/>
                <w:szCs w:val="18"/>
              </w:rPr>
              <w:t xml:space="preserve"> re-admissions</w:t>
            </w:r>
            <w:r w:rsidRPr="003F6439">
              <w:rPr>
                <w:color w:val="FFFFFF" w:themeColor="background1"/>
                <w:sz w:val="18"/>
                <w:szCs w:val="18"/>
              </w:rPr>
              <w:br/>
              <w:t>(N = 363)</w:t>
            </w:r>
          </w:p>
        </w:tc>
        <w:tc>
          <w:tcPr>
            <w:tcW w:w="1677" w:type="dxa"/>
            <w:gridSpan w:val="2"/>
            <w:vMerge/>
            <w:tcBorders>
              <w:top w:val="single" w:sz="2" w:space="0" w:color="FFFFFF" w:themeColor="background1"/>
              <w:left w:val="single" w:sz="2" w:space="0" w:color="FFFFFF" w:themeColor="background1"/>
              <w:bottom w:val="single" w:sz="2" w:space="0" w:color="FFFFFF" w:themeColor="background1"/>
            </w:tcBorders>
            <w:vAlign w:val="center"/>
            <w:hideMark/>
          </w:tcPr>
          <w:p w14:paraId="1A277963" w14:textId="77777777" w:rsidR="0073239F" w:rsidRPr="003F6439" w:rsidRDefault="0073239F" w:rsidP="0091710A">
            <w:pPr>
              <w:jc w:val="center"/>
              <w:rPr>
                <w:color w:val="FFFFFF" w:themeColor="background1"/>
                <w:sz w:val="18"/>
                <w:szCs w:val="18"/>
              </w:rPr>
            </w:pPr>
          </w:p>
        </w:tc>
      </w:tr>
      <w:tr w:rsidR="001B7907" w:rsidRPr="003F6439" w14:paraId="0FAD030A" w14:textId="77777777" w:rsidTr="0014037F">
        <w:trPr>
          <w:cnfStyle w:val="100000000000" w:firstRow="1" w:lastRow="0" w:firstColumn="0" w:lastColumn="0" w:oddVBand="0" w:evenVBand="0" w:oddHBand="0" w:evenHBand="0" w:firstRowFirstColumn="0" w:firstRowLastColumn="0" w:lastRowFirstColumn="0" w:lastRowLastColumn="0"/>
          <w:tblHeader/>
        </w:trPr>
        <w:tc>
          <w:tcPr>
            <w:tcW w:w="2694" w:type="dxa"/>
            <w:vMerge/>
            <w:tcBorders>
              <w:top w:val="single" w:sz="2" w:space="0" w:color="FFFFFF" w:themeColor="background1"/>
              <w:right w:val="single" w:sz="2" w:space="0" w:color="FFFFFF" w:themeColor="background1"/>
            </w:tcBorders>
            <w:hideMark/>
          </w:tcPr>
          <w:p w14:paraId="7FDB7A4E" w14:textId="77777777" w:rsidR="0073239F" w:rsidRPr="003F6439" w:rsidRDefault="0073239F" w:rsidP="0091710A">
            <w:pPr>
              <w:rPr>
                <w:color w:val="FFFFFF" w:themeColor="background1"/>
                <w:sz w:val="18"/>
                <w:szCs w:val="18"/>
              </w:rPr>
            </w:pPr>
          </w:p>
        </w:tc>
        <w:tc>
          <w:tcPr>
            <w:tcW w:w="1335" w:type="dxa"/>
            <w:tcBorders>
              <w:top w:val="single" w:sz="2" w:space="0" w:color="FFFFFF" w:themeColor="background1"/>
              <w:left w:val="single" w:sz="2" w:space="0" w:color="FFFFFF" w:themeColor="background1"/>
              <w:right w:val="single" w:sz="2" w:space="0" w:color="FFFFFF" w:themeColor="background1"/>
            </w:tcBorders>
            <w:vAlign w:val="center"/>
            <w:hideMark/>
          </w:tcPr>
          <w:p w14:paraId="21EFF641" w14:textId="77777777" w:rsidR="0073239F" w:rsidRPr="003F6439" w:rsidRDefault="0073239F" w:rsidP="0091710A">
            <w:pPr>
              <w:pStyle w:val="NormalWeb"/>
              <w:jc w:val="center"/>
              <w:rPr>
                <w:color w:val="FFFFFF" w:themeColor="background1"/>
                <w:sz w:val="18"/>
                <w:szCs w:val="18"/>
              </w:rPr>
            </w:pPr>
            <w:r w:rsidRPr="003F6439">
              <w:rPr>
                <w:color w:val="FFFFFF" w:themeColor="background1"/>
                <w:sz w:val="18"/>
                <w:szCs w:val="18"/>
              </w:rPr>
              <w:t>n</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0DC6CF18" w14:textId="77777777" w:rsidR="0073239F" w:rsidRPr="003F6439" w:rsidRDefault="0073239F" w:rsidP="0091710A">
            <w:pPr>
              <w:pStyle w:val="NormalWeb"/>
              <w:jc w:val="center"/>
              <w:rPr>
                <w:color w:val="FFFFFF" w:themeColor="background1"/>
                <w:sz w:val="18"/>
                <w:szCs w:val="18"/>
              </w:rPr>
            </w:pPr>
            <w:r w:rsidRPr="003F6439">
              <w:rPr>
                <w:color w:val="FFFFFF" w:themeColor="background1"/>
                <w:sz w:val="18"/>
                <w:szCs w:val="18"/>
              </w:rPr>
              <w:t>%</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1F037708" w14:textId="77777777" w:rsidR="0073239F" w:rsidRPr="003F6439" w:rsidRDefault="0073239F" w:rsidP="0091710A">
            <w:pPr>
              <w:pStyle w:val="NormalWeb"/>
              <w:jc w:val="center"/>
              <w:rPr>
                <w:color w:val="FFFFFF" w:themeColor="background1"/>
                <w:sz w:val="18"/>
                <w:szCs w:val="18"/>
              </w:rPr>
            </w:pPr>
            <w:r w:rsidRPr="003F6439">
              <w:rPr>
                <w:color w:val="FFFFFF" w:themeColor="background1"/>
                <w:sz w:val="18"/>
                <w:szCs w:val="18"/>
              </w:rPr>
              <w:t>n</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62FA20EE" w14:textId="77777777" w:rsidR="0073239F" w:rsidRPr="003F6439" w:rsidRDefault="0073239F" w:rsidP="0091710A">
            <w:pPr>
              <w:pStyle w:val="NormalWeb"/>
              <w:jc w:val="center"/>
              <w:rPr>
                <w:color w:val="FFFFFF" w:themeColor="background1"/>
                <w:sz w:val="18"/>
                <w:szCs w:val="18"/>
              </w:rPr>
            </w:pPr>
            <w:r w:rsidRPr="003F6439">
              <w:rPr>
                <w:color w:val="FFFFFF" w:themeColor="background1"/>
                <w:sz w:val="18"/>
                <w:szCs w:val="18"/>
              </w:rPr>
              <w:t>%</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30CE3F0D" w14:textId="77777777" w:rsidR="0073239F" w:rsidRPr="003F6439" w:rsidRDefault="0073239F" w:rsidP="0091710A">
            <w:pPr>
              <w:pStyle w:val="NormalWeb"/>
              <w:jc w:val="center"/>
              <w:rPr>
                <w:color w:val="FFFFFF" w:themeColor="background1"/>
                <w:sz w:val="18"/>
                <w:szCs w:val="18"/>
              </w:rPr>
            </w:pPr>
            <w:r w:rsidRPr="003F6439">
              <w:rPr>
                <w:color w:val="FFFFFF" w:themeColor="background1"/>
                <w:sz w:val="18"/>
                <w:szCs w:val="18"/>
              </w:rPr>
              <w:t>n</w:t>
            </w:r>
          </w:p>
        </w:tc>
        <w:tc>
          <w:tcPr>
            <w:tcW w:w="1343" w:type="dxa"/>
            <w:tcBorders>
              <w:top w:val="single" w:sz="2" w:space="0" w:color="FFFFFF" w:themeColor="background1"/>
              <w:left w:val="single" w:sz="2" w:space="0" w:color="FFFFFF" w:themeColor="background1"/>
              <w:right w:val="single" w:sz="2" w:space="0" w:color="FFFFFF" w:themeColor="background1"/>
            </w:tcBorders>
            <w:vAlign w:val="center"/>
            <w:hideMark/>
          </w:tcPr>
          <w:p w14:paraId="7355A179" w14:textId="77777777" w:rsidR="0073239F" w:rsidRPr="003F6439" w:rsidRDefault="0073239F" w:rsidP="0091710A">
            <w:pPr>
              <w:pStyle w:val="NormalWeb"/>
              <w:jc w:val="center"/>
              <w:rPr>
                <w:color w:val="FFFFFF" w:themeColor="background1"/>
                <w:sz w:val="18"/>
                <w:szCs w:val="18"/>
              </w:rPr>
            </w:pPr>
            <w:r w:rsidRPr="003F6439">
              <w:rPr>
                <w:color w:val="FFFFFF" w:themeColor="background1"/>
                <w:sz w:val="18"/>
                <w:szCs w:val="18"/>
              </w:rPr>
              <w:t>%</w:t>
            </w:r>
          </w:p>
        </w:tc>
        <w:tc>
          <w:tcPr>
            <w:tcW w:w="891" w:type="dxa"/>
            <w:tcBorders>
              <w:top w:val="single" w:sz="2" w:space="0" w:color="FFFFFF" w:themeColor="background1"/>
              <w:left w:val="single" w:sz="2" w:space="0" w:color="FFFFFF" w:themeColor="background1"/>
              <w:right w:val="single" w:sz="2" w:space="0" w:color="FFFFFF" w:themeColor="background1"/>
            </w:tcBorders>
            <w:vAlign w:val="center"/>
            <w:hideMark/>
          </w:tcPr>
          <w:p w14:paraId="3720914C" w14:textId="77777777" w:rsidR="0073239F" w:rsidRPr="003F6439" w:rsidRDefault="0073239F" w:rsidP="0091710A">
            <w:pPr>
              <w:pStyle w:val="NormalWeb"/>
              <w:jc w:val="center"/>
              <w:rPr>
                <w:color w:val="FFFFFF" w:themeColor="background1"/>
                <w:sz w:val="18"/>
                <w:szCs w:val="18"/>
              </w:rPr>
            </w:pPr>
            <w:r w:rsidRPr="003F6439">
              <w:rPr>
                <w:color w:val="FFFFFF" w:themeColor="background1"/>
                <w:sz w:val="18"/>
                <w:szCs w:val="18"/>
              </w:rPr>
              <w:t>n</w:t>
            </w:r>
          </w:p>
        </w:tc>
        <w:tc>
          <w:tcPr>
            <w:tcW w:w="0" w:type="auto"/>
            <w:tcBorders>
              <w:top w:val="single" w:sz="2" w:space="0" w:color="FFFFFF" w:themeColor="background1"/>
              <w:left w:val="single" w:sz="2" w:space="0" w:color="FFFFFF" w:themeColor="background1"/>
            </w:tcBorders>
            <w:vAlign w:val="center"/>
            <w:hideMark/>
          </w:tcPr>
          <w:p w14:paraId="7772F1A3" w14:textId="77777777" w:rsidR="0073239F" w:rsidRPr="003F6439" w:rsidRDefault="0073239F" w:rsidP="0091710A">
            <w:pPr>
              <w:pStyle w:val="NormalWeb"/>
              <w:jc w:val="center"/>
              <w:rPr>
                <w:color w:val="FFFFFF" w:themeColor="background1"/>
                <w:sz w:val="18"/>
                <w:szCs w:val="18"/>
              </w:rPr>
            </w:pPr>
            <w:r w:rsidRPr="003F6439">
              <w:rPr>
                <w:color w:val="FFFFFF" w:themeColor="background1"/>
                <w:sz w:val="18"/>
                <w:szCs w:val="18"/>
                <w:lang w:val="en-US"/>
              </w:rPr>
              <w:t>%</w:t>
            </w:r>
          </w:p>
        </w:tc>
      </w:tr>
      <w:tr w:rsidR="0073239F" w:rsidRPr="003F6439" w14:paraId="10FFEA1F" w14:textId="77777777" w:rsidTr="0014037F">
        <w:tblPrEx>
          <w:tblCellMar>
            <w:top w:w="57" w:type="dxa"/>
            <w:left w:w="57" w:type="dxa"/>
            <w:bottom w:w="57" w:type="dxa"/>
            <w:right w:w="57" w:type="dxa"/>
          </w:tblCellMar>
        </w:tblPrEx>
        <w:tc>
          <w:tcPr>
            <w:tcW w:w="2694" w:type="dxa"/>
            <w:hideMark/>
          </w:tcPr>
          <w:p w14:paraId="7B5A3DD1" w14:textId="77777777" w:rsidR="0073239F" w:rsidRPr="003F6439" w:rsidRDefault="0073239F" w:rsidP="0091710A">
            <w:pPr>
              <w:pStyle w:val="NormalWeb"/>
              <w:rPr>
                <w:sz w:val="18"/>
                <w:szCs w:val="18"/>
              </w:rPr>
            </w:pPr>
            <w:r w:rsidRPr="003F6439">
              <w:rPr>
                <w:sz w:val="18"/>
                <w:szCs w:val="18"/>
              </w:rPr>
              <w:t>Ambulance</w:t>
            </w:r>
          </w:p>
        </w:tc>
        <w:tc>
          <w:tcPr>
            <w:tcW w:w="1335" w:type="dxa"/>
            <w:hideMark/>
          </w:tcPr>
          <w:p w14:paraId="50027B0D" w14:textId="77777777" w:rsidR="0073239F" w:rsidRPr="003F6439" w:rsidRDefault="0073239F" w:rsidP="0091710A">
            <w:pPr>
              <w:pStyle w:val="NormalWeb"/>
              <w:jc w:val="center"/>
              <w:rPr>
                <w:sz w:val="18"/>
                <w:szCs w:val="18"/>
              </w:rPr>
            </w:pPr>
            <w:r w:rsidRPr="003F6439">
              <w:rPr>
                <w:sz w:val="18"/>
                <w:szCs w:val="18"/>
              </w:rPr>
              <w:t>18</w:t>
            </w:r>
          </w:p>
        </w:tc>
        <w:tc>
          <w:tcPr>
            <w:tcW w:w="0" w:type="auto"/>
            <w:hideMark/>
          </w:tcPr>
          <w:p w14:paraId="0A3792F1" w14:textId="77777777" w:rsidR="0073239F" w:rsidRPr="003F6439" w:rsidRDefault="0073239F" w:rsidP="0091710A">
            <w:pPr>
              <w:pStyle w:val="NormalWeb"/>
              <w:jc w:val="center"/>
              <w:rPr>
                <w:sz w:val="18"/>
                <w:szCs w:val="18"/>
              </w:rPr>
            </w:pPr>
            <w:r w:rsidRPr="003F6439">
              <w:rPr>
                <w:sz w:val="18"/>
                <w:szCs w:val="18"/>
              </w:rPr>
              <w:t>5.0</w:t>
            </w:r>
          </w:p>
        </w:tc>
        <w:tc>
          <w:tcPr>
            <w:tcW w:w="0" w:type="auto"/>
            <w:hideMark/>
          </w:tcPr>
          <w:p w14:paraId="110CECA3" w14:textId="77777777" w:rsidR="0073239F" w:rsidRPr="003F6439" w:rsidRDefault="0073239F" w:rsidP="0091710A">
            <w:pPr>
              <w:pStyle w:val="NormalWeb"/>
              <w:jc w:val="center"/>
              <w:rPr>
                <w:sz w:val="18"/>
                <w:szCs w:val="18"/>
              </w:rPr>
            </w:pPr>
            <w:r w:rsidRPr="003F6439">
              <w:rPr>
                <w:sz w:val="18"/>
                <w:szCs w:val="18"/>
              </w:rPr>
              <w:t>2</w:t>
            </w:r>
          </w:p>
        </w:tc>
        <w:tc>
          <w:tcPr>
            <w:tcW w:w="0" w:type="auto"/>
            <w:hideMark/>
          </w:tcPr>
          <w:p w14:paraId="37DEEED3" w14:textId="77777777" w:rsidR="0073239F" w:rsidRPr="003F6439" w:rsidRDefault="0073239F" w:rsidP="0091710A">
            <w:pPr>
              <w:pStyle w:val="NormalWeb"/>
              <w:jc w:val="center"/>
              <w:rPr>
                <w:sz w:val="18"/>
                <w:szCs w:val="18"/>
              </w:rPr>
            </w:pPr>
            <w:r w:rsidRPr="003F6439">
              <w:rPr>
                <w:sz w:val="18"/>
                <w:szCs w:val="18"/>
              </w:rPr>
              <w:t>0.6</w:t>
            </w:r>
          </w:p>
        </w:tc>
        <w:tc>
          <w:tcPr>
            <w:tcW w:w="0" w:type="auto"/>
            <w:hideMark/>
          </w:tcPr>
          <w:p w14:paraId="7E7CE4AC" w14:textId="77777777" w:rsidR="0073239F" w:rsidRPr="003F6439" w:rsidRDefault="0073239F" w:rsidP="0091710A">
            <w:pPr>
              <w:pStyle w:val="NormalWeb"/>
              <w:jc w:val="center"/>
              <w:rPr>
                <w:sz w:val="18"/>
                <w:szCs w:val="18"/>
              </w:rPr>
            </w:pPr>
            <w:r w:rsidRPr="003F6439">
              <w:rPr>
                <w:sz w:val="18"/>
                <w:szCs w:val="18"/>
              </w:rPr>
              <w:t>12</w:t>
            </w:r>
          </w:p>
        </w:tc>
        <w:tc>
          <w:tcPr>
            <w:tcW w:w="1343" w:type="dxa"/>
            <w:hideMark/>
          </w:tcPr>
          <w:p w14:paraId="185D9A64" w14:textId="77777777" w:rsidR="0073239F" w:rsidRPr="003F6439" w:rsidRDefault="0073239F" w:rsidP="0091710A">
            <w:pPr>
              <w:pStyle w:val="NormalWeb"/>
              <w:jc w:val="center"/>
              <w:rPr>
                <w:sz w:val="18"/>
                <w:szCs w:val="18"/>
              </w:rPr>
            </w:pPr>
            <w:r w:rsidRPr="003F6439">
              <w:rPr>
                <w:sz w:val="18"/>
                <w:szCs w:val="18"/>
              </w:rPr>
              <w:t>3.3</w:t>
            </w:r>
          </w:p>
        </w:tc>
        <w:tc>
          <w:tcPr>
            <w:tcW w:w="891" w:type="dxa"/>
            <w:hideMark/>
          </w:tcPr>
          <w:p w14:paraId="59F8A433" w14:textId="77777777" w:rsidR="0073239F" w:rsidRPr="003F6439" w:rsidRDefault="0073239F" w:rsidP="0091710A">
            <w:pPr>
              <w:pStyle w:val="NormalWeb"/>
              <w:jc w:val="center"/>
              <w:rPr>
                <w:sz w:val="18"/>
                <w:szCs w:val="18"/>
              </w:rPr>
            </w:pPr>
            <w:r w:rsidRPr="003F6439">
              <w:rPr>
                <w:sz w:val="18"/>
                <w:szCs w:val="18"/>
              </w:rPr>
              <w:t>32</w:t>
            </w:r>
          </w:p>
        </w:tc>
        <w:tc>
          <w:tcPr>
            <w:tcW w:w="0" w:type="auto"/>
            <w:hideMark/>
          </w:tcPr>
          <w:p w14:paraId="32C0295F" w14:textId="77777777" w:rsidR="0073239F" w:rsidRPr="003F6439" w:rsidRDefault="0073239F" w:rsidP="0091710A">
            <w:pPr>
              <w:pStyle w:val="NormalWeb"/>
              <w:jc w:val="center"/>
              <w:rPr>
                <w:sz w:val="18"/>
                <w:szCs w:val="18"/>
              </w:rPr>
            </w:pPr>
            <w:r w:rsidRPr="003F6439">
              <w:rPr>
                <w:sz w:val="18"/>
                <w:szCs w:val="18"/>
              </w:rPr>
              <w:t>8.8</w:t>
            </w:r>
          </w:p>
        </w:tc>
      </w:tr>
      <w:tr w:rsidR="0014037F" w:rsidRPr="003F6439" w14:paraId="2C85D957" w14:textId="77777777" w:rsidTr="0014037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hideMark/>
          </w:tcPr>
          <w:p w14:paraId="44C55B1D" w14:textId="77777777" w:rsidR="0073239F" w:rsidRPr="003F6439" w:rsidRDefault="0073239F" w:rsidP="0091710A">
            <w:pPr>
              <w:pStyle w:val="NormalWeb"/>
              <w:rPr>
                <w:sz w:val="18"/>
                <w:szCs w:val="18"/>
              </w:rPr>
            </w:pPr>
            <w:r w:rsidRPr="003F6439">
              <w:rPr>
                <w:sz w:val="18"/>
                <w:szCs w:val="18"/>
                <w:lang w:val="en-US"/>
              </w:rPr>
              <w:t>ED presentation prior to the acute admission</w:t>
            </w:r>
          </w:p>
        </w:tc>
        <w:tc>
          <w:tcPr>
            <w:tcW w:w="1335" w:type="dxa"/>
            <w:hideMark/>
          </w:tcPr>
          <w:p w14:paraId="624535AF" w14:textId="77777777" w:rsidR="0073239F" w:rsidRPr="003F6439" w:rsidRDefault="0073239F" w:rsidP="0091710A">
            <w:pPr>
              <w:pStyle w:val="NormalWeb"/>
              <w:jc w:val="center"/>
              <w:rPr>
                <w:sz w:val="18"/>
                <w:szCs w:val="18"/>
              </w:rPr>
            </w:pPr>
            <w:r w:rsidRPr="003F6439">
              <w:rPr>
                <w:sz w:val="18"/>
                <w:szCs w:val="18"/>
              </w:rPr>
              <w:t>318</w:t>
            </w:r>
          </w:p>
        </w:tc>
        <w:tc>
          <w:tcPr>
            <w:tcW w:w="0" w:type="auto"/>
            <w:hideMark/>
          </w:tcPr>
          <w:p w14:paraId="142965BA" w14:textId="77777777" w:rsidR="0073239F" w:rsidRPr="003F6439" w:rsidRDefault="0073239F" w:rsidP="0091710A">
            <w:pPr>
              <w:pStyle w:val="NormalWeb"/>
              <w:jc w:val="center"/>
              <w:rPr>
                <w:sz w:val="18"/>
                <w:szCs w:val="18"/>
              </w:rPr>
            </w:pPr>
            <w:r w:rsidRPr="003F6439">
              <w:rPr>
                <w:sz w:val="18"/>
                <w:szCs w:val="18"/>
              </w:rPr>
              <w:t>87.6</w:t>
            </w:r>
          </w:p>
        </w:tc>
        <w:tc>
          <w:tcPr>
            <w:tcW w:w="0" w:type="auto"/>
            <w:hideMark/>
          </w:tcPr>
          <w:p w14:paraId="13303A4F" w14:textId="77777777" w:rsidR="0073239F" w:rsidRPr="003F6439" w:rsidRDefault="0073239F" w:rsidP="0091710A">
            <w:pPr>
              <w:pStyle w:val="NormalWeb"/>
              <w:jc w:val="center"/>
              <w:rPr>
                <w:sz w:val="18"/>
                <w:szCs w:val="18"/>
              </w:rPr>
            </w:pPr>
            <w:r w:rsidRPr="003F6439">
              <w:rPr>
                <w:sz w:val="18"/>
                <w:szCs w:val="18"/>
              </w:rPr>
              <w:t>47</w:t>
            </w:r>
          </w:p>
        </w:tc>
        <w:tc>
          <w:tcPr>
            <w:tcW w:w="0" w:type="auto"/>
            <w:hideMark/>
          </w:tcPr>
          <w:p w14:paraId="3C39A2D8" w14:textId="77777777" w:rsidR="0073239F" w:rsidRPr="003F6439" w:rsidRDefault="0073239F" w:rsidP="0091710A">
            <w:pPr>
              <w:pStyle w:val="NormalWeb"/>
              <w:jc w:val="center"/>
              <w:rPr>
                <w:sz w:val="18"/>
                <w:szCs w:val="18"/>
              </w:rPr>
            </w:pPr>
            <w:r w:rsidRPr="003F6439">
              <w:rPr>
                <w:sz w:val="18"/>
                <w:szCs w:val="18"/>
              </w:rPr>
              <w:t>12.9</w:t>
            </w:r>
          </w:p>
        </w:tc>
        <w:tc>
          <w:tcPr>
            <w:tcW w:w="0" w:type="auto"/>
            <w:hideMark/>
          </w:tcPr>
          <w:p w14:paraId="0A291083" w14:textId="77777777" w:rsidR="0073239F" w:rsidRPr="003F6439" w:rsidRDefault="0073239F" w:rsidP="0091710A">
            <w:pPr>
              <w:pStyle w:val="NormalWeb"/>
              <w:jc w:val="center"/>
              <w:rPr>
                <w:sz w:val="18"/>
                <w:szCs w:val="18"/>
              </w:rPr>
            </w:pPr>
            <w:r w:rsidRPr="003F6439">
              <w:rPr>
                <w:sz w:val="18"/>
                <w:szCs w:val="18"/>
              </w:rPr>
              <w:t>135</w:t>
            </w:r>
          </w:p>
        </w:tc>
        <w:tc>
          <w:tcPr>
            <w:tcW w:w="1343" w:type="dxa"/>
            <w:hideMark/>
          </w:tcPr>
          <w:p w14:paraId="646B3579" w14:textId="77777777" w:rsidR="0073239F" w:rsidRPr="003F6439" w:rsidRDefault="0073239F" w:rsidP="0091710A">
            <w:pPr>
              <w:pStyle w:val="NormalWeb"/>
              <w:jc w:val="center"/>
              <w:rPr>
                <w:sz w:val="18"/>
                <w:szCs w:val="18"/>
              </w:rPr>
            </w:pPr>
            <w:r w:rsidRPr="003F6439">
              <w:rPr>
                <w:sz w:val="18"/>
                <w:szCs w:val="18"/>
              </w:rPr>
              <w:t>37.2</w:t>
            </w:r>
          </w:p>
        </w:tc>
        <w:tc>
          <w:tcPr>
            <w:tcW w:w="891" w:type="dxa"/>
            <w:hideMark/>
          </w:tcPr>
          <w:p w14:paraId="7FEF5286" w14:textId="77777777" w:rsidR="0073239F" w:rsidRPr="003F6439" w:rsidRDefault="0073239F" w:rsidP="0091710A">
            <w:pPr>
              <w:pStyle w:val="NormalWeb"/>
              <w:jc w:val="center"/>
              <w:rPr>
                <w:sz w:val="18"/>
                <w:szCs w:val="18"/>
              </w:rPr>
            </w:pPr>
            <w:r w:rsidRPr="003F6439">
              <w:rPr>
                <w:sz w:val="18"/>
                <w:szCs w:val="18"/>
              </w:rPr>
              <w:t>500</w:t>
            </w:r>
          </w:p>
        </w:tc>
        <w:tc>
          <w:tcPr>
            <w:tcW w:w="0" w:type="auto"/>
            <w:hideMark/>
          </w:tcPr>
          <w:p w14:paraId="1B3DCA47" w14:textId="77777777" w:rsidR="0073239F" w:rsidRPr="003F6439" w:rsidRDefault="0073239F" w:rsidP="0091710A">
            <w:pPr>
              <w:pStyle w:val="NormalWeb"/>
              <w:jc w:val="center"/>
              <w:rPr>
                <w:sz w:val="18"/>
                <w:szCs w:val="18"/>
              </w:rPr>
            </w:pPr>
            <w:r w:rsidRPr="003F6439">
              <w:rPr>
                <w:sz w:val="18"/>
                <w:szCs w:val="18"/>
                <w:lang w:val="en-US"/>
              </w:rPr>
              <w:t>137.7</w:t>
            </w:r>
          </w:p>
        </w:tc>
      </w:tr>
      <w:tr w:rsidR="001B7907" w:rsidRPr="003F6439" w14:paraId="2EF47218" w14:textId="77777777" w:rsidTr="0014037F">
        <w:tblPrEx>
          <w:tblCellMar>
            <w:top w:w="57" w:type="dxa"/>
            <w:left w:w="57" w:type="dxa"/>
            <w:bottom w:w="57" w:type="dxa"/>
            <w:right w:w="57" w:type="dxa"/>
          </w:tblCellMar>
        </w:tblPrEx>
        <w:tc>
          <w:tcPr>
            <w:tcW w:w="2694" w:type="dxa"/>
            <w:vMerge w:val="restart"/>
            <w:hideMark/>
          </w:tcPr>
          <w:p w14:paraId="25EFA664" w14:textId="77777777" w:rsidR="0073239F" w:rsidRPr="003F6439" w:rsidRDefault="0073239F" w:rsidP="0091710A">
            <w:pPr>
              <w:rPr>
                <w:sz w:val="18"/>
                <w:szCs w:val="18"/>
              </w:rPr>
            </w:pPr>
          </w:p>
        </w:tc>
        <w:tc>
          <w:tcPr>
            <w:tcW w:w="2065" w:type="dxa"/>
            <w:gridSpan w:val="2"/>
            <w:tcBorders>
              <w:bottom w:val="single" w:sz="2" w:space="0" w:color="FFFFFF" w:themeColor="background1"/>
              <w:right w:val="single" w:sz="2" w:space="0" w:color="FFFFFF" w:themeColor="background1"/>
            </w:tcBorders>
            <w:shd w:val="clear" w:color="auto" w:fill="595959" w:themeFill="text1" w:themeFillTint="A6"/>
            <w:vAlign w:val="center"/>
            <w:hideMark/>
          </w:tcPr>
          <w:p w14:paraId="75CEFE40" w14:textId="77777777" w:rsidR="0073239F" w:rsidRPr="001B7907" w:rsidRDefault="0073239F" w:rsidP="0014037F">
            <w:pPr>
              <w:pStyle w:val="NormalWeb"/>
              <w:jc w:val="center"/>
              <w:rPr>
                <w:b/>
                <w:bCs/>
                <w:color w:val="FFFFFF" w:themeColor="background1"/>
                <w:sz w:val="18"/>
                <w:szCs w:val="18"/>
              </w:rPr>
            </w:pPr>
            <w:r w:rsidRPr="001B7907">
              <w:rPr>
                <w:b/>
                <w:bCs/>
                <w:color w:val="FFFFFF" w:themeColor="background1"/>
                <w:sz w:val="18"/>
                <w:szCs w:val="18"/>
              </w:rPr>
              <w:t>Hours/days per child</w:t>
            </w:r>
          </w:p>
        </w:tc>
        <w:tc>
          <w:tcPr>
            <w:tcW w:w="0" w:type="auto"/>
            <w:gridSpan w:val="2"/>
            <w:tcBorders>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vAlign w:val="center"/>
            <w:hideMark/>
          </w:tcPr>
          <w:p w14:paraId="20FCD8BC" w14:textId="77777777" w:rsidR="0073239F" w:rsidRPr="001B7907" w:rsidRDefault="0073239F" w:rsidP="0014037F">
            <w:pPr>
              <w:pStyle w:val="NormalWeb"/>
              <w:jc w:val="center"/>
              <w:rPr>
                <w:b/>
                <w:bCs/>
                <w:color w:val="FFFFFF" w:themeColor="background1"/>
                <w:sz w:val="18"/>
                <w:szCs w:val="18"/>
              </w:rPr>
            </w:pPr>
            <w:r w:rsidRPr="001B7907">
              <w:rPr>
                <w:b/>
                <w:bCs/>
                <w:color w:val="FFFFFF" w:themeColor="background1"/>
                <w:sz w:val="18"/>
                <w:szCs w:val="18"/>
              </w:rPr>
              <w:t>Hours/days per child</w:t>
            </w:r>
          </w:p>
        </w:tc>
        <w:tc>
          <w:tcPr>
            <w:tcW w:w="2189" w:type="dxa"/>
            <w:gridSpan w:val="2"/>
            <w:tcBorders>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vAlign w:val="center"/>
            <w:hideMark/>
          </w:tcPr>
          <w:p w14:paraId="1F1364F6" w14:textId="77777777" w:rsidR="0073239F" w:rsidRPr="001B7907" w:rsidRDefault="0073239F" w:rsidP="0014037F">
            <w:pPr>
              <w:pStyle w:val="NormalWeb"/>
              <w:jc w:val="center"/>
              <w:rPr>
                <w:b/>
                <w:bCs/>
                <w:color w:val="FFFFFF" w:themeColor="background1"/>
                <w:sz w:val="18"/>
                <w:szCs w:val="18"/>
              </w:rPr>
            </w:pPr>
            <w:r w:rsidRPr="001B7907">
              <w:rPr>
                <w:b/>
                <w:bCs/>
                <w:color w:val="FFFFFF" w:themeColor="background1"/>
                <w:sz w:val="18"/>
                <w:szCs w:val="18"/>
              </w:rPr>
              <w:t>Hours/days per child</w:t>
            </w:r>
          </w:p>
        </w:tc>
        <w:tc>
          <w:tcPr>
            <w:tcW w:w="1677" w:type="dxa"/>
            <w:gridSpan w:val="2"/>
            <w:tcBorders>
              <w:left w:val="single" w:sz="2" w:space="0" w:color="FFFFFF" w:themeColor="background1"/>
              <w:bottom w:val="single" w:sz="2" w:space="0" w:color="FFFFFF" w:themeColor="background1"/>
            </w:tcBorders>
            <w:shd w:val="clear" w:color="auto" w:fill="595959" w:themeFill="text1" w:themeFillTint="A6"/>
            <w:vAlign w:val="center"/>
            <w:hideMark/>
          </w:tcPr>
          <w:p w14:paraId="461501D7" w14:textId="77777777" w:rsidR="0073239F" w:rsidRPr="001B7907" w:rsidRDefault="0073239F" w:rsidP="0014037F">
            <w:pPr>
              <w:pStyle w:val="NormalWeb"/>
              <w:jc w:val="center"/>
              <w:rPr>
                <w:b/>
                <w:bCs/>
                <w:color w:val="FFFFFF" w:themeColor="background1"/>
                <w:sz w:val="18"/>
                <w:szCs w:val="18"/>
              </w:rPr>
            </w:pPr>
            <w:r w:rsidRPr="001B7907">
              <w:rPr>
                <w:b/>
                <w:bCs/>
                <w:color w:val="FFFFFF" w:themeColor="background1"/>
                <w:sz w:val="18"/>
                <w:szCs w:val="18"/>
              </w:rPr>
              <w:t>Hours/days per child</w:t>
            </w:r>
          </w:p>
        </w:tc>
      </w:tr>
      <w:tr w:rsidR="001B7907" w:rsidRPr="003F6439" w14:paraId="613A1ED2" w14:textId="77777777" w:rsidTr="0014037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vMerge/>
            <w:hideMark/>
          </w:tcPr>
          <w:p w14:paraId="72C9C627" w14:textId="77777777" w:rsidR="0073239F" w:rsidRPr="003F6439" w:rsidRDefault="0073239F" w:rsidP="0091710A">
            <w:pPr>
              <w:rPr>
                <w:sz w:val="18"/>
                <w:szCs w:val="18"/>
              </w:rPr>
            </w:pPr>
          </w:p>
        </w:tc>
        <w:tc>
          <w:tcPr>
            <w:tcW w:w="1335" w:type="dxa"/>
            <w:tcBorders>
              <w:top w:val="single" w:sz="2" w:space="0" w:color="FFFFFF" w:themeColor="background1"/>
              <w:right w:val="single" w:sz="2" w:space="0" w:color="FFFFFF" w:themeColor="background1"/>
            </w:tcBorders>
            <w:shd w:val="clear" w:color="auto" w:fill="595959" w:themeFill="text1" w:themeFillTint="A6"/>
            <w:vAlign w:val="center"/>
            <w:hideMark/>
          </w:tcPr>
          <w:p w14:paraId="41C3B24A" w14:textId="77777777" w:rsidR="0073239F" w:rsidRPr="001B7907" w:rsidRDefault="0073239F" w:rsidP="0014037F">
            <w:pPr>
              <w:pStyle w:val="NormalWeb"/>
              <w:jc w:val="center"/>
              <w:rPr>
                <w:b/>
                <w:bCs/>
                <w:color w:val="FFFFFF" w:themeColor="background1"/>
                <w:sz w:val="18"/>
                <w:szCs w:val="18"/>
              </w:rPr>
            </w:pPr>
            <w:r w:rsidRPr="001B7907">
              <w:rPr>
                <w:b/>
                <w:bCs/>
                <w:color w:val="FFFFFF" w:themeColor="background1"/>
                <w:sz w:val="18"/>
                <w:szCs w:val="18"/>
              </w:rPr>
              <w:t>Mean</w:t>
            </w:r>
          </w:p>
        </w:tc>
        <w:tc>
          <w:tcPr>
            <w:tcW w:w="0" w:type="auto"/>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vAlign w:val="center"/>
            <w:hideMark/>
          </w:tcPr>
          <w:p w14:paraId="0B9B9EEC" w14:textId="77777777" w:rsidR="0073239F" w:rsidRPr="001B7907" w:rsidRDefault="0073239F" w:rsidP="0014037F">
            <w:pPr>
              <w:pStyle w:val="NormalWeb"/>
              <w:jc w:val="center"/>
              <w:rPr>
                <w:b/>
                <w:bCs/>
                <w:color w:val="FFFFFF" w:themeColor="background1"/>
                <w:sz w:val="18"/>
                <w:szCs w:val="18"/>
              </w:rPr>
            </w:pPr>
            <w:r w:rsidRPr="001B7907">
              <w:rPr>
                <w:b/>
                <w:bCs/>
                <w:color w:val="FFFFFF" w:themeColor="background1"/>
                <w:sz w:val="18"/>
                <w:szCs w:val="18"/>
              </w:rPr>
              <w:t>SD</w:t>
            </w:r>
          </w:p>
        </w:tc>
        <w:tc>
          <w:tcPr>
            <w:tcW w:w="0" w:type="auto"/>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vAlign w:val="center"/>
            <w:hideMark/>
          </w:tcPr>
          <w:p w14:paraId="6C2C75A2" w14:textId="77777777" w:rsidR="0073239F" w:rsidRPr="001B7907" w:rsidRDefault="0073239F" w:rsidP="0014037F">
            <w:pPr>
              <w:pStyle w:val="NormalWeb"/>
              <w:jc w:val="center"/>
              <w:rPr>
                <w:b/>
                <w:bCs/>
                <w:color w:val="FFFFFF" w:themeColor="background1"/>
                <w:sz w:val="18"/>
                <w:szCs w:val="18"/>
              </w:rPr>
            </w:pPr>
            <w:r w:rsidRPr="001B7907">
              <w:rPr>
                <w:b/>
                <w:bCs/>
                <w:color w:val="FFFFFF" w:themeColor="background1"/>
                <w:sz w:val="18"/>
                <w:szCs w:val="18"/>
              </w:rPr>
              <w:t>Mean</w:t>
            </w:r>
          </w:p>
        </w:tc>
        <w:tc>
          <w:tcPr>
            <w:tcW w:w="0" w:type="auto"/>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vAlign w:val="center"/>
            <w:hideMark/>
          </w:tcPr>
          <w:p w14:paraId="00A9C702" w14:textId="77777777" w:rsidR="0073239F" w:rsidRPr="001B7907" w:rsidRDefault="0073239F" w:rsidP="0014037F">
            <w:pPr>
              <w:pStyle w:val="NormalWeb"/>
              <w:jc w:val="center"/>
              <w:rPr>
                <w:b/>
                <w:bCs/>
                <w:color w:val="FFFFFF" w:themeColor="background1"/>
                <w:sz w:val="18"/>
                <w:szCs w:val="18"/>
              </w:rPr>
            </w:pPr>
            <w:r w:rsidRPr="001B7907">
              <w:rPr>
                <w:b/>
                <w:bCs/>
                <w:color w:val="FFFFFF" w:themeColor="background1"/>
                <w:sz w:val="18"/>
                <w:szCs w:val="18"/>
              </w:rPr>
              <w:t>SD</w:t>
            </w:r>
          </w:p>
        </w:tc>
        <w:tc>
          <w:tcPr>
            <w:tcW w:w="0" w:type="auto"/>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vAlign w:val="center"/>
            <w:hideMark/>
          </w:tcPr>
          <w:p w14:paraId="0C4454A6" w14:textId="77777777" w:rsidR="0073239F" w:rsidRPr="001B7907" w:rsidRDefault="0073239F" w:rsidP="0014037F">
            <w:pPr>
              <w:pStyle w:val="NormalWeb"/>
              <w:jc w:val="center"/>
              <w:rPr>
                <w:b/>
                <w:bCs/>
                <w:color w:val="FFFFFF" w:themeColor="background1"/>
                <w:sz w:val="18"/>
                <w:szCs w:val="18"/>
              </w:rPr>
            </w:pPr>
            <w:r w:rsidRPr="001B7907">
              <w:rPr>
                <w:b/>
                <w:bCs/>
                <w:color w:val="FFFFFF" w:themeColor="background1"/>
                <w:sz w:val="18"/>
                <w:szCs w:val="18"/>
              </w:rPr>
              <w:t>Mean</w:t>
            </w:r>
          </w:p>
        </w:tc>
        <w:tc>
          <w:tcPr>
            <w:tcW w:w="1343"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vAlign w:val="center"/>
            <w:hideMark/>
          </w:tcPr>
          <w:p w14:paraId="34700B45" w14:textId="77777777" w:rsidR="0073239F" w:rsidRPr="001B7907" w:rsidRDefault="0073239F" w:rsidP="0014037F">
            <w:pPr>
              <w:pStyle w:val="NormalWeb"/>
              <w:jc w:val="center"/>
              <w:rPr>
                <w:b/>
                <w:bCs/>
                <w:color w:val="FFFFFF" w:themeColor="background1"/>
                <w:sz w:val="18"/>
                <w:szCs w:val="18"/>
              </w:rPr>
            </w:pPr>
            <w:r w:rsidRPr="001B7907">
              <w:rPr>
                <w:b/>
                <w:bCs/>
                <w:color w:val="FFFFFF" w:themeColor="background1"/>
                <w:sz w:val="18"/>
                <w:szCs w:val="18"/>
              </w:rPr>
              <w:t>SD</w:t>
            </w:r>
          </w:p>
        </w:tc>
        <w:tc>
          <w:tcPr>
            <w:tcW w:w="891"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vAlign w:val="center"/>
            <w:hideMark/>
          </w:tcPr>
          <w:p w14:paraId="496D266D" w14:textId="77777777" w:rsidR="0073239F" w:rsidRPr="001B7907" w:rsidRDefault="0073239F" w:rsidP="0014037F">
            <w:pPr>
              <w:pStyle w:val="NormalWeb"/>
              <w:jc w:val="center"/>
              <w:rPr>
                <w:b/>
                <w:bCs/>
                <w:color w:val="FFFFFF" w:themeColor="background1"/>
                <w:sz w:val="18"/>
                <w:szCs w:val="18"/>
              </w:rPr>
            </w:pPr>
            <w:r w:rsidRPr="001B7907">
              <w:rPr>
                <w:b/>
                <w:bCs/>
                <w:color w:val="FFFFFF" w:themeColor="background1"/>
                <w:sz w:val="18"/>
                <w:szCs w:val="18"/>
              </w:rPr>
              <w:t>Mean</w:t>
            </w:r>
          </w:p>
        </w:tc>
        <w:tc>
          <w:tcPr>
            <w:tcW w:w="0" w:type="auto"/>
            <w:tcBorders>
              <w:top w:val="single" w:sz="2" w:space="0" w:color="FFFFFF" w:themeColor="background1"/>
              <w:left w:val="single" w:sz="2" w:space="0" w:color="FFFFFF" w:themeColor="background1"/>
            </w:tcBorders>
            <w:shd w:val="clear" w:color="auto" w:fill="595959" w:themeFill="text1" w:themeFillTint="A6"/>
            <w:vAlign w:val="center"/>
            <w:hideMark/>
          </w:tcPr>
          <w:p w14:paraId="7B68094F" w14:textId="77777777" w:rsidR="0073239F" w:rsidRPr="001B7907" w:rsidRDefault="0073239F" w:rsidP="0014037F">
            <w:pPr>
              <w:pStyle w:val="NormalWeb"/>
              <w:jc w:val="center"/>
              <w:rPr>
                <w:b/>
                <w:bCs/>
                <w:color w:val="FFFFFF" w:themeColor="background1"/>
                <w:sz w:val="18"/>
                <w:szCs w:val="18"/>
              </w:rPr>
            </w:pPr>
            <w:r w:rsidRPr="001B7907">
              <w:rPr>
                <w:b/>
                <w:bCs/>
                <w:color w:val="FFFFFF" w:themeColor="background1"/>
                <w:sz w:val="18"/>
                <w:szCs w:val="18"/>
                <w:lang w:val="en-US"/>
              </w:rPr>
              <w:t>SD</w:t>
            </w:r>
          </w:p>
        </w:tc>
      </w:tr>
      <w:tr w:rsidR="0073239F" w:rsidRPr="003F6439" w14:paraId="58A729C6" w14:textId="77777777" w:rsidTr="0014037F">
        <w:tblPrEx>
          <w:tblCellMar>
            <w:top w:w="57" w:type="dxa"/>
            <w:left w:w="57" w:type="dxa"/>
            <w:bottom w:w="57" w:type="dxa"/>
            <w:right w:w="57" w:type="dxa"/>
          </w:tblCellMar>
        </w:tblPrEx>
        <w:tc>
          <w:tcPr>
            <w:tcW w:w="2694" w:type="dxa"/>
            <w:hideMark/>
          </w:tcPr>
          <w:p w14:paraId="0DBD59B3" w14:textId="77777777" w:rsidR="0073239F" w:rsidRPr="003F6439" w:rsidRDefault="0073239F" w:rsidP="0091710A">
            <w:pPr>
              <w:pStyle w:val="NormalWeb"/>
              <w:rPr>
                <w:sz w:val="18"/>
                <w:szCs w:val="18"/>
              </w:rPr>
            </w:pPr>
            <w:r w:rsidRPr="003F6439">
              <w:rPr>
                <w:sz w:val="18"/>
                <w:szCs w:val="18"/>
              </w:rPr>
              <w:t>ICU hours during admission</w:t>
            </w:r>
          </w:p>
        </w:tc>
        <w:tc>
          <w:tcPr>
            <w:tcW w:w="1335" w:type="dxa"/>
            <w:hideMark/>
          </w:tcPr>
          <w:p w14:paraId="3426E1B9" w14:textId="77777777" w:rsidR="0073239F" w:rsidRPr="003F6439" w:rsidRDefault="0073239F" w:rsidP="0091710A">
            <w:pPr>
              <w:pStyle w:val="NormalWeb"/>
              <w:jc w:val="center"/>
              <w:rPr>
                <w:sz w:val="18"/>
                <w:szCs w:val="18"/>
              </w:rPr>
            </w:pPr>
            <w:r w:rsidRPr="003F6439">
              <w:rPr>
                <w:sz w:val="18"/>
                <w:szCs w:val="18"/>
              </w:rPr>
              <w:t>30.2</w:t>
            </w:r>
          </w:p>
        </w:tc>
        <w:tc>
          <w:tcPr>
            <w:tcW w:w="0" w:type="auto"/>
            <w:hideMark/>
          </w:tcPr>
          <w:p w14:paraId="52AE4ACD" w14:textId="77777777" w:rsidR="0073239F" w:rsidRPr="003F6439" w:rsidRDefault="0073239F" w:rsidP="0091710A">
            <w:pPr>
              <w:pStyle w:val="NormalWeb"/>
              <w:jc w:val="center"/>
              <w:rPr>
                <w:sz w:val="18"/>
                <w:szCs w:val="18"/>
              </w:rPr>
            </w:pPr>
            <w:r w:rsidRPr="003F6439">
              <w:rPr>
                <w:sz w:val="18"/>
                <w:szCs w:val="18"/>
              </w:rPr>
              <w:t>92.9</w:t>
            </w:r>
          </w:p>
        </w:tc>
        <w:tc>
          <w:tcPr>
            <w:tcW w:w="0" w:type="auto"/>
            <w:hideMark/>
          </w:tcPr>
          <w:p w14:paraId="03787717" w14:textId="77777777" w:rsidR="0073239F" w:rsidRPr="003F6439" w:rsidRDefault="0073239F" w:rsidP="0091710A">
            <w:pPr>
              <w:pStyle w:val="NormalWeb"/>
              <w:jc w:val="center"/>
              <w:rPr>
                <w:sz w:val="18"/>
                <w:szCs w:val="18"/>
              </w:rPr>
            </w:pPr>
            <w:r w:rsidRPr="003F6439">
              <w:rPr>
                <w:sz w:val="18"/>
                <w:szCs w:val="18"/>
              </w:rPr>
              <w:t>0.5</w:t>
            </w:r>
          </w:p>
        </w:tc>
        <w:tc>
          <w:tcPr>
            <w:tcW w:w="0" w:type="auto"/>
            <w:hideMark/>
          </w:tcPr>
          <w:p w14:paraId="3F7D4DF3" w14:textId="77777777" w:rsidR="0073239F" w:rsidRPr="003F6439" w:rsidRDefault="0073239F" w:rsidP="0091710A">
            <w:pPr>
              <w:pStyle w:val="NormalWeb"/>
              <w:jc w:val="center"/>
              <w:rPr>
                <w:sz w:val="18"/>
                <w:szCs w:val="18"/>
              </w:rPr>
            </w:pPr>
            <w:r w:rsidRPr="003F6439">
              <w:rPr>
                <w:sz w:val="18"/>
                <w:szCs w:val="18"/>
              </w:rPr>
              <w:t>5.4</w:t>
            </w:r>
          </w:p>
        </w:tc>
        <w:tc>
          <w:tcPr>
            <w:tcW w:w="0" w:type="auto"/>
            <w:hideMark/>
          </w:tcPr>
          <w:p w14:paraId="45243DA4" w14:textId="77777777" w:rsidR="0073239F" w:rsidRPr="003F6439" w:rsidRDefault="0073239F" w:rsidP="0091710A">
            <w:pPr>
              <w:pStyle w:val="NormalWeb"/>
              <w:jc w:val="center"/>
              <w:rPr>
                <w:sz w:val="18"/>
                <w:szCs w:val="18"/>
              </w:rPr>
            </w:pPr>
            <w:r w:rsidRPr="003F6439">
              <w:rPr>
                <w:sz w:val="18"/>
                <w:szCs w:val="18"/>
              </w:rPr>
              <w:t>3.1</w:t>
            </w:r>
          </w:p>
        </w:tc>
        <w:tc>
          <w:tcPr>
            <w:tcW w:w="1343" w:type="dxa"/>
            <w:hideMark/>
          </w:tcPr>
          <w:p w14:paraId="1A5D98AB" w14:textId="77777777" w:rsidR="0073239F" w:rsidRPr="003F6439" w:rsidRDefault="0073239F" w:rsidP="0091710A">
            <w:pPr>
              <w:pStyle w:val="NormalWeb"/>
              <w:jc w:val="center"/>
              <w:rPr>
                <w:sz w:val="18"/>
                <w:szCs w:val="18"/>
              </w:rPr>
            </w:pPr>
            <w:r w:rsidRPr="003F6439">
              <w:rPr>
                <w:sz w:val="18"/>
                <w:szCs w:val="18"/>
              </w:rPr>
              <w:t>31.2</w:t>
            </w:r>
          </w:p>
        </w:tc>
        <w:tc>
          <w:tcPr>
            <w:tcW w:w="891" w:type="dxa"/>
            <w:hideMark/>
          </w:tcPr>
          <w:p w14:paraId="13B694AB" w14:textId="77777777" w:rsidR="0073239F" w:rsidRPr="003F6439" w:rsidRDefault="0073239F" w:rsidP="0091710A">
            <w:pPr>
              <w:pStyle w:val="NormalWeb"/>
              <w:jc w:val="center"/>
              <w:rPr>
                <w:sz w:val="18"/>
                <w:szCs w:val="18"/>
              </w:rPr>
            </w:pPr>
            <w:r w:rsidRPr="003F6439">
              <w:rPr>
                <w:sz w:val="18"/>
                <w:szCs w:val="18"/>
              </w:rPr>
              <w:t>33.8</w:t>
            </w:r>
          </w:p>
        </w:tc>
        <w:tc>
          <w:tcPr>
            <w:tcW w:w="0" w:type="auto"/>
            <w:hideMark/>
          </w:tcPr>
          <w:p w14:paraId="5E720E9B" w14:textId="77777777" w:rsidR="0073239F" w:rsidRPr="003F6439" w:rsidRDefault="0073239F" w:rsidP="0091710A">
            <w:pPr>
              <w:pStyle w:val="NormalWeb"/>
              <w:jc w:val="center"/>
              <w:rPr>
                <w:sz w:val="18"/>
                <w:szCs w:val="18"/>
              </w:rPr>
            </w:pPr>
            <w:r w:rsidRPr="003F6439">
              <w:rPr>
                <w:sz w:val="18"/>
                <w:szCs w:val="18"/>
              </w:rPr>
              <w:t>102.4</w:t>
            </w:r>
          </w:p>
        </w:tc>
      </w:tr>
      <w:tr w:rsidR="0073239F" w:rsidRPr="003F6439" w14:paraId="410B5349" w14:textId="77777777" w:rsidTr="0014037F">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694" w:type="dxa"/>
            <w:hideMark/>
          </w:tcPr>
          <w:p w14:paraId="1FFA6620" w14:textId="77777777" w:rsidR="0073239F" w:rsidRPr="003F6439" w:rsidRDefault="0073239F" w:rsidP="0091710A">
            <w:pPr>
              <w:pStyle w:val="NormalWeb"/>
              <w:rPr>
                <w:sz w:val="18"/>
                <w:szCs w:val="18"/>
              </w:rPr>
            </w:pPr>
            <w:r w:rsidRPr="003F6439">
              <w:rPr>
                <w:sz w:val="18"/>
                <w:szCs w:val="18"/>
                <w:lang w:val="en-US"/>
              </w:rPr>
              <w:t>Total hospital admission length of stay, in days</w:t>
            </w:r>
          </w:p>
        </w:tc>
        <w:tc>
          <w:tcPr>
            <w:tcW w:w="1335" w:type="dxa"/>
            <w:hideMark/>
          </w:tcPr>
          <w:p w14:paraId="642CA141" w14:textId="77777777" w:rsidR="0073239F" w:rsidRPr="003F6439" w:rsidRDefault="0073239F" w:rsidP="0091710A">
            <w:pPr>
              <w:pStyle w:val="NormalWeb"/>
              <w:jc w:val="center"/>
              <w:rPr>
                <w:sz w:val="18"/>
                <w:szCs w:val="18"/>
              </w:rPr>
            </w:pPr>
            <w:r w:rsidRPr="003F6439">
              <w:rPr>
                <w:sz w:val="18"/>
                <w:szCs w:val="18"/>
              </w:rPr>
              <w:t>3.7</w:t>
            </w:r>
          </w:p>
        </w:tc>
        <w:tc>
          <w:tcPr>
            <w:tcW w:w="0" w:type="auto"/>
            <w:hideMark/>
          </w:tcPr>
          <w:p w14:paraId="1F332D55" w14:textId="77777777" w:rsidR="0073239F" w:rsidRPr="003F6439" w:rsidRDefault="0073239F" w:rsidP="0091710A">
            <w:pPr>
              <w:pStyle w:val="NormalWeb"/>
              <w:jc w:val="center"/>
              <w:rPr>
                <w:sz w:val="18"/>
                <w:szCs w:val="18"/>
              </w:rPr>
            </w:pPr>
            <w:r w:rsidRPr="003F6439">
              <w:rPr>
                <w:sz w:val="18"/>
                <w:szCs w:val="18"/>
              </w:rPr>
              <w:t>5.4</w:t>
            </w:r>
          </w:p>
        </w:tc>
        <w:tc>
          <w:tcPr>
            <w:tcW w:w="0" w:type="auto"/>
            <w:hideMark/>
          </w:tcPr>
          <w:p w14:paraId="095ECCE1" w14:textId="77777777" w:rsidR="0073239F" w:rsidRPr="003F6439" w:rsidRDefault="0073239F" w:rsidP="0091710A">
            <w:pPr>
              <w:pStyle w:val="NormalWeb"/>
              <w:jc w:val="center"/>
              <w:rPr>
                <w:sz w:val="18"/>
                <w:szCs w:val="18"/>
              </w:rPr>
            </w:pPr>
            <w:r w:rsidRPr="003F6439">
              <w:rPr>
                <w:sz w:val="18"/>
                <w:szCs w:val="18"/>
              </w:rPr>
              <w:t>0.5</w:t>
            </w:r>
          </w:p>
        </w:tc>
        <w:tc>
          <w:tcPr>
            <w:tcW w:w="0" w:type="auto"/>
            <w:hideMark/>
          </w:tcPr>
          <w:p w14:paraId="14E693A8" w14:textId="77777777" w:rsidR="0073239F" w:rsidRPr="003F6439" w:rsidRDefault="0073239F" w:rsidP="0091710A">
            <w:pPr>
              <w:pStyle w:val="NormalWeb"/>
              <w:jc w:val="center"/>
              <w:rPr>
                <w:sz w:val="18"/>
                <w:szCs w:val="18"/>
              </w:rPr>
            </w:pPr>
            <w:r w:rsidRPr="003F6439">
              <w:rPr>
                <w:sz w:val="18"/>
                <w:szCs w:val="18"/>
              </w:rPr>
              <w:t>3.3</w:t>
            </w:r>
          </w:p>
        </w:tc>
        <w:tc>
          <w:tcPr>
            <w:tcW w:w="0" w:type="auto"/>
            <w:hideMark/>
          </w:tcPr>
          <w:p w14:paraId="6CBB452F" w14:textId="77777777" w:rsidR="0073239F" w:rsidRPr="003F6439" w:rsidRDefault="0073239F" w:rsidP="0091710A">
            <w:pPr>
              <w:pStyle w:val="NormalWeb"/>
              <w:jc w:val="center"/>
              <w:rPr>
                <w:sz w:val="18"/>
                <w:szCs w:val="18"/>
              </w:rPr>
            </w:pPr>
            <w:r w:rsidRPr="003F6439">
              <w:rPr>
                <w:sz w:val="18"/>
                <w:szCs w:val="18"/>
              </w:rPr>
              <w:t>1.0</w:t>
            </w:r>
          </w:p>
        </w:tc>
        <w:tc>
          <w:tcPr>
            <w:tcW w:w="1343" w:type="dxa"/>
            <w:hideMark/>
          </w:tcPr>
          <w:p w14:paraId="6759FBE8" w14:textId="77777777" w:rsidR="0073239F" w:rsidRPr="003F6439" w:rsidRDefault="0073239F" w:rsidP="0091710A">
            <w:pPr>
              <w:pStyle w:val="NormalWeb"/>
              <w:jc w:val="center"/>
              <w:rPr>
                <w:sz w:val="18"/>
                <w:szCs w:val="18"/>
              </w:rPr>
            </w:pPr>
            <w:r w:rsidRPr="003F6439">
              <w:rPr>
                <w:sz w:val="18"/>
                <w:szCs w:val="18"/>
              </w:rPr>
              <w:t>4.4</w:t>
            </w:r>
          </w:p>
        </w:tc>
        <w:tc>
          <w:tcPr>
            <w:tcW w:w="891" w:type="dxa"/>
            <w:hideMark/>
          </w:tcPr>
          <w:p w14:paraId="0221D96A" w14:textId="77777777" w:rsidR="0073239F" w:rsidRPr="003F6439" w:rsidRDefault="0073239F" w:rsidP="0091710A">
            <w:pPr>
              <w:pStyle w:val="NormalWeb"/>
              <w:jc w:val="center"/>
              <w:rPr>
                <w:sz w:val="18"/>
                <w:szCs w:val="18"/>
              </w:rPr>
            </w:pPr>
            <w:r w:rsidRPr="003F6439">
              <w:rPr>
                <w:sz w:val="18"/>
                <w:szCs w:val="18"/>
              </w:rPr>
              <w:t>5.2</w:t>
            </w:r>
          </w:p>
        </w:tc>
        <w:tc>
          <w:tcPr>
            <w:tcW w:w="0" w:type="auto"/>
            <w:hideMark/>
          </w:tcPr>
          <w:p w14:paraId="679E5AB9" w14:textId="77777777" w:rsidR="0073239F" w:rsidRPr="003F6439" w:rsidRDefault="0073239F" w:rsidP="0091710A">
            <w:pPr>
              <w:pStyle w:val="NormalWeb"/>
              <w:jc w:val="center"/>
              <w:rPr>
                <w:sz w:val="18"/>
                <w:szCs w:val="18"/>
              </w:rPr>
            </w:pPr>
            <w:r w:rsidRPr="003F6439">
              <w:rPr>
                <w:sz w:val="18"/>
                <w:szCs w:val="18"/>
                <w:lang w:val="en-US"/>
              </w:rPr>
              <w:t>10.3</w:t>
            </w:r>
          </w:p>
        </w:tc>
      </w:tr>
    </w:tbl>
    <w:p w14:paraId="4D9BA385" w14:textId="77777777" w:rsidR="0023191C" w:rsidRDefault="0023191C">
      <w:pPr>
        <w:pStyle w:val="Heading3"/>
        <w:rPr>
          <w:rFonts w:eastAsia="Times New Roman"/>
        </w:rPr>
      </w:pPr>
    </w:p>
    <w:p w14:paraId="49B0B69F" w14:textId="77777777" w:rsidR="0023191C" w:rsidRDefault="0023191C">
      <w:pPr>
        <w:rPr>
          <w:rFonts w:asciiTheme="majorHAnsi" w:eastAsia="Times New Roman" w:hAnsiTheme="majorHAnsi" w:cstheme="majorBidi"/>
          <w:b/>
          <w:bCs/>
        </w:rPr>
      </w:pPr>
      <w:r>
        <w:rPr>
          <w:rFonts w:eastAsia="Times New Roman"/>
        </w:rPr>
        <w:br w:type="page"/>
      </w:r>
    </w:p>
    <w:p w14:paraId="1B5AD51F" w14:textId="77777777" w:rsidR="0023191C" w:rsidRDefault="0023191C" w:rsidP="0023191C">
      <w:pPr>
        <w:pStyle w:val="CDIFigures"/>
        <w:rPr>
          <w:lang w:val="en-GB"/>
        </w:rPr>
      </w:pPr>
      <w:r>
        <w:rPr>
          <w:lang w:val="en-GB"/>
        </w:rPr>
        <w:lastRenderedPageBreak/>
        <w:t xml:space="preserve">Table 6: Cost of resource allocation for children under five years of age </w:t>
      </w:r>
    </w:p>
    <w:tbl>
      <w:tblPr>
        <w:tblStyle w:val="CDI-StandardTable"/>
        <w:tblW w:w="0" w:type="auto"/>
        <w:tblCellMar>
          <w:top w:w="142" w:type="dxa"/>
          <w:bottom w:w="142" w:type="dxa"/>
        </w:tblCellMar>
        <w:tblLook w:val="04A0" w:firstRow="1" w:lastRow="0" w:firstColumn="1" w:lastColumn="0" w:noHBand="0" w:noVBand="1"/>
        <w:tblDescription w:val="Cost of resource allocation for children under five years of age"/>
      </w:tblPr>
      <w:tblGrid>
        <w:gridCol w:w="3295"/>
        <w:gridCol w:w="839"/>
        <w:gridCol w:w="839"/>
        <w:gridCol w:w="938"/>
        <w:gridCol w:w="856"/>
        <w:gridCol w:w="936"/>
        <w:gridCol w:w="981"/>
        <w:gridCol w:w="891"/>
        <w:gridCol w:w="891"/>
      </w:tblGrid>
      <w:tr w:rsidR="0023191C" w:rsidRPr="00A42D18" w14:paraId="45599BA3" w14:textId="77777777" w:rsidTr="0088707C">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06AEB432" w14:textId="77777777" w:rsidR="0023191C" w:rsidRPr="00A42D18" w:rsidRDefault="0023191C" w:rsidP="0023191C">
            <w:pPr>
              <w:pStyle w:val="NormalWeb"/>
              <w:rPr>
                <w:color w:val="FFFFFF" w:themeColor="background1"/>
                <w:sz w:val="18"/>
                <w:szCs w:val="18"/>
              </w:rPr>
            </w:pPr>
            <w:r w:rsidRPr="00A42D18">
              <w:rPr>
                <w:color w:val="FFFFFF" w:themeColor="background1"/>
                <w:sz w:val="18"/>
                <w:szCs w:val="18"/>
              </w:rPr>
              <w:t>Resource allocation unit</w:t>
            </w:r>
          </w:p>
        </w:tc>
        <w:tc>
          <w:tcPr>
            <w:tcW w:w="0" w:type="auto"/>
            <w:gridSpan w:val="2"/>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7743A2E6" w14:textId="77777777" w:rsidR="0023191C" w:rsidRPr="00A42D18" w:rsidRDefault="0023191C" w:rsidP="0091710A">
            <w:pPr>
              <w:pStyle w:val="NormalWeb"/>
              <w:jc w:val="center"/>
              <w:rPr>
                <w:color w:val="FFFFFF" w:themeColor="background1"/>
                <w:sz w:val="18"/>
                <w:szCs w:val="18"/>
              </w:rPr>
            </w:pPr>
            <w:r w:rsidRPr="00A42D18">
              <w:rPr>
                <w:color w:val="FFFFFF" w:themeColor="background1"/>
                <w:sz w:val="18"/>
                <w:szCs w:val="18"/>
                <w:lang w:val="en-US"/>
              </w:rPr>
              <w:t>RSV index admission</w:t>
            </w:r>
            <w:r w:rsidRPr="00A42D18">
              <w:rPr>
                <w:color w:val="FFFFFF" w:themeColor="background1"/>
                <w:sz w:val="18"/>
                <w:szCs w:val="18"/>
                <w:lang w:val="en-US"/>
              </w:rPr>
              <w:br/>
              <w:t>(N = 363)</w:t>
            </w:r>
          </w:p>
        </w:tc>
        <w:tc>
          <w:tcPr>
            <w:tcW w:w="0" w:type="auto"/>
            <w:gridSpan w:val="4"/>
            <w:tcBorders>
              <w:left w:val="single" w:sz="2" w:space="0" w:color="FFFFFF" w:themeColor="background1"/>
              <w:bottom w:val="single" w:sz="2" w:space="0" w:color="FFFFFF" w:themeColor="background1"/>
              <w:right w:val="single" w:sz="2" w:space="0" w:color="FFFFFF" w:themeColor="background1"/>
            </w:tcBorders>
            <w:vAlign w:val="center"/>
            <w:hideMark/>
          </w:tcPr>
          <w:p w14:paraId="78CD4F5B" w14:textId="77777777" w:rsidR="0023191C" w:rsidRPr="00A42D18" w:rsidRDefault="0023191C" w:rsidP="0091710A">
            <w:pPr>
              <w:pStyle w:val="NormalWeb"/>
              <w:jc w:val="center"/>
              <w:rPr>
                <w:color w:val="FFFFFF" w:themeColor="background1"/>
                <w:sz w:val="18"/>
                <w:szCs w:val="18"/>
              </w:rPr>
            </w:pPr>
            <w:r w:rsidRPr="00A42D18">
              <w:rPr>
                <w:color w:val="FFFFFF" w:themeColor="background1"/>
                <w:sz w:val="18"/>
                <w:szCs w:val="18"/>
              </w:rPr>
              <w:t>Follow-up period (across all children)</w:t>
            </w:r>
          </w:p>
        </w:tc>
        <w:tc>
          <w:tcPr>
            <w:tcW w:w="0" w:type="auto"/>
            <w:gridSpan w:val="2"/>
            <w:vMerge w:val="restart"/>
            <w:tcBorders>
              <w:left w:val="single" w:sz="2" w:space="0" w:color="FFFFFF" w:themeColor="background1"/>
              <w:bottom w:val="single" w:sz="2" w:space="0" w:color="FFFFFF" w:themeColor="background1"/>
            </w:tcBorders>
            <w:vAlign w:val="center"/>
            <w:hideMark/>
          </w:tcPr>
          <w:p w14:paraId="776A555C" w14:textId="77777777" w:rsidR="0023191C" w:rsidRPr="00A42D18" w:rsidRDefault="0023191C" w:rsidP="0091710A">
            <w:pPr>
              <w:pStyle w:val="NormalWeb"/>
              <w:jc w:val="center"/>
              <w:rPr>
                <w:color w:val="FFFFFF" w:themeColor="background1"/>
                <w:sz w:val="18"/>
                <w:szCs w:val="18"/>
              </w:rPr>
            </w:pPr>
            <w:r w:rsidRPr="00A42D18">
              <w:rPr>
                <w:color w:val="FFFFFF" w:themeColor="background1"/>
                <w:sz w:val="18"/>
                <w:szCs w:val="18"/>
              </w:rPr>
              <w:t xml:space="preserve">Total (index admission </w:t>
            </w:r>
            <w:r w:rsidRPr="00A42D18">
              <w:rPr>
                <w:color w:val="FFFFFF" w:themeColor="background1"/>
                <w:sz w:val="18"/>
                <w:szCs w:val="18"/>
              </w:rPr>
              <w:br/>
              <w:t>and re-admissions)</w:t>
            </w:r>
            <w:r w:rsidRPr="00A42D18">
              <w:rPr>
                <w:color w:val="FFFFFF" w:themeColor="background1"/>
                <w:sz w:val="18"/>
                <w:szCs w:val="18"/>
              </w:rPr>
              <w:br/>
              <w:t>(N = 363)</w:t>
            </w:r>
          </w:p>
        </w:tc>
      </w:tr>
      <w:tr w:rsidR="0023191C" w:rsidRPr="00A42D18" w14:paraId="1186D5E4" w14:textId="77777777" w:rsidTr="0088707C">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vAlign w:val="center"/>
            <w:hideMark/>
          </w:tcPr>
          <w:p w14:paraId="19B4A7BD" w14:textId="77777777" w:rsidR="0023191C" w:rsidRPr="00A42D18" w:rsidRDefault="0023191C" w:rsidP="0023191C">
            <w:pPr>
              <w:rPr>
                <w:color w:val="FFFFFF" w:themeColor="background1"/>
                <w:sz w:val="18"/>
                <w:szCs w:val="18"/>
              </w:rPr>
            </w:pPr>
          </w:p>
        </w:tc>
        <w:tc>
          <w:tcPr>
            <w:tcW w:w="0" w:type="auto"/>
            <w:gridSpan w:val="2"/>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293CA3D" w14:textId="77777777" w:rsidR="0023191C" w:rsidRPr="00A42D18" w:rsidRDefault="0023191C" w:rsidP="0091710A">
            <w:pPr>
              <w:jc w:val="center"/>
              <w:rPr>
                <w:color w:val="FFFFFF" w:themeColor="background1"/>
                <w:sz w:val="18"/>
                <w:szCs w:val="18"/>
              </w:rPr>
            </w:pPr>
          </w:p>
        </w:tc>
        <w:tc>
          <w:tcPr>
            <w:tcW w:w="0" w:type="auto"/>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3AC25210" w14:textId="77777777" w:rsidR="0023191C" w:rsidRPr="00A42D18" w:rsidRDefault="0023191C" w:rsidP="0091710A">
            <w:pPr>
              <w:pStyle w:val="NormalWeb"/>
              <w:jc w:val="center"/>
              <w:rPr>
                <w:color w:val="FFFFFF" w:themeColor="background1"/>
                <w:sz w:val="18"/>
                <w:szCs w:val="18"/>
              </w:rPr>
            </w:pPr>
            <w:r w:rsidRPr="00A42D18">
              <w:rPr>
                <w:color w:val="FFFFFF" w:themeColor="background1"/>
                <w:sz w:val="18"/>
                <w:szCs w:val="18"/>
              </w:rPr>
              <w:t>0–</w:t>
            </w:r>
            <w:proofErr w:type="gramStart"/>
            <w:r w:rsidRPr="00A42D18">
              <w:rPr>
                <w:color w:val="FFFFFF" w:themeColor="background1"/>
                <w:sz w:val="18"/>
                <w:szCs w:val="18"/>
              </w:rPr>
              <w:t>30 day</w:t>
            </w:r>
            <w:proofErr w:type="gramEnd"/>
            <w:r w:rsidRPr="00A42D18">
              <w:rPr>
                <w:color w:val="FFFFFF" w:themeColor="background1"/>
                <w:sz w:val="18"/>
                <w:szCs w:val="18"/>
              </w:rPr>
              <w:t xml:space="preserve"> re-admissions</w:t>
            </w:r>
            <w:r w:rsidRPr="00A42D18">
              <w:rPr>
                <w:color w:val="FFFFFF" w:themeColor="background1"/>
                <w:sz w:val="18"/>
                <w:szCs w:val="18"/>
              </w:rPr>
              <w:br/>
              <w:t>(N = 363)</w:t>
            </w:r>
          </w:p>
        </w:tc>
        <w:tc>
          <w:tcPr>
            <w:tcW w:w="0" w:type="auto"/>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BD309BA" w14:textId="77777777" w:rsidR="0023191C" w:rsidRPr="00A42D18" w:rsidRDefault="0023191C" w:rsidP="0091710A">
            <w:pPr>
              <w:pStyle w:val="NormalWeb"/>
              <w:jc w:val="center"/>
              <w:rPr>
                <w:color w:val="FFFFFF" w:themeColor="background1"/>
                <w:sz w:val="18"/>
                <w:szCs w:val="18"/>
              </w:rPr>
            </w:pPr>
            <w:r w:rsidRPr="00A42D18">
              <w:rPr>
                <w:color w:val="FFFFFF" w:themeColor="background1"/>
                <w:sz w:val="18"/>
                <w:szCs w:val="18"/>
              </w:rPr>
              <w:t>1–</w:t>
            </w:r>
            <w:proofErr w:type="gramStart"/>
            <w:r w:rsidRPr="00A42D18">
              <w:rPr>
                <w:color w:val="FFFFFF" w:themeColor="background1"/>
                <w:sz w:val="18"/>
                <w:szCs w:val="18"/>
              </w:rPr>
              <w:t>6 month</w:t>
            </w:r>
            <w:proofErr w:type="gramEnd"/>
            <w:r w:rsidRPr="00A42D18">
              <w:rPr>
                <w:color w:val="FFFFFF" w:themeColor="background1"/>
                <w:sz w:val="18"/>
                <w:szCs w:val="18"/>
              </w:rPr>
              <w:t xml:space="preserve"> re-admissions</w:t>
            </w:r>
            <w:r w:rsidRPr="00A42D18">
              <w:rPr>
                <w:color w:val="FFFFFF" w:themeColor="background1"/>
                <w:sz w:val="18"/>
                <w:szCs w:val="18"/>
              </w:rPr>
              <w:br/>
              <w:t>(N = 363)</w:t>
            </w:r>
          </w:p>
        </w:tc>
        <w:tc>
          <w:tcPr>
            <w:tcW w:w="0" w:type="auto"/>
            <w:gridSpan w:val="2"/>
            <w:vMerge/>
            <w:tcBorders>
              <w:top w:val="single" w:sz="2" w:space="0" w:color="FFFFFF" w:themeColor="background1"/>
              <w:left w:val="single" w:sz="2" w:space="0" w:color="FFFFFF" w:themeColor="background1"/>
              <w:bottom w:val="single" w:sz="2" w:space="0" w:color="FFFFFF" w:themeColor="background1"/>
            </w:tcBorders>
            <w:vAlign w:val="center"/>
            <w:hideMark/>
          </w:tcPr>
          <w:p w14:paraId="7A28FD35" w14:textId="77777777" w:rsidR="0023191C" w:rsidRPr="00A42D18" w:rsidRDefault="0023191C" w:rsidP="0091710A">
            <w:pPr>
              <w:jc w:val="center"/>
              <w:rPr>
                <w:color w:val="FFFFFF" w:themeColor="background1"/>
                <w:sz w:val="18"/>
                <w:szCs w:val="18"/>
              </w:rPr>
            </w:pPr>
          </w:p>
        </w:tc>
      </w:tr>
      <w:tr w:rsidR="0023191C" w:rsidRPr="00A42D18" w14:paraId="5BABFB02" w14:textId="77777777" w:rsidTr="0088707C">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vAlign w:val="center"/>
            <w:hideMark/>
          </w:tcPr>
          <w:p w14:paraId="7CC83436" w14:textId="77777777" w:rsidR="0023191C" w:rsidRPr="00A42D18" w:rsidRDefault="0023191C" w:rsidP="0023191C">
            <w:pPr>
              <w:rPr>
                <w:color w:val="FFFFFF" w:themeColor="background1"/>
                <w:sz w:val="18"/>
                <w:szCs w:val="18"/>
              </w:rPr>
            </w:pP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2787F826" w14:textId="77777777" w:rsidR="0023191C" w:rsidRPr="00A42D18" w:rsidRDefault="0023191C" w:rsidP="0091710A">
            <w:pPr>
              <w:pStyle w:val="NormalWeb"/>
              <w:jc w:val="center"/>
              <w:rPr>
                <w:color w:val="FFFFFF" w:themeColor="background1"/>
                <w:sz w:val="18"/>
                <w:szCs w:val="18"/>
              </w:rPr>
            </w:pPr>
            <w:r w:rsidRPr="00A42D18">
              <w:rPr>
                <w:color w:val="FFFFFF" w:themeColor="background1"/>
                <w:sz w:val="18"/>
                <w:szCs w:val="18"/>
              </w:rPr>
              <w:t>Mean</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26479F73" w14:textId="77777777" w:rsidR="0023191C" w:rsidRPr="00A42D18" w:rsidRDefault="0023191C" w:rsidP="0091710A">
            <w:pPr>
              <w:pStyle w:val="NormalWeb"/>
              <w:jc w:val="center"/>
              <w:rPr>
                <w:color w:val="FFFFFF" w:themeColor="background1"/>
                <w:sz w:val="18"/>
                <w:szCs w:val="18"/>
              </w:rPr>
            </w:pPr>
            <w:r w:rsidRPr="00A42D18">
              <w:rPr>
                <w:color w:val="FFFFFF" w:themeColor="background1"/>
                <w:sz w:val="18"/>
                <w:szCs w:val="18"/>
              </w:rPr>
              <w:t>SD</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24BCC9DC" w14:textId="77777777" w:rsidR="0023191C" w:rsidRPr="00A42D18" w:rsidRDefault="0023191C" w:rsidP="0091710A">
            <w:pPr>
              <w:pStyle w:val="NormalWeb"/>
              <w:jc w:val="center"/>
              <w:rPr>
                <w:color w:val="FFFFFF" w:themeColor="background1"/>
                <w:sz w:val="18"/>
                <w:szCs w:val="18"/>
              </w:rPr>
            </w:pPr>
            <w:r w:rsidRPr="00A42D18">
              <w:rPr>
                <w:color w:val="FFFFFF" w:themeColor="background1"/>
                <w:sz w:val="18"/>
                <w:szCs w:val="18"/>
              </w:rPr>
              <w:t>Mean</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7998B08B" w14:textId="77777777" w:rsidR="0023191C" w:rsidRPr="00A42D18" w:rsidRDefault="0023191C" w:rsidP="0091710A">
            <w:pPr>
              <w:pStyle w:val="NormalWeb"/>
              <w:jc w:val="center"/>
              <w:rPr>
                <w:color w:val="FFFFFF" w:themeColor="background1"/>
                <w:sz w:val="18"/>
                <w:szCs w:val="18"/>
              </w:rPr>
            </w:pPr>
            <w:r w:rsidRPr="00A42D18">
              <w:rPr>
                <w:color w:val="FFFFFF" w:themeColor="background1"/>
                <w:sz w:val="18"/>
                <w:szCs w:val="18"/>
              </w:rPr>
              <w:t>SD</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71B9CA77" w14:textId="77777777" w:rsidR="0023191C" w:rsidRPr="00A42D18" w:rsidRDefault="0023191C" w:rsidP="0091710A">
            <w:pPr>
              <w:pStyle w:val="NormalWeb"/>
              <w:jc w:val="center"/>
              <w:rPr>
                <w:color w:val="FFFFFF" w:themeColor="background1"/>
                <w:sz w:val="18"/>
                <w:szCs w:val="18"/>
              </w:rPr>
            </w:pPr>
            <w:r w:rsidRPr="00A42D18">
              <w:rPr>
                <w:color w:val="FFFFFF" w:themeColor="background1"/>
                <w:sz w:val="18"/>
                <w:szCs w:val="18"/>
              </w:rPr>
              <w:t>Mean</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7F992EBD" w14:textId="77777777" w:rsidR="0023191C" w:rsidRPr="00A42D18" w:rsidRDefault="0023191C" w:rsidP="0091710A">
            <w:pPr>
              <w:pStyle w:val="NormalWeb"/>
              <w:jc w:val="center"/>
              <w:rPr>
                <w:color w:val="FFFFFF" w:themeColor="background1"/>
                <w:sz w:val="18"/>
                <w:szCs w:val="18"/>
              </w:rPr>
            </w:pPr>
            <w:r w:rsidRPr="00A42D18">
              <w:rPr>
                <w:color w:val="FFFFFF" w:themeColor="background1"/>
                <w:sz w:val="18"/>
                <w:szCs w:val="18"/>
              </w:rPr>
              <w:t>SD</w:t>
            </w:r>
          </w:p>
        </w:tc>
        <w:tc>
          <w:tcPr>
            <w:tcW w:w="0" w:type="auto"/>
            <w:tcBorders>
              <w:top w:val="single" w:sz="2" w:space="0" w:color="FFFFFF" w:themeColor="background1"/>
              <w:left w:val="single" w:sz="2" w:space="0" w:color="FFFFFF" w:themeColor="background1"/>
              <w:right w:val="single" w:sz="2" w:space="0" w:color="FFFFFF" w:themeColor="background1"/>
            </w:tcBorders>
            <w:vAlign w:val="center"/>
            <w:hideMark/>
          </w:tcPr>
          <w:p w14:paraId="32A2FE13" w14:textId="77777777" w:rsidR="0023191C" w:rsidRPr="00A42D18" w:rsidRDefault="0023191C" w:rsidP="0091710A">
            <w:pPr>
              <w:pStyle w:val="NormalWeb"/>
              <w:jc w:val="center"/>
              <w:rPr>
                <w:color w:val="FFFFFF" w:themeColor="background1"/>
                <w:sz w:val="18"/>
                <w:szCs w:val="18"/>
              </w:rPr>
            </w:pPr>
            <w:r w:rsidRPr="00A42D18">
              <w:rPr>
                <w:color w:val="FFFFFF" w:themeColor="background1"/>
                <w:sz w:val="18"/>
                <w:szCs w:val="18"/>
              </w:rPr>
              <w:t>Mean</w:t>
            </w:r>
          </w:p>
        </w:tc>
        <w:tc>
          <w:tcPr>
            <w:tcW w:w="0" w:type="auto"/>
            <w:tcBorders>
              <w:top w:val="single" w:sz="2" w:space="0" w:color="FFFFFF" w:themeColor="background1"/>
              <w:left w:val="single" w:sz="2" w:space="0" w:color="FFFFFF" w:themeColor="background1"/>
            </w:tcBorders>
            <w:vAlign w:val="center"/>
            <w:hideMark/>
          </w:tcPr>
          <w:p w14:paraId="31F9EAA8" w14:textId="77777777" w:rsidR="0023191C" w:rsidRPr="00A42D18" w:rsidRDefault="0023191C" w:rsidP="0091710A">
            <w:pPr>
              <w:pStyle w:val="NormalWeb"/>
              <w:jc w:val="center"/>
              <w:rPr>
                <w:color w:val="FFFFFF" w:themeColor="background1"/>
                <w:sz w:val="18"/>
                <w:szCs w:val="18"/>
              </w:rPr>
            </w:pPr>
            <w:r w:rsidRPr="00A42D18">
              <w:rPr>
                <w:color w:val="FFFFFF" w:themeColor="background1"/>
                <w:sz w:val="18"/>
                <w:szCs w:val="18"/>
                <w:lang w:val="en-US"/>
              </w:rPr>
              <w:t>SD</w:t>
            </w:r>
          </w:p>
        </w:tc>
      </w:tr>
      <w:tr w:rsidR="0023191C" w:rsidRPr="00A42D18" w14:paraId="1BEB492B" w14:textId="77777777" w:rsidTr="0088707C">
        <w:tblPrEx>
          <w:tblCellMar>
            <w:left w:w="57" w:type="dxa"/>
            <w:right w:w="57" w:type="dxa"/>
          </w:tblCellMar>
        </w:tblPrEx>
        <w:tc>
          <w:tcPr>
            <w:tcW w:w="0" w:type="auto"/>
            <w:vAlign w:val="center"/>
            <w:hideMark/>
          </w:tcPr>
          <w:p w14:paraId="6FC95C9B" w14:textId="77777777" w:rsidR="0023191C" w:rsidRPr="00A42D18" w:rsidRDefault="0023191C" w:rsidP="0023191C">
            <w:pPr>
              <w:pStyle w:val="NormalWeb"/>
              <w:rPr>
                <w:sz w:val="18"/>
                <w:szCs w:val="18"/>
              </w:rPr>
            </w:pPr>
            <w:r w:rsidRPr="00A42D18">
              <w:rPr>
                <w:sz w:val="18"/>
                <w:szCs w:val="18"/>
              </w:rPr>
              <w:t>Ambulance</w:t>
            </w:r>
          </w:p>
        </w:tc>
        <w:tc>
          <w:tcPr>
            <w:tcW w:w="0" w:type="auto"/>
            <w:vAlign w:val="center"/>
            <w:hideMark/>
          </w:tcPr>
          <w:p w14:paraId="1AF2A132" w14:textId="77777777" w:rsidR="0023191C" w:rsidRPr="00A42D18" w:rsidRDefault="0023191C" w:rsidP="0091710A">
            <w:pPr>
              <w:pStyle w:val="NormalWeb"/>
              <w:jc w:val="center"/>
              <w:rPr>
                <w:sz w:val="18"/>
                <w:szCs w:val="18"/>
              </w:rPr>
            </w:pPr>
            <w:r w:rsidRPr="00A42D18">
              <w:rPr>
                <w:sz w:val="18"/>
                <w:szCs w:val="18"/>
              </w:rPr>
              <w:t>$54</w:t>
            </w:r>
          </w:p>
        </w:tc>
        <w:tc>
          <w:tcPr>
            <w:tcW w:w="0" w:type="auto"/>
            <w:vAlign w:val="center"/>
            <w:hideMark/>
          </w:tcPr>
          <w:p w14:paraId="691EAA71" w14:textId="77777777" w:rsidR="0023191C" w:rsidRPr="00A42D18" w:rsidRDefault="0023191C" w:rsidP="0091710A">
            <w:pPr>
              <w:pStyle w:val="NormalWeb"/>
              <w:jc w:val="center"/>
              <w:rPr>
                <w:sz w:val="18"/>
                <w:szCs w:val="18"/>
              </w:rPr>
            </w:pPr>
            <w:r w:rsidRPr="00A42D18">
              <w:rPr>
                <w:sz w:val="18"/>
                <w:szCs w:val="18"/>
              </w:rPr>
              <w:t>$217</w:t>
            </w:r>
          </w:p>
        </w:tc>
        <w:tc>
          <w:tcPr>
            <w:tcW w:w="0" w:type="auto"/>
            <w:vAlign w:val="center"/>
            <w:hideMark/>
          </w:tcPr>
          <w:p w14:paraId="587DA27E" w14:textId="77777777" w:rsidR="0023191C" w:rsidRPr="00A42D18" w:rsidRDefault="0023191C" w:rsidP="0091710A">
            <w:pPr>
              <w:pStyle w:val="NormalWeb"/>
              <w:jc w:val="center"/>
              <w:rPr>
                <w:sz w:val="18"/>
                <w:szCs w:val="18"/>
              </w:rPr>
            </w:pPr>
            <w:r w:rsidRPr="00A42D18">
              <w:rPr>
                <w:sz w:val="18"/>
                <w:szCs w:val="18"/>
              </w:rPr>
              <w:t>$8</w:t>
            </w:r>
          </w:p>
        </w:tc>
        <w:tc>
          <w:tcPr>
            <w:tcW w:w="0" w:type="auto"/>
            <w:vAlign w:val="center"/>
            <w:hideMark/>
          </w:tcPr>
          <w:p w14:paraId="66CF95C3" w14:textId="77777777" w:rsidR="0023191C" w:rsidRPr="00A42D18" w:rsidRDefault="0023191C" w:rsidP="0091710A">
            <w:pPr>
              <w:pStyle w:val="NormalWeb"/>
              <w:jc w:val="center"/>
              <w:rPr>
                <w:sz w:val="18"/>
                <w:szCs w:val="18"/>
              </w:rPr>
            </w:pPr>
            <w:r w:rsidRPr="00A42D18">
              <w:rPr>
                <w:sz w:val="18"/>
                <w:szCs w:val="18"/>
              </w:rPr>
              <w:t>$84</w:t>
            </w:r>
          </w:p>
        </w:tc>
        <w:tc>
          <w:tcPr>
            <w:tcW w:w="0" w:type="auto"/>
            <w:vAlign w:val="center"/>
            <w:hideMark/>
          </w:tcPr>
          <w:p w14:paraId="44B13973" w14:textId="77777777" w:rsidR="0023191C" w:rsidRPr="00A42D18" w:rsidRDefault="0023191C" w:rsidP="0091710A">
            <w:pPr>
              <w:pStyle w:val="NormalWeb"/>
              <w:jc w:val="center"/>
              <w:rPr>
                <w:sz w:val="18"/>
                <w:szCs w:val="18"/>
              </w:rPr>
            </w:pPr>
            <w:r w:rsidRPr="00A42D18">
              <w:rPr>
                <w:sz w:val="18"/>
                <w:szCs w:val="18"/>
              </w:rPr>
              <w:t>$46</w:t>
            </w:r>
          </w:p>
        </w:tc>
        <w:tc>
          <w:tcPr>
            <w:tcW w:w="0" w:type="auto"/>
            <w:vAlign w:val="center"/>
            <w:hideMark/>
          </w:tcPr>
          <w:p w14:paraId="5DF5C1EC" w14:textId="77777777" w:rsidR="0023191C" w:rsidRPr="00A42D18" w:rsidRDefault="0023191C" w:rsidP="0091710A">
            <w:pPr>
              <w:pStyle w:val="NormalWeb"/>
              <w:jc w:val="center"/>
              <w:rPr>
                <w:sz w:val="18"/>
                <w:szCs w:val="18"/>
              </w:rPr>
            </w:pPr>
            <w:r w:rsidRPr="00A42D18">
              <w:rPr>
                <w:sz w:val="18"/>
                <w:szCs w:val="18"/>
              </w:rPr>
              <w:t>$487</w:t>
            </w:r>
          </w:p>
        </w:tc>
        <w:tc>
          <w:tcPr>
            <w:tcW w:w="0" w:type="auto"/>
            <w:vAlign w:val="center"/>
            <w:hideMark/>
          </w:tcPr>
          <w:p w14:paraId="381D7013" w14:textId="77777777" w:rsidR="0023191C" w:rsidRPr="00A42D18" w:rsidRDefault="0023191C" w:rsidP="0091710A">
            <w:pPr>
              <w:pStyle w:val="NormalWeb"/>
              <w:jc w:val="center"/>
              <w:rPr>
                <w:sz w:val="18"/>
                <w:szCs w:val="18"/>
              </w:rPr>
            </w:pPr>
            <w:r w:rsidRPr="00A42D18">
              <w:rPr>
                <w:sz w:val="18"/>
                <w:szCs w:val="18"/>
              </w:rPr>
              <w:t>$108</w:t>
            </w:r>
          </w:p>
        </w:tc>
        <w:tc>
          <w:tcPr>
            <w:tcW w:w="0" w:type="auto"/>
            <w:vAlign w:val="center"/>
            <w:hideMark/>
          </w:tcPr>
          <w:p w14:paraId="5C614D9C" w14:textId="77777777" w:rsidR="0023191C" w:rsidRPr="00A42D18" w:rsidRDefault="0023191C" w:rsidP="0091710A">
            <w:pPr>
              <w:pStyle w:val="NormalWeb"/>
              <w:jc w:val="center"/>
              <w:rPr>
                <w:sz w:val="18"/>
                <w:szCs w:val="18"/>
              </w:rPr>
            </w:pPr>
            <w:r w:rsidRPr="00A42D18">
              <w:rPr>
                <w:sz w:val="18"/>
                <w:szCs w:val="18"/>
              </w:rPr>
              <w:t>$680</w:t>
            </w:r>
          </w:p>
        </w:tc>
      </w:tr>
      <w:tr w:rsidR="0023191C" w:rsidRPr="00A42D18" w14:paraId="0590BDCC" w14:textId="77777777" w:rsidTr="0088707C">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Align w:val="center"/>
            <w:hideMark/>
          </w:tcPr>
          <w:p w14:paraId="2C62B4E3" w14:textId="77777777" w:rsidR="0023191C" w:rsidRPr="00A42D18" w:rsidRDefault="0023191C" w:rsidP="0023191C">
            <w:pPr>
              <w:pStyle w:val="NormalWeb"/>
              <w:rPr>
                <w:sz w:val="18"/>
                <w:szCs w:val="18"/>
              </w:rPr>
            </w:pPr>
            <w:r w:rsidRPr="00A42D18">
              <w:rPr>
                <w:sz w:val="18"/>
                <w:szCs w:val="18"/>
                <w:lang w:val="en-US"/>
              </w:rPr>
              <w:t>ED presentation prior to the acute admission</w:t>
            </w:r>
          </w:p>
        </w:tc>
        <w:tc>
          <w:tcPr>
            <w:tcW w:w="0" w:type="auto"/>
            <w:vAlign w:val="center"/>
            <w:hideMark/>
          </w:tcPr>
          <w:p w14:paraId="61C24021" w14:textId="77777777" w:rsidR="0023191C" w:rsidRPr="00A42D18" w:rsidRDefault="0023191C" w:rsidP="0091710A">
            <w:pPr>
              <w:pStyle w:val="NormalWeb"/>
              <w:jc w:val="center"/>
              <w:rPr>
                <w:sz w:val="18"/>
                <w:szCs w:val="18"/>
              </w:rPr>
            </w:pPr>
            <w:r w:rsidRPr="00A42D18">
              <w:rPr>
                <w:sz w:val="18"/>
                <w:szCs w:val="18"/>
              </w:rPr>
              <w:t>$1,147</w:t>
            </w:r>
          </w:p>
        </w:tc>
        <w:tc>
          <w:tcPr>
            <w:tcW w:w="0" w:type="auto"/>
            <w:vAlign w:val="center"/>
            <w:hideMark/>
          </w:tcPr>
          <w:p w14:paraId="74231FC1" w14:textId="77777777" w:rsidR="0023191C" w:rsidRPr="00A42D18" w:rsidRDefault="0023191C" w:rsidP="0091710A">
            <w:pPr>
              <w:pStyle w:val="NormalWeb"/>
              <w:jc w:val="center"/>
              <w:rPr>
                <w:sz w:val="18"/>
                <w:szCs w:val="18"/>
              </w:rPr>
            </w:pPr>
            <w:r w:rsidRPr="00A42D18">
              <w:rPr>
                <w:sz w:val="18"/>
                <w:szCs w:val="18"/>
              </w:rPr>
              <w:t>$979</w:t>
            </w:r>
          </w:p>
        </w:tc>
        <w:tc>
          <w:tcPr>
            <w:tcW w:w="0" w:type="auto"/>
            <w:vAlign w:val="center"/>
            <w:hideMark/>
          </w:tcPr>
          <w:p w14:paraId="0286334A" w14:textId="77777777" w:rsidR="0023191C" w:rsidRPr="00A42D18" w:rsidRDefault="0023191C" w:rsidP="0091710A">
            <w:pPr>
              <w:pStyle w:val="NormalWeb"/>
              <w:jc w:val="center"/>
              <w:rPr>
                <w:sz w:val="18"/>
                <w:szCs w:val="18"/>
              </w:rPr>
            </w:pPr>
            <w:r w:rsidRPr="00A42D18">
              <w:rPr>
                <w:sz w:val="18"/>
                <w:szCs w:val="18"/>
              </w:rPr>
              <w:t>$116</w:t>
            </w:r>
          </w:p>
        </w:tc>
        <w:tc>
          <w:tcPr>
            <w:tcW w:w="0" w:type="auto"/>
            <w:vAlign w:val="center"/>
            <w:hideMark/>
          </w:tcPr>
          <w:p w14:paraId="716A613E" w14:textId="77777777" w:rsidR="0023191C" w:rsidRPr="00A42D18" w:rsidRDefault="0023191C" w:rsidP="0091710A">
            <w:pPr>
              <w:pStyle w:val="NormalWeb"/>
              <w:jc w:val="center"/>
              <w:rPr>
                <w:sz w:val="18"/>
                <w:szCs w:val="18"/>
              </w:rPr>
            </w:pPr>
            <w:r w:rsidRPr="00A42D18">
              <w:rPr>
                <w:sz w:val="18"/>
                <w:szCs w:val="18"/>
              </w:rPr>
              <w:t>$431</w:t>
            </w:r>
          </w:p>
        </w:tc>
        <w:tc>
          <w:tcPr>
            <w:tcW w:w="0" w:type="auto"/>
            <w:vAlign w:val="center"/>
            <w:hideMark/>
          </w:tcPr>
          <w:p w14:paraId="19216CAF" w14:textId="77777777" w:rsidR="0023191C" w:rsidRPr="00A42D18" w:rsidRDefault="0023191C" w:rsidP="0091710A">
            <w:pPr>
              <w:pStyle w:val="NormalWeb"/>
              <w:jc w:val="center"/>
              <w:rPr>
                <w:sz w:val="18"/>
                <w:szCs w:val="18"/>
              </w:rPr>
            </w:pPr>
            <w:r w:rsidRPr="00A42D18">
              <w:rPr>
                <w:sz w:val="18"/>
                <w:szCs w:val="18"/>
              </w:rPr>
              <w:t>$345</w:t>
            </w:r>
          </w:p>
        </w:tc>
        <w:tc>
          <w:tcPr>
            <w:tcW w:w="0" w:type="auto"/>
            <w:vAlign w:val="center"/>
            <w:hideMark/>
          </w:tcPr>
          <w:p w14:paraId="32532202" w14:textId="77777777" w:rsidR="0023191C" w:rsidRPr="00A42D18" w:rsidRDefault="0023191C" w:rsidP="0091710A">
            <w:pPr>
              <w:pStyle w:val="NormalWeb"/>
              <w:jc w:val="center"/>
              <w:rPr>
                <w:sz w:val="18"/>
                <w:szCs w:val="18"/>
              </w:rPr>
            </w:pPr>
            <w:r w:rsidRPr="00A42D18">
              <w:rPr>
                <w:sz w:val="18"/>
                <w:szCs w:val="18"/>
              </w:rPr>
              <w:t>$1,278</w:t>
            </w:r>
          </w:p>
        </w:tc>
        <w:tc>
          <w:tcPr>
            <w:tcW w:w="0" w:type="auto"/>
            <w:vAlign w:val="center"/>
            <w:hideMark/>
          </w:tcPr>
          <w:p w14:paraId="3A4C758D" w14:textId="77777777" w:rsidR="0023191C" w:rsidRPr="00A42D18" w:rsidRDefault="0023191C" w:rsidP="0091710A">
            <w:pPr>
              <w:pStyle w:val="NormalWeb"/>
              <w:jc w:val="center"/>
              <w:rPr>
                <w:sz w:val="18"/>
                <w:szCs w:val="18"/>
              </w:rPr>
            </w:pPr>
            <w:r w:rsidRPr="00A42D18">
              <w:rPr>
                <w:sz w:val="18"/>
                <w:szCs w:val="18"/>
              </w:rPr>
              <w:t>$1,608</w:t>
            </w:r>
          </w:p>
        </w:tc>
        <w:tc>
          <w:tcPr>
            <w:tcW w:w="0" w:type="auto"/>
            <w:vAlign w:val="center"/>
            <w:hideMark/>
          </w:tcPr>
          <w:p w14:paraId="22467F5C" w14:textId="77777777" w:rsidR="0023191C" w:rsidRPr="00A42D18" w:rsidRDefault="0023191C" w:rsidP="0091710A">
            <w:pPr>
              <w:pStyle w:val="NormalWeb"/>
              <w:jc w:val="center"/>
              <w:rPr>
                <w:sz w:val="18"/>
                <w:szCs w:val="18"/>
              </w:rPr>
            </w:pPr>
            <w:r w:rsidRPr="00A42D18">
              <w:rPr>
                <w:sz w:val="18"/>
                <w:szCs w:val="18"/>
              </w:rPr>
              <w:t>$1,666</w:t>
            </w:r>
          </w:p>
        </w:tc>
      </w:tr>
      <w:tr w:rsidR="0023191C" w:rsidRPr="00A42D18" w14:paraId="6053EB9F" w14:textId="77777777" w:rsidTr="0088707C">
        <w:tblPrEx>
          <w:tblCellMar>
            <w:left w:w="57" w:type="dxa"/>
            <w:right w:w="57" w:type="dxa"/>
          </w:tblCellMar>
        </w:tblPrEx>
        <w:tc>
          <w:tcPr>
            <w:tcW w:w="0" w:type="auto"/>
            <w:vAlign w:val="center"/>
            <w:hideMark/>
          </w:tcPr>
          <w:p w14:paraId="1CCDF8A1" w14:textId="77777777" w:rsidR="0023191C" w:rsidRPr="00A42D18" w:rsidRDefault="0023191C" w:rsidP="0023191C">
            <w:pPr>
              <w:pStyle w:val="NormalWeb"/>
              <w:rPr>
                <w:sz w:val="18"/>
                <w:szCs w:val="18"/>
              </w:rPr>
            </w:pPr>
            <w:r w:rsidRPr="00A42D18">
              <w:rPr>
                <w:sz w:val="18"/>
                <w:szCs w:val="18"/>
                <w:lang w:val="en-US"/>
              </w:rPr>
              <w:t>ICU admission</w:t>
            </w:r>
          </w:p>
        </w:tc>
        <w:tc>
          <w:tcPr>
            <w:tcW w:w="0" w:type="auto"/>
            <w:vAlign w:val="center"/>
            <w:hideMark/>
          </w:tcPr>
          <w:p w14:paraId="24C7F0D6" w14:textId="77777777" w:rsidR="0023191C" w:rsidRPr="00A42D18" w:rsidRDefault="0023191C" w:rsidP="0091710A">
            <w:pPr>
              <w:pStyle w:val="NormalWeb"/>
              <w:jc w:val="center"/>
              <w:rPr>
                <w:sz w:val="18"/>
                <w:szCs w:val="18"/>
              </w:rPr>
            </w:pPr>
            <w:r w:rsidRPr="00A42D18">
              <w:rPr>
                <w:sz w:val="18"/>
                <w:szCs w:val="18"/>
              </w:rPr>
              <w:t>$5,342</w:t>
            </w:r>
          </w:p>
        </w:tc>
        <w:tc>
          <w:tcPr>
            <w:tcW w:w="0" w:type="auto"/>
            <w:vAlign w:val="center"/>
            <w:hideMark/>
          </w:tcPr>
          <w:p w14:paraId="256F0C00" w14:textId="77777777" w:rsidR="0023191C" w:rsidRPr="00A42D18" w:rsidRDefault="0023191C" w:rsidP="0091710A">
            <w:pPr>
              <w:pStyle w:val="NormalWeb"/>
              <w:jc w:val="center"/>
              <w:rPr>
                <w:sz w:val="18"/>
                <w:szCs w:val="18"/>
              </w:rPr>
            </w:pPr>
            <w:r w:rsidRPr="00A42D18">
              <w:rPr>
                <w:sz w:val="18"/>
                <w:szCs w:val="18"/>
              </w:rPr>
              <w:t>$15,139</w:t>
            </w:r>
          </w:p>
        </w:tc>
        <w:tc>
          <w:tcPr>
            <w:tcW w:w="0" w:type="auto"/>
            <w:vAlign w:val="center"/>
            <w:hideMark/>
          </w:tcPr>
          <w:p w14:paraId="302C0FB4" w14:textId="77777777" w:rsidR="0023191C" w:rsidRPr="00A42D18" w:rsidRDefault="0023191C" w:rsidP="0091710A">
            <w:pPr>
              <w:pStyle w:val="NormalWeb"/>
              <w:jc w:val="center"/>
              <w:rPr>
                <w:sz w:val="18"/>
                <w:szCs w:val="18"/>
              </w:rPr>
            </w:pPr>
            <w:r w:rsidRPr="00A42D18">
              <w:rPr>
                <w:sz w:val="18"/>
                <w:szCs w:val="18"/>
              </w:rPr>
              <w:t>$127</w:t>
            </w:r>
          </w:p>
        </w:tc>
        <w:tc>
          <w:tcPr>
            <w:tcW w:w="0" w:type="auto"/>
            <w:vAlign w:val="center"/>
            <w:hideMark/>
          </w:tcPr>
          <w:p w14:paraId="25632C9B" w14:textId="77777777" w:rsidR="0023191C" w:rsidRPr="00A42D18" w:rsidRDefault="0023191C" w:rsidP="0091710A">
            <w:pPr>
              <w:pStyle w:val="NormalWeb"/>
              <w:jc w:val="center"/>
              <w:rPr>
                <w:sz w:val="18"/>
                <w:szCs w:val="18"/>
              </w:rPr>
            </w:pPr>
            <w:r w:rsidRPr="00A42D18">
              <w:rPr>
                <w:sz w:val="18"/>
                <w:szCs w:val="18"/>
              </w:rPr>
              <w:t>$1,284</w:t>
            </w:r>
          </w:p>
        </w:tc>
        <w:tc>
          <w:tcPr>
            <w:tcW w:w="0" w:type="auto"/>
            <w:vAlign w:val="center"/>
            <w:hideMark/>
          </w:tcPr>
          <w:p w14:paraId="68B30355" w14:textId="77777777" w:rsidR="0023191C" w:rsidRPr="00A42D18" w:rsidRDefault="0023191C" w:rsidP="0091710A">
            <w:pPr>
              <w:pStyle w:val="NormalWeb"/>
              <w:jc w:val="center"/>
              <w:rPr>
                <w:sz w:val="18"/>
                <w:szCs w:val="18"/>
              </w:rPr>
            </w:pPr>
            <w:r w:rsidRPr="00A42D18">
              <w:rPr>
                <w:sz w:val="18"/>
                <w:szCs w:val="18"/>
              </w:rPr>
              <w:t>$752</w:t>
            </w:r>
          </w:p>
        </w:tc>
        <w:tc>
          <w:tcPr>
            <w:tcW w:w="0" w:type="auto"/>
            <w:vAlign w:val="center"/>
            <w:hideMark/>
          </w:tcPr>
          <w:p w14:paraId="3693C998" w14:textId="77777777" w:rsidR="0023191C" w:rsidRPr="00A42D18" w:rsidRDefault="0023191C" w:rsidP="0091710A">
            <w:pPr>
              <w:pStyle w:val="NormalWeb"/>
              <w:jc w:val="center"/>
              <w:rPr>
                <w:sz w:val="18"/>
                <w:szCs w:val="18"/>
              </w:rPr>
            </w:pPr>
            <w:r w:rsidRPr="00A42D18">
              <w:rPr>
                <w:sz w:val="18"/>
                <w:szCs w:val="18"/>
              </w:rPr>
              <w:t>$8,078</w:t>
            </w:r>
          </w:p>
        </w:tc>
        <w:tc>
          <w:tcPr>
            <w:tcW w:w="0" w:type="auto"/>
            <w:vAlign w:val="center"/>
            <w:hideMark/>
          </w:tcPr>
          <w:p w14:paraId="5EA98D68" w14:textId="77777777" w:rsidR="0023191C" w:rsidRPr="00A42D18" w:rsidRDefault="0023191C" w:rsidP="0091710A">
            <w:pPr>
              <w:pStyle w:val="NormalWeb"/>
              <w:jc w:val="center"/>
              <w:rPr>
                <w:sz w:val="18"/>
                <w:szCs w:val="18"/>
              </w:rPr>
            </w:pPr>
            <w:r w:rsidRPr="00A42D18">
              <w:rPr>
                <w:sz w:val="18"/>
                <w:szCs w:val="18"/>
              </w:rPr>
              <w:t>$6,221</w:t>
            </w:r>
          </w:p>
        </w:tc>
        <w:tc>
          <w:tcPr>
            <w:tcW w:w="0" w:type="auto"/>
            <w:vAlign w:val="center"/>
            <w:hideMark/>
          </w:tcPr>
          <w:p w14:paraId="29A2A9AC" w14:textId="77777777" w:rsidR="0023191C" w:rsidRPr="00A42D18" w:rsidRDefault="0023191C" w:rsidP="0091710A">
            <w:pPr>
              <w:pStyle w:val="NormalWeb"/>
              <w:jc w:val="center"/>
              <w:rPr>
                <w:sz w:val="18"/>
                <w:szCs w:val="18"/>
              </w:rPr>
            </w:pPr>
            <w:r w:rsidRPr="00A42D18">
              <w:rPr>
                <w:sz w:val="18"/>
                <w:szCs w:val="18"/>
              </w:rPr>
              <w:t>$18,713</w:t>
            </w:r>
          </w:p>
        </w:tc>
      </w:tr>
      <w:tr w:rsidR="0023191C" w:rsidRPr="00A42D18" w14:paraId="1F3BA22E" w14:textId="77777777" w:rsidTr="0088707C">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Align w:val="center"/>
            <w:hideMark/>
          </w:tcPr>
          <w:p w14:paraId="0E831F30" w14:textId="77777777" w:rsidR="0023191C" w:rsidRPr="00A42D18" w:rsidRDefault="0023191C" w:rsidP="0023191C">
            <w:pPr>
              <w:pStyle w:val="NormalWeb"/>
              <w:rPr>
                <w:sz w:val="18"/>
                <w:szCs w:val="18"/>
              </w:rPr>
            </w:pPr>
            <w:r w:rsidRPr="00A42D18">
              <w:rPr>
                <w:sz w:val="18"/>
                <w:szCs w:val="18"/>
                <w:lang w:val="en-US"/>
              </w:rPr>
              <w:t>Hospital admission (excluding ED and ICU costs)</w:t>
            </w:r>
          </w:p>
        </w:tc>
        <w:tc>
          <w:tcPr>
            <w:tcW w:w="0" w:type="auto"/>
            <w:vAlign w:val="center"/>
            <w:hideMark/>
          </w:tcPr>
          <w:p w14:paraId="5750218B" w14:textId="77777777" w:rsidR="0023191C" w:rsidRPr="00A42D18" w:rsidRDefault="0023191C" w:rsidP="0091710A">
            <w:pPr>
              <w:pStyle w:val="NormalWeb"/>
              <w:jc w:val="center"/>
              <w:rPr>
                <w:sz w:val="18"/>
                <w:szCs w:val="18"/>
              </w:rPr>
            </w:pPr>
            <w:r w:rsidRPr="00A42D18">
              <w:rPr>
                <w:sz w:val="18"/>
                <w:szCs w:val="18"/>
              </w:rPr>
              <w:t>$6,101</w:t>
            </w:r>
          </w:p>
        </w:tc>
        <w:tc>
          <w:tcPr>
            <w:tcW w:w="0" w:type="auto"/>
            <w:vAlign w:val="center"/>
            <w:hideMark/>
          </w:tcPr>
          <w:p w14:paraId="3823B8AC" w14:textId="77777777" w:rsidR="0023191C" w:rsidRPr="00A42D18" w:rsidRDefault="0023191C" w:rsidP="0091710A">
            <w:pPr>
              <w:pStyle w:val="NormalWeb"/>
              <w:jc w:val="center"/>
              <w:rPr>
                <w:sz w:val="18"/>
                <w:szCs w:val="18"/>
              </w:rPr>
            </w:pPr>
            <w:r w:rsidRPr="00A42D18">
              <w:rPr>
                <w:sz w:val="18"/>
                <w:szCs w:val="18"/>
              </w:rPr>
              <w:t>$9,265</w:t>
            </w:r>
          </w:p>
        </w:tc>
        <w:tc>
          <w:tcPr>
            <w:tcW w:w="0" w:type="auto"/>
            <w:vAlign w:val="center"/>
            <w:hideMark/>
          </w:tcPr>
          <w:p w14:paraId="4D707CE5" w14:textId="77777777" w:rsidR="0023191C" w:rsidRPr="00A42D18" w:rsidRDefault="0023191C" w:rsidP="0091710A">
            <w:pPr>
              <w:pStyle w:val="NormalWeb"/>
              <w:jc w:val="center"/>
              <w:rPr>
                <w:sz w:val="18"/>
                <w:szCs w:val="18"/>
              </w:rPr>
            </w:pPr>
            <w:r w:rsidRPr="00A42D18">
              <w:rPr>
                <w:sz w:val="18"/>
                <w:szCs w:val="18"/>
              </w:rPr>
              <w:t>$995</w:t>
            </w:r>
          </w:p>
        </w:tc>
        <w:tc>
          <w:tcPr>
            <w:tcW w:w="0" w:type="auto"/>
            <w:vAlign w:val="center"/>
            <w:hideMark/>
          </w:tcPr>
          <w:p w14:paraId="6F7431EF" w14:textId="77777777" w:rsidR="0023191C" w:rsidRPr="00A42D18" w:rsidRDefault="0023191C" w:rsidP="0091710A">
            <w:pPr>
              <w:pStyle w:val="NormalWeb"/>
              <w:jc w:val="center"/>
              <w:rPr>
                <w:sz w:val="18"/>
                <w:szCs w:val="18"/>
              </w:rPr>
            </w:pPr>
            <w:r w:rsidRPr="00A42D18">
              <w:rPr>
                <w:sz w:val="18"/>
                <w:szCs w:val="18"/>
              </w:rPr>
              <w:t>$6,834</w:t>
            </w:r>
          </w:p>
        </w:tc>
        <w:tc>
          <w:tcPr>
            <w:tcW w:w="0" w:type="auto"/>
            <w:vAlign w:val="center"/>
            <w:hideMark/>
          </w:tcPr>
          <w:p w14:paraId="57AC885F" w14:textId="77777777" w:rsidR="0023191C" w:rsidRPr="00A42D18" w:rsidRDefault="0023191C" w:rsidP="0091710A">
            <w:pPr>
              <w:pStyle w:val="NormalWeb"/>
              <w:jc w:val="center"/>
              <w:rPr>
                <w:sz w:val="18"/>
                <w:szCs w:val="18"/>
              </w:rPr>
            </w:pPr>
            <w:r w:rsidRPr="00A42D18">
              <w:rPr>
                <w:sz w:val="18"/>
                <w:szCs w:val="18"/>
              </w:rPr>
              <w:t>$2,088</w:t>
            </w:r>
          </w:p>
        </w:tc>
        <w:tc>
          <w:tcPr>
            <w:tcW w:w="0" w:type="auto"/>
            <w:vAlign w:val="center"/>
            <w:hideMark/>
          </w:tcPr>
          <w:p w14:paraId="10F889BE" w14:textId="77777777" w:rsidR="0023191C" w:rsidRPr="00A42D18" w:rsidRDefault="0023191C" w:rsidP="0091710A">
            <w:pPr>
              <w:pStyle w:val="NormalWeb"/>
              <w:jc w:val="center"/>
              <w:rPr>
                <w:sz w:val="18"/>
                <w:szCs w:val="18"/>
              </w:rPr>
            </w:pPr>
            <w:r w:rsidRPr="00A42D18">
              <w:rPr>
                <w:sz w:val="18"/>
                <w:szCs w:val="18"/>
              </w:rPr>
              <w:t>$9,959</w:t>
            </w:r>
          </w:p>
        </w:tc>
        <w:tc>
          <w:tcPr>
            <w:tcW w:w="0" w:type="auto"/>
            <w:vAlign w:val="center"/>
            <w:hideMark/>
          </w:tcPr>
          <w:p w14:paraId="29C900B6" w14:textId="77777777" w:rsidR="0023191C" w:rsidRPr="00A42D18" w:rsidRDefault="0023191C" w:rsidP="0091710A">
            <w:pPr>
              <w:pStyle w:val="NormalWeb"/>
              <w:jc w:val="center"/>
              <w:rPr>
                <w:sz w:val="18"/>
                <w:szCs w:val="18"/>
              </w:rPr>
            </w:pPr>
            <w:r w:rsidRPr="00A42D18">
              <w:rPr>
                <w:sz w:val="18"/>
                <w:szCs w:val="18"/>
              </w:rPr>
              <w:t>$9,183</w:t>
            </w:r>
          </w:p>
        </w:tc>
        <w:tc>
          <w:tcPr>
            <w:tcW w:w="0" w:type="auto"/>
            <w:vAlign w:val="center"/>
            <w:hideMark/>
          </w:tcPr>
          <w:p w14:paraId="1F2D12EC" w14:textId="77777777" w:rsidR="0023191C" w:rsidRPr="00A42D18" w:rsidRDefault="0023191C" w:rsidP="0091710A">
            <w:pPr>
              <w:pStyle w:val="NormalWeb"/>
              <w:jc w:val="center"/>
              <w:rPr>
                <w:sz w:val="18"/>
                <w:szCs w:val="18"/>
              </w:rPr>
            </w:pPr>
            <w:r w:rsidRPr="00A42D18">
              <w:rPr>
                <w:sz w:val="18"/>
                <w:szCs w:val="18"/>
              </w:rPr>
              <w:t>$19,990</w:t>
            </w:r>
          </w:p>
        </w:tc>
      </w:tr>
      <w:tr w:rsidR="0023191C" w:rsidRPr="00A42D18" w14:paraId="40218B8E" w14:textId="77777777" w:rsidTr="0088707C">
        <w:tblPrEx>
          <w:tblCellMar>
            <w:left w:w="57" w:type="dxa"/>
            <w:right w:w="57" w:type="dxa"/>
          </w:tblCellMar>
        </w:tblPrEx>
        <w:tc>
          <w:tcPr>
            <w:tcW w:w="0" w:type="auto"/>
            <w:vAlign w:val="center"/>
            <w:hideMark/>
          </w:tcPr>
          <w:p w14:paraId="4DC98C43" w14:textId="77777777" w:rsidR="0023191C" w:rsidRPr="00A42D18" w:rsidRDefault="0023191C" w:rsidP="0023191C">
            <w:pPr>
              <w:pStyle w:val="NormalWeb"/>
              <w:rPr>
                <w:sz w:val="18"/>
                <w:szCs w:val="18"/>
              </w:rPr>
            </w:pPr>
            <w:r w:rsidRPr="00A42D18">
              <w:rPr>
                <w:sz w:val="18"/>
                <w:szCs w:val="18"/>
                <w:lang w:val="en-US"/>
              </w:rPr>
              <w:t xml:space="preserve">ALL CHILDREN: hospital admission </w:t>
            </w:r>
            <w:r w:rsidRPr="00A42D18">
              <w:rPr>
                <w:sz w:val="18"/>
                <w:szCs w:val="18"/>
                <w:lang w:val="en-US"/>
              </w:rPr>
              <w:br/>
              <w:t>(including ED and ICU costs, excluding ambulance costs)</w:t>
            </w:r>
          </w:p>
        </w:tc>
        <w:tc>
          <w:tcPr>
            <w:tcW w:w="0" w:type="auto"/>
            <w:vAlign w:val="center"/>
            <w:hideMark/>
          </w:tcPr>
          <w:p w14:paraId="4816C01B" w14:textId="77777777" w:rsidR="0023191C" w:rsidRPr="00A42D18" w:rsidRDefault="0023191C" w:rsidP="0091710A">
            <w:pPr>
              <w:pStyle w:val="NormalWeb"/>
              <w:jc w:val="center"/>
              <w:rPr>
                <w:sz w:val="18"/>
                <w:szCs w:val="18"/>
              </w:rPr>
            </w:pPr>
            <w:r w:rsidRPr="00A42D18">
              <w:rPr>
                <w:sz w:val="18"/>
                <w:szCs w:val="18"/>
              </w:rPr>
              <w:t>$12,589</w:t>
            </w:r>
          </w:p>
        </w:tc>
        <w:tc>
          <w:tcPr>
            <w:tcW w:w="0" w:type="auto"/>
            <w:vAlign w:val="center"/>
            <w:hideMark/>
          </w:tcPr>
          <w:p w14:paraId="2BD49683" w14:textId="77777777" w:rsidR="0023191C" w:rsidRPr="00A42D18" w:rsidRDefault="0023191C" w:rsidP="0091710A">
            <w:pPr>
              <w:pStyle w:val="NormalWeb"/>
              <w:jc w:val="center"/>
              <w:rPr>
                <w:sz w:val="18"/>
                <w:szCs w:val="18"/>
              </w:rPr>
            </w:pPr>
            <w:r w:rsidRPr="00A42D18">
              <w:rPr>
                <w:sz w:val="18"/>
                <w:szCs w:val="18"/>
              </w:rPr>
              <w:t>$21,604</w:t>
            </w:r>
          </w:p>
        </w:tc>
        <w:tc>
          <w:tcPr>
            <w:tcW w:w="0" w:type="auto"/>
            <w:vAlign w:val="center"/>
            <w:hideMark/>
          </w:tcPr>
          <w:p w14:paraId="159EFD1A" w14:textId="77777777" w:rsidR="0023191C" w:rsidRPr="00A42D18" w:rsidRDefault="0023191C" w:rsidP="0091710A">
            <w:pPr>
              <w:pStyle w:val="NormalWeb"/>
              <w:jc w:val="center"/>
              <w:rPr>
                <w:sz w:val="18"/>
                <w:szCs w:val="18"/>
              </w:rPr>
            </w:pPr>
            <w:r w:rsidRPr="00A42D18">
              <w:rPr>
                <w:sz w:val="18"/>
                <w:szCs w:val="18"/>
              </w:rPr>
              <w:t>$1,238</w:t>
            </w:r>
          </w:p>
        </w:tc>
        <w:tc>
          <w:tcPr>
            <w:tcW w:w="0" w:type="auto"/>
            <w:vAlign w:val="center"/>
            <w:hideMark/>
          </w:tcPr>
          <w:p w14:paraId="0F609C4D" w14:textId="77777777" w:rsidR="0023191C" w:rsidRPr="00A42D18" w:rsidRDefault="0023191C" w:rsidP="0091710A">
            <w:pPr>
              <w:pStyle w:val="NormalWeb"/>
              <w:jc w:val="center"/>
              <w:rPr>
                <w:sz w:val="18"/>
                <w:szCs w:val="18"/>
              </w:rPr>
            </w:pPr>
            <w:r w:rsidRPr="00A42D18">
              <w:rPr>
                <w:sz w:val="18"/>
                <w:szCs w:val="18"/>
              </w:rPr>
              <w:t>$7,530</w:t>
            </w:r>
          </w:p>
        </w:tc>
        <w:tc>
          <w:tcPr>
            <w:tcW w:w="0" w:type="auto"/>
            <w:vAlign w:val="center"/>
            <w:hideMark/>
          </w:tcPr>
          <w:p w14:paraId="0858DEE3" w14:textId="77777777" w:rsidR="0023191C" w:rsidRPr="00A42D18" w:rsidRDefault="0023191C" w:rsidP="0091710A">
            <w:pPr>
              <w:pStyle w:val="NormalWeb"/>
              <w:jc w:val="center"/>
              <w:rPr>
                <w:sz w:val="18"/>
                <w:szCs w:val="18"/>
              </w:rPr>
            </w:pPr>
            <w:r w:rsidRPr="00A42D18">
              <w:rPr>
                <w:sz w:val="18"/>
                <w:szCs w:val="18"/>
              </w:rPr>
              <w:t>$3,185</w:t>
            </w:r>
          </w:p>
        </w:tc>
        <w:tc>
          <w:tcPr>
            <w:tcW w:w="0" w:type="auto"/>
            <w:vAlign w:val="center"/>
            <w:hideMark/>
          </w:tcPr>
          <w:p w14:paraId="546B64AF" w14:textId="77777777" w:rsidR="0023191C" w:rsidRPr="00A42D18" w:rsidRDefault="0023191C" w:rsidP="0091710A">
            <w:pPr>
              <w:pStyle w:val="NormalWeb"/>
              <w:jc w:val="center"/>
              <w:rPr>
                <w:sz w:val="18"/>
                <w:szCs w:val="18"/>
              </w:rPr>
            </w:pPr>
            <w:r w:rsidRPr="00A42D18">
              <w:rPr>
                <w:sz w:val="18"/>
                <w:szCs w:val="18"/>
              </w:rPr>
              <w:t>$17,873</w:t>
            </w:r>
          </w:p>
        </w:tc>
        <w:tc>
          <w:tcPr>
            <w:tcW w:w="0" w:type="auto"/>
            <w:vAlign w:val="center"/>
            <w:hideMark/>
          </w:tcPr>
          <w:p w14:paraId="37026C96" w14:textId="77777777" w:rsidR="0023191C" w:rsidRPr="00A42D18" w:rsidRDefault="0023191C" w:rsidP="0091710A">
            <w:pPr>
              <w:pStyle w:val="NormalWeb"/>
              <w:jc w:val="center"/>
              <w:rPr>
                <w:sz w:val="18"/>
                <w:szCs w:val="18"/>
              </w:rPr>
            </w:pPr>
            <w:r w:rsidRPr="00A42D18">
              <w:rPr>
                <w:sz w:val="18"/>
                <w:szCs w:val="18"/>
              </w:rPr>
              <w:t>$17,012</w:t>
            </w:r>
          </w:p>
        </w:tc>
        <w:tc>
          <w:tcPr>
            <w:tcW w:w="0" w:type="auto"/>
            <w:vAlign w:val="center"/>
            <w:hideMark/>
          </w:tcPr>
          <w:p w14:paraId="730C7641" w14:textId="77777777" w:rsidR="0023191C" w:rsidRPr="00A42D18" w:rsidRDefault="0023191C" w:rsidP="0091710A">
            <w:pPr>
              <w:pStyle w:val="NormalWeb"/>
              <w:jc w:val="center"/>
              <w:rPr>
                <w:sz w:val="18"/>
                <w:szCs w:val="18"/>
              </w:rPr>
            </w:pPr>
            <w:r w:rsidRPr="00A42D18">
              <w:rPr>
                <w:sz w:val="18"/>
                <w:szCs w:val="18"/>
              </w:rPr>
              <w:t>$37,239</w:t>
            </w:r>
          </w:p>
        </w:tc>
      </w:tr>
      <w:tr w:rsidR="0023191C" w:rsidRPr="00A42D18" w14:paraId="77E32711" w14:textId="77777777" w:rsidTr="0088707C">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vAlign w:val="center"/>
            <w:hideMark/>
          </w:tcPr>
          <w:p w14:paraId="61F3AECF" w14:textId="77777777" w:rsidR="0023191C" w:rsidRPr="00A42D18" w:rsidRDefault="0023191C" w:rsidP="0023191C">
            <w:pPr>
              <w:pStyle w:val="NormalWeb"/>
              <w:rPr>
                <w:sz w:val="18"/>
                <w:szCs w:val="18"/>
              </w:rPr>
            </w:pPr>
            <w:r w:rsidRPr="00A42D18">
              <w:rPr>
                <w:sz w:val="18"/>
                <w:szCs w:val="18"/>
                <w:lang w:val="en-US"/>
              </w:rPr>
              <w:t xml:space="preserve">ALL CHILDREN: hospital admission </w:t>
            </w:r>
            <w:r w:rsidRPr="00A42D18">
              <w:rPr>
                <w:sz w:val="18"/>
                <w:szCs w:val="18"/>
                <w:lang w:val="en-US"/>
              </w:rPr>
              <w:br/>
              <w:t xml:space="preserve">(including ED, </w:t>
            </w:r>
            <w:proofErr w:type="gramStart"/>
            <w:r w:rsidRPr="00A42D18">
              <w:rPr>
                <w:sz w:val="18"/>
                <w:szCs w:val="18"/>
                <w:lang w:val="en-US"/>
              </w:rPr>
              <w:t>ICU</w:t>
            </w:r>
            <w:proofErr w:type="gramEnd"/>
            <w:r w:rsidRPr="00A42D18">
              <w:rPr>
                <w:sz w:val="18"/>
                <w:szCs w:val="18"/>
                <w:lang w:val="en-US"/>
              </w:rPr>
              <w:t xml:space="preserve"> and ambulance costs)</w:t>
            </w:r>
          </w:p>
        </w:tc>
        <w:tc>
          <w:tcPr>
            <w:tcW w:w="0" w:type="auto"/>
            <w:vAlign w:val="center"/>
            <w:hideMark/>
          </w:tcPr>
          <w:p w14:paraId="5C862E70" w14:textId="77777777" w:rsidR="0023191C" w:rsidRPr="00A42D18" w:rsidRDefault="0023191C" w:rsidP="0091710A">
            <w:pPr>
              <w:pStyle w:val="NormalWeb"/>
              <w:jc w:val="center"/>
              <w:rPr>
                <w:sz w:val="18"/>
                <w:szCs w:val="18"/>
              </w:rPr>
            </w:pPr>
            <w:r w:rsidRPr="00A42D18">
              <w:rPr>
                <w:sz w:val="18"/>
                <w:szCs w:val="18"/>
              </w:rPr>
              <w:t>$12,643</w:t>
            </w:r>
          </w:p>
        </w:tc>
        <w:tc>
          <w:tcPr>
            <w:tcW w:w="0" w:type="auto"/>
            <w:vAlign w:val="center"/>
            <w:hideMark/>
          </w:tcPr>
          <w:p w14:paraId="22B06677" w14:textId="77777777" w:rsidR="0023191C" w:rsidRPr="00A42D18" w:rsidRDefault="0023191C" w:rsidP="0091710A">
            <w:pPr>
              <w:pStyle w:val="NormalWeb"/>
              <w:jc w:val="center"/>
              <w:rPr>
                <w:sz w:val="18"/>
                <w:szCs w:val="18"/>
              </w:rPr>
            </w:pPr>
            <w:r w:rsidRPr="00A42D18">
              <w:rPr>
                <w:sz w:val="18"/>
                <w:szCs w:val="18"/>
              </w:rPr>
              <w:t>$21,644</w:t>
            </w:r>
          </w:p>
        </w:tc>
        <w:tc>
          <w:tcPr>
            <w:tcW w:w="0" w:type="auto"/>
            <w:vAlign w:val="center"/>
            <w:hideMark/>
          </w:tcPr>
          <w:p w14:paraId="6457ACA9" w14:textId="77777777" w:rsidR="0023191C" w:rsidRPr="00A42D18" w:rsidRDefault="0023191C" w:rsidP="0091710A">
            <w:pPr>
              <w:pStyle w:val="NormalWeb"/>
              <w:jc w:val="center"/>
              <w:rPr>
                <w:sz w:val="18"/>
                <w:szCs w:val="18"/>
              </w:rPr>
            </w:pPr>
            <w:r w:rsidRPr="00A42D18">
              <w:rPr>
                <w:sz w:val="18"/>
                <w:szCs w:val="18"/>
              </w:rPr>
              <w:t>$1,246</w:t>
            </w:r>
          </w:p>
        </w:tc>
        <w:tc>
          <w:tcPr>
            <w:tcW w:w="0" w:type="auto"/>
            <w:vAlign w:val="center"/>
            <w:hideMark/>
          </w:tcPr>
          <w:p w14:paraId="1287A989" w14:textId="77777777" w:rsidR="0023191C" w:rsidRPr="00A42D18" w:rsidRDefault="0023191C" w:rsidP="0091710A">
            <w:pPr>
              <w:pStyle w:val="NormalWeb"/>
              <w:jc w:val="center"/>
              <w:rPr>
                <w:sz w:val="18"/>
                <w:szCs w:val="18"/>
              </w:rPr>
            </w:pPr>
            <w:r w:rsidRPr="00A42D18">
              <w:rPr>
                <w:sz w:val="18"/>
                <w:szCs w:val="18"/>
              </w:rPr>
              <w:t>$7,582</w:t>
            </w:r>
          </w:p>
        </w:tc>
        <w:tc>
          <w:tcPr>
            <w:tcW w:w="0" w:type="auto"/>
            <w:vAlign w:val="center"/>
            <w:hideMark/>
          </w:tcPr>
          <w:p w14:paraId="797FB3F3" w14:textId="77777777" w:rsidR="0023191C" w:rsidRPr="00A42D18" w:rsidRDefault="0023191C" w:rsidP="0091710A">
            <w:pPr>
              <w:pStyle w:val="NormalWeb"/>
              <w:jc w:val="center"/>
              <w:rPr>
                <w:sz w:val="18"/>
                <w:szCs w:val="18"/>
              </w:rPr>
            </w:pPr>
            <w:r w:rsidRPr="00A42D18">
              <w:rPr>
                <w:sz w:val="18"/>
                <w:szCs w:val="18"/>
              </w:rPr>
              <w:t>$3,231</w:t>
            </w:r>
          </w:p>
        </w:tc>
        <w:tc>
          <w:tcPr>
            <w:tcW w:w="0" w:type="auto"/>
            <w:vAlign w:val="center"/>
            <w:hideMark/>
          </w:tcPr>
          <w:p w14:paraId="3327608C" w14:textId="77777777" w:rsidR="0023191C" w:rsidRPr="00A42D18" w:rsidRDefault="0023191C" w:rsidP="0091710A">
            <w:pPr>
              <w:pStyle w:val="NormalWeb"/>
              <w:jc w:val="center"/>
              <w:rPr>
                <w:sz w:val="18"/>
                <w:szCs w:val="18"/>
              </w:rPr>
            </w:pPr>
            <w:r w:rsidRPr="00A42D18">
              <w:rPr>
                <w:sz w:val="18"/>
                <w:szCs w:val="18"/>
              </w:rPr>
              <w:t>$17,978</w:t>
            </w:r>
          </w:p>
        </w:tc>
        <w:tc>
          <w:tcPr>
            <w:tcW w:w="0" w:type="auto"/>
            <w:vAlign w:val="center"/>
            <w:hideMark/>
          </w:tcPr>
          <w:p w14:paraId="08AFAAA9" w14:textId="77777777" w:rsidR="0023191C" w:rsidRPr="00A42D18" w:rsidRDefault="0023191C" w:rsidP="0091710A">
            <w:pPr>
              <w:pStyle w:val="NormalWeb"/>
              <w:jc w:val="center"/>
              <w:rPr>
                <w:sz w:val="18"/>
                <w:szCs w:val="18"/>
              </w:rPr>
            </w:pPr>
            <w:r w:rsidRPr="00A42D18">
              <w:rPr>
                <w:sz w:val="18"/>
                <w:szCs w:val="18"/>
              </w:rPr>
              <w:t>$17,120</w:t>
            </w:r>
          </w:p>
        </w:tc>
        <w:tc>
          <w:tcPr>
            <w:tcW w:w="0" w:type="auto"/>
            <w:vAlign w:val="center"/>
            <w:hideMark/>
          </w:tcPr>
          <w:p w14:paraId="5632DA07" w14:textId="77777777" w:rsidR="0023191C" w:rsidRPr="00A42D18" w:rsidRDefault="0023191C" w:rsidP="0091710A">
            <w:pPr>
              <w:pStyle w:val="NormalWeb"/>
              <w:jc w:val="center"/>
              <w:rPr>
                <w:sz w:val="18"/>
                <w:szCs w:val="18"/>
              </w:rPr>
            </w:pPr>
            <w:r w:rsidRPr="00A42D18">
              <w:rPr>
                <w:sz w:val="18"/>
                <w:szCs w:val="18"/>
              </w:rPr>
              <w:t>$37,562</w:t>
            </w:r>
          </w:p>
        </w:tc>
      </w:tr>
      <w:tr w:rsidR="0023191C" w:rsidRPr="00A42D18" w14:paraId="31B4159D" w14:textId="77777777" w:rsidTr="0088707C">
        <w:tblPrEx>
          <w:tblCellMar>
            <w:left w:w="57" w:type="dxa"/>
            <w:right w:w="57" w:type="dxa"/>
          </w:tblCellMar>
        </w:tblPrEx>
        <w:tc>
          <w:tcPr>
            <w:tcW w:w="0" w:type="auto"/>
            <w:vAlign w:val="center"/>
            <w:hideMark/>
          </w:tcPr>
          <w:p w14:paraId="605E9FED" w14:textId="77777777" w:rsidR="0023191C" w:rsidRPr="00A42D18" w:rsidRDefault="0023191C" w:rsidP="0023191C">
            <w:pPr>
              <w:pStyle w:val="NormalWeb"/>
              <w:rPr>
                <w:sz w:val="18"/>
                <w:szCs w:val="18"/>
              </w:rPr>
            </w:pPr>
            <w:r w:rsidRPr="00A42D18">
              <w:rPr>
                <w:sz w:val="18"/>
                <w:szCs w:val="18"/>
                <w:lang w:val="en-US"/>
              </w:rPr>
              <w:t xml:space="preserve">CHILDREN UNDER 1 YEAR: hospital admission </w:t>
            </w:r>
            <w:r w:rsidRPr="00A42D18">
              <w:rPr>
                <w:sz w:val="18"/>
                <w:szCs w:val="18"/>
                <w:lang w:val="en-US"/>
              </w:rPr>
              <w:br/>
              <w:t xml:space="preserve">(including ED, </w:t>
            </w:r>
            <w:proofErr w:type="gramStart"/>
            <w:r w:rsidRPr="00A42D18">
              <w:rPr>
                <w:sz w:val="18"/>
                <w:szCs w:val="18"/>
                <w:lang w:val="en-US"/>
              </w:rPr>
              <w:t>ICU</w:t>
            </w:r>
            <w:proofErr w:type="gramEnd"/>
            <w:r w:rsidRPr="00A42D18">
              <w:rPr>
                <w:sz w:val="18"/>
                <w:szCs w:val="18"/>
                <w:lang w:val="en-US"/>
              </w:rPr>
              <w:t xml:space="preserve"> and ambulance costs)</w:t>
            </w:r>
          </w:p>
        </w:tc>
        <w:tc>
          <w:tcPr>
            <w:tcW w:w="0" w:type="auto"/>
            <w:vAlign w:val="center"/>
            <w:hideMark/>
          </w:tcPr>
          <w:p w14:paraId="292A1E8A" w14:textId="77777777" w:rsidR="0023191C" w:rsidRPr="00A42D18" w:rsidRDefault="0023191C" w:rsidP="0091710A">
            <w:pPr>
              <w:pStyle w:val="NormalWeb"/>
              <w:jc w:val="center"/>
              <w:rPr>
                <w:sz w:val="18"/>
                <w:szCs w:val="18"/>
              </w:rPr>
            </w:pPr>
            <w:r w:rsidRPr="00A42D18">
              <w:rPr>
                <w:sz w:val="18"/>
                <w:szCs w:val="18"/>
              </w:rPr>
              <w:t>$12,346</w:t>
            </w:r>
          </w:p>
        </w:tc>
        <w:tc>
          <w:tcPr>
            <w:tcW w:w="0" w:type="auto"/>
            <w:vAlign w:val="center"/>
            <w:hideMark/>
          </w:tcPr>
          <w:p w14:paraId="4FE26CFF" w14:textId="77777777" w:rsidR="0023191C" w:rsidRPr="00A42D18" w:rsidRDefault="0023191C" w:rsidP="0091710A">
            <w:pPr>
              <w:pStyle w:val="NormalWeb"/>
              <w:jc w:val="center"/>
              <w:rPr>
                <w:sz w:val="18"/>
                <w:szCs w:val="18"/>
              </w:rPr>
            </w:pPr>
            <w:r w:rsidRPr="00A42D18">
              <w:rPr>
                <w:sz w:val="18"/>
                <w:szCs w:val="18"/>
              </w:rPr>
              <w:t>$21,414</w:t>
            </w:r>
          </w:p>
        </w:tc>
        <w:tc>
          <w:tcPr>
            <w:tcW w:w="0" w:type="auto"/>
            <w:vAlign w:val="center"/>
            <w:hideMark/>
          </w:tcPr>
          <w:p w14:paraId="3C7C5CD0" w14:textId="77777777" w:rsidR="0023191C" w:rsidRPr="00A42D18" w:rsidRDefault="0023191C" w:rsidP="0091710A">
            <w:pPr>
              <w:pStyle w:val="NormalWeb"/>
              <w:jc w:val="center"/>
              <w:rPr>
                <w:sz w:val="18"/>
                <w:szCs w:val="18"/>
              </w:rPr>
            </w:pPr>
            <w:r w:rsidRPr="00A42D18">
              <w:rPr>
                <w:sz w:val="18"/>
                <w:szCs w:val="18"/>
              </w:rPr>
              <w:t>$1,112</w:t>
            </w:r>
          </w:p>
        </w:tc>
        <w:tc>
          <w:tcPr>
            <w:tcW w:w="0" w:type="auto"/>
            <w:vAlign w:val="center"/>
            <w:hideMark/>
          </w:tcPr>
          <w:p w14:paraId="0A0159CD" w14:textId="77777777" w:rsidR="0023191C" w:rsidRPr="00A42D18" w:rsidRDefault="0023191C" w:rsidP="0091710A">
            <w:pPr>
              <w:pStyle w:val="NormalWeb"/>
              <w:jc w:val="center"/>
              <w:rPr>
                <w:sz w:val="18"/>
                <w:szCs w:val="18"/>
              </w:rPr>
            </w:pPr>
            <w:r w:rsidRPr="00A42D18">
              <w:rPr>
                <w:sz w:val="18"/>
                <w:szCs w:val="18"/>
              </w:rPr>
              <w:t>$7,081</w:t>
            </w:r>
          </w:p>
        </w:tc>
        <w:tc>
          <w:tcPr>
            <w:tcW w:w="0" w:type="auto"/>
            <w:vAlign w:val="center"/>
            <w:hideMark/>
          </w:tcPr>
          <w:p w14:paraId="70DED6D3" w14:textId="77777777" w:rsidR="0023191C" w:rsidRPr="00A42D18" w:rsidRDefault="0023191C" w:rsidP="0091710A">
            <w:pPr>
              <w:pStyle w:val="NormalWeb"/>
              <w:jc w:val="center"/>
              <w:rPr>
                <w:sz w:val="18"/>
                <w:szCs w:val="18"/>
              </w:rPr>
            </w:pPr>
            <w:r w:rsidRPr="00A42D18">
              <w:rPr>
                <w:sz w:val="18"/>
                <w:szCs w:val="18"/>
              </w:rPr>
              <w:t>$2,453</w:t>
            </w:r>
          </w:p>
        </w:tc>
        <w:tc>
          <w:tcPr>
            <w:tcW w:w="0" w:type="auto"/>
            <w:vAlign w:val="center"/>
            <w:hideMark/>
          </w:tcPr>
          <w:p w14:paraId="2FE45630" w14:textId="77777777" w:rsidR="0023191C" w:rsidRPr="00A42D18" w:rsidRDefault="0023191C" w:rsidP="0091710A">
            <w:pPr>
              <w:pStyle w:val="NormalWeb"/>
              <w:jc w:val="center"/>
              <w:rPr>
                <w:sz w:val="18"/>
                <w:szCs w:val="18"/>
              </w:rPr>
            </w:pPr>
            <w:r w:rsidRPr="00A42D18">
              <w:rPr>
                <w:sz w:val="18"/>
                <w:szCs w:val="18"/>
              </w:rPr>
              <w:t>$10,237</w:t>
            </w:r>
          </w:p>
        </w:tc>
        <w:tc>
          <w:tcPr>
            <w:tcW w:w="0" w:type="auto"/>
            <w:vAlign w:val="center"/>
            <w:hideMark/>
          </w:tcPr>
          <w:p w14:paraId="65CB3AE3" w14:textId="77777777" w:rsidR="0023191C" w:rsidRPr="00A42D18" w:rsidRDefault="0023191C" w:rsidP="0091710A">
            <w:pPr>
              <w:pStyle w:val="NormalWeb"/>
              <w:jc w:val="center"/>
              <w:rPr>
                <w:sz w:val="18"/>
                <w:szCs w:val="18"/>
              </w:rPr>
            </w:pPr>
            <w:r w:rsidRPr="00A42D18">
              <w:rPr>
                <w:sz w:val="18"/>
                <w:szCs w:val="18"/>
              </w:rPr>
              <w:t>$15,912</w:t>
            </w:r>
          </w:p>
        </w:tc>
        <w:tc>
          <w:tcPr>
            <w:tcW w:w="0" w:type="auto"/>
            <w:vAlign w:val="center"/>
            <w:hideMark/>
          </w:tcPr>
          <w:p w14:paraId="409F134C" w14:textId="77777777" w:rsidR="0023191C" w:rsidRPr="00A42D18" w:rsidRDefault="0023191C" w:rsidP="0091710A">
            <w:pPr>
              <w:pStyle w:val="NormalWeb"/>
              <w:jc w:val="center"/>
              <w:rPr>
                <w:sz w:val="18"/>
                <w:szCs w:val="18"/>
              </w:rPr>
            </w:pPr>
            <w:r w:rsidRPr="00A42D18">
              <w:rPr>
                <w:sz w:val="18"/>
                <w:szCs w:val="18"/>
                <w:lang w:val="en-US"/>
              </w:rPr>
              <w:t>$31,231</w:t>
            </w:r>
          </w:p>
        </w:tc>
      </w:tr>
    </w:tbl>
    <w:p w14:paraId="41AC3B28" w14:textId="6CEEC1B2" w:rsidR="006B2619" w:rsidRDefault="006B2619">
      <w:pPr>
        <w:pStyle w:val="Heading3"/>
        <w:rPr>
          <w:rFonts w:eastAsia="Times New Roman"/>
        </w:rPr>
      </w:pPr>
      <w:r>
        <w:rPr>
          <w:rFonts w:eastAsia="Times New Roman"/>
        </w:rPr>
        <w:t xml:space="preserve">Extrapolation </w:t>
      </w:r>
    </w:p>
    <w:p w14:paraId="07663744" w14:textId="77777777" w:rsidR="006B2619" w:rsidRDefault="006B2619" w:rsidP="006B2619">
      <w:r>
        <w:t>The cost per child has been extrapolated across the Australian population using published RSV hospitalisation rates for children under five years of age who are RSV positive.</w:t>
      </w:r>
      <w:r>
        <w:rPr>
          <w:vertAlign w:val="superscript"/>
        </w:rPr>
        <w:t>15</w:t>
      </w:r>
      <w:r>
        <w:t xml:space="preserve"> According to the Australian Bureau of Statistics, there were 1,572,293 children under five years of age in 2018.</w:t>
      </w:r>
      <w:r>
        <w:rPr>
          <w:vertAlign w:val="superscript"/>
        </w:rPr>
        <w:t>23</w:t>
      </w:r>
      <w:r>
        <w:t xml:space="preserve"> With a reported hospitalisation rate of 2.2–4.5 per 1,000 among children under five years of age,</w:t>
      </w:r>
      <w:r>
        <w:rPr>
          <w:vertAlign w:val="superscript"/>
        </w:rPr>
        <w:t>15</w:t>
      </w:r>
      <w:r>
        <w:t xml:space="preserve"> it was estimated that between 3,459 and 7,075 children under five years of age would be hospitalised annually in Australia. Accounting for upper and lower hospitalisation estimates, the index admission alone, with an average cost of $12,643, has an extrapolated annual national cost between $43,729,242 and $89,446,176. Similarly, for the combined index and subsequent readmissions within six months, with an average cost of $17,120, there is an extrapolated annual national cost between $59,218,844 and $121,129,453. The same methodology has been repeated for children under one year of age and the results have been reported in Table 7. </w:t>
      </w:r>
    </w:p>
    <w:p w14:paraId="7535670B" w14:textId="77777777" w:rsidR="00B61A13" w:rsidRDefault="00B61A13">
      <w:pPr>
        <w:rPr>
          <w:b/>
          <w:lang w:val="en-GB"/>
        </w:rPr>
      </w:pPr>
      <w:r>
        <w:rPr>
          <w:lang w:val="en-GB"/>
        </w:rPr>
        <w:br w:type="page"/>
      </w:r>
    </w:p>
    <w:p w14:paraId="2EB4C6C0" w14:textId="44EDE34A" w:rsidR="00646638" w:rsidRPr="00B61A13" w:rsidRDefault="00646638" w:rsidP="00B61A13">
      <w:pPr>
        <w:pStyle w:val="CDIFigures"/>
        <w:rPr>
          <w:lang w:val="en-GB"/>
        </w:rPr>
      </w:pPr>
      <w:r>
        <w:rPr>
          <w:lang w:val="en-GB"/>
        </w:rPr>
        <w:lastRenderedPageBreak/>
        <w:t xml:space="preserve">Table 7: Extrapolation based on hospital admission and cost per child (including ED, </w:t>
      </w:r>
      <w:proofErr w:type="gramStart"/>
      <w:r>
        <w:rPr>
          <w:lang w:val="en-GB"/>
        </w:rPr>
        <w:t>ICU</w:t>
      </w:r>
      <w:proofErr w:type="gramEnd"/>
      <w:r>
        <w:rPr>
          <w:lang w:val="en-GB"/>
        </w:rPr>
        <w:t xml:space="preserve"> and ambulance costs)</w:t>
      </w:r>
    </w:p>
    <w:tbl>
      <w:tblPr>
        <w:tblStyle w:val="CDI-StandardTable"/>
        <w:tblW w:w="0" w:type="auto"/>
        <w:tblLook w:val="04A0" w:firstRow="1" w:lastRow="0" w:firstColumn="1" w:lastColumn="0" w:noHBand="0" w:noVBand="1"/>
        <w:tblDescription w:val="Extrapolation based on hospital admission and cost per child (including ED, ICU and ambulance costs)&#10;"/>
      </w:tblPr>
      <w:tblGrid>
        <w:gridCol w:w="1701"/>
        <w:gridCol w:w="707"/>
        <w:gridCol w:w="710"/>
        <w:gridCol w:w="709"/>
        <w:gridCol w:w="831"/>
        <w:gridCol w:w="1232"/>
        <w:gridCol w:w="1059"/>
        <w:gridCol w:w="1088"/>
        <w:gridCol w:w="1135"/>
        <w:gridCol w:w="1294"/>
      </w:tblGrid>
      <w:tr w:rsidR="00646638" w:rsidRPr="003F6439" w14:paraId="3D94CC63" w14:textId="77777777" w:rsidTr="00595601">
        <w:trPr>
          <w:cnfStyle w:val="100000000000" w:firstRow="1" w:lastRow="0" w:firstColumn="0" w:lastColumn="0" w:oddVBand="0" w:evenVBand="0" w:oddHBand="0" w:evenHBand="0" w:firstRowFirstColumn="0" w:firstRowLastColumn="0" w:lastRowFirstColumn="0" w:lastRowLastColumn="0"/>
          <w:tblHeader/>
        </w:trPr>
        <w:tc>
          <w:tcPr>
            <w:tcW w:w="1701" w:type="dxa"/>
            <w:vMerge w:val="restart"/>
            <w:tcBorders>
              <w:bottom w:val="single" w:sz="2" w:space="0" w:color="FFFFFF" w:themeColor="background1"/>
              <w:right w:val="single" w:sz="2" w:space="0" w:color="FFFFFF" w:themeColor="background1"/>
            </w:tcBorders>
            <w:vAlign w:val="center"/>
            <w:hideMark/>
          </w:tcPr>
          <w:p w14:paraId="683978E8" w14:textId="77777777" w:rsidR="00646638" w:rsidRPr="003F6439" w:rsidRDefault="00646638" w:rsidP="0014037F">
            <w:pPr>
              <w:pStyle w:val="NormalWeb"/>
              <w:rPr>
                <w:color w:val="FFFFFF" w:themeColor="background1"/>
                <w:sz w:val="18"/>
                <w:szCs w:val="18"/>
              </w:rPr>
            </w:pPr>
            <w:r w:rsidRPr="003F6439">
              <w:rPr>
                <w:color w:val="FFFFFF" w:themeColor="background1"/>
                <w:sz w:val="18"/>
                <w:szCs w:val="18"/>
              </w:rPr>
              <w:t>Age group</w:t>
            </w:r>
          </w:p>
        </w:tc>
        <w:tc>
          <w:tcPr>
            <w:tcW w:w="1410" w:type="dxa"/>
            <w:gridSpan w:val="2"/>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7FE04F38" w14:textId="77777777" w:rsidR="00646638" w:rsidRPr="003F6439" w:rsidRDefault="00646638" w:rsidP="0014037F">
            <w:pPr>
              <w:pStyle w:val="NormalWeb"/>
              <w:jc w:val="center"/>
              <w:rPr>
                <w:color w:val="FFFFFF" w:themeColor="background1"/>
                <w:sz w:val="18"/>
                <w:szCs w:val="18"/>
              </w:rPr>
            </w:pPr>
            <w:r w:rsidRPr="003F6439">
              <w:rPr>
                <w:color w:val="FFFFFF" w:themeColor="background1"/>
                <w:sz w:val="18"/>
                <w:szCs w:val="18"/>
                <w:lang w:val="en-US"/>
              </w:rPr>
              <w:t>Index hospital admission only</w:t>
            </w:r>
          </w:p>
        </w:tc>
        <w:tc>
          <w:tcPr>
            <w:tcW w:w="1540" w:type="dxa"/>
            <w:gridSpan w:val="2"/>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5B4C099C" w14:textId="77777777" w:rsidR="00646638" w:rsidRPr="003F6439" w:rsidRDefault="00646638" w:rsidP="0014037F">
            <w:pPr>
              <w:pStyle w:val="NormalWeb"/>
              <w:jc w:val="center"/>
              <w:rPr>
                <w:color w:val="FFFFFF" w:themeColor="background1"/>
                <w:sz w:val="18"/>
                <w:szCs w:val="18"/>
              </w:rPr>
            </w:pPr>
            <w:r w:rsidRPr="003F6439">
              <w:rPr>
                <w:color w:val="FFFFFF" w:themeColor="background1"/>
                <w:sz w:val="18"/>
                <w:szCs w:val="18"/>
              </w:rPr>
              <w:t>Total hospital costs (index admission and re-admissions)</w:t>
            </w:r>
          </w:p>
        </w:tc>
        <w:tc>
          <w:tcPr>
            <w:tcW w:w="1232" w:type="dxa"/>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0F197FAA" w14:textId="77777777" w:rsidR="00646638" w:rsidRPr="003F6439" w:rsidRDefault="00646638" w:rsidP="0014037F">
            <w:pPr>
              <w:pStyle w:val="NormalWeb"/>
              <w:jc w:val="center"/>
              <w:rPr>
                <w:color w:val="FFFFFF" w:themeColor="background1"/>
                <w:sz w:val="18"/>
                <w:szCs w:val="18"/>
              </w:rPr>
            </w:pPr>
            <w:r w:rsidRPr="003F6439">
              <w:rPr>
                <w:color w:val="FFFFFF" w:themeColor="background1"/>
                <w:sz w:val="18"/>
                <w:szCs w:val="18"/>
              </w:rPr>
              <w:t>Prevalence per 1,000 in Australia</w:t>
            </w:r>
          </w:p>
        </w:tc>
        <w:tc>
          <w:tcPr>
            <w:tcW w:w="1059" w:type="dxa"/>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60435600" w14:textId="77777777" w:rsidR="00646638" w:rsidRPr="003F6439" w:rsidRDefault="00646638" w:rsidP="0014037F">
            <w:pPr>
              <w:pStyle w:val="NormalWeb"/>
              <w:jc w:val="center"/>
              <w:rPr>
                <w:color w:val="FFFFFF" w:themeColor="background1"/>
                <w:sz w:val="18"/>
                <w:szCs w:val="18"/>
              </w:rPr>
            </w:pPr>
            <w:r w:rsidRPr="003F6439">
              <w:rPr>
                <w:color w:val="FFFFFF" w:themeColor="background1"/>
                <w:sz w:val="18"/>
                <w:szCs w:val="18"/>
              </w:rPr>
              <w:t>Population size in Australia in 2018</w:t>
            </w:r>
          </w:p>
        </w:tc>
        <w:tc>
          <w:tcPr>
            <w:tcW w:w="1088" w:type="dxa"/>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12473584" w14:textId="77777777" w:rsidR="00646638" w:rsidRPr="003F6439" w:rsidRDefault="00646638" w:rsidP="0014037F">
            <w:pPr>
              <w:pStyle w:val="NormalWeb"/>
              <w:jc w:val="center"/>
              <w:rPr>
                <w:color w:val="FFFFFF" w:themeColor="background1"/>
                <w:sz w:val="18"/>
                <w:szCs w:val="18"/>
              </w:rPr>
            </w:pPr>
            <w:r w:rsidRPr="003F6439">
              <w:rPr>
                <w:color w:val="FFFFFF" w:themeColor="background1"/>
                <w:sz w:val="18"/>
                <w:szCs w:val="18"/>
              </w:rPr>
              <w:t>Population affected in Australia</w:t>
            </w:r>
          </w:p>
        </w:tc>
        <w:tc>
          <w:tcPr>
            <w:tcW w:w="0" w:type="auto"/>
            <w:gridSpan w:val="2"/>
            <w:tcBorders>
              <w:left w:val="single" w:sz="2" w:space="0" w:color="FFFFFF" w:themeColor="background1"/>
              <w:bottom w:val="single" w:sz="2" w:space="0" w:color="FFFFFF" w:themeColor="background1"/>
            </w:tcBorders>
            <w:vAlign w:val="center"/>
            <w:hideMark/>
          </w:tcPr>
          <w:p w14:paraId="50DCB190" w14:textId="77777777" w:rsidR="00646638" w:rsidRPr="003F6439" w:rsidRDefault="00646638" w:rsidP="0014037F">
            <w:pPr>
              <w:pStyle w:val="NormalWeb"/>
              <w:jc w:val="center"/>
              <w:rPr>
                <w:color w:val="FFFFFF" w:themeColor="background1"/>
                <w:sz w:val="18"/>
                <w:szCs w:val="18"/>
              </w:rPr>
            </w:pPr>
            <w:r w:rsidRPr="003F6439">
              <w:rPr>
                <w:color w:val="FFFFFF" w:themeColor="background1"/>
                <w:sz w:val="18"/>
                <w:szCs w:val="18"/>
                <w:lang w:val="en-US"/>
              </w:rPr>
              <w:t>Australia-wide extrapolated costs</w:t>
            </w:r>
          </w:p>
        </w:tc>
      </w:tr>
      <w:tr w:rsidR="00646638" w:rsidRPr="003F6439" w14:paraId="6E1019E0" w14:textId="77777777" w:rsidTr="00595601">
        <w:trPr>
          <w:cnfStyle w:val="100000000000" w:firstRow="1" w:lastRow="0" w:firstColumn="0" w:lastColumn="0" w:oddVBand="0" w:evenVBand="0" w:oddHBand="0" w:evenHBand="0" w:firstRowFirstColumn="0" w:firstRowLastColumn="0" w:lastRowFirstColumn="0" w:lastRowLastColumn="0"/>
          <w:trHeight w:val="509"/>
          <w:tblHeader/>
        </w:trPr>
        <w:tc>
          <w:tcPr>
            <w:tcW w:w="1701" w:type="dxa"/>
            <w:vMerge/>
            <w:tcBorders>
              <w:top w:val="single" w:sz="2" w:space="0" w:color="FFFFFF" w:themeColor="background1"/>
              <w:bottom w:val="single" w:sz="2" w:space="0" w:color="FFFFFF" w:themeColor="background1"/>
              <w:right w:val="single" w:sz="2" w:space="0" w:color="FFFFFF" w:themeColor="background1"/>
            </w:tcBorders>
            <w:vAlign w:val="center"/>
            <w:hideMark/>
          </w:tcPr>
          <w:p w14:paraId="1071BB19" w14:textId="77777777" w:rsidR="00646638" w:rsidRPr="003F6439" w:rsidRDefault="00646638" w:rsidP="0014037F">
            <w:pPr>
              <w:jc w:val="center"/>
              <w:rPr>
                <w:color w:val="FFFFFF" w:themeColor="background1"/>
                <w:sz w:val="18"/>
                <w:szCs w:val="18"/>
              </w:rPr>
            </w:pPr>
          </w:p>
        </w:tc>
        <w:tc>
          <w:tcPr>
            <w:tcW w:w="1410" w:type="dxa"/>
            <w:gridSpan w:val="2"/>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76236C58" w14:textId="77777777" w:rsidR="00646638" w:rsidRPr="003F6439" w:rsidRDefault="00646638" w:rsidP="0014037F">
            <w:pPr>
              <w:jc w:val="center"/>
              <w:rPr>
                <w:color w:val="FFFFFF" w:themeColor="background1"/>
                <w:sz w:val="18"/>
                <w:szCs w:val="18"/>
              </w:rPr>
            </w:pPr>
          </w:p>
        </w:tc>
        <w:tc>
          <w:tcPr>
            <w:tcW w:w="1540" w:type="dxa"/>
            <w:gridSpan w:val="2"/>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80069FF" w14:textId="77777777" w:rsidR="00646638" w:rsidRPr="003F6439" w:rsidRDefault="00646638" w:rsidP="0014037F">
            <w:pPr>
              <w:jc w:val="center"/>
              <w:rPr>
                <w:color w:val="FFFFFF" w:themeColor="background1"/>
                <w:sz w:val="18"/>
                <w:szCs w:val="18"/>
              </w:rPr>
            </w:pPr>
          </w:p>
        </w:tc>
        <w:tc>
          <w:tcPr>
            <w:tcW w:w="1232"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2EF498E" w14:textId="77777777" w:rsidR="00646638" w:rsidRPr="003F6439" w:rsidRDefault="00646638" w:rsidP="0014037F">
            <w:pPr>
              <w:jc w:val="center"/>
              <w:rPr>
                <w:color w:val="FFFFFF" w:themeColor="background1"/>
                <w:sz w:val="18"/>
                <w:szCs w:val="18"/>
              </w:rPr>
            </w:pPr>
          </w:p>
        </w:tc>
        <w:tc>
          <w:tcPr>
            <w:tcW w:w="1059"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0E5B855" w14:textId="77777777" w:rsidR="00646638" w:rsidRPr="003F6439" w:rsidRDefault="00646638" w:rsidP="0014037F">
            <w:pPr>
              <w:jc w:val="center"/>
              <w:rPr>
                <w:color w:val="FFFFFF" w:themeColor="background1"/>
                <w:sz w:val="18"/>
                <w:szCs w:val="18"/>
              </w:rPr>
            </w:pPr>
          </w:p>
        </w:tc>
        <w:tc>
          <w:tcPr>
            <w:tcW w:w="1088"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7DD765C" w14:textId="77777777" w:rsidR="00646638" w:rsidRPr="003F6439" w:rsidRDefault="00646638" w:rsidP="0014037F">
            <w:pPr>
              <w:jc w:val="center"/>
              <w:rPr>
                <w:color w:val="FFFFFF" w:themeColor="background1"/>
                <w:sz w:val="18"/>
                <w:szCs w:val="18"/>
              </w:rPr>
            </w:pPr>
          </w:p>
        </w:tc>
        <w:tc>
          <w:tcPr>
            <w:tcW w:w="0" w:type="auto"/>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6128D54" w14:textId="77777777" w:rsidR="00646638" w:rsidRPr="003F6439" w:rsidRDefault="00646638" w:rsidP="0014037F">
            <w:pPr>
              <w:pStyle w:val="NormalWeb"/>
              <w:jc w:val="center"/>
              <w:rPr>
                <w:color w:val="FFFFFF" w:themeColor="background1"/>
                <w:sz w:val="18"/>
                <w:szCs w:val="18"/>
              </w:rPr>
            </w:pPr>
            <w:r w:rsidRPr="003F6439">
              <w:rPr>
                <w:color w:val="FFFFFF" w:themeColor="background1"/>
                <w:sz w:val="18"/>
                <w:szCs w:val="18"/>
              </w:rPr>
              <w:t>Index hospital admission only</w:t>
            </w:r>
          </w:p>
        </w:tc>
        <w:tc>
          <w:tcPr>
            <w:tcW w:w="0" w:type="auto"/>
            <w:vMerge w:val="restart"/>
            <w:tcBorders>
              <w:top w:val="single" w:sz="2" w:space="0" w:color="FFFFFF" w:themeColor="background1"/>
              <w:left w:val="single" w:sz="2" w:space="0" w:color="FFFFFF" w:themeColor="background1"/>
              <w:bottom w:val="single" w:sz="2" w:space="0" w:color="FFFFFF" w:themeColor="background1"/>
            </w:tcBorders>
            <w:vAlign w:val="center"/>
            <w:hideMark/>
          </w:tcPr>
          <w:p w14:paraId="60C48430" w14:textId="77777777" w:rsidR="00646638" w:rsidRPr="003F6439" w:rsidRDefault="00646638" w:rsidP="0014037F">
            <w:pPr>
              <w:pStyle w:val="NormalWeb"/>
              <w:jc w:val="center"/>
              <w:rPr>
                <w:color w:val="FFFFFF" w:themeColor="background1"/>
                <w:sz w:val="18"/>
                <w:szCs w:val="18"/>
              </w:rPr>
            </w:pPr>
            <w:r w:rsidRPr="003F6439">
              <w:rPr>
                <w:color w:val="FFFFFF" w:themeColor="background1"/>
                <w:sz w:val="18"/>
                <w:szCs w:val="18"/>
              </w:rPr>
              <w:t xml:space="preserve">Total hospital costs (index admission and </w:t>
            </w:r>
            <w:r w:rsidRPr="003F6439">
              <w:rPr>
                <w:color w:val="FFFFFF" w:themeColor="background1"/>
                <w:sz w:val="18"/>
                <w:szCs w:val="18"/>
              </w:rPr>
              <w:br/>
              <w:t>re-admissions)</w:t>
            </w:r>
          </w:p>
        </w:tc>
      </w:tr>
      <w:tr w:rsidR="00595601" w:rsidRPr="003F6439" w14:paraId="649FC384" w14:textId="77777777" w:rsidTr="00595601">
        <w:trPr>
          <w:cnfStyle w:val="100000000000" w:firstRow="1" w:lastRow="0" w:firstColumn="0" w:lastColumn="0" w:oddVBand="0" w:evenVBand="0" w:oddHBand="0" w:evenHBand="0" w:firstRowFirstColumn="0" w:firstRowLastColumn="0" w:lastRowFirstColumn="0" w:lastRowLastColumn="0"/>
          <w:tblHeader/>
        </w:trPr>
        <w:tc>
          <w:tcPr>
            <w:tcW w:w="1701" w:type="dxa"/>
            <w:vMerge/>
            <w:tcBorders>
              <w:top w:val="single" w:sz="2" w:space="0" w:color="FFFFFF" w:themeColor="background1"/>
              <w:right w:val="single" w:sz="2" w:space="0" w:color="FFFFFF" w:themeColor="background1"/>
            </w:tcBorders>
            <w:vAlign w:val="center"/>
            <w:hideMark/>
          </w:tcPr>
          <w:p w14:paraId="7ABD8A8D" w14:textId="77777777" w:rsidR="00646638" w:rsidRPr="003F6439" w:rsidRDefault="00646638" w:rsidP="0014037F">
            <w:pPr>
              <w:jc w:val="center"/>
              <w:rPr>
                <w:color w:val="FFFFFF" w:themeColor="background1"/>
                <w:sz w:val="18"/>
                <w:szCs w:val="18"/>
              </w:rPr>
            </w:pPr>
          </w:p>
        </w:tc>
        <w:tc>
          <w:tcPr>
            <w:tcW w:w="700" w:type="dxa"/>
            <w:tcBorders>
              <w:top w:val="single" w:sz="2" w:space="0" w:color="FFFFFF" w:themeColor="background1"/>
              <w:left w:val="single" w:sz="2" w:space="0" w:color="FFFFFF" w:themeColor="background1"/>
              <w:right w:val="single" w:sz="2" w:space="0" w:color="FFFFFF" w:themeColor="background1"/>
            </w:tcBorders>
            <w:vAlign w:val="center"/>
            <w:hideMark/>
          </w:tcPr>
          <w:p w14:paraId="54793DE1" w14:textId="77777777" w:rsidR="00646638" w:rsidRPr="003F6439" w:rsidRDefault="00646638" w:rsidP="0014037F">
            <w:pPr>
              <w:pStyle w:val="NormalWeb"/>
              <w:jc w:val="center"/>
              <w:rPr>
                <w:color w:val="FFFFFF" w:themeColor="background1"/>
                <w:sz w:val="18"/>
                <w:szCs w:val="18"/>
              </w:rPr>
            </w:pPr>
            <w:r w:rsidRPr="003F6439">
              <w:rPr>
                <w:color w:val="FFFFFF" w:themeColor="background1"/>
                <w:sz w:val="18"/>
                <w:szCs w:val="18"/>
              </w:rPr>
              <w:t>Mean</w:t>
            </w:r>
          </w:p>
        </w:tc>
        <w:tc>
          <w:tcPr>
            <w:tcW w:w="710" w:type="dxa"/>
            <w:tcBorders>
              <w:top w:val="single" w:sz="2" w:space="0" w:color="FFFFFF" w:themeColor="background1"/>
              <w:left w:val="single" w:sz="2" w:space="0" w:color="FFFFFF" w:themeColor="background1"/>
              <w:right w:val="single" w:sz="2" w:space="0" w:color="FFFFFF" w:themeColor="background1"/>
            </w:tcBorders>
            <w:vAlign w:val="center"/>
            <w:hideMark/>
          </w:tcPr>
          <w:p w14:paraId="4A47C7EA" w14:textId="77777777" w:rsidR="00646638" w:rsidRPr="003F6439" w:rsidRDefault="00646638" w:rsidP="0014037F">
            <w:pPr>
              <w:pStyle w:val="NormalWeb"/>
              <w:jc w:val="center"/>
              <w:rPr>
                <w:color w:val="FFFFFF" w:themeColor="background1"/>
                <w:sz w:val="18"/>
                <w:szCs w:val="18"/>
              </w:rPr>
            </w:pPr>
            <w:r w:rsidRPr="003F6439">
              <w:rPr>
                <w:color w:val="FFFFFF" w:themeColor="background1"/>
                <w:sz w:val="18"/>
                <w:szCs w:val="18"/>
              </w:rPr>
              <w:t>SD</w:t>
            </w:r>
          </w:p>
        </w:tc>
        <w:tc>
          <w:tcPr>
            <w:tcW w:w="709" w:type="dxa"/>
            <w:tcBorders>
              <w:top w:val="single" w:sz="2" w:space="0" w:color="FFFFFF" w:themeColor="background1"/>
              <w:left w:val="single" w:sz="2" w:space="0" w:color="FFFFFF" w:themeColor="background1"/>
              <w:right w:val="single" w:sz="2" w:space="0" w:color="FFFFFF" w:themeColor="background1"/>
            </w:tcBorders>
            <w:vAlign w:val="center"/>
            <w:hideMark/>
          </w:tcPr>
          <w:p w14:paraId="3ECD3A6B" w14:textId="77777777" w:rsidR="00646638" w:rsidRPr="003F6439" w:rsidRDefault="00646638" w:rsidP="0014037F">
            <w:pPr>
              <w:pStyle w:val="NormalWeb"/>
              <w:jc w:val="center"/>
              <w:rPr>
                <w:color w:val="FFFFFF" w:themeColor="background1"/>
                <w:sz w:val="18"/>
                <w:szCs w:val="18"/>
              </w:rPr>
            </w:pPr>
            <w:r w:rsidRPr="003F6439">
              <w:rPr>
                <w:color w:val="FFFFFF" w:themeColor="background1"/>
                <w:sz w:val="18"/>
                <w:szCs w:val="18"/>
              </w:rPr>
              <w:t>Mean</w:t>
            </w:r>
          </w:p>
        </w:tc>
        <w:tc>
          <w:tcPr>
            <w:tcW w:w="831" w:type="dxa"/>
            <w:tcBorders>
              <w:top w:val="single" w:sz="2" w:space="0" w:color="FFFFFF" w:themeColor="background1"/>
              <w:left w:val="single" w:sz="2" w:space="0" w:color="FFFFFF" w:themeColor="background1"/>
              <w:right w:val="single" w:sz="2" w:space="0" w:color="FFFFFF" w:themeColor="background1"/>
            </w:tcBorders>
            <w:vAlign w:val="center"/>
            <w:hideMark/>
          </w:tcPr>
          <w:p w14:paraId="6246EF9D" w14:textId="77777777" w:rsidR="00646638" w:rsidRPr="003F6439" w:rsidRDefault="00646638" w:rsidP="0014037F">
            <w:pPr>
              <w:pStyle w:val="NormalWeb"/>
              <w:jc w:val="center"/>
              <w:rPr>
                <w:color w:val="FFFFFF" w:themeColor="background1"/>
                <w:sz w:val="18"/>
                <w:szCs w:val="18"/>
              </w:rPr>
            </w:pPr>
            <w:r w:rsidRPr="003F6439">
              <w:rPr>
                <w:color w:val="FFFFFF" w:themeColor="background1"/>
                <w:sz w:val="18"/>
                <w:szCs w:val="18"/>
                <w:lang w:val="en-US"/>
              </w:rPr>
              <w:t>SD</w:t>
            </w:r>
          </w:p>
        </w:tc>
        <w:tc>
          <w:tcPr>
            <w:tcW w:w="1232"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56634495" w14:textId="77777777" w:rsidR="00646638" w:rsidRPr="003F6439" w:rsidRDefault="00646638" w:rsidP="0014037F">
            <w:pPr>
              <w:jc w:val="center"/>
              <w:rPr>
                <w:color w:val="FFFFFF" w:themeColor="background1"/>
                <w:sz w:val="18"/>
                <w:szCs w:val="18"/>
              </w:rPr>
            </w:pPr>
          </w:p>
        </w:tc>
        <w:tc>
          <w:tcPr>
            <w:tcW w:w="1059"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394AED35" w14:textId="77777777" w:rsidR="00646638" w:rsidRPr="003F6439" w:rsidRDefault="00646638" w:rsidP="0014037F">
            <w:pPr>
              <w:jc w:val="center"/>
              <w:rPr>
                <w:color w:val="FFFFFF" w:themeColor="background1"/>
                <w:sz w:val="18"/>
                <w:szCs w:val="18"/>
              </w:rPr>
            </w:pPr>
          </w:p>
        </w:tc>
        <w:tc>
          <w:tcPr>
            <w:tcW w:w="1088"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0A7AE55F" w14:textId="77777777" w:rsidR="00646638" w:rsidRPr="003F6439" w:rsidRDefault="00646638" w:rsidP="0014037F">
            <w:pPr>
              <w:jc w:val="center"/>
              <w:rPr>
                <w:color w:val="FFFFFF" w:themeColor="background1"/>
                <w:sz w:val="18"/>
                <w:szCs w:val="18"/>
              </w:rPr>
            </w:pPr>
          </w:p>
        </w:tc>
        <w:tc>
          <w:tcPr>
            <w:tcW w:w="0" w:type="auto"/>
            <w:vMerge/>
            <w:tcBorders>
              <w:top w:val="single" w:sz="2" w:space="0" w:color="FFFFFF" w:themeColor="background1"/>
              <w:left w:val="single" w:sz="2" w:space="0" w:color="FFFFFF" w:themeColor="background1"/>
              <w:right w:val="single" w:sz="2" w:space="0" w:color="FFFFFF" w:themeColor="background1"/>
            </w:tcBorders>
            <w:vAlign w:val="center"/>
            <w:hideMark/>
          </w:tcPr>
          <w:p w14:paraId="27BE1C32" w14:textId="77777777" w:rsidR="00646638" w:rsidRPr="003F6439" w:rsidRDefault="00646638" w:rsidP="0014037F">
            <w:pPr>
              <w:jc w:val="center"/>
              <w:rPr>
                <w:color w:val="FFFFFF" w:themeColor="background1"/>
                <w:sz w:val="18"/>
                <w:szCs w:val="18"/>
              </w:rPr>
            </w:pPr>
          </w:p>
        </w:tc>
        <w:tc>
          <w:tcPr>
            <w:tcW w:w="0" w:type="auto"/>
            <w:vMerge/>
            <w:tcBorders>
              <w:top w:val="single" w:sz="2" w:space="0" w:color="FFFFFF" w:themeColor="background1"/>
              <w:left w:val="single" w:sz="2" w:space="0" w:color="FFFFFF" w:themeColor="background1"/>
            </w:tcBorders>
            <w:vAlign w:val="center"/>
            <w:hideMark/>
          </w:tcPr>
          <w:p w14:paraId="434C63DC" w14:textId="77777777" w:rsidR="00646638" w:rsidRPr="003F6439" w:rsidRDefault="00646638" w:rsidP="0014037F">
            <w:pPr>
              <w:jc w:val="center"/>
              <w:rPr>
                <w:color w:val="FFFFFF" w:themeColor="background1"/>
                <w:sz w:val="18"/>
                <w:szCs w:val="18"/>
              </w:rPr>
            </w:pPr>
          </w:p>
        </w:tc>
      </w:tr>
      <w:tr w:rsidR="00646638" w:rsidRPr="003F6439" w14:paraId="71E6D8C7" w14:textId="77777777" w:rsidTr="00595601">
        <w:tblPrEx>
          <w:tblCellMar>
            <w:top w:w="57" w:type="dxa"/>
            <w:left w:w="57" w:type="dxa"/>
            <w:bottom w:w="57" w:type="dxa"/>
            <w:right w:w="57" w:type="dxa"/>
          </w:tblCellMar>
        </w:tblPrEx>
        <w:tc>
          <w:tcPr>
            <w:tcW w:w="1701" w:type="dxa"/>
            <w:hideMark/>
          </w:tcPr>
          <w:p w14:paraId="601C7B90" w14:textId="77777777" w:rsidR="00646638" w:rsidRPr="003F6439" w:rsidRDefault="00646638" w:rsidP="0091710A">
            <w:pPr>
              <w:pStyle w:val="NormalWeb"/>
              <w:rPr>
                <w:sz w:val="18"/>
                <w:szCs w:val="18"/>
              </w:rPr>
            </w:pPr>
            <w:r w:rsidRPr="003F6439">
              <w:rPr>
                <w:sz w:val="18"/>
                <w:szCs w:val="18"/>
              </w:rPr>
              <w:t>Under five years of age (extrapolated from N = 363)</w:t>
            </w:r>
          </w:p>
        </w:tc>
        <w:tc>
          <w:tcPr>
            <w:tcW w:w="700" w:type="dxa"/>
            <w:hideMark/>
          </w:tcPr>
          <w:p w14:paraId="3FBD30A2" w14:textId="77777777" w:rsidR="00646638" w:rsidRPr="003F6439" w:rsidRDefault="00646638" w:rsidP="0091710A">
            <w:pPr>
              <w:pStyle w:val="NormalWeb"/>
              <w:jc w:val="center"/>
              <w:rPr>
                <w:sz w:val="18"/>
                <w:szCs w:val="18"/>
              </w:rPr>
            </w:pPr>
            <w:r w:rsidRPr="003F6439">
              <w:rPr>
                <w:sz w:val="18"/>
                <w:szCs w:val="18"/>
              </w:rPr>
              <w:t>$12,643</w:t>
            </w:r>
          </w:p>
        </w:tc>
        <w:tc>
          <w:tcPr>
            <w:tcW w:w="710" w:type="dxa"/>
            <w:hideMark/>
          </w:tcPr>
          <w:p w14:paraId="57FF9137" w14:textId="77777777" w:rsidR="00646638" w:rsidRPr="003F6439" w:rsidRDefault="00646638" w:rsidP="0091710A">
            <w:pPr>
              <w:pStyle w:val="NormalWeb"/>
              <w:jc w:val="center"/>
              <w:rPr>
                <w:sz w:val="18"/>
                <w:szCs w:val="18"/>
              </w:rPr>
            </w:pPr>
            <w:r w:rsidRPr="003F6439">
              <w:rPr>
                <w:sz w:val="18"/>
                <w:szCs w:val="18"/>
              </w:rPr>
              <w:t>$21,644</w:t>
            </w:r>
          </w:p>
        </w:tc>
        <w:tc>
          <w:tcPr>
            <w:tcW w:w="709" w:type="dxa"/>
            <w:hideMark/>
          </w:tcPr>
          <w:p w14:paraId="0272C712" w14:textId="77777777" w:rsidR="00646638" w:rsidRPr="003F6439" w:rsidRDefault="00646638" w:rsidP="0091710A">
            <w:pPr>
              <w:pStyle w:val="NormalWeb"/>
              <w:jc w:val="center"/>
              <w:rPr>
                <w:sz w:val="18"/>
                <w:szCs w:val="18"/>
              </w:rPr>
            </w:pPr>
            <w:r w:rsidRPr="003F6439">
              <w:rPr>
                <w:sz w:val="18"/>
                <w:szCs w:val="18"/>
              </w:rPr>
              <w:t>$17,120</w:t>
            </w:r>
          </w:p>
        </w:tc>
        <w:tc>
          <w:tcPr>
            <w:tcW w:w="831" w:type="dxa"/>
            <w:hideMark/>
          </w:tcPr>
          <w:p w14:paraId="084BBA16" w14:textId="77777777" w:rsidR="00646638" w:rsidRPr="003F6439" w:rsidRDefault="00646638" w:rsidP="0091710A">
            <w:pPr>
              <w:pStyle w:val="NormalWeb"/>
              <w:jc w:val="center"/>
              <w:rPr>
                <w:sz w:val="18"/>
                <w:szCs w:val="18"/>
              </w:rPr>
            </w:pPr>
            <w:r w:rsidRPr="003F6439">
              <w:rPr>
                <w:sz w:val="18"/>
                <w:szCs w:val="18"/>
              </w:rPr>
              <w:t>$37,562</w:t>
            </w:r>
          </w:p>
        </w:tc>
        <w:tc>
          <w:tcPr>
            <w:tcW w:w="1232" w:type="dxa"/>
            <w:hideMark/>
          </w:tcPr>
          <w:p w14:paraId="5C2E887A" w14:textId="77777777" w:rsidR="00646638" w:rsidRPr="003F6439" w:rsidRDefault="00646638" w:rsidP="0091710A">
            <w:pPr>
              <w:pStyle w:val="NormalWeb"/>
              <w:jc w:val="center"/>
              <w:rPr>
                <w:sz w:val="18"/>
                <w:szCs w:val="18"/>
              </w:rPr>
            </w:pPr>
            <w:r w:rsidRPr="003F6439">
              <w:rPr>
                <w:sz w:val="18"/>
                <w:szCs w:val="18"/>
              </w:rPr>
              <w:t>2.2 to 4.5</w:t>
            </w:r>
          </w:p>
        </w:tc>
        <w:tc>
          <w:tcPr>
            <w:tcW w:w="1059" w:type="dxa"/>
            <w:hideMark/>
          </w:tcPr>
          <w:p w14:paraId="0036A0C8" w14:textId="77777777" w:rsidR="00646638" w:rsidRPr="003F6439" w:rsidRDefault="00646638" w:rsidP="0091710A">
            <w:pPr>
              <w:pStyle w:val="NormalWeb"/>
              <w:jc w:val="center"/>
              <w:rPr>
                <w:sz w:val="18"/>
                <w:szCs w:val="18"/>
              </w:rPr>
            </w:pPr>
            <w:r w:rsidRPr="003F6439">
              <w:rPr>
                <w:sz w:val="18"/>
                <w:szCs w:val="18"/>
              </w:rPr>
              <w:t>1,572,293</w:t>
            </w:r>
          </w:p>
        </w:tc>
        <w:tc>
          <w:tcPr>
            <w:tcW w:w="1088" w:type="dxa"/>
            <w:hideMark/>
          </w:tcPr>
          <w:p w14:paraId="4AC2D57F" w14:textId="77777777" w:rsidR="00646638" w:rsidRPr="003F6439" w:rsidRDefault="00646638" w:rsidP="0091710A">
            <w:pPr>
              <w:pStyle w:val="NormalWeb"/>
              <w:jc w:val="center"/>
              <w:rPr>
                <w:sz w:val="18"/>
                <w:szCs w:val="18"/>
              </w:rPr>
            </w:pPr>
            <w:r w:rsidRPr="003F6439">
              <w:rPr>
                <w:sz w:val="18"/>
                <w:szCs w:val="18"/>
              </w:rPr>
              <w:t xml:space="preserve">3,459 </w:t>
            </w:r>
            <w:r w:rsidRPr="003F6439">
              <w:rPr>
                <w:sz w:val="18"/>
                <w:szCs w:val="18"/>
              </w:rPr>
              <w:br/>
              <w:t xml:space="preserve">to </w:t>
            </w:r>
            <w:r w:rsidRPr="003F6439">
              <w:rPr>
                <w:sz w:val="18"/>
                <w:szCs w:val="18"/>
              </w:rPr>
              <w:br/>
              <w:t>7,075</w:t>
            </w:r>
          </w:p>
        </w:tc>
        <w:tc>
          <w:tcPr>
            <w:tcW w:w="0" w:type="auto"/>
            <w:hideMark/>
          </w:tcPr>
          <w:p w14:paraId="2F8555DC" w14:textId="77777777" w:rsidR="00646638" w:rsidRPr="003F6439" w:rsidRDefault="00646638" w:rsidP="0091710A">
            <w:pPr>
              <w:pStyle w:val="NormalWeb"/>
              <w:jc w:val="center"/>
              <w:rPr>
                <w:sz w:val="18"/>
                <w:szCs w:val="18"/>
              </w:rPr>
            </w:pPr>
            <w:r w:rsidRPr="003F6439">
              <w:rPr>
                <w:sz w:val="18"/>
                <w:szCs w:val="18"/>
              </w:rPr>
              <w:t>$43,729,242</w:t>
            </w:r>
            <w:r w:rsidRPr="003F6439">
              <w:rPr>
                <w:sz w:val="18"/>
                <w:szCs w:val="18"/>
              </w:rPr>
              <w:br/>
              <w:t>to</w:t>
            </w:r>
            <w:r w:rsidRPr="003F6439">
              <w:rPr>
                <w:sz w:val="18"/>
                <w:szCs w:val="18"/>
              </w:rPr>
              <w:br/>
              <w:t>$89,446,176</w:t>
            </w:r>
          </w:p>
        </w:tc>
        <w:tc>
          <w:tcPr>
            <w:tcW w:w="0" w:type="auto"/>
            <w:hideMark/>
          </w:tcPr>
          <w:p w14:paraId="293BB04A" w14:textId="77777777" w:rsidR="00646638" w:rsidRPr="003F6439" w:rsidRDefault="00646638" w:rsidP="0091710A">
            <w:pPr>
              <w:pStyle w:val="NormalWeb"/>
              <w:jc w:val="center"/>
              <w:rPr>
                <w:sz w:val="18"/>
                <w:szCs w:val="18"/>
              </w:rPr>
            </w:pPr>
            <w:r w:rsidRPr="003F6439">
              <w:rPr>
                <w:sz w:val="18"/>
                <w:szCs w:val="18"/>
                <w:lang w:val="en-US"/>
              </w:rPr>
              <w:t xml:space="preserve">$59,218,844 </w:t>
            </w:r>
            <w:r w:rsidRPr="003F6439">
              <w:rPr>
                <w:sz w:val="18"/>
                <w:szCs w:val="18"/>
                <w:lang w:val="en-US"/>
              </w:rPr>
              <w:br/>
              <w:t xml:space="preserve">to </w:t>
            </w:r>
            <w:r w:rsidRPr="003F6439">
              <w:rPr>
                <w:sz w:val="18"/>
                <w:szCs w:val="18"/>
                <w:lang w:val="en-US"/>
              </w:rPr>
              <w:br/>
              <w:t>$121,129,453</w:t>
            </w:r>
          </w:p>
        </w:tc>
      </w:tr>
      <w:tr w:rsidR="00646638" w:rsidRPr="003F6439" w14:paraId="28740D9D" w14:textId="77777777" w:rsidTr="0059560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701" w:type="dxa"/>
            <w:hideMark/>
          </w:tcPr>
          <w:p w14:paraId="40173896" w14:textId="77777777" w:rsidR="00646638" w:rsidRPr="003F6439" w:rsidRDefault="00646638" w:rsidP="0091710A">
            <w:pPr>
              <w:pStyle w:val="NormalWeb"/>
              <w:rPr>
                <w:sz w:val="18"/>
                <w:szCs w:val="18"/>
              </w:rPr>
            </w:pPr>
            <w:r w:rsidRPr="003F6439">
              <w:rPr>
                <w:sz w:val="18"/>
                <w:szCs w:val="18"/>
              </w:rPr>
              <w:t>Under one year of age (extrapolated from N = 242)</w:t>
            </w:r>
          </w:p>
        </w:tc>
        <w:tc>
          <w:tcPr>
            <w:tcW w:w="700" w:type="dxa"/>
            <w:hideMark/>
          </w:tcPr>
          <w:p w14:paraId="55E2BAB7" w14:textId="77777777" w:rsidR="00646638" w:rsidRPr="003F6439" w:rsidRDefault="00646638" w:rsidP="0091710A">
            <w:pPr>
              <w:pStyle w:val="NormalWeb"/>
              <w:jc w:val="center"/>
              <w:rPr>
                <w:sz w:val="18"/>
                <w:szCs w:val="18"/>
              </w:rPr>
            </w:pPr>
            <w:r w:rsidRPr="003F6439">
              <w:rPr>
                <w:sz w:val="18"/>
                <w:szCs w:val="18"/>
              </w:rPr>
              <w:t>$12,346</w:t>
            </w:r>
          </w:p>
        </w:tc>
        <w:tc>
          <w:tcPr>
            <w:tcW w:w="710" w:type="dxa"/>
            <w:hideMark/>
          </w:tcPr>
          <w:p w14:paraId="7621F1B8" w14:textId="77777777" w:rsidR="00646638" w:rsidRPr="003F6439" w:rsidRDefault="00646638" w:rsidP="0091710A">
            <w:pPr>
              <w:pStyle w:val="NormalWeb"/>
              <w:jc w:val="center"/>
              <w:rPr>
                <w:sz w:val="18"/>
                <w:szCs w:val="18"/>
              </w:rPr>
            </w:pPr>
            <w:r w:rsidRPr="003F6439">
              <w:rPr>
                <w:sz w:val="18"/>
                <w:szCs w:val="18"/>
              </w:rPr>
              <w:t>$21,414</w:t>
            </w:r>
          </w:p>
        </w:tc>
        <w:tc>
          <w:tcPr>
            <w:tcW w:w="709" w:type="dxa"/>
            <w:hideMark/>
          </w:tcPr>
          <w:p w14:paraId="0F43079F" w14:textId="77777777" w:rsidR="00646638" w:rsidRPr="003F6439" w:rsidRDefault="00646638" w:rsidP="0091710A">
            <w:pPr>
              <w:pStyle w:val="NormalWeb"/>
              <w:jc w:val="center"/>
              <w:rPr>
                <w:sz w:val="18"/>
                <w:szCs w:val="18"/>
              </w:rPr>
            </w:pPr>
            <w:r w:rsidRPr="003F6439">
              <w:rPr>
                <w:sz w:val="18"/>
                <w:szCs w:val="18"/>
              </w:rPr>
              <w:t>$15,912</w:t>
            </w:r>
          </w:p>
        </w:tc>
        <w:tc>
          <w:tcPr>
            <w:tcW w:w="831" w:type="dxa"/>
            <w:hideMark/>
          </w:tcPr>
          <w:p w14:paraId="19882845" w14:textId="77777777" w:rsidR="00646638" w:rsidRPr="003F6439" w:rsidRDefault="00646638" w:rsidP="0091710A">
            <w:pPr>
              <w:pStyle w:val="NormalWeb"/>
              <w:jc w:val="center"/>
              <w:rPr>
                <w:sz w:val="18"/>
                <w:szCs w:val="18"/>
              </w:rPr>
            </w:pPr>
            <w:r w:rsidRPr="003F6439">
              <w:rPr>
                <w:sz w:val="18"/>
                <w:szCs w:val="18"/>
              </w:rPr>
              <w:t>$31,231</w:t>
            </w:r>
          </w:p>
        </w:tc>
        <w:tc>
          <w:tcPr>
            <w:tcW w:w="1232" w:type="dxa"/>
            <w:hideMark/>
          </w:tcPr>
          <w:p w14:paraId="177D99D0" w14:textId="77777777" w:rsidR="00646638" w:rsidRPr="003F6439" w:rsidRDefault="00646638" w:rsidP="0091710A">
            <w:pPr>
              <w:pStyle w:val="NormalWeb"/>
              <w:jc w:val="center"/>
              <w:rPr>
                <w:sz w:val="18"/>
                <w:szCs w:val="18"/>
              </w:rPr>
            </w:pPr>
            <w:r w:rsidRPr="003F6439">
              <w:rPr>
                <w:sz w:val="18"/>
                <w:szCs w:val="18"/>
              </w:rPr>
              <w:t>8.7 to 17.4</w:t>
            </w:r>
          </w:p>
        </w:tc>
        <w:tc>
          <w:tcPr>
            <w:tcW w:w="1059" w:type="dxa"/>
            <w:hideMark/>
          </w:tcPr>
          <w:p w14:paraId="488283A0" w14:textId="77777777" w:rsidR="00646638" w:rsidRPr="003F6439" w:rsidRDefault="00646638" w:rsidP="0091710A">
            <w:pPr>
              <w:pStyle w:val="NormalWeb"/>
              <w:jc w:val="center"/>
              <w:rPr>
                <w:sz w:val="18"/>
                <w:szCs w:val="18"/>
              </w:rPr>
            </w:pPr>
            <w:r w:rsidRPr="003F6439">
              <w:rPr>
                <w:sz w:val="18"/>
                <w:szCs w:val="18"/>
              </w:rPr>
              <w:t>303,407</w:t>
            </w:r>
          </w:p>
        </w:tc>
        <w:tc>
          <w:tcPr>
            <w:tcW w:w="1088" w:type="dxa"/>
            <w:hideMark/>
          </w:tcPr>
          <w:p w14:paraId="52005A67" w14:textId="77777777" w:rsidR="00646638" w:rsidRPr="003F6439" w:rsidRDefault="00646638" w:rsidP="0091710A">
            <w:pPr>
              <w:pStyle w:val="NormalWeb"/>
              <w:jc w:val="center"/>
              <w:rPr>
                <w:sz w:val="18"/>
                <w:szCs w:val="18"/>
              </w:rPr>
            </w:pPr>
            <w:r w:rsidRPr="003F6439">
              <w:rPr>
                <w:sz w:val="18"/>
                <w:szCs w:val="18"/>
              </w:rPr>
              <w:t xml:space="preserve">2,640 </w:t>
            </w:r>
            <w:r w:rsidRPr="003F6439">
              <w:rPr>
                <w:sz w:val="18"/>
                <w:szCs w:val="18"/>
              </w:rPr>
              <w:br/>
              <w:t xml:space="preserve">to </w:t>
            </w:r>
            <w:r w:rsidRPr="003F6439">
              <w:rPr>
                <w:sz w:val="18"/>
                <w:szCs w:val="18"/>
              </w:rPr>
              <w:br/>
              <w:t>5,279</w:t>
            </w:r>
          </w:p>
        </w:tc>
        <w:tc>
          <w:tcPr>
            <w:tcW w:w="0" w:type="auto"/>
            <w:hideMark/>
          </w:tcPr>
          <w:p w14:paraId="729913FB" w14:textId="77777777" w:rsidR="00646638" w:rsidRPr="003F6439" w:rsidRDefault="00646638" w:rsidP="0091710A">
            <w:pPr>
              <w:pStyle w:val="NormalWeb"/>
              <w:jc w:val="center"/>
              <w:rPr>
                <w:sz w:val="18"/>
                <w:szCs w:val="18"/>
              </w:rPr>
            </w:pPr>
            <w:r w:rsidRPr="003F6439">
              <w:rPr>
                <w:sz w:val="18"/>
                <w:szCs w:val="18"/>
              </w:rPr>
              <w:t>$32,593,440</w:t>
            </w:r>
            <w:r w:rsidRPr="003F6439">
              <w:rPr>
                <w:sz w:val="18"/>
                <w:szCs w:val="18"/>
              </w:rPr>
              <w:br/>
              <w:t>to</w:t>
            </w:r>
            <w:r w:rsidRPr="003F6439">
              <w:rPr>
                <w:sz w:val="18"/>
                <w:szCs w:val="18"/>
              </w:rPr>
              <w:br/>
              <w:t>$65,174,534</w:t>
            </w:r>
          </w:p>
        </w:tc>
        <w:tc>
          <w:tcPr>
            <w:tcW w:w="0" w:type="auto"/>
            <w:hideMark/>
          </w:tcPr>
          <w:p w14:paraId="75A079F8" w14:textId="77777777" w:rsidR="00646638" w:rsidRPr="003F6439" w:rsidRDefault="00646638" w:rsidP="0091710A">
            <w:pPr>
              <w:pStyle w:val="NormalWeb"/>
              <w:jc w:val="center"/>
              <w:rPr>
                <w:sz w:val="18"/>
                <w:szCs w:val="18"/>
              </w:rPr>
            </w:pPr>
            <w:r w:rsidRPr="003F6439">
              <w:rPr>
                <w:sz w:val="18"/>
                <w:szCs w:val="18"/>
                <w:lang w:val="en-US"/>
              </w:rPr>
              <w:t xml:space="preserve">$42,007,680 </w:t>
            </w:r>
            <w:r w:rsidRPr="003F6439">
              <w:rPr>
                <w:sz w:val="18"/>
                <w:szCs w:val="18"/>
                <w:lang w:val="en-US"/>
              </w:rPr>
              <w:br/>
              <w:t xml:space="preserve">to </w:t>
            </w:r>
            <w:r w:rsidRPr="003F6439">
              <w:rPr>
                <w:sz w:val="18"/>
                <w:szCs w:val="18"/>
                <w:lang w:val="en-US"/>
              </w:rPr>
              <w:br/>
              <w:t>$83,999,448</w:t>
            </w:r>
          </w:p>
        </w:tc>
      </w:tr>
    </w:tbl>
    <w:p w14:paraId="1AA7B418" w14:textId="77777777" w:rsidR="00646638" w:rsidRDefault="00646638">
      <w:pPr>
        <w:pStyle w:val="Heading3"/>
        <w:rPr>
          <w:rFonts w:eastAsia="Times New Roman"/>
        </w:rPr>
      </w:pPr>
    </w:p>
    <w:p w14:paraId="7762D4FC" w14:textId="3107FDFE" w:rsidR="006B2619" w:rsidRDefault="006B2619">
      <w:pPr>
        <w:pStyle w:val="Heading3"/>
        <w:rPr>
          <w:rFonts w:eastAsia="Times New Roman"/>
        </w:rPr>
      </w:pPr>
      <w:r>
        <w:rPr>
          <w:rFonts w:eastAsia="Times New Roman"/>
        </w:rPr>
        <w:t xml:space="preserve">Sub-group analysis </w:t>
      </w:r>
    </w:p>
    <w:p w14:paraId="2591CAF9" w14:textId="07CF031C" w:rsidR="006B2619" w:rsidRDefault="006B2619" w:rsidP="006B2619">
      <w:r>
        <w:t xml:space="preserve">A sub-group analysis was completed for children born with prematurity (&lt; 37 weeks; n = 76) compared to those born at term (n = 276); 11 not reported. The index admission LOS for premature infants was 5.8 days (SD 9.7) compared to LOS for term infants of 3.1 days (SD: 3.2), with a mean difference of 2.7 days (95% confidence interval [CI]: 1.3 to 4.0, </w:t>
      </w:r>
      <w:r w:rsidRPr="007F513F">
        <w:rPr>
          <w:rStyle w:val="Emphasis"/>
          <w:b w:val="0"/>
          <w:bCs w:val="0"/>
        </w:rPr>
        <w:t>p</w:t>
      </w:r>
      <w:r>
        <w:t xml:space="preserve"> &lt; 0.001), with lesser costs favouring the term infants. The index admission cost for children born prematurely was $20,811 (SD: $39,216) and term infants was $10,409 (SD: $12,964) with a mean difference of $10,402 (95% CI: $4,928 to $15,876, </w:t>
      </w:r>
      <w:r w:rsidRPr="007F513F">
        <w:rPr>
          <w:rStyle w:val="Emphasis"/>
          <w:b w:val="0"/>
          <w:bCs w:val="0"/>
        </w:rPr>
        <w:t>p</w:t>
      </w:r>
      <w:r>
        <w:t xml:space="preserve"> &lt; 0.000) favouring term infants. When the index costs are combined with readmission costs within six months, for children born prematurely the cost was $27,353 (SD: $54,312) and the cost for term infants was $14,441 (SD: $31,761) with a mean difference of $12,913 (95% CI: $3,296 to $22,529, </w:t>
      </w:r>
      <w:r w:rsidRPr="007F513F">
        <w:rPr>
          <w:rStyle w:val="Emphasis"/>
          <w:b w:val="0"/>
          <w:bCs w:val="0"/>
        </w:rPr>
        <w:t>p</w:t>
      </w:r>
      <w:r>
        <w:t xml:space="preserve"> = 0.009) favouring term</w:t>
      </w:r>
      <w:r w:rsidR="0005078B">
        <w:t> </w:t>
      </w:r>
      <w:r>
        <w:t xml:space="preserve">infants. </w:t>
      </w:r>
    </w:p>
    <w:p w14:paraId="65247D02" w14:textId="678FB06C" w:rsidR="006B2619" w:rsidRDefault="006B2619" w:rsidP="006B2619">
      <w:r>
        <w:t>Based on the previous extrapolation, using the minimum rate of 2.2 children hospitalised annually due to RSV per 1,000 children under five years of age, corresponding to an annual total of 3,459 hospitalised children aged under five years, it is estimated</w:t>
      </w:r>
      <w:r w:rsidR="0097640B">
        <w:rPr>
          <w:rStyle w:val="FootnoteReference"/>
        </w:rPr>
        <w:footnoteReference w:id="3"/>
      </w:r>
      <w:r>
        <w:t xml:space="preserve"> that 297 hospitalised children (8.6%)</w:t>
      </w:r>
      <w:r w:rsidR="008A5E5A">
        <w:t xml:space="preserve"> </w:t>
      </w:r>
      <w:r>
        <w:t>would have been born preterm and 3,162 would not have been preterm. At $27,353 per child born pre-term and $14,441 per child not born pre-term, the minimum extrapolated cost would be $53,786,283 (297</w:t>
      </w:r>
      <w:r w:rsidR="00FF6242">
        <w:t xml:space="preserve"> × </w:t>
      </w:r>
      <w:r>
        <w:t>$27,353 + 3,162</w:t>
      </w:r>
      <w:r w:rsidR="00FF6242">
        <w:t xml:space="preserve"> × </w:t>
      </w:r>
      <w:r>
        <w:t>$14,441). Similarly, using instead the maximum rate of 4.5 children hospitalised annually due to RSV per 1,000, corresponding to an annual total of 7,075 hospitalised children aged under five years, the maximum extrapolated cost would be $110,026,381 (608</w:t>
      </w:r>
      <w:r w:rsidR="00FF6242">
        <w:t xml:space="preserve"> × </w:t>
      </w:r>
      <w:r>
        <w:t>$27,353 + 6,467</w:t>
      </w:r>
      <w:r w:rsidR="00FF6242">
        <w:t xml:space="preserve"> × </w:t>
      </w:r>
      <w:r>
        <w:t xml:space="preserve">$14,441). Both the minimum and maximum extrapolated costs using pre-term categorisation approximate the primary extrapolation. </w:t>
      </w:r>
    </w:p>
    <w:p w14:paraId="04538F4B" w14:textId="77777777" w:rsidR="000F2BE7" w:rsidRDefault="000F2BE7">
      <w:pPr>
        <w:rPr>
          <w:rFonts w:asciiTheme="majorHAnsi" w:eastAsiaTheme="majorEastAsia" w:hAnsiTheme="majorHAnsi" w:cstheme="majorBidi"/>
          <w:b/>
          <w:bCs/>
          <w:sz w:val="32"/>
          <w:szCs w:val="28"/>
        </w:rPr>
      </w:pPr>
      <w:r>
        <w:br w:type="page"/>
      </w:r>
    </w:p>
    <w:p w14:paraId="43DCABAA" w14:textId="086ACD53" w:rsidR="006B2619" w:rsidRPr="004C3399" w:rsidRDefault="006B2619" w:rsidP="004C3399">
      <w:pPr>
        <w:pStyle w:val="Heading1"/>
      </w:pPr>
      <w:r w:rsidRPr="004C3399">
        <w:lastRenderedPageBreak/>
        <w:t xml:space="preserve">Discussion </w:t>
      </w:r>
    </w:p>
    <w:p w14:paraId="03B26EDB" w14:textId="5D0F7389" w:rsidR="006B2619" w:rsidRDefault="006B2619" w:rsidP="006B2619">
      <w:r>
        <w:t xml:space="preserve">For RSV, routine surveillance in Australian children is limited and relies mainly on hospitalisation data, with little data available on the cost burden of this disease. Vaccines against RSV are in </w:t>
      </w:r>
      <w:proofErr w:type="gramStart"/>
      <w:r>
        <w:t>late stage</w:t>
      </w:r>
      <w:proofErr w:type="gramEnd"/>
      <w:r>
        <w:t xml:space="preserve"> development and while prophylactic </w:t>
      </w:r>
      <w:proofErr w:type="spellStart"/>
      <w:r>
        <w:t>mAb</w:t>
      </w:r>
      <w:proofErr w:type="spellEnd"/>
      <w:r>
        <w:t xml:space="preserve"> treatment is currently available it is extremely expensive, but newer, longer acting, and cheaper </w:t>
      </w:r>
      <w:proofErr w:type="spellStart"/>
      <w:r>
        <w:t>mAb</w:t>
      </w:r>
      <w:proofErr w:type="spellEnd"/>
      <w:r>
        <w:t xml:space="preserve"> may soon be available for clinical paediatric use. However, a major limiting factor to the introduction of these new counter measures and for the development of future RSV health policy has been the lack of data on the hospital care costs of RSV. </w:t>
      </w:r>
    </w:p>
    <w:p w14:paraId="6F536FB8" w14:textId="7E5EA3F7" w:rsidR="006B2619" w:rsidRDefault="006B2619" w:rsidP="006B2619">
      <w:r>
        <w:t xml:space="preserve">This current study addresses this issue and for the first time utilises individual patient-level data to estimate the cost burden of RSV in children in Australia. Access to this relevant, </w:t>
      </w:r>
      <w:proofErr w:type="gramStart"/>
      <w:r>
        <w:t>robust</w:t>
      </w:r>
      <w:proofErr w:type="gramEnd"/>
      <w:r>
        <w:t xml:space="preserve"> and recent cost burden data will provide valuable insights to inform health care planning and health policy including future vaccines or antibody treatments. RSV presents a significant cost to the Australian health care system. The findings from the current study add detail to the previous estimates of direct healthcare costs of RSV for hospitalised children. The annual total cost of care in 2018, a typical RSV season, for all children under five years of age who were hospitalised with RSV at RCH, was estimated to be $6,214,439, or $17,120 per child. Using these figures, the extrapolated annual national cost for children under five years of age ranged between </w:t>
      </w:r>
      <w:r w:rsidR="0076480B" w:rsidRPr="0076480B">
        <w:t>$59M and $121M</w:t>
      </w:r>
      <w:r>
        <w:t>, when including the index admission and subsequent all-cause readmissions within the following six months. The current study also found that for children under five years of age, there was an average cost of $12,642 for the index RSV admission. This is compared to previously-published Australian costs from 1991 to 2000 for this same age group with an average cost of $7,888 per admission,</w:t>
      </w:r>
      <w:r>
        <w:rPr>
          <w:vertAlign w:val="superscript"/>
        </w:rPr>
        <w:t>15</w:t>
      </w:r>
      <w:r>
        <w:t xml:space="preserve"> and to previously published international costs per admission for the UK ranging from $2,567 to $15,015;</w:t>
      </w:r>
      <w:r>
        <w:rPr>
          <w:vertAlign w:val="superscript"/>
        </w:rPr>
        <w:t>6,12</w:t>
      </w:r>
      <w:r>
        <w:t xml:space="preserve"> France $6,927;</w:t>
      </w:r>
      <w:r>
        <w:rPr>
          <w:vertAlign w:val="superscript"/>
        </w:rPr>
        <w:t>19</w:t>
      </w:r>
      <w:r>
        <w:t xml:space="preserve"> Canada $9,959;</w:t>
      </w:r>
      <w:r>
        <w:rPr>
          <w:vertAlign w:val="superscript"/>
        </w:rPr>
        <w:t>18</w:t>
      </w:r>
      <w:r>
        <w:t xml:space="preserve"> and USA $11,221</w:t>
      </w:r>
      <w:r>
        <w:rPr>
          <w:vertAlign w:val="superscript"/>
        </w:rPr>
        <w:t>3</w:t>
      </w:r>
      <w:r>
        <w:t xml:space="preserve"> (all costs converted into </w:t>
      </w:r>
      <w:r w:rsidR="00A55250">
        <w:t>$</w:t>
      </w:r>
      <w:proofErr w:type="gramStart"/>
      <w:r w:rsidR="00A55250">
        <w:t>AUD[</w:t>
      </w:r>
      <w:proofErr w:type="gramEnd"/>
      <w:r w:rsidR="00A55250">
        <w:t>2018/2019]</w:t>
      </w:r>
      <w:r>
        <w:t xml:space="preserve">. </w:t>
      </w:r>
    </w:p>
    <w:p w14:paraId="6EF1CD78" w14:textId="23AEDEED" w:rsidR="006B2619" w:rsidRDefault="006B2619" w:rsidP="006B2619">
      <w:r>
        <w:t>The current study estimated that the annual national cost for just the index admission of children under five years of age was between $44M and $89M. The previously-published Australian annual cost data for the same age group from 1991 to 2000 was estimated at $21,472,441 to $44,216,043,</w:t>
      </w:r>
      <w:r>
        <w:rPr>
          <w:vertAlign w:val="superscript"/>
        </w:rPr>
        <w:t>15</w:t>
      </w:r>
      <w:r>
        <w:t xml:space="preserve"> with most of the cost difference attributed to the lower cost per admission reported in the previous study ($7,888 compared to $12,643 in the current study, with both figures expressed in </w:t>
      </w:r>
      <w:r w:rsidR="00A55250">
        <w:t>$</w:t>
      </w:r>
      <w:proofErr w:type="gramStart"/>
      <w:r w:rsidR="00A55250">
        <w:t>AUD[</w:t>
      </w:r>
      <w:proofErr w:type="gramEnd"/>
      <w:r w:rsidR="00A55250">
        <w:t>2018/2019]</w:t>
      </w:r>
      <w:r>
        <w:t xml:space="preserve"> units). Internationally, the national annual burden for children hospitalised with RSV was estimated at $965M in the United States of America</w:t>
      </w:r>
      <w:r>
        <w:rPr>
          <w:vertAlign w:val="superscript"/>
        </w:rPr>
        <w:t>3</w:t>
      </w:r>
      <w:r>
        <w:t xml:space="preserve"> and $34M in Canada</w:t>
      </w:r>
      <w:r>
        <w:rPr>
          <w:vertAlign w:val="superscript"/>
        </w:rPr>
        <w:t>18</w:t>
      </w:r>
      <w:r>
        <w:t xml:space="preserve"> (all costs converted into </w:t>
      </w:r>
      <w:r w:rsidR="00A55250">
        <w:t>$</w:t>
      </w:r>
      <w:proofErr w:type="gramStart"/>
      <w:r w:rsidR="00A55250">
        <w:t>AUD[</w:t>
      </w:r>
      <w:proofErr w:type="gramEnd"/>
      <w:r w:rsidR="00A55250">
        <w:t>2018/2019]</w:t>
      </w:r>
      <w:r>
        <w:t xml:space="preserve"> units). The current study has provided a conservative estimate of the true cost of RSV in Australia, as it excludes the RSV positive hospitalised patients who did not meet the WHO SARI criteria, and it </w:t>
      </w:r>
      <w:proofErr w:type="gramStart"/>
      <w:r>
        <w:t>excludes also</w:t>
      </w:r>
      <w:proofErr w:type="gramEnd"/>
      <w:r>
        <w:t xml:space="preserve"> the cost of community-managed RSV which can include ED presentations, GP consultation, pharmaceuticals, as well as lost employment productivity for parents.</w:t>
      </w:r>
      <w:r>
        <w:rPr>
          <w:vertAlign w:val="superscript"/>
        </w:rPr>
        <w:t xml:space="preserve">24 </w:t>
      </w:r>
    </w:p>
    <w:p w14:paraId="4D645686" w14:textId="05ED8A62" w:rsidR="006B2619" w:rsidRDefault="006B2619" w:rsidP="006B2619">
      <w:r>
        <w:t xml:space="preserve">The top three AR-DRGs for the index admission have been compared to published data from the </w:t>
      </w:r>
      <w:r w:rsidR="00DB04A1" w:rsidRPr="00DB04A1">
        <w:t>Australian National Hospital Cost Data Collection (NHCDC) Round</w:t>
      </w:r>
      <w:r w:rsidR="00DB04A1">
        <w:t xml:space="preserve"> </w:t>
      </w:r>
      <w:r>
        <w:t xml:space="preserve">23 data which reports the national average length of stay and cost for each AR-DRG admission. The most common AR-DRG was E70B “Whooping Cough and Acute Bronchiolitis, Minor Complexity” (n = 107/363; 29%), followed by E41A “Respiratory System Disorders W Non-Invasive Ventilation, Major Complexity” (n = 36/363; 10%) and E41B “Respiratory System Disorders W Non-Invasive Ventilation, Minor Complexity” (n = 34/363; 9%). National data reported the average length of stay and cost to be 1.6 days and $2,867 for </w:t>
      </w:r>
      <w:proofErr w:type="gramStart"/>
      <w:r>
        <w:t>E70B;</w:t>
      </w:r>
      <w:proofErr w:type="gramEnd"/>
      <w:r>
        <w:t xml:space="preserve"> 12.1 days and $29,509 for E41A, and 6.2 days and $13,684 for E41B. This is comparable to the current study data which has reported the average length of stay and cost to be 2.0 days (SD: 1.2) and $5,648 ($4,054) for E70B; 6.8 days (SD: 4.2) and $27,188 (SD $18,153) for E41A; and 4.4 days (SD: 2.4) and $15,092 (SD 8,770) for E41B. </w:t>
      </w:r>
    </w:p>
    <w:p w14:paraId="1D583C1B" w14:textId="77777777" w:rsidR="006B2619" w:rsidRDefault="006B2619" w:rsidP="006B2619">
      <w:r>
        <w:t xml:space="preserve">In this study, premature infants who tested positive for RSV consumed significantly more healthcare resources per patient than did the </w:t>
      </w:r>
      <w:proofErr w:type="gramStart"/>
      <w:r>
        <w:t>full term</w:t>
      </w:r>
      <w:proofErr w:type="gramEnd"/>
      <w:r>
        <w:t xml:space="preserve"> infants who tested positive. This is consistent with the literature where published data reports that RSV rates and the subsequent health care utilisation are higher in vulnerable populations such as presence of prematurity, congenital heart defects, or immunosuppression.</w:t>
      </w:r>
      <w:r>
        <w:rPr>
          <w:vertAlign w:val="superscript"/>
        </w:rPr>
        <w:t>6,19,25</w:t>
      </w:r>
      <w:r>
        <w:t xml:space="preserve"> These premature infants are also </w:t>
      </w:r>
      <w:r>
        <w:lastRenderedPageBreak/>
        <w:t xml:space="preserve">more likely to have multiple hospital admissions in the first year of life, so preventative therapies will be very important for this special risk group. </w:t>
      </w:r>
    </w:p>
    <w:p w14:paraId="5D06A116" w14:textId="77777777" w:rsidR="006B2619" w:rsidRDefault="006B2619" w:rsidP="006E3337">
      <w:r>
        <w:t>These RSV findings can be compared to the global impact of influenza which was associated with 10% of respiratory infections in children under 18 years of, with an estimated 870,000 hospital admission for children under five years of age.</w:t>
      </w:r>
      <w:r>
        <w:rPr>
          <w:vertAlign w:val="superscript"/>
        </w:rPr>
        <w:t>25</w:t>
      </w:r>
      <w:r>
        <w:t xml:space="preserve"> In Australia, reported annual influenza hospitalisations ranged from 1,879 to 9,930 between 2006 and 2013. The highest rate of hospitalisation were in children under six months of age (187 per 100,000); between 6 and 24 months (108 per 100,000), and in adults over 75 years of age (48 per 100,000).</w:t>
      </w:r>
      <w:r>
        <w:rPr>
          <w:vertAlign w:val="superscript"/>
        </w:rPr>
        <w:t>26</w:t>
      </w:r>
      <w:r>
        <w:t xml:space="preserve"> The annual cost burden for all age groups of people hospitalised in Australia for influenza was reported at $50 million (based on 6,973 annual admissions, CPI inflated from $AUD 2005), with $6 million attributed to children aged under 5 (based on 1,171 annual admissions).</w:t>
      </w:r>
      <w:r>
        <w:rPr>
          <w:vertAlign w:val="superscript"/>
        </w:rPr>
        <w:t>26,27</w:t>
      </w:r>
      <w:r>
        <w:t xml:space="preserve"> These results have influenced policy, with influenza vaccine now on the Australian National Immunisation Program for children aged 6 months to &lt; 5 years. Compared to influenza, the annual cost burden for hospitalised children under five years of age in Australia for RSV was $44 million (current study conservative estimate for index admission only), seven times as large as the hospitalisation cost burden of influenza. The lack of an affordable preventative therapy for RSV is a major barrier; however, this may alter in the near future with the introduction of cheaper and longer-lasting prophylactic </w:t>
      </w:r>
      <w:proofErr w:type="spellStart"/>
      <w:r>
        <w:t>mAb</w:t>
      </w:r>
      <w:proofErr w:type="spellEnd"/>
      <w:r>
        <w:t xml:space="preserve"> treatments for infants and maternal RSV vaccines designed to protect infants aged zero to six months.</w:t>
      </w:r>
      <w:r>
        <w:rPr>
          <w:vertAlign w:val="superscript"/>
        </w:rPr>
        <w:t>28,29</w:t>
      </w:r>
      <w:r>
        <w:t xml:space="preserve"> Hopefully, robust and current RSV cost burden data will provide valuable insights to inform Australian health care planning and policy to allow accurate cost-benefit assessments of future monoclonal antibody treatments and vaccines. </w:t>
      </w:r>
    </w:p>
    <w:p w14:paraId="625EBB8E" w14:textId="77777777" w:rsidR="006B2619" w:rsidRDefault="006B2619" w:rsidP="006E3337">
      <w:r>
        <w:t xml:space="preserve">While access to individual patient-level cost data with a six-month follow-up is a strength of the current study, the main limitation is that only one health service (RCH) was accessed, and that individual age groups did not inform the extrapolation due to limitations with the prevalence data (limited to the age groups of under one year and under five years of age). It is, however, a large paediatric tertiary hospital, with similar centres in each of the major Australian capital cities. It is possible that the costs at the RCH are higher than elsewhere due to the specialised nature of the hospital. An expanded study Australia-wide would provide more accurate cost estimates. The present study also excluded 194 RSV-positive hospitalised patients who did not meet the WHO SARI criteria, indicating this current study was a conservative estimate of the full RSV cost burden for the health service. It is unknown if the inclusion of the 194 RSV-positive admissions who did not meet the SARI criteria would have impacted the cost data on a per-child basis. While a comparison of the SARI and non-SARI admissions might be of interest, further data on these excluded patients was not available. </w:t>
      </w:r>
    </w:p>
    <w:p w14:paraId="674E2C5F" w14:textId="77777777" w:rsidR="006B2619" w:rsidRPr="00AA4324" w:rsidRDefault="006B2619" w:rsidP="00AA4324">
      <w:pPr>
        <w:pStyle w:val="Heading1"/>
      </w:pPr>
      <w:r w:rsidRPr="00AA4324">
        <w:t xml:space="preserve">Conclusion </w:t>
      </w:r>
    </w:p>
    <w:p w14:paraId="3D092708" w14:textId="77777777" w:rsidR="006B2619" w:rsidRDefault="006B2619" w:rsidP="00A42D18">
      <w:r>
        <w:t xml:space="preserve">RSV presents a significant cost burden to the Australian health care system. Accounting for upper and lower hospitalisation estimates, the extrapolated 2018 annual national cost of RSV for children under five years of age ranged from $AUD59M to $AUD121M, inclusive of the index admission and six-month all-cause readmissions. The conservative estimate for index admissions is 7 times as high as the influenza hospitalisation cost burden for children aged less than five years. These data are important for future assessments of preventative therapies such as RSV monoclonal antibody and maternal/childhood RSV vaccines and will provide valuable insights to inform healthcare planning and health policy. </w:t>
      </w:r>
    </w:p>
    <w:p w14:paraId="4A46C3BF" w14:textId="77777777" w:rsidR="000F2BE7" w:rsidRDefault="000F2BE7">
      <w:pPr>
        <w:rPr>
          <w:rFonts w:asciiTheme="majorHAnsi" w:eastAsiaTheme="majorEastAsia" w:hAnsiTheme="majorHAnsi" w:cstheme="majorBidi"/>
          <w:b/>
          <w:bCs/>
          <w:sz w:val="32"/>
          <w:szCs w:val="28"/>
        </w:rPr>
      </w:pPr>
      <w:r>
        <w:br w:type="page"/>
      </w:r>
    </w:p>
    <w:p w14:paraId="232B34AD" w14:textId="14ACF52F" w:rsidR="006B2619" w:rsidRPr="00AA4324" w:rsidRDefault="006B2619" w:rsidP="00AA4324">
      <w:pPr>
        <w:pStyle w:val="Heading1"/>
      </w:pPr>
      <w:r w:rsidRPr="00AA4324">
        <w:lastRenderedPageBreak/>
        <w:t xml:space="preserve">Acknowledgments </w:t>
      </w:r>
    </w:p>
    <w:p w14:paraId="4B90915C" w14:textId="77777777" w:rsidR="006B2619" w:rsidRDefault="006B2619" w:rsidP="006E3337">
      <w:r>
        <w:t xml:space="preserve">The research team would like to thank Chris Jackson, the Manager of Decision Support at the Royal Children’s Hospital for his support with the cost data. </w:t>
      </w:r>
    </w:p>
    <w:p w14:paraId="04255F53" w14:textId="77777777" w:rsidR="006B2619" w:rsidRDefault="006B2619" w:rsidP="004C3399">
      <w:pPr>
        <w:pStyle w:val="Heading1"/>
        <w:rPr>
          <w:rFonts w:eastAsia="Times New Roman"/>
        </w:rPr>
      </w:pPr>
      <w:r>
        <w:rPr>
          <w:rFonts w:eastAsia="Times New Roman"/>
        </w:rPr>
        <w:t xml:space="preserve">Sources of funding </w:t>
      </w:r>
    </w:p>
    <w:p w14:paraId="28C6B205" w14:textId="77777777" w:rsidR="006B2619" w:rsidRDefault="006B2619" w:rsidP="00A42D18">
      <w:r>
        <w:t xml:space="preserve">This study was funded by the Australian Government Department of Health. The Department did not have a role in the research design, report writing or dissemination. </w:t>
      </w:r>
    </w:p>
    <w:p w14:paraId="69A82C80" w14:textId="77777777" w:rsidR="006B2619" w:rsidRDefault="006B2619" w:rsidP="004C3399">
      <w:pPr>
        <w:pStyle w:val="Heading1"/>
        <w:rPr>
          <w:rFonts w:eastAsia="Times New Roman"/>
        </w:rPr>
      </w:pPr>
      <w:r>
        <w:rPr>
          <w:rFonts w:eastAsia="Times New Roman"/>
        </w:rPr>
        <w:t xml:space="preserve">Competing interests / conflict of interest </w:t>
      </w:r>
    </w:p>
    <w:p w14:paraId="73C01DA9" w14:textId="77777777" w:rsidR="006B2619" w:rsidRDefault="006B2619" w:rsidP="006E3337">
      <w:r>
        <w:t xml:space="preserve">Competing interests: no relevant disclosures. </w:t>
      </w:r>
    </w:p>
    <w:p w14:paraId="2C3EE391" w14:textId="77777777" w:rsidR="006B2619" w:rsidRDefault="006B2619" w:rsidP="004C3399">
      <w:pPr>
        <w:pStyle w:val="Heading1"/>
        <w:rPr>
          <w:rFonts w:eastAsia="Times New Roman"/>
        </w:rPr>
      </w:pPr>
      <w:r>
        <w:rPr>
          <w:rFonts w:eastAsia="Times New Roman"/>
        </w:rPr>
        <w:t xml:space="preserve">Data sharing statement </w:t>
      </w:r>
    </w:p>
    <w:p w14:paraId="03ACFF3B" w14:textId="77777777" w:rsidR="006B2619" w:rsidRDefault="006B2619" w:rsidP="006E3337">
      <w:r>
        <w:t xml:space="preserve">Requests for individual participant data that underlie the results reported in this article, after deidentification, will be considered by the corresponding author on a </w:t>
      </w:r>
      <w:proofErr w:type="gramStart"/>
      <w:r>
        <w:t>case by case</w:t>
      </w:r>
      <w:proofErr w:type="gramEnd"/>
      <w:r>
        <w:t xml:space="preserve"> basis, for researchers who provide a methodologically sound proposal. Data sharing will begin three months and end five years following article publication. </w:t>
      </w:r>
    </w:p>
    <w:p w14:paraId="1EC82DD6" w14:textId="77777777" w:rsidR="006B2619" w:rsidRDefault="006B2619" w:rsidP="004C3399">
      <w:pPr>
        <w:pStyle w:val="Heading1"/>
        <w:rPr>
          <w:rFonts w:eastAsia="Times New Roman"/>
        </w:rPr>
      </w:pPr>
      <w:r>
        <w:rPr>
          <w:rFonts w:eastAsia="Times New Roman"/>
        </w:rPr>
        <w:t xml:space="preserve">Author details </w:t>
      </w:r>
    </w:p>
    <w:p w14:paraId="00933573" w14:textId="77777777" w:rsidR="006B2619" w:rsidRDefault="006B2619" w:rsidP="00C04443">
      <w:pPr>
        <w:pStyle w:val="NoSpacing"/>
      </w:pPr>
      <w:r>
        <w:t>Adj. Prof. Natasha K Brusco</w:t>
      </w:r>
      <w:r>
        <w:rPr>
          <w:vertAlign w:val="superscript"/>
        </w:rPr>
        <w:t>1,2</w:t>
      </w:r>
      <w:r>
        <w:t xml:space="preserve"> (position: Health Economist) </w:t>
      </w:r>
    </w:p>
    <w:p w14:paraId="2A7633ED" w14:textId="77777777" w:rsidR="006B2619" w:rsidRDefault="006B2619" w:rsidP="00C04443">
      <w:pPr>
        <w:pStyle w:val="NoSpacing"/>
      </w:pPr>
      <w:r>
        <w:t>Ms Annette Alafaci</w:t>
      </w:r>
      <w:r>
        <w:rPr>
          <w:vertAlign w:val="superscript"/>
        </w:rPr>
        <w:t>3</w:t>
      </w:r>
      <w:r>
        <w:t xml:space="preserve"> (position: Research Coordinator) </w:t>
      </w:r>
    </w:p>
    <w:p w14:paraId="13B2D8F4" w14:textId="77777777" w:rsidR="006B2619" w:rsidRDefault="006B2619" w:rsidP="00C04443">
      <w:pPr>
        <w:pStyle w:val="NoSpacing"/>
      </w:pPr>
      <w:r>
        <w:t>Ms Jane Tuckerman</w:t>
      </w:r>
      <w:r>
        <w:rPr>
          <w:vertAlign w:val="superscript"/>
        </w:rPr>
        <w:t>3,4</w:t>
      </w:r>
      <w:r>
        <w:t xml:space="preserve"> (position: Research Officer) </w:t>
      </w:r>
    </w:p>
    <w:p w14:paraId="4F39BD0D" w14:textId="77777777" w:rsidR="006B2619" w:rsidRDefault="006B2619" w:rsidP="00C04443">
      <w:pPr>
        <w:pStyle w:val="NoSpacing"/>
      </w:pPr>
      <w:r>
        <w:t>A/Prof. Helena Frawley</w:t>
      </w:r>
      <w:r>
        <w:rPr>
          <w:vertAlign w:val="superscript"/>
        </w:rPr>
        <w:t>5</w:t>
      </w:r>
      <w:r>
        <w:t xml:space="preserve"> (position: Associate Professor of Allied Health) </w:t>
      </w:r>
    </w:p>
    <w:p w14:paraId="75168AF3" w14:textId="77777777" w:rsidR="006B2619" w:rsidRDefault="006B2619" w:rsidP="00C04443">
      <w:pPr>
        <w:pStyle w:val="NoSpacing"/>
      </w:pPr>
      <w:r>
        <w:t>Dr Jeremy Pratt</w:t>
      </w:r>
      <w:r>
        <w:rPr>
          <w:vertAlign w:val="superscript"/>
        </w:rPr>
        <w:t>6</w:t>
      </w:r>
      <w:r>
        <w:t xml:space="preserve"> (position: Paediatric Advanced Trainee) </w:t>
      </w:r>
    </w:p>
    <w:p w14:paraId="7CDD9219" w14:textId="77777777" w:rsidR="006B2619" w:rsidRDefault="006B2619" w:rsidP="00C04443">
      <w:pPr>
        <w:pStyle w:val="NoSpacing"/>
      </w:pPr>
      <w:r>
        <w:t>A/Prof. Andrew J Daley</w:t>
      </w:r>
      <w:r>
        <w:rPr>
          <w:vertAlign w:val="superscript"/>
        </w:rPr>
        <w:t>4,7</w:t>
      </w:r>
      <w:r>
        <w:t xml:space="preserve"> (position: Head, Department of Microbiology) </w:t>
      </w:r>
    </w:p>
    <w:p w14:paraId="5B3AB2CE" w14:textId="77777777" w:rsidR="006B2619" w:rsidRDefault="006B2619" w:rsidP="00C04443">
      <w:pPr>
        <w:pStyle w:val="NoSpacing"/>
      </w:pPr>
      <w:r>
        <w:t>Ms Angela K Todd</w:t>
      </w:r>
      <w:r>
        <w:rPr>
          <w:vertAlign w:val="superscript"/>
        </w:rPr>
        <w:t>8</w:t>
      </w:r>
      <w:r>
        <w:t xml:space="preserve"> (Position: Senior Scientist/Section Leader Support) </w:t>
      </w:r>
    </w:p>
    <w:p w14:paraId="75EA6E10" w14:textId="77777777" w:rsidR="006B2619" w:rsidRDefault="006B2619" w:rsidP="00C04443">
      <w:pPr>
        <w:pStyle w:val="NoSpacing"/>
      </w:pPr>
      <w:r>
        <w:t>Dr Yi-Mo Deng</w:t>
      </w:r>
      <w:r>
        <w:rPr>
          <w:vertAlign w:val="superscript"/>
        </w:rPr>
        <w:t>8,9</w:t>
      </w:r>
      <w:r>
        <w:t xml:space="preserve"> (Position: Head of Genetic Analysis Unit) </w:t>
      </w:r>
    </w:p>
    <w:p w14:paraId="3D8D44DD" w14:textId="77777777" w:rsidR="006B2619" w:rsidRDefault="006B2619" w:rsidP="00C04443">
      <w:pPr>
        <w:pStyle w:val="NoSpacing"/>
      </w:pPr>
      <w:r>
        <w:t xml:space="preserve">Prof. </w:t>
      </w:r>
      <w:proofErr w:type="spellStart"/>
      <w:r>
        <w:t>Kanta</w:t>
      </w:r>
      <w:proofErr w:type="spellEnd"/>
      <w:r>
        <w:t xml:space="preserve"> Subbarao</w:t>
      </w:r>
      <w:r>
        <w:rPr>
          <w:vertAlign w:val="superscript"/>
        </w:rPr>
        <w:t>8,9</w:t>
      </w:r>
      <w:r>
        <w:t xml:space="preserve"> (Position: Director of the World Health Organization (WHO) Collaborating Centre for Reference and Research on Influenza) </w:t>
      </w:r>
    </w:p>
    <w:p w14:paraId="6F979F3C" w14:textId="77777777" w:rsidR="006B2619" w:rsidRDefault="006B2619" w:rsidP="00C04443">
      <w:pPr>
        <w:pStyle w:val="NoSpacing"/>
      </w:pPr>
      <w:r>
        <w:t>Prof. Ian Barr</w:t>
      </w:r>
      <w:r>
        <w:rPr>
          <w:vertAlign w:val="superscript"/>
        </w:rPr>
        <w:t>8,</w:t>
      </w:r>
      <w:proofErr w:type="gramStart"/>
      <w:r>
        <w:rPr>
          <w:vertAlign w:val="superscript"/>
        </w:rPr>
        <w:t>9,*</w:t>
      </w:r>
      <w:proofErr w:type="gramEnd"/>
      <w:r>
        <w:t xml:space="preserve"> (Position: Deputy Director of the WHO Collaborating Centre for Reference and Research on Influenza) </w:t>
      </w:r>
    </w:p>
    <w:p w14:paraId="26C4AF8B" w14:textId="3B8A9949" w:rsidR="006B2619" w:rsidRDefault="006B2619" w:rsidP="00C04443">
      <w:pPr>
        <w:pStyle w:val="NoSpacing"/>
      </w:pPr>
      <w:r>
        <w:t>Prof. Nigel W Crawford</w:t>
      </w:r>
      <w:r>
        <w:rPr>
          <w:vertAlign w:val="superscript"/>
        </w:rPr>
        <w:t>3,</w:t>
      </w:r>
      <w:proofErr w:type="gramStart"/>
      <w:r>
        <w:rPr>
          <w:vertAlign w:val="superscript"/>
        </w:rPr>
        <w:t>4,*</w:t>
      </w:r>
      <w:proofErr w:type="gramEnd"/>
      <w:r>
        <w:t xml:space="preserve"> (Position: Medical Head of Immunisation, Ambulatory Services, RCH Director, </w:t>
      </w:r>
      <w:proofErr w:type="spellStart"/>
      <w:r>
        <w:t>SAEFVic</w:t>
      </w:r>
      <w:proofErr w:type="spellEnd"/>
      <w:r>
        <w:t xml:space="preserve">, Group leader, MCRI) </w:t>
      </w:r>
    </w:p>
    <w:p w14:paraId="4F275564" w14:textId="77777777" w:rsidR="006E3337" w:rsidRDefault="006E3337" w:rsidP="00C04443">
      <w:pPr>
        <w:pStyle w:val="NoSpacing"/>
      </w:pPr>
    </w:p>
    <w:p w14:paraId="628F2CF4" w14:textId="77777777" w:rsidR="006B2619" w:rsidRPr="006E3337" w:rsidRDefault="006B2619" w:rsidP="006E3337">
      <w:pPr>
        <w:pStyle w:val="ListParagraph"/>
        <w:numPr>
          <w:ilvl w:val="0"/>
          <w:numId w:val="12"/>
        </w:numPr>
        <w:rPr>
          <w:rFonts w:eastAsia="Times New Roman"/>
        </w:rPr>
      </w:pPr>
      <w:r w:rsidRPr="006E3337">
        <w:rPr>
          <w:rFonts w:eastAsia="Times New Roman"/>
        </w:rPr>
        <w:t xml:space="preserve">Alpha Crucis Group, Melbourne, Australia </w:t>
      </w:r>
    </w:p>
    <w:p w14:paraId="29BC7518" w14:textId="77777777" w:rsidR="006B2619" w:rsidRPr="006E3337" w:rsidRDefault="006B2619" w:rsidP="006E3337">
      <w:pPr>
        <w:pStyle w:val="ListParagraph"/>
        <w:numPr>
          <w:ilvl w:val="0"/>
          <w:numId w:val="12"/>
        </w:numPr>
        <w:rPr>
          <w:rFonts w:eastAsia="Times New Roman"/>
        </w:rPr>
      </w:pPr>
      <w:r w:rsidRPr="006E3337">
        <w:rPr>
          <w:rFonts w:eastAsia="Times New Roman"/>
        </w:rPr>
        <w:t xml:space="preserve">Rehabilitation, Ageing and Independent Living (RAIL) Research Centre, School of Primary and Allied Health Care, Peninsula Campus, Monash University, Frankston, Australia </w:t>
      </w:r>
    </w:p>
    <w:p w14:paraId="3DE4D523" w14:textId="77777777" w:rsidR="006B2619" w:rsidRPr="006E3337" w:rsidRDefault="006B2619" w:rsidP="006E3337">
      <w:pPr>
        <w:pStyle w:val="ListParagraph"/>
        <w:numPr>
          <w:ilvl w:val="0"/>
          <w:numId w:val="12"/>
        </w:numPr>
        <w:rPr>
          <w:rFonts w:eastAsia="Times New Roman"/>
        </w:rPr>
      </w:pPr>
      <w:r w:rsidRPr="006E3337">
        <w:rPr>
          <w:rFonts w:eastAsia="Times New Roman"/>
        </w:rPr>
        <w:t xml:space="preserve">Murdoch Children’s Research Institute, Royal Children’s Hospital, Melbourne Australia </w:t>
      </w:r>
    </w:p>
    <w:p w14:paraId="0ED17B21" w14:textId="77777777" w:rsidR="006B2619" w:rsidRPr="006E3337" w:rsidRDefault="006B2619" w:rsidP="006E3337">
      <w:pPr>
        <w:pStyle w:val="ListParagraph"/>
        <w:numPr>
          <w:ilvl w:val="0"/>
          <w:numId w:val="12"/>
        </w:numPr>
        <w:rPr>
          <w:rFonts w:eastAsia="Times New Roman"/>
        </w:rPr>
      </w:pPr>
      <w:r w:rsidRPr="006E3337">
        <w:rPr>
          <w:rFonts w:eastAsia="Times New Roman"/>
        </w:rPr>
        <w:t xml:space="preserve">Department of Paediatrics, University of Melbourne, Victoria. Australia </w:t>
      </w:r>
    </w:p>
    <w:p w14:paraId="156D6B8B" w14:textId="77777777" w:rsidR="006B2619" w:rsidRPr="006E3337" w:rsidRDefault="006B2619" w:rsidP="006E3337">
      <w:pPr>
        <w:pStyle w:val="ListParagraph"/>
        <w:numPr>
          <w:ilvl w:val="0"/>
          <w:numId w:val="12"/>
        </w:numPr>
        <w:rPr>
          <w:rFonts w:eastAsia="Times New Roman"/>
        </w:rPr>
      </w:pPr>
      <w:r w:rsidRPr="006E3337">
        <w:rPr>
          <w:rFonts w:eastAsia="Times New Roman"/>
        </w:rPr>
        <w:t xml:space="preserve">School of Health Sciences, The University of Melbourne, Victoria, Australia </w:t>
      </w:r>
    </w:p>
    <w:p w14:paraId="21C38312" w14:textId="77777777" w:rsidR="006B2619" w:rsidRPr="006E3337" w:rsidRDefault="006B2619" w:rsidP="006E3337">
      <w:pPr>
        <w:pStyle w:val="ListParagraph"/>
        <w:numPr>
          <w:ilvl w:val="0"/>
          <w:numId w:val="12"/>
        </w:numPr>
        <w:rPr>
          <w:rFonts w:eastAsia="Times New Roman"/>
        </w:rPr>
      </w:pPr>
      <w:r w:rsidRPr="006E3337">
        <w:rPr>
          <w:rFonts w:eastAsia="Times New Roman"/>
        </w:rPr>
        <w:t xml:space="preserve">Queensland Children’s Hospital, Brisbane, Victoria </w:t>
      </w:r>
    </w:p>
    <w:p w14:paraId="64881FA1" w14:textId="77777777" w:rsidR="006B2619" w:rsidRPr="006E3337" w:rsidRDefault="006B2619" w:rsidP="006E3337">
      <w:pPr>
        <w:pStyle w:val="ListParagraph"/>
        <w:numPr>
          <w:ilvl w:val="0"/>
          <w:numId w:val="12"/>
        </w:numPr>
        <w:rPr>
          <w:rFonts w:eastAsia="Times New Roman"/>
        </w:rPr>
      </w:pPr>
      <w:r w:rsidRPr="006E3337">
        <w:rPr>
          <w:rFonts w:eastAsia="Times New Roman"/>
        </w:rPr>
        <w:t xml:space="preserve">Department of Microbiology, Royal Children’s Hospital, Melbourne, Victoria, Australia </w:t>
      </w:r>
    </w:p>
    <w:p w14:paraId="55325860" w14:textId="77777777" w:rsidR="006B2619" w:rsidRPr="006E3337" w:rsidRDefault="006B2619" w:rsidP="006E3337">
      <w:pPr>
        <w:pStyle w:val="ListParagraph"/>
        <w:numPr>
          <w:ilvl w:val="0"/>
          <w:numId w:val="12"/>
        </w:numPr>
        <w:rPr>
          <w:rFonts w:eastAsia="Times New Roman"/>
        </w:rPr>
      </w:pPr>
      <w:r w:rsidRPr="006E3337">
        <w:rPr>
          <w:rFonts w:eastAsia="Times New Roman"/>
        </w:rPr>
        <w:lastRenderedPageBreak/>
        <w:t xml:space="preserve">WHO Collaborating Centre for Reference and Research on Influenza, Peter Doherty Institute for Infection and Immunity, Elizabeth Street, Melbourne, Vic, Australia </w:t>
      </w:r>
    </w:p>
    <w:p w14:paraId="07754281" w14:textId="77777777" w:rsidR="006B2619" w:rsidRPr="006E3337" w:rsidRDefault="006B2619" w:rsidP="006E3337">
      <w:pPr>
        <w:pStyle w:val="ListParagraph"/>
        <w:numPr>
          <w:ilvl w:val="0"/>
          <w:numId w:val="12"/>
        </w:numPr>
        <w:rPr>
          <w:rFonts w:eastAsia="Times New Roman"/>
        </w:rPr>
      </w:pPr>
      <w:r w:rsidRPr="006E3337">
        <w:rPr>
          <w:rFonts w:eastAsia="Times New Roman"/>
        </w:rPr>
        <w:t xml:space="preserve">Department of Microbiology and Immunology, University of Melbourne at The Peter Doherty Institute for Infection and Immunity, Melbourne, Vic, Australia </w:t>
      </w:r>
    </w:p>
    <w:p w14:paraId="38850A5B" w14:textId="1ABF1EF6" w:rsidR="006B2619" w:rsidRDefault="006B2619" w:rsidP="006B2619">
      <w:r>
        <w:t>*</w:t>
      </w:r>
      <w:r w:rsidR="000F2BE7">
        <w:t xml:space="preserve"> </w:t>
      </w:r>
      <w:r>
        <w:t xml:space="preserve">co-senior authors </w:t>
      </w:r>
    </w:p>
    <w:p w14:paraId="62EB2770" w14:textId="77777777" w:rsidR="006B2619" w:rsidRPr="004C3399" w:rsidRDefault="006B2619" w:rsidP="004C3399">
      <w:pPr>
        <w:pStyle w:val="Heading2"/>
      </w:pPr>
      <w:r w:rsidRPr="004C3399">
        <w:t xml:space="preserve">Corresponding Author </w:t>
      </w:r>
    </w:p>
    <w:p w14:paraId="459A98C5" w14:textId="77777777" w:rsidR="00A42D18" w:rsidRDefault="00A42D18" w:rsidP="00C04443">
      <w:pPr>
        <w:pStyle w:val="NoSpacing"/>
      </w:pPr>
    </w:p>
    <w:p w14:paraId="7254E07B" w14:textId="20874381" w:rsidR="006B2619" w:rsidRDefault="009B3BF5" w:rsidP="00C04443">
      <w:pPr>
        <w:pStyle w:val="NoSpacing"/>
      </w:pPr>
      <w:r>
        <w:t>Nigel Crawford</w:t>
      </w:r>
      <w:r w:rsidR="006B2619">
        <w:t xml:space="preserve"> </w:t>
      </w:r>
    </w:p>
    <w:p w14:paraId="3D34C4FF" w14:textId="5000E401" w:rsidR="006B2619" w:rsidRDefault="006B2619" w:rsidP="00C04443">
      <w:pPr>
        <w:pStyle w:val="NoSpacing"/>
      </w:pPr>
      <w:r>
        <w:t>Address: Murdoch Children’s Research Institute 50 Flemington Road</w:t>
      </w:r>
      <w:r w:rsidR="00C04443">
        <w:t>,</w:t>
      </w:r>
      <w:r>
        <w:t xml:space="preserve"> Parkville</w:t>
      </w:r>
      <w:r w:rsidR="00C04443">
        <w:t>,</w:t>
      </w:r>
      <w:r>
        <w:t xml:space="preserve"> 3052</w:t>
      </w:r>
      <w:r w:rsidR="00C04443">
        <w:t>,</w:t>
      </w:r>
      <w:r>
        <w:t xml:space="preserve"> Victoria</w:t>
      </w:r>
      <w:r w:rsidR="00C04443">
        <w:t>,</w:t>
      </w:r>
      <w:r>
        <w:t xml:space="preserve"> Australia</w:t>
      </w:r>
      <w:r w:rsidR="00C04443">
        <w:br/>
      </w:r>
      <w:r>
        <w:t>Phone: + 61 3 9345 4448</w:t>
      </w:r>
      <w:r w:rsidR="00C04443">
        <w:br/>
      </w:r>
      <w:r>
        <w:t xml:space="preserve">Email: </w:t>
      </w:r>
      <w:r w:rsidR="00C04443" w:rsidRPr="00C04443">
        <w:t>nigel.crawford@mcri.edu.au</w:t>
      </w:r>
      <w:r w:rsidR="00C04443">
        <w:br/>
      </w:r>
      <w:r>
        <w:t>Fax: + 61 3 9345 4163</w:t>
      </w:r>
      <w:r w:rsidR="00C04443">
        <w:br/>
      </w:r>
      <w:r>
        <w:t>Web: www.mvec.mcri.edu.au</w:t>
      </w:r>
    </w:p>
    <w:p w14:paraId="2C763D49" w14:textId="32F1AE5F" w:rsidR="006B2619" w:rsidRPr="004C3399" w:rsidRDefault="006B2619" w:rsidP="004C3399">
      <w:pPr>
        <w:pStyle w:val="Heading1"/>
      </w:pPr>
      <w:r w:rsidRPr="004C3399">
        <w:t>Reference</w:t>
      </w:r>
      <w:r w:rsidR="00752654">
        <w:t>s</w:t>
      </w:r>
      <w:r w:rsidRPr="004C3399">
        <w:t xml:space="preserve"> </w:t>
      </w:r>
    </w:p>
    <w:p w14:paraId="4F19DA68" w14:textId="77777777" w:rsidR="006B2619" w:rsidRPr="006B2619" w:rsidRDefault="006B2619" w:rsidP="006B2619">
      <w:pPr>
        <w:pStyle w:val="ListParagraph"/>
        <w:numPr>
          <w:ilvl w:val="0"/>
          <w:numId w:val="11"/>
        </w:numPr>
        <w:rPr>
          <w:rFonts w:eastAsia="Times New Roman"/>
        </w:rPr>
      </w:pPr>
      <w:proofErr w:type="spellStart"/>
      <w:r w:rsidRPr="006B2619">
        <w:rPr>
          <w:rFonts w:eastAsia="Times New Roman"/>
        </w:rPr>
        <w:t>Díez</w:t>
      </w:r>
      <w:proofErr w:type="spellEnd"/>
      <w:r w:rsidRPr="006B2619">
        <w:rPr>
          <w:rFonts w:eastAsia="Times New Roman"/>
        </w:rPr>
        <w:t>-Domingo J, Pérez-</w:t>
      </w:r>
      <w:proofErr w:type="spellStart"/>
      <w:r w:rsidRPr="006B2619">
        <w:rPr>
          <w:rFonts w:eastAsia="Times New Roman"/>
        </w:rPr>
        <w:t>Yarza</w:t>
      </w:r>
      <w:proofErr w:type="spellEnd"/>
      <w:r w:rsidRPr="006B2619">
        <w:rPr>
          <w:rFonts w:eastAsia="Times New Roman"/>
        </w:rPr>
        <w:t xml:space="preserve"> EG, </w:t>
      </w:r>
      <w:proofErr w:type="spellStart"/>
      <w:r w:rsidRPr="006B2619">
        <w:rPr>
          <w:rFonts w:eastAsia="Times New Roman"/>
        </w:rPr>
        <w:t>Melero</w:t>
      </w:r>
      <w:proofErr w:type="spellEnd"/>
      <w:r w:rsidRPr="006B2619">
        <w:rPr>
          <w:rFonts w:eastAsia="Times New Roman"/>
        </w:rPr>
        <w:t xml:space="preserve"> JA, Sánchez-Luna M, Aguilar MD, </w:t>
      </w:r>
      <w:proofErr w:type="spellStart"/>
      <w:r w:rsidRPr="006B2619">
        <w:rPr>
          <w:rFonts w:eastAsia="Times New Roman"/>
        </w:rPr>
        <w:t>Blasco</w:t>
      </w:r>
      <w:proofErr w:type="spellEnd"/>
      <w:r w:rsidRPr="006B2619">
        <w:rPr>
          <w:rFonts w:eastAsia="Times New Roman"/>
        </w:rPr>
        <w:t xml:space="preserve"> AJ et al. Social, economic, and health impact of the respiratory syncytial virus: a systematic search. </w:t>
      </w:r>
      <w:r w:rsidRPr="007F513F">
        <w:rPr>
          <w:rStyle w:val="Emphasis"/>
          <w:rFonts w:eastAsia="Times New Roman"/>
          <w:b w:val="0"/>
          <w:bCs w:val="0"/>
        </w:rPr>
        <w:t>BMC Infect Dis</w:t>
      </w:r>
      <w:r w:rsidRPr="006B2619">
        <w:rPr>
          <w:rFonts w:eastAsia="Times New Roman"/>
        </w:rPr>
        <w:t xml:space="preserve">. </w:t>
      </w:r>
      <w:proofErr w:type="gramStart"/>
      <w:r w:rsidRPr="006B2619">
        <w:rPr>
          <w:rFonts w:eastAsia="Times New Roman"/>
        </w:rPr>
        <w:t>2014;14:544</w:t>
      </w:r>
      <w:proofErr w:type="gramEnd"/>
      <w:r w:rsidRPr="006B2619">
        <w:rPr>
          <w:rFonts w:eastAsia="Times New Roman"/>
        </w:rPr>
        <w:t xml:space="preserve">. </w:t>
      </w:r>
      <w:proofErr w:type="spellStart"/>
      <w:r w:rsidRPr="006B2619">
        <w:rPr>
          <w:rFonts w:eastAsia="Times New Roman"/>
        </w:rPr>
        <w:t>doi</w:t>
      </w:r>
      <w:proofErr w:type="spellEnd"/>
      <w:r w:rsidRPr="006B2619">
        <w:rPr>
          <w:rFonts w:eastAsia="Times New Roman"/>
        </w:rPr>
        <w:t xml:space="preserve">: https://doi.org/10.1186/s12879-014-0544-x. </w:t>
      </w:r>
    </w:p>
    <w:p w14:paraId="2DDCAD29"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Jepsen MT, </w:t>
      </w:r>
      <w:proofErr w:type="spellStart"/>
      <w:r w:rsidRPr="006B2619">
        <w:rPr>
          <w:rFonts w:eastAsia="Times New Roman"/>
        </w:rPr>
        <w:t>Trebbien</w:t>
      </w:r>
      <w:proofErr w:type="spellEnd"/>
      <w:r w:rsidRPr="006B2619">
        <w:rPr>
          <w:rFonts w:eastAsia="Times New Roman"/>
        </w:rPr>
        <w:t xml:space="preserve"> R, </w:t>
      </w:r>
      <w:proofErr w:type="spellStart"/>
      <w:r w:rsidRPr="006B2619">
        <w:rPr>
          <w:rFonts w:eastAsia="Times New Roman"/>
        </w:rPr>
        <w:t>Emborg</w:t>
      </w:r>
      <w:proofErr w:type="spellEnd"/>
      <w:r w:rsidRPr="006B2619">
        <w:rPr>
          <w:rFonts w:eastAsia="Times New Roman"/>
        </w:rPr>
        <w:t xml:space="preserve"> HD, Krause TG, </w:t>
      </w:r>
      <w:proofErr w:type="spellStart"/>
      <w:r w:rsidRPr="006B2619">
        <w:rPr>
          <w:rFonts w:eastAsia="Times New Roman"/>
        </w:rPr>
        <w:t>Schønning</w:t>
      </w:r>
      <w:proofErr w:type="spellEnd"/>
      <w:r w:rsidRPr="006B2619">
        <w:rPr>
          <w:rFonts w:eastAsia="Times New Roman"/>
        </w:rPr>
        <w:t xml:space="preserve"> K, </w:t>
      </w:r>
      <w:proofErr w:type="spellStart"/>
      <w:r w:rsidRPr="006B2619">
        <w:rPr>
          <w:rFonts w:eastAsia="Times New Roman"/>
        </w:rPr>
        <w:t>Voldstedlund</w:t>
      </w:r>
      <w:proofErr w:type="spellEnd"/>
      <w:r w:rsidRPr="006B2619">
        <w:rPr>
          <w:rFonts w:eastAsia="Times New Roman"/>
        </w:rPr>
        <w:t xml:space="preserve"> M et al. Incidence and seasonality of respiratory syncytial virus hospitalisations in young children in Denmark, 2010 to 2015. </w:t>
      </w:r>
      <w:r w:rsidRPr="007F513F">
        <w:rPr>
          <w:rStyle w:val="Emphasis"/>
          <w:rFonts w:eastAsia="Times New Roman"/>
          <w:b w:val="0"/>
          <w:bCs w:val="0"/>
        </w:rPr>
        <w:t xml:space="preserve">Euro </w:t>
      </w:r>
      <w:proofErr w:type="spellStart"/>
      <w:r w:rsidRPr="007F513F">
        <w:rPr>
          <w:rStyle w:val="Emphasis"/>
          <w:rFonts w:eastAsia="Times New Roman"/>
          <w:b w:val="0"/>
          <w:bCs w:val="0"/>
        </w:rPr>
        <w:t>Surveill</w:t>
      </w:r>
      <w:proofErr w:type="spellEnd"/>
      <w:r w:rsidRPr="006B2619">
        <w:rPr>
          <w:rFonts w:eastAsia="Times New Roman"/>
        </w:rPr>
        <w:t xml:space="preserve">. 2018;23(3). </w:t>
      </w:r>
      <w:proofErr w:type="spellStart"/>
      <w:r w:rsidRPr="006B2619">
        <w:rPr>
          <w:rFonts w:eastAsia="Times New Roman"/>
        </w:rPr>
        <w:t>doi</w:t>
      </w:r>
      <w:proofErr w:type="spellEnd"/>
      <w:r w:rsidRPr="006B2619">
        <w:rPr>
          <w:rFonts w:eastAsia="Times New Roman"/>
        </w:rPr>
        <w:t xml:space="preserve">: https://doi.org/10.2807/1560-7917.ES.2018.23.3.17-00163. </w:t>
      </w:r>
    </w:p>
    <w:p w14:paraId="05EBCE85"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Paramore LC, </w:t>
      </w:r>
      <w:proofErr w:type="spellStart"/>
      <w:r w:rsidRPr="006B2619">
        <w:rPr>
          <w:rFonts w:eastAsia="Times New Roman"/>
        </w:rPr>
        <w:t>Ciuryla</w:t>
      </w:r>
      <w:proofErr w:type="spellEnd"/>
      <w:r w:rsidRPr="006B2619">
        <w:rPr>
          <w:rFonts w:eastAsia="Times New Roman"/>
        </w:rPr>
        <w:t xml:space="preserve"> V, </w:t>
      </w:r>
      <w:proofErr w:type="spellStart"/>
      <w:r w:rsidRPr="006B2619">
        <w:rPr>
          <w:rFonts w:eastAsia="Times New Roman"/>
        </w:rPr>
        <w:t>Ciesla</w:t>
      </w:r>
      <w:proofErr w:type="spellEnd"/>
      <w:r w:rsidRPr="006B2619">
        <w:rPr>
          <w:rFonts w:eastAsia="Times New Roman"/>
        </w:rPr>
        <w:t xml:space="preserve"> G, Liu L. Economic impact of respiratory syncytial virus-related illness in the US: an analysis of national databases. </w:t>
      </w:r>
      <w:r w:rsidRPr="007F513F">
        <w:rPr>
          <w:rStyle w:val="Emphasis"/>
          <w:rFonts w:eastAsia="Times New Roman"/>
          <w:b w:val="0"/>
          <w:bCs w:val="0"/>
        </w:rPr>
        <w:t>Pharmacoeconomics</w:t>
      </w:r>
      <w:r w:rsidRPr="006B2619">
        <w:rPr>
          <w:rFonts w:eastAsia="Times New Roman"/>
        </w:rPr>
        <w:t xml:space="preserve">. 2004;22(5):275–84. </w:t>
      </w:r>
    </w:p>
    <w:p w14:paraId="425E88E0"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Shafique M, Zahoor MA, Arshad MI, Aslam B, Siddique AB, Rasool MH et al. Hurdles in vaccine development against respiratory syncytial virus. In Resch B, ed. </w:t>
      </w:r>
      <w:r w:rsidRPr="007F513F">
        <w:rPr>
          <w:rStyle w:val="Emphasis"/>
          <w:rFonts w:eastAsia="Times New Roman"/>
          <w:b w:val="0"/>
          <w:bCs w:val="0"/>
        </w:rPr>
        <w:t>The Burden of Respiratory Syncytial Virus Infection in the Young</w:t>
      </w:r>
      <w:r w:rsidRPr="006B2619">
        <w:rPr>
          <w:rFonts w:eastAsia="Times New Roman"/>
        </w:rPr>
        <w:t xml:space="preserve">. London: </w:t>
      </w:r>
      <w:proofErr w:type="spellStart"/>
      <w:r w:rsidRPr="006B2619">
        <w:rPr>
          <w:rFonts w:eastAsia="Times New Roman"/>
        </w:rPr>
        <w:t>IntechOpen</w:t>
      </w:r>
      <w:proofErr w:type="spellEnd"/>
      <w:r w:rsidRPr="006B2619">
        <w:rPr>
          <w:rFonts w:eastAsia="Times New Roman"/>
        </w:rPr>
        <w:t xml:space="preserve">; 2019. </w:t>
      </w:r>
    </w:p>
    <w:p w14:paraId="3FB5DAEF"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Moore HC, Blyth CC. Assessing the burden of respiratory syncytial virus disease in Australia. </w:t>
      </w:r>
      <w:r w:rsidRPr="007F513F">
        <w:rPr>
          <w:rStyle w:val="Emphasis"/>
          <w:rFonts w:eastAsia="Times New Roman"/>
          <w:b w:val="0"/>
          <w:bCs w:val="0"/>
        </w:rPr>
        <w:t>Med J Aust</w:t>
      </w:r>
      <w:r w:rsidRPr="006B2619">
        <w:rPr>
          <w:rFonts w:eastAsia="Times New Roman"/>
        </w:rPr>
        <w:t xml:space="preserve">. 2019;210(10):444–5. </w:t>
      </w:r>
    </w:p>
    <w:p w14:paraId="3E9CC955"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Deshpande SA, Northern V. The clinical and health economic burden of respiratory syncytial virus disease among children under 2 years of age in a defined geographical area. </w:t>
      </w:r>
      <w:r w:rsidRPr="007F513F">
        <w:rPr>
          <w:rStyle w:val="Emphasis"/>
          <w:rFonts w:eastAsia="Times New Roman"/>
          <w:b w:val="0"/>
          <w:bCs w:val="0"/>
        </w:rPr>
        <w:t>Arch Dis Child</w:t>
      </w:r>
      <w:r w:rsidRPr="006B2619">
        <w:rPr>
          <w:rFonts w:eastAsia="Times New Roman"/>
        </w:rPr>
        <w:t xml:space="preserve">. 2003;88(12):1065–9. </w:t>
      </w:r>
    </w:p>
    <w:p w14:paraId="1FE498CC"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Britton PN, Hu N, </w:t>
      </w:r>
      <w:proofErr w:type="spellStart"/>
      <w:r w:rsidRPr="006B2619">
        <w:rPr>
          <w:rFonts w:eastAsia="Times New Roman"/>
        </w:rPr>
        <w:t>Saravanos</w:t>
      </w:r>
      <w:proofErr w:type="spellEnd"/>
      <w:r w:rsidRPr="006B2619">
        <w:rPr>
          <w:rFonts w:eastAsia="Times New Roman"/>
        </w:rPr>
        <w:t xml:space="preserve"> G, Shrapnel J, Davis J, Snelling T et al. COVID-19 public health measures and respiratory syncytial virus. </w:t>
      </w:r>
      <w:r w:rsidRPr="007F513F">
        <w:rPr>
          <w:rStyle w:val="Emphasis"/>
          <w:rFonts w:eastAsia="Times New Roman"/>
          <w:b w:val="0"/>
          <w:bCs w:val="0"/>
        </w:rPr>
        <w:t xml:space="preserve">Lancet Child </w:t>
      </w:r>
      <w:proofErr w:type="spellStart"/>
      <w:r w:rsidRPr="007F513F">
        <w:rPr>
          <w:rStyle w:val="Emphasis"/>
          <w:rFonts w:eastAsia="Times New Roman"/>
          <w:b w:val="0"/>
          <w:bCs w:val="0"/>
        </w:rPr>
        <w:t>Adolesc</w:t>
      </w:r>
      <w:proofErr w:type="spellEnd"/>
      <w:r w:rsidRPr="007F513F">
        <w:rPr>
          <w:rStyle w:val="Emphasis"/>
          <w:rFonts w:eastAsia="Times New Roman"/>
          <w:b w:val="0"/>
          <w:bCs w:val="0"/>
        </w:rPr>
        <w:t xml:space="preserve"> Health</w:t>
      </w:r>
      <w:r w:rsidRPr="006B2619">
        <w:rPr>
          <w:rFonts w:eastAsia="Times New Roman"/>
        </w:rPr>
        <w:t>. 2020;4(11</w:t>
      </w:r>
      <w:proofErr w:type="gramStart"/>
      <w:r w:rsidRPr="006B2619">
        <w:rPr>
          <w:rFonts w:eastAsia="Times New Roman"/>
        </w:rPr>
        <w:t>):e</w:t>
      </w:r>
      <w:proofErr w:type="gramEnd"/>
      <w:r w:rsidRPr="006B2619">
        <w:rPr>
          <w:rFonts w:eastAsia="Times New Roman"/>
        </w:rPr>
        <w:t xml:space="preserve">42–3. </w:t>
      </w:r>
    </w:p>
    <w:p w14:paraId="1FC69890"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Yeoh DK, Foley DA, </w:t>
      </w:r>
      <w:proofErr w:type="spellStart"/>
      <w:r w:rsidRPr="006B2619">
        <w:rPr>
          <w:rFonts w:eastAsia="Times New Roman"/>
        </w:rPr>
        <w:t>Minney</w:t>
      </w:r>
      <w:proofErr w:type="spellEnd"/>
      <w:r w:rsidRPr="006B2619">
        <w:rPr>
          <w:rFonts w:eastAsia="Times New Roman"/>
        </w:rPr>
        <w:t xml:space="preserve">-Smith CA, Martin AC, Mace AO, </w:t>
      </w:r>
      <w:proofErr w:type="spellStart"/>
      <w:r w:rsidRPr="006B2619">
        <w:rPr>
          <w:rFonts w:eastAsia="Times New Roman"/>
        </w:rPr>
        <w:t>Sikazwe</w:t>
      </w:r>
      <w:proofErr w:type="spellEnd"/>
      <w:r w:rsidRPr="006B2619">
        <w:rPr>
          <w:rFonts w:eastAsia="Times New Roman"/>
        </w:rPr>
        <w:t xml:space="preserve"> CT et al. The impact of COVID-19 public health measures on detections of influenza and respiratory syncytial virus in children during the 2020 Australian winter. </w:t>
      </w:r>
      <w:r w:rsidRPr="007F513F">
        <w:rPr>
          <w:rStyle w:val="Emphasis"/>
          <w:rFonts w:eastAsia="Times New Roman"/>
          <w:b w:val="0"/>
          <w:bCs w:val="0"/>
        </w:rPr>
        <w:t>Clin Infect Dis</w:t>
      </w:r>
      <w:r w:rsidRPr="006B2619">
        <w:rPr>
          <w:rFonts w:eastAsia="Times New Roman"/>
        </w:rPr>
        <w:t xml:space="preserve">. 2020. </w:t>
      </w:r>
      <w:proofErr w:type="spellStart"/>
      <w:r w:rsidRPr="006B2619">
        <w:rPr>
          <w:rFonts w:eastAsia="Times New Roman"/>
        </w:rPr>
        <w:t>doi</w:t>
      </w:r>
      <w:proofErr w:type="spellEnd"/>
      <w:r w:rsidRPr="006B2619">
        <w:rPr>
          <w:rFonts w:eastAsia="Times New Roman"/>
        </w:rPr>
        <w:t xml:space="preserve">: https://doi.org/10.1093/cid/ciaa1475. </w:t>
      </w:r>
    </w:p>
    <w:p w14:paraId="20D7869C"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McNab S, Do LAH, Clifford V, Crawford NW, Daley A, Mulholland K et al. Changing epidemiology of </w:t>
      </w:r>
      <w:proofErr w:type="spellStart"/>
      <w:r w:rsidRPr="006B2619">
        <w:rPr>
          <w:rFonts w:eastAsia="Times New Roman"/>
        </w:rPr>
        <w:t>pespiratory</w:t>
      </w:r>
      <w:proofErr w:type="spellEnd"/>
      <w:r w:rsidRPr="006B2619">
        <w:rPr>
          <w:rFonts w:eastAsia="Times New Roman"/>
        </w:rPr>
        <w:t xml:space="preserve"> syncytial virus in Australia—delayed re-emergence in Victoria compared to WA/NSW after prolonged lock-down for COVID-19. </w:t>
      </w:r>
      <w:r w:rsidRPr="007F513F">
        <w:rPr>
          <w:rStyle w:val="Emphasis"/>
          <w:rFonts w:eastAsia="Times New Roman"/>
          <w:b w:val="0"/>
          <w:bCs w:val="0"/>
        </w:rPr>
        <w:t>Clin Infect Dis</w:t>
      </w:r>
      <w:r w:rsidRPr="006B2619">
        <w:rPr>
          <w:rFonts w:eastAsia="Times New Roman"/>
        </w:rPr>
        <w:t xml:space="preserve">. 2021. </w:t>
      </w:r>
      <w:proofErr w:type="spellStart"/>
      <w:r w:rsidRPr="006B2619">
        <w:rPr>
          <w:rFonts w:eastAsia="Times New Roman"/>
        </w:rPr>
        <w:t>doi</w:t>
      </w:r>
      <w:proofErr w:type="spellEnd"/>
      <w:r w:rsidRPr="006B2619">
        <w:rPr>
          <w:rFonts w:eastAsia="Times New Roman"/>
        </w:rPr>
        <w:t xml:space="preserve">: https://doi.org/10.1093/cid/ciab240. </w:t>
      </w:r>
    </w:p>
    <w:p w14:paraId="0753CE4A"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Foley DA, Yeoh DK, </w:t>
      </w:r>
      <w:proofErr w:type="spellStart"/>
      <w:r w:rsidRPr="006B2619">
        <w:rPr>
          <w:rFonts w:eastAsia="Times New Roman"/>
        </w:rPr>
        <w:t>Minney</w:t>
      </w:r>
      <w:proofErr w:type="spellEnd"/>
      <w:r w:rsidRPr="006B2619">
        <w:rPr>
          <w:rFonts w:eastAsia="Times New Roman"/>
        </w:rPr>
        <w:t xml:space="preserve">-Smith CA, Martin AC, Mace AO, </w:t>
      </w:r>
      <w:proofErr w:type="spellStart"/>
      <w:r w:rsidRPr="006B2619">
        <w:rPr>
          <w:rFonts w:eastAsia="Times New Roman"/>
        </w:rPr>
        <w:t>Sikazwe</w:t>
      </w:r>
      <w:proofErr w:type="spellEnd"/>
      <w:r w:rsidRPr="006B2619">
        <w:rPr>
          <w:rFonts w:eastAsia="Times New Roman"/>
        </w:rPr>
        <w:t xml:space="preserve"> CT et al. The </w:t>
      </w:r>
      <w:proofErr w:type="spellStart"/>
      <w:r w:rsidRPr="006B2619">
        <w:rPr>
          <w:rFonts w:eastAsia="Times New Roman"/>
        </w:rPr>
        <w:t>interseasonal</w:t>
      </w:r>
      <w:proofErr w:type="spellEnd"/>
      <w:r w:rsidRPr="006B2619">
        <w:rPr>
          <w:rFonts w:eastAsia="Times New Roman"/>
        </w:rPr>
        <w:t xml:space="preserve"> resurgence of respiratory syncytial virus in Australian children following the reduction of coronavirus disease 2019-related public health measures. </w:t>
      </w:r>
      <w:r w:rsidRPr="007F513F">
        <w:rPr>
          <w:rStyle w:val="Emphasis"/>
          <w:rFonts w:eastAsia="Times New Roman"/>
          <w:b w:val="0"/>
          <w:bCs w:val="0"/>
        </w:rPr>
        <w:t>Clin Infect Dis</w:t>
      </w:r>
      <w:r w:rsidRPr="006B2619">
        <w:rPr>
          <w:rFonts w:eastAsia="Times New Roman"/>
        </w:rPr>
        <w:t xml:space="preserve">. 2021. </w:t>
      </w:r>
      <w:proofErr w:type="spellStart"/>
      <w:r w:rsidRPr="006B2619">
        <w:rPr>
          <w:rFonts w:eastAsia="Times New Roman"/>
        </w:rPr>
        <w:t>doi</w:t>
      </w:r>
      <w:proofErr w:type="spellEnd"/>
      <w:r w:rsidRPr="006B2619">
        <w:rPr>
          <w:rFonts w:eastAsia="Times New Roman"/>
        </w:rPr>
        <w:t xml:space="preserve">: https://doi.org/10.1093/cid/ciaa1906. </w:t>
      </w:r>
    </w:p>
    <w:p w14:paraId="351DA887"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McNamara PS, Smyth RL. The pathogenesis of respiratory syncytial virus disease in childhood. </w:t>
      </w:r>
      <w:r w:rsidRPr="007F513F">
        <w:rPr>
          <w:rStyle w:val="Emphasis"/>
          <w:rFonts w:eastAsia="Times New Roman"/>
          <w:b w:val="0"/>
          <w:bCs w:val="0"/>
        </w:rPr>
        <w:t>Br Med Bull</w:t>
      </w:r>
      <w:r w:rsidRPr="006B2619">
        <w:rPr>
          <w:rFonts w:eastAsia="Times New Roman"/>
        </w:rPr>
        <w:t xml:space="preserve">. </w:t>
      </w:r>
      <w:proofErr w:type="gramStart"/>
      <w:r w:rsidRPr="006B2619">
        <w:rPr>
          <w:rFonts w:eastAsia="Times New Roman"/>
        </w:rPr>
        <w:t>2002;61:13</w:t>
      </w:r>
      <w:proofErr w:type="gramEnd"/>
      <w:r w:rsidRPr="006B2619">
        <w:rPr>
          <w:rFonts w:eastAsia="Times New Roman"/>
        </w:rPr>
        <w:t xml:space="preserve">–28. </w:t>
      </w:r>
    </w:p>
    <w:p w14:paraId="4DD70CFF" w14:textId="77777777" w:rsidR="006B2619" w:rsidRPr="006B2619" w:rsidRDefault="006B2619" w:rsidP="006B2619">
      <w:pPr>
        <w:pStyle w:val="ListParagraph"/>
        <w:numPr>
          <w:ilvl w:val="0"/>
          <w:numId w:val="11"/>
        </w:numPr>
        <w:rPr>
          <w:rFonts w:eastAsia="Times New Roman"/>
        </w:rPr>
      </w:pPr>
      <w:r w:rsidRPr="006B2619">
        <w:rPr>
          <w:rFonts w:eastAsia="Times New Roman"/>
        </w:rPr>
        <w:lastRenderedPageBreak/>
        <w:t xml:space="preserve">Shefali-Patel D, Paris MA, Watson F, Peacock JL, Campbell M, Greenough A. RSV hospitalisation and healthcare utilisation in moderately prematurely born infants. </w:t>
      </w:r>
      <w:r w:rsidRPr="007F513F">
        <w:rPr>
          <w:rStyle w:val="Emphasis"/>
          <w:rFonts w:eastAsia="Times New Roman"/>
          <w:b w:val="0"/>
          <w:bCs w:val="0"/>
        </w:rPr>
        <w:t xml:space="preserve">Eur J </w:t>
      </w:r>
      <w:proofErr w:type="spellStart"/>
      <w:r w:rsidRPr="007F513F">
        <w:rPr>
          <w:rStyle w:val="Emphasis"/>
          <w:rFonts w:eastAsia="Times New Roman"/>
          <w:b w:val="0"/>
          <w:bCs w:val="0"/>
        </w:rPr>
        <w:t>Pediatr</w:t>
      </w:r>
      <w:proofErr w:type="spellEnd"/>
      <w:r w:rsidRPr="006B2619">
        <w:rPr>
          <w:rFonts w:eastAsia="Times New Roman"/>
        </w:rPr>
        <w:t xml:space="preserve">. 2012;171(7):1055–61. </w:t>
      </w:r>
    </w:p>
    <w:p w14:paraId="4E1A7731"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Shi T, McAllister DA, O’Brien KL, </w:t>
      </w:r>
      <w:proofErr w:type="spellStart"/>
      <w:r w:rsidRPr="006B2619">
        <w:rPr>
          <w:rFonts w:eastAsia="Times New Roman"/>
        </w:rPr>
        <w:t>Simoes</w:t>
      </w:r>
      <w:proofErr w:type="spellEnd"/>
      <w:r w:rsidRPr="006B2619">
        <w:rPr>
          <w:rFonts w:eastAsia="Times New Roman"/>
        </w:rPr>
        <w:t xml:space="preserve"> EAF, </w:t>
      </w:r>
      <w:proofErr w:type="spellStart"/>
      <w:r w:rsidRPr="006B2619">
        <w:rPr>
          <w:rFonts w:eastAsia="Times New Roman"/>
        </w:rPr>
        <w:t>Madhi</w:t>
      </w:r>
      <w:proofErr w:type="spellEnd"/>
      <w:r w:rsidRPr="006B2619">
        <w:rPr>
          <w:rFonts w:eastAsia="Times New Roman"/>
        </w:rPr>
        <w:t xml:space="preserve"> SA, Gessner BD et al. Global, regional, and national disease burden estimates of acute lower respiratory infections due to respiratory syncytial virus in young children in 2015: a systematic review and modelling study. </w:t>
      </w:r>
      <w:r w:rsidRPr="007F513F">
        <w:rPr>
          <w:rStyle w:val="Emphasis"/>
          <w:rFonts w:eastAsia="Times New Roman"/>
          <w:b w:val="0"/>
          <w:bCs w:val="0"/>
        </w:rPr>
        <w:t>Lancet</w:t>
      </w:r>
      <w:r w:rsidRPr="006B2619">
        <w:rPr>
          <w:rFonts w:eastAsia="Times New Roman"/>
        </w:rPr>
        <w:t xml:space="preserve">. 2017;390(10098):946–58. </w:t>
      </w:r>
    </w:p>
    <w:p w14:paraId="685B637F"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Nair H, </w:t>
      </w:r>
      <w:proofErr w:type="spellStart"/>
      <w:r w:rsidRPr="006B2619">
        <w:rPr>
          <w:rFonts w:eastAsia="Times New Roman"/>
        </w:rPr>
        <w:t>Nokes</w:t>
      </w:r>
      <w:proofErr w:type="spellEnd"/>
      <w:r w:rsidRPr="006B2619">
        <w:rPr>
          <w:rFonts w:eastAsia="Times New Roman"/>
        </w:rPr>
        <w:t xml:space="preserve"> DJ, Gessner BD, </w:t>
      </w:r>
      <w:proofErr w:type="spellStart"/>
      <w:r w:rsidRPr="006B2619">
        <w:rPr>
          <w:rFonts w:eastAsia="Times New Roman"/>
        </w:rPr>
        <w:t>Dherani</w:t>
      </w:r>
      <w:proofErr w:type="spellEnd"/>
      <w:r w:rsidRPr="006B2619">
        <w:rPr>
          <w:rFonts w:eastAsia="Times New Roman"/>
        </w:rPr>
        <w:t xml:space="preserve"> M, </w:t>
      </w:r>
      <w:proofErr w:type="spellStart"/>
      <w:r w:rsidRPr="006B2619">
        <w:rPr>
          <w:rFonts w:eastAsia="Times New Roman"/>
        </w:rPr>
        <w:t>Madhi</w:t>
      </w:r>
      <w:proofErr w:type="spellEnd"/>
      <w:r w:rsidRPr="006B2619">
        <w:rPr>
          <w:rFonts w:eastAsia="Times New Roman"/>
        </w:rPr>
        <w:t xml:space="preserve"> SA, Singleton RJ et al. Global burden of acute lower respiratory infections due to respiratory syncytial virus in young children: a systematic review and meta-analysis. </w:t>
      </w:r>
      <w:r w:rsidRPr="007F513F">
        <w:rPr>
          <w:rStyle w:val="Emphasis"/>
          <w:rFonts w:eastAsia="Times New Roman"/>
          <w:b w:val="0"/>
          <w:bCs w:val="0"/>
        </w:rPr>
        <w:t>Lancet</w:t>
      </w:r>
      <w:r w:rsidRPr="006B2619">
        <w:rPr>
          <w:rFonts w:eastAsia="Times New Roman"/>
        </w:rPr>
        <w:t xml:space="preserve">. 2010;375(9725):1545–55. </w:t>
      </w:r>
    </w:p>
    <w:p w14:paraId="1504F108" w14:textId="77777777" w:rsidR="006B2619" w:rsidRPr="006B2619" w:rsidRDefault="006B2619" w:rsidP="006B2619">
      <w:pPr>
        <w:pStyle w:val="ListParagraph"/>
        <w:numPr>
          <w:ilvl w:val="0"/>
          <w:numId w:val="11"/>
        </w:numPr>
        <w:rPr>
          <w:rFonts w:eastAsia="Times New Roman"/>
        </w:rPr>
      </w:pPr>
      <w:proofErr w:type="spellStart"/>
      <w:r w:rsidRPr="006B2619">
        <w:rPr>
          <w:rFonts w:eastAsia="Times New Roman"/>
        </w:rPr>
        <w:t>Ranmuthugala</w:t>
      </w:r>
      <w:proofErr w:type="spellEnd"/>
      <w:r w:rsidRPr="006B2619">
        <w:rPr>
          <w:rFonts w:eastAsia="Times New Roman"/>
        </w:rPr>
        <w:t xml:space="preserve"> G, Brown L, </w:t>
      </w:r>
      <w:proofErr w:type="spellStart"/>
      <w:r w:rsidRPr="006B2619">
        <w:rPr>
          <w:rFonts w:eastAsia="Times New Roman"/>
        </w:rPr>
        <w:t>Lidbury</w:t>
      </w:r>
      <w:proofErr w:type="spellEnd"/>
      <w:r w:rsidRPr="006B2619">
        <w:rPr>
          <w:rFonts w:eastAsia="Times New Roman"/>
        </w:rPr>
        <w:t xml:space="preserve"> B. Respiratory syncytial virus--the unrecognised cause of health and economic burden among young children in Australia. </w:t>
      </w:r>
      <w:proofErr w:type="spellStart"/>
      <w:r w:rsidRPr="007F513F">
        <w:rPr>
          <w:rStyle w:val="Emphasis"/>
          <w:rFonts w:eastAsia="Times New Roman"/>
          <w:b w:val="0"/>
          <w:bCs w:val="0"/>
        </w:rPr>
        <w:t>Commun</w:t>
      </w:r>
      <w:proofErr w:type="spellEnd"/>
      <w:r w:rsidRPr="007F513F">
        <w:rPr>
          <w:rStyle w:val="Emphasis"/>
          <w:rFonts w:eastAsia="Times New Roman"/>
          <w:b w:val="0"/>
          <w:bCs w:val="0"/>
        </w:rPr>
        <w:t xml:space="preserve"> Dis </w:t>
      </w:r>
      <w:proofErr w:type="spellStart"/>
      <w:r w:rsidRPr="007F513F">
        <w:rPr>
          <w:rStyle w:val="Emphasis"/>
          <w:rFonts w:eastAsia="Times New Roman"/>
          <w:b w:val="0"/>
          <w:bCs w:val="0"/>
        </w:rPr>
        <w:t>Intell</w:t>
      </w:r>
      <w:proofErr w:type="spellEnd"/>
      <w:r w:rsidRPr="007F513F">
        <w:rPr>
          <w:rStyle w:val="Emphasis"/>
          <w:rFonts w:eastAsia="Times New Roman"/>
          <w:b w:val="0"/>
          <w:bCs w:val="0"/>
        </w:rPr>
        <w:t xml:space="preserve"> Q Rep. </w:t>
      </w:r>
      <w:r w:rsidRPr="006B2619">
        <w:rPr>
          <w:rFonts w:eastAsia="Times New Roman"/>
        </w:rPr>
        <w:t xml:space="preserve">2011;35(2):177–84. </w:t>
      </w:r>
    </w:p>
    <w:p w14:paraId="799F76FA"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Roche P, Lambert S, Spencer J. Surveillance of viral pathogens in Australia: respiratory syncytial virus. </w:t>
      </w:r>
      <w:proofErr w:type="spellStart"/>
      <w:r w:rsidRPr="007F513F">
        <w:rPr>
          <w:rStyle w:val="Emphasis"/>
          <w:rFonts w:eastAsia="Times New Roman"/>
          <w:b w:val="0"/>
          <w:bCs w:val="0"/>
        </w:rPr>
        <w:t>Commun</w:t>
      </w:r>
      <w:proofErr w:type="spellEnd"/>
      <w:r w:rsidRPr="007F513F">
        <w:rPr>
          <w:rStyle w:val="Emphasis"/>
          <w:rFonts w:eastAsia="Times New Roman"/>
          <w:b w:val="0"/>
          <w:bCs w:val="0"/>
        </w:rPr>
        <w:t xml:space="preserve"> Dis </w:t>
      </w:r>
      <w:proofErr w:type="spellStart"/>
      <w:r w:rsidRPr="007F513F">
        <w:rPr>
          <w:rStyle w:val="Emphasis"/>
          <w:rFonts w:eastAsia="Times New Roman"/>
          <w:b w:val="0"/>
          <w:bCs w:val="0"/>
        </w:rPr>
        <w:t>Intell</w:t>
      </w:r>
      <w:proofErr w:type="spellEnd"/>
      <w:r w:rsidRPr="007F513F">
        <w:rPr>
          <w:rStyle w:val="Emphasis"/>
          <w:rFonts w:eastAsia="Times New Roman"/>
          <w:b w:val="0"/>
          <w:bCs w:val="0"/>
        </w:rPr>
        <w:t xml:space="preserve"> Q Rep</w:t>
      </w:r>
      <w:r w:rsidRPr="006B2619">
        <w:rPr>
          <w:rFonts w:eastAsia="Times New Roman"/>
        </w:rPr>
        <w:t xml:space="preserve">. 2003;27(1):117–22. </w:t>
      </w:r>
    </w:p>
    <w:p w14:paraId="75A44210"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Griffin MP, Yuan Y, Takas T, </w:t>
      </w:r>
      <w:proofErr w:type="spellStart"/>
      <w:r w:rsidRPr="006B2619">
        <w:rPr>
          <w:rFonts w:eastAsia="Times New Roman"/>
        </w:rPr>
        <w:t>Domachowske</w:t>
      </w:r>
      <w:proofErr w:type="spellEnd"/>
      <w:r w:rsidRPr="006B2619">
        <w:rPr>
          <w:rFonts w:eastAsia="Times New Roman"/>
        </w:rPr>
        <w:t xml:space="preserve"> JB, </w:t>
      </w:r>
      <w:proofErr w:type="spellStart"/>
      <w:r w:rsidRPr="006B2619">
        <w:rPr>
          <w:rFonts w:eastAsia="Times New Roman"/>
        </w:rPr>
        <w:t>Madhi</w:t>
      </w:r>
      <w:proofErr w:type="spellEnd"/>
      <w:r w:rsidRPr="006B2619">
        <w:rPr>
          <w:rFonts w:eastAsia="Times New Roman"/>
        </w:rPr>
        <w:t xml:space="preserve"> SA, Manzoni P et al. </w:t>
      </w:r>
      <w:proofErr w:type="gramStart"/>
      <w:r w:rsidRPr="006B2619">
        <w:rPr>
          <w:rFonts w:eastAsia="Times New Roman"/>
        </w:rPr>
        <w:t>Single-dose</w:t>
      </w:r>
      <w:proofErr w:type="gramEnd"/>
      <w:r w:rsidRPr="006B2619">
        <w:rPr>
          <w:rFonts w:eastAsia="Times New Roman"/>
        </w:rPr>
        <w:t xml:space="preserve"> </w:t>
      </w:r>
      <w:proofErr w:type="spellStart"/>
      <w:r w:rsidRPr="006B2619">
        <w:rPr>
          <w:rFonts w:eastAsia="Times New Roman"/>
        </w:rPr>
        <w:t>nirsevimab</w:t>
      </w:r>
      <w:proofErr w:type="spellEnd"/>
      <w:r w:rsidRPr="006B2619">
        <w:rPr>
          <w:rFonts w:eastAsia="Times New Roman"/>
        </w:rPr>
        <w:t xml:space="preserve"> for prevention of RSV in preterm infants. </w:t>
      </w:r>
      <w:r w:rsidRPr="007F513F">
        <w:rPr>
          <w:rStyle w:val="Emphasis"/>
          <w:rFonts w:eastAsia="Times New Roman"/>
          <w:b w:val="0"/>
          <w:bCs w:val="0"/>
        </w:rPr>
        <w:t xml:space="preserve">N </w:t>
      </w:r>
      <w:proofErr w:type="spellStart"/>
      <w:r w:rsidRPr="007F513F">
        <w:rPr>
          <w:rStyle w:val="Emphasis"/>
          <w:rFonts w:eastAsia="Times New Roman"/>
          <w:b w:val="0"/>
          <w:bCs w:val="0"/>
        </w:rPr>
        <w:t>Engl</w:t>
      </w:r>
      <w:proofErr w:type="spellEnd"/>
      <w:r w:rsidRPr="007F513F">
        <w:rPr>
          <w:rStyle w:val="Emphasis"/>
          <w:rFonts w:eastAsia="Times New Roman"/>
          <w:b w:val="0"/>
          <w:bCs w:val="0"/>
        </w:rPr>
        <w:t xml:space="preserve"> J Med</w:t>
      </w:r>
      <w:r w:rsidRPr="006B2619">
        <w:rPr>
          <w:rFonts w:eastAsia="Times New Roman"/>
        </w:rPr>
        <w:t xml:space="preserve">. 2020;383(5):415–25. </w:t>
      </w:r>
    </w:p>
    <w:p w14:paraId="398759B9"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Langley JM, Wang EE, Law BJ, Stephens D, Boucher FD, Dobson S et al. Economic evaluation of respiratory syncytial virus infection in Canadian children: </w:t>
      </w:r>
      <w:proofErr w:type="gramStart"/>
      <w:r w:rsidRPr="006B2619">
        <w:rPr>
          <w:rFonts w:eastAsia="Times New Roman"/>
        </w:rPr>
        <w:t>a</w:t>
      </w:r>
      <w:proofErr w:type="gramEnd"/>
      <w:r w:rsidRPr="006B2619">
        <w:rPr>
          <w:rFonts w:eastAsia="Times New Roman"/>
        </w:rPr>
        <w:t xml:space="preserve"> </w:t>
      </w:r>
      <w:proofErr w:type="spellStart"/>
      <w:r w:rsidRPr="006B2619">
        <w:rPr>
          <w:rFonts w:eastAsia="Times New Roman"/>
        </w:rPr>
        <w:t>Pediatric</w:t>
      </w:r>
      <w:proofErr w:type="spellEnd"/>
      <w:r w:rsidRPr="006B2619">
        <w:rPr>
          <w:rFonts w:eastAsia="Times New Roman"/>
        </w:rPr>
        <w:t xml:space="preserve"> Investigators Collaborative Network on Infections in Canada (PICNIC) study. </w:t>
      </w:r>
      <w:r w:rsidRPr="007F513F">
        <w:rPr>
          <w:rStyle w:val="Emphasis"/>
          <w:rFonts w:eastAsia="Times New Roman"/>
          <w:b w:val="0"/>
          <w:bCs w:val="0"/>
        </w:rPr>
        <w:t xml:space="preserve">J </w:t>
      </w:r>
      <w:proofErr w:type="spellStart"/>
      <w:r w:rsidRPr="007F513F">
        <w:rPr>
          <w:rStyle w:val="Emphasis"/>
          <w:rFonts w:eastAsia="Times New Roman"/>
          <w:b w:val="0"/>
          <w:bCs w:val="0"/>
        </w:rPr>
        <w:t>Pediatr</w:t>
      </w:r>
      <w:proofErr w:type="spellEnd"/>
      <w:r w:rsidRPr="006B2619">
        <w:rPr>
          <w:rFonts w:eastAsia="Times New Roman"/>
        </w:rPr>
        <w:t xml:space="preserve">. 1997;131(1):113–7. </w:t>
      </w:r>
    </w:p>
    <w:p w14:paraId="1889D611"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Kramer R, Duclos A, Lina B, </w:t>
      </w:r>
      <w:proofErr w:type="spellStart"/>
      <w:r w:rsidRPr="006B2619">
        <w:rPr>
          <w:rFonts w:eastAsia="Times New Roman"/>
        </w:rPr>
        <w:t>Casalegno</w:t>
      </w:r>
      <w:proofErr w:type="spellEnd"/>
      <w:r w:rsidRPr="006B2619">
        <w:rPr>
          <w:rFonts w:eastAsia="Times New Roman"/>
        </w:rPr>
        <w:t xml:space="preserve"> J-S. </w:t>
      </w:r>
      <w:proofErr w:type="gramStart"/>
      <w:r w:rsidRPr="006B2619">
        <w:rPr>
          <w:rFonts w:eastAsia="Times New Roman"/>
        </w:rPr>
        <w:t>Cost</w:t>
      </w:r>
      <w:proofErr w:type="gramEnd"/>
      <w:r w:rsidRPr="006B2619">
        <w:rPr>
          <w:rFonts w:eastAsia="Times New Roman"/>
        </w:rPr>
        <w:t xml:space="preserve"> and burden of RSV related hospitalisation from 2012 to 2017 in the first year of life in Lyon, France. </w:t>
      </w:r>
      <w:r w:rsidRPr="007F513F">
        <w:rPr>
          <w:rStyle w:val="Emphasis"/>
          <w:rFonts w:eastAsia="Times New Roman"/>
          <w:b w:val="0"/>
          <w:bCs w:val="0"/>
        </w:rPr>
        <w:t>Vaccine</w:t>
      </w:r>
      <w:r w:rsidRPr="006B2619">
        <w:rPr>
          <w:rFonts w:eastAsia="Times New Roman"/>
        </w:rPr>
        <w:t xml:space="preserve">. 2018;36(45):6591–3. </w:t>
      </w:r>
    </w:p>
    <w:p w14:paraId="7AE60511"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World Health Organization (WHO). </w:t>
      </w:r>
      <w:r w:rsidRPr="007F513F">
        <w:rPr>
          <w:rStyle w:val="Emphasis"/>
          <w:rFonts w:eastAsia="Times New Roman"/>
          <w:b w:val="0"/>
          <w:bCs w:val="0"/>
        </w:rPr>
        <w:t>Vaccine-preventable diseases surveillance standards. Influenza</w:t>
      </w:r>
      <w:r w:rsidRPr="006B2619">
        <w:rPr>
          <w:rFonts w:eastAsia="Times New Roman"/>
        </w:rPr>
        <w:t xml:space="preserve">. Geneva: WHO; 5 September 2018. [Accessed in May 2020.] Available from: https://www.who.int/immunization/monitoring_surveillance/burden/vpd/WHO_SurveillanceVaccinePreventable_09_Influenza_R2.pdf. </w:t>
      </w:r>
    </w:p>
    <w:p w14:paraId="655D5489" w14:textId="77777777" w:rsidR="006B2619" w:rsidRPr="006B2619" w:rsidRDefault="006B2619" w:rsidP="006B2619">
      <w:pPr>
        <w:pStyle w:val="ListParagraph"/>
        <w:numPr>
          <w:ilvl w:val="0"/>
          <w:numId w:val="11"/>
        </w:numPr>
        <w:rPr>
          <w:rFonts w:eastAsia="Times New Roman"/>
        </w:rPr>
      </w:pPr>
      <w:proofErr w:type="spellStart"/>
      <w:r w:rsidRPr="006B2619">
        <w:rPr>
          <w:rFonts w:eastAsia="Times New Roman"/>
        </w:rPr>
        <w:t>Husereau</w:t>
      </w:r>
      <w:proofErr w:type="spellEnd"/>
      <w:r w:rsidRPr="006B2619">
        <w:rPr>
          <w:rFonts w:eastAsia="Times New Roman"/>
        </w:rPr>
        <w:t xml:space="preserve"> D, Drummond M, </w:t>
      </w:r>
      <w:proofErr w:type="spellStart"/>
      <w:r w:rsidRPr="006B2619">
        <w:rPr>
          <w:rFonts w:eastAsia="Times New Roman"/>
        </w:rPr>
        <w:t>Petrou</w:t>
      </w:r>
      <w:proofErr w:type="spellEnd"/>
      <w:r w:rsidRPr="006B2619">
        <w:rPr>
          <w:rFonts w:eastAsia="Times New Roman"/>
        </w:rPr>
        <w:t xml:space="preserve"> S, Carswell C, Moher D, Greenberg D et al. Consolidated health economic evaluation reporting standards (CHEERS)—explanation and elaboration: a report of the ISPOR health economic evaluation publication guidelines good reporting practices task force. </w:t>
      </w:r>
      <w:r w:rsidRPr="007F513F">
        <w:rPr>
          <w:rStyle w:val="Emphasis"/>
          <w:rFonts w:eastAsia="Times New Roman"/>
          <w:b w:val="0"/>
          <w:bCs w:val="0"/>
        </w:rPr>
        <w:t>Value Health</w:t>
      </w:r>
      <w:r w:rsidRPr="006B2619">
        <w:rPr>
          <w:rFonts w:eastAsia="Times New Roman"/>
        </w:rPr>
        <w:t xml:space="preserve">. 2013;16(2):231–50. </w:t>
      </w:r>
    </w:p>
    <w:p w14:paraId="4880F33F"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Australian Government Productivity Commission. </w:t>
      </w:r>
      <w:r w:rsidRPr="007F513F">
        <w:rPr>
          <w:rStyle w:val="Emphasis"/>
          <w:rFonts w:eastAsia="Times New Roman"/>
          <w:b w:val="0"/>
          <w:bCs w:val="0"/>
        </w:rPr>
        <w:t>Report on Government Services 2018: Part E, Chapter 11. Ambulance Services</w:t>
      </w:r>
      <w:r w:rsidRPr="006B2619">
        <w:rPr>
          <w:rFonts w:eastAsia="Times New Roman"/>
        </w:rPr>
        <w:t xml:space="preserve">. Canberra: Australian Government Productivity Commission; 2018. [Accessed in March 2020.] Available from: https://www.pc.gov.au/research/ongoing/report-on-government-services/2018/health/ambulance-services. </w:t>
      </w:r>
    </w:p>
    <w:p w14:paraId="16008BCF" w14:textId="77777777" w:rsidR="006B2619" w:rsidRPr="006B2619" w:rsidRDefault="006B2619" w:rsidP="006B2619">
      <w:pPr>
        <w:pStyle w:val="ListParagraph"/>
        <w:numPr>
          <w:ilvl w:val="0"/>
          <w:numId w:val="11"/>
        </w:numPr>
        <w:rPr>
          <w:rFonts w:eastAsia="Times New Roman"/>
        </w:rPr>
      </w:pPr>
      <w:r w:rsidRPr="006B2619">
        <w:rPr>
          <w:rFonts w:eastAsia="Times New Roman"/>
        </w:rPr>
        <w:t>Australian Bureau of Statistics (ABS). Stat Data Explorer. Quarterly Population Estimates (ERP), by State/Territory, Sex and Age. [Webpage.] Canberra: ABS; 2020. [Accessed in February 2020.] Available from: https://explore.data.abs.gov.au/vis?tm=Quarterly%20Population%20Estimates&amp;pg=0&amp;df[ds]=ABS_ABS_TOPICS&amp;df[id]=ERP_Q&amp;df[ag]=ABS&amp;df[vs]=1.0.0&amp;</w:t>
      </w:r>
      <w:proofErr w:type="gramStart"/>
      <w:r w:rsidRPr="006B2619">
        <w:rPr>
          <w:rFonts w:eastAsia="Times New Roman"/>
        </w:rPr>
        <w:t>hc[</w:t>
      </w:r>
      <w:proofErr w:type="gramEnd"/>
      <w:r w:rsidRPr="006B2619">
        <w:rPr>
          <w:rFonts w:eastAsia="Times New Roman"/>
        </w:rPr>
        <w:t xml:space="preserve">Frequency]=Quarterly&amp;pd=2017-Q3%2C&amp;dq=1.3.TOT..Q&amp;ly[cl]=TIME_PERIOD&amp;ly[rw]=REGION. </w:t>
      </w:r>
    </w:p>
    <w:p w14:paraId="2E004876"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Lambert SB, Allen KM, Carter RC, Nolan TM. The cost of community-managed viral respiratory illnesses in a cohort of healthy preschool-aged children. </w:t>
      </w:r>
      <w:r w:rsidRPr="007F513F">
        <w:rPr>
          <w:rStyle w:val="Emphasis"/>
          <w:rFonts w:eastAsia="Times New Roman"/>
          <w:b w:val="0"/>
          <w:bCs w:val="0"/>
        </w:rPr>
        <w:t>Respir Res</w:t>
      </w:r>
      <w:r w:rsidRPr="006B2619">
        <w:rPr>
          <w:rFonts w:eastAsia="Times New Roman"/>
        </w:rPr>
        <w:t xml:space="preserve">. 2008;9(1):1–11. </w:t>
      </w:r>
    </w:p>
    <w:p w14:paraId="5BE89C8D"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Lafond KE, Nair H, </w:t>
      </w:r>
      <w:proofErr w:type="spellStart"/>
      <w:r w:rsidRPr="006B2619">
        <w:rPr>
          <w:rFonts w:eastAsia="Times New Roman"/>
        </w:rPr>
        <w:t>Rasooly</w:t>
      </w:r>
      <w:proofErr w:type="spellEnd"/>
      <w:r w:rsidRPr="006B2619">
        <w:rPr>
          <w:rFonts w:eastAsia="Times New Roman"/>
        </w:rPr>
        <w:t xml:space="preserve"> MH, Valente F, </w:t>
      </w:r>
      <w:proofErr w:type="spellStart"/>
      <w:r w:rsidRPr="006B2619">
        <w:rPr>
          <w:rFonts w:eastAsia="Times New Roman"/>
        </w:rPr>
        <w:t>Booy</w:t>
      </w:r>
      <w:proofErr w:type="spellEnd"/>
      <w:r w:rsidRPr="006B2619">
        <w:rPr>
          <w:rFonts w:eastAsia="Times New Roman"/>
        </w:rPr>
        <w:t xml:space="preserve"> R, Rahman M et al. Global role and burden of influenza in </w:t>
      </w:r>
      <w:proofErr w:type="spellStart"/>
      <w:r w:rsidRPr="006B2619">
        <w:rPr>
          <w:rFonts w:eastAsia="Times New Roman"/>
        </w:rPr>
        <w:t>pediatric</w:t>
      </w:r>
      <w:proofErr w:type="spellEnd"/>
      <w:r w:rsidRPr="006B2619">
        <w:rPr>
          <w:rFonts w:eastAsia="Times New Roman"/>
        </w:rPr>
        <w:t xml:space="preserve"> respiratory hospitalizations, 1982–2012: a systematic analysis. </w:t>
      </w:r>
      <w:proofErr w:type="spellStart"/>
      <w:r w:rsidRPr="007F513F">
        <w:rPr>
          <w:rStyle w:val="Emphasis"/>
          <w:rFonts w:eastAsia="Times New Roman"/>
          <w:b w:val="0"/>
          <w:bCs w:val="0"/>
        </w:rPr>
        <w:t>PLoS</w:t>
      </w:r>
      <w:proofErr w:type="spellEnd"/>
      <w:r w:rsidRPr="007F513F">
        <w:rPr>
          <w:rStyle w:val="Emphasis"/>
          <w:rFonts w:eastAsia="Times New Roman"/>
          <w:b w:val="0"/>
          <w:bCs w:val="0"/>
        </w:rPr>
        <w:t xml:space="preserve"> Med</w:t>
      </w:r>
      <w:r w:rsidRPr="006B2619">
        <w:rPr>
          <w:rFonts w:eastAsia="Times New Roman"/>
        </w:rPr>
        <w:t>. 2016;13(3</w:t>
      </w:r>
      <w:proofErr w:type="gramStart"/>
      <w:r w:rsidRPr="006B2619">
        <w:rPr>
          <w:rFonts w:eastAsia="Times New Roman"/>
        </w:rPr>
        <w:t>):e</w:t>
      </w:r>
      <w:proofErr w:type="gramEnd"/>
      <w:r w:rsidRPr="006B2619">
        <w:rPr>
          <w:rFonts w:eastAsia="Times New Roman"/>
        </w:rPr>
        <w:t xml:space="preserve">1001977. </w:t>
      </w:r>
      <w:proofErr w:type="spellStart"/>
      <w:r w:rsidRPr="006B2619">
        <w:rPr>
          <w:rFonts w:eastAsia="Times New Roman"/>
        </w:rPr>
        <w:t>doi</w:t>
      </w:r>
      <w:proofErr w:type="spellEnd"/>
      <w:r w:rsidRPr="006B2619">
        <w:rPr>
          <w:rFonts w:eastAsia="Times New Roman"/>
        </w:rPr>
        <w:t xml:space="preserve">: https://doi.org/10.1371/journal.pmed.1001977. </w:t>
      </w:r>
    </w:p>
    <w:p w14:paraId="05CAA438"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Li-Kim-Moy J, Yin JK, Patel C, Beard FH, Chiu C, Macartney KK et al. Australian vaccine preventable disease epidemiological review series: influenza 2006 to 2015. </w:t>
      </w:r>
      <w:proofErr w:type="spellStart"/>
      <w:r w:rsidRPr="007F513F">
        <w:rPr>
          <w:rStyle w:val="Emphasis"/>
          <w:rFonts w:eastAsia="Times New Roman"/>
          <w:b w:val="0"/>
          <w:bCs w:val="0"/>
        </w:rPr>
        <w:t>Commun</w:t>
      </w:r>
      <w:proofErr w:type="spellEnd"/>
      <w:r w:rsidRPr="007F513F">
        <w:rPr>
          <w:rStyle w:val="Emphasis"/>
          <w:rFonts w:eastAsia="Times New Roman"/>
          <w:b w:val="0"/>
          <w:bCs w:val="0"/>
        </w:rPr>
        <w:t xml:space="preserve"> Dis </w:t>
      </w:r>
      <w:proofErr w:type="spellStart"/>
      <w:r w:rsidRPr="007F513F">
        <w:rPr>
          <w:rStyle w:val="Emphasis"/>
          <w:rFonts w:eastAsia="Times New Roman"/>
          <w:b w:val="0"/>
          <w:bCs w:val="0"/>
        </w:rPr>
        <w:t>Intell</w:t>
      </w:r>
      <w:proofErr w:type="spellEnd"/>
      <w:r w:rsidRPr="007F513F">
        <w:rPr>
          <w:rStyle w:val="Emphasis"/>
          <w:rFonts w:eastAsia="Times New Roman"/>
          <w:b w:val="0"/>
          <w:bCs w:val="0"/>
        </w:rPr>
        <w:t xml:space="preserve"> Q Rep</w:t>
      </w:r>
      <w:r w:rsidRPr="006B2619">
        <w:rPr>
          <w:rFonts w:eastAsia="Times New Roman"/>
        </w:rPr>
        <w:t>. 2016;40(4</w:t>
      </w:r>
      <w:proofErr w:type="gramStart"/>
      <w:r w:rsidRPr="006B2619">
        <w:rPr>
          <w:rFonts w:eastAsia="Times New Roman"/>
        </w:rPr>
        <w:t>):E</w:t>
      </w:r>
      <w:proofErr w:type="gramEnd"/>
      <w:r w:rsidRPr="006B2619">
        <w:rPr>
          <w:rFonts w:eastAsia="Times New Roman"/>
        </w:rPr>
        <w:t xml:space="preserve">482–95. </w:t>
      </w:r>
    </w:p>
    <w:p w14:paraId="4A0AA766" w14:textId="77777777" w:rsidR="006B2619" w:rsidRPr="006B2619" w:rsidRDefault="006B2619" w:rsidP="006B2619">
      <w:pPr>
        <w:pStyle w:val="ListParagraph"/>
        <w:numPr>
          <w:ilvl w:val="0"/>
          <w:numId w:val="11"/>
        </w:numPr>
        <w:rPr>
          <w:rFonts w:eastAsia="Times New Roman"/>
        </w:rPr>
      </w:pPr>
      <w:r w:rsidRPr="006B2619">
        <w:rPr>
          <w:rFonts w:eastAsia="Times New Roman"/>
        </w:rPr>
        <w:t xml:space="preserve">Newall AT, </w:t>
      </w:r>
      <w:proofErr w:type="spellStart"/>
      <w:r w:rsidRPr="006B2619">
        <w:rPr>
          <w:rFonts w:eastAsia="Times New Roman"/>
        </w:rPr>
        <w:t>Scuffham</w:t>
      </w:r>
      <w:proofErr w:type="spellEnd"/>
      <w:r w:rsidRPr="006B2619">
        <w:rPr>
          <w:rFonts w:eastAsia="Times New Roman"/>
        </w:rPr>
        <w:t xml:space="preserve"> PA, Hodgkinson B. </w:t>
      </w:r>
      <w:r w:rsidRPr="007F513F">
        <w:rPr>
          <w:rStyle w:val="Emphasis"/>
          <w:rFonts w:eastAsia="Times New Roman"/>
          <w:b w:val="0"/>
          <w:bCs w:val="0"/>
        </w:rPr>
        <w:t>Economic report into the cost of influenza to the Australian health system</w:t>
      </w:r>
      <w:r w:rsidRPr="006B2619">
        <w:rPr>
          <w:rFonts w:eastAsia="Times New Roman"/>
        </w:rPr>
        <w:t xml:space="preserve">. Influenza Specialist Group; 2007. [Accessed in June 2020.] Available from: http://www.isg.org.au/assets/assets/isg-cost-influenza-report-30-2007.pdf. </w:t>
      </w:r>
    </w:p>
    <w:p w14:paraId="15C4D098" w14:textId="77777777" w:rsidR="006B2619" w:rsidRPr="006B2619" w:rsidRDefault="006B2619" w:rsidP="006B2619">
      <w:pPr>
        <w:pStyle w:val="ListParagraph"/>
        <w:numPr>
          <w:ilvl w:val="0"/>
          <w:numId w:val="11"/>
        </w:numPr>
        <w:rPr>
          <w:rFonts w:eastAsia="Times New Roman"/>
        </w:rPr>
      </w:pPr>
      <w:proofErr w:type="spellStart"/>
      <w:r w:rsidRPr="006B2619">
        <w:rPr>
          <w:rFonts w:eastAsia="Times New Roman"/>
        </w:rPr>
        <w:lastRenderedPageBreak/>
        <w:t>Domachowske</w:t>
      </w:r>
      <w:proofErr w:type="spellEnd"/>
      <w:r w:rsidRPr="006B2619">
        <w:rPr>
          <w:rFonts w:eastAsia="Times New Roman"/>
        </w:rPr>
        <w:t xml:space="preserve"> JB, Khan AA, </w:t>
      </w:r>
      <w:proofErr w:type="spellStart"/>
      <w:r w:rsidRPr="006B2619">
        <w:rPr>
          <w:rFonts w:eastAsia="Times New Roman"/>
        </w:rPr>
        <w:t>Esser</w:t>
      </w:r>
      <w:proofErr w:type="spellEnd"/>
      <w:r w:rsidRPr="006B2619">
        <w:rPr>
          <w:rFonts w:eastAsia="Times New Roman"/>
        </w:rPr>
        <w:t xml:space="preserve"> MT, Jensen K, Takas T, </w:t>
      </w:r>
      <w:proofErr w:type="spellStart"/>
      <w:r w:rsidRPr="006B2619">
        <w:rPr>
          <w:rFonts w:eastAsia="Times New Roman"/>
        </w:rPr>
        <w:t>Villafana</w:t>
      </w:r>
      <w:proofErr w:type="spellEnd"/>
      <w:r w:rsidRPr="006B2619">
        <w:rPr>
          <w:rFonts w:eastAsia="Times New Roman"/>
        </w:rPr>
        <w:t xml:space="preserve"> T et al. Safety, </w:t>
      </w:r>
      <w:proofErr w:type="gramStart"/>
      <w:r w:rsidRPr="006B2619">
        <w:rPr>
          <w:rFonts w:eastAsia="Times New Roman"/>
        </w:rPr>
        <w:t>tolerability</w:t>
      </w:r>
      <w:proofErr w:type="gramEnd"/>
      <w:r w:rsidRPr="006B2619">
        <w:rPr>
          <w:rFonts w:eastAsia="Times New Roman"/>
        </w:rPr>
        <w:t xml:space="preserve"> and pharmacokinetics of MEDI8897, an extended half-life single-dose respiratory syncytial virus prefusion F-targeting monoclonal antibody administered as a single dose to healthy preterm infants. </w:t>
      </w:r>
      <w:proofErr w:type="spellStart"/>
      <w:r w:rsidRPr="007F513F">
        <w:rPr>
          <w:rStyle w:val="Emphasis"/>
          <w:rFonts w:eastAsia="Times New Roman"/>
          <w:b w:val="0"/>
          <w:bCs w:val="0"/>
        </w:rPr>
        <w:t>Pediatr</w:t>
      </w:r>
      <w:proofErr w:type="spellEnd"/>
      <w:r w:rsidRPr="007F513F">
        <w:rPr>
          <w:rStyle w:val="Emphasis"/>
          <w:rFonts w:eastAsia="Times New Roman"/>
          <w:b w:val="0"/>
          <w:bCs w:val="0"/>
        </w:rPr>
        <w:t xml:space="preserve"> Infect Dis J</w:t>
      </w:r>
      <w:r w:rsidRPr="006B2619">
        <w:rPr>
          <w:rFonts w:eastAsia="Times New Roman"/>
        </w:rPr>
        <w:t xml:space="preserve">. 2018;37(9):886–92. </w:t>
      </w:r>
    </w:p>
    <w:p w14:paraId="3A831735" w14:textId="77777777" w:rsidR="006B2619" w:rsidRPr="006B2619" w:rsidRDefault="006B2619" w:rsidP="006B2619">
      <w:pPr>
        <w:pStyle w:val="ListParagraph"/>
        <w:numPr>
          <w:ilvl w:val="0"/>
          <w:numId w:val="11"/>
        </w:numPr>
        <w:rPr>
          <w:rFonts w:eastAsia="Times New Roman"/>
        </w:rPr>
      </w:pPr>
      <w:proofErr w:type="spellStart"/>
      <w:r w:rsidRPr="006B2619">
        <w:rPr>
          <w:rFonts w:eastAsia="Times New Roman"/>
        </w:rPr>
        <w:t>Blanken</w:t>
      </w:r>
      <w:proofErr w:type="spellEnd"/>
      <w:r w:rsidRPr="006B2619">
        <w:rPr>
          <w:rFonts w:eastAsia="Times New Roman"/>
        </w:rPr>
        <w:t xml:space="preserve"> MO, Rovers MM, </w:t>
      </w:r>
      <w:proofErr w:type="spellStart"/>
      <w:r w:rsidRPr="006B2619">
        <w:rPr>
          <w:rFonts w:eastAsia="Times New Roman"/>
        </w:rPr>
        <w:t>Molenaar</w:t>
      </w:r>
      <w:proofErr w:type="spellEnd"/>
      <w:r w:rsidRPr="006B2619">
        <w:rPr>
          <w:rFonts w:eastAsia="Times New Roman"/>
        </w:rPr>
        <w:t xml:space="preserve"> JM, Winkler-</w:t>
      </w:r>
      <w:proofErr w:type="spellStart"/>
      <w:r w:rsidRPr="006B2619">
        <w:rPr>
          <w:rFonts w:eastAsia="Times New Roman"/>
        </w:rPr>
        <w:t>Seinstra</w:t>
      </w:r>
      <w:proofErr w:type="spellEnd"/>
      <w:r w:rsidRPr="006B2619">
        <w:rPr>
          <w:rFonts w:eastAsia="Times New Roman"/>
        </w:rPr>
        <w:t xml:space="preserve"> PL, Meijer A, </w:t>
      </w:r>
      <w:proofErr w:type="spellStart"/>
      <w:r w:rsidRPr="006B2619">
        <w:rPr>
          <w:rFonts w:eastAsia="Times New Roman"/>
        </w:rPr>
        <w:t>Kimpen</w:t>
      </w:r>
      <w:proofErr w:type="spellEnd"/>
      <w:r w:rsidRPr="006B2619">
        <w:rPr>
          <w:rFonts w:eastAsia="Times New Roman"/>
        </w:rPr>
        <w:t xml:space="preserve"> JL et al. Respiratory syncytial virus and recurrent wheeze in healthy preterm infants. </w:t>
      </w:r>
      <w:r w:rsidRPr="007F513F">
        <w:rPr>
          <w:rStyle w:val="Emphasis"/>
          <w:rFonts w:eastAsia="Times New Roman"/>
          <w:b w:val="0"/>
          <w:bCs w:val="0"/>
        </w:rPr>
        <w:t xml:space="preserve">N </w:t>
      </w:r>
      <w:proofErr w:type="spellStart"/>
      <w:r w:rsidRPr="007F513F">
        <w:rPr>
          <w:rStyle w:val="Emphasis"/>
          <w:rFonts w:eastAsia="Times New Roman"/>
          <w:b w:val="0"/>
          <w:bCs w:val="0"/>
        </w:rPr>
        <w:t>Engl</w:t>
      </w:r>
      <w:proofErr w:type="spellEnd"/>
      <w:r w:rsidRPr="007F513F">
        <w:rPr>
          <w:rStyle w:val="Emphasis"/>
          <w:rFonts w:eastAsia="Times New Roman"/>
          <w:b w:val="0"/>
          <w:bCs w:val="0"/>
        </w:rPr>
        <w:t xml:space="preserve"> J Med</w:t>
      </w:r>
      <w:r w:rsidRPr="006B2619">
        <w:rPr>
          <w:rFonts w:eastAsia="Times New Roman"/>
        </w:rPr>
        <w:t>. 2013;368(19):1791–9.</w:t>
      </w:r>
    </w:p>
    <w:p w14:paraId="0075A47C" w14:textId="77777777" w:rsidR="001C2378" w:rsidRDefault="001C2378" w:rsidP="001C2378">
      <w:pPr>
        <w:pStyle w:val="Heading1"/>
        <w:rPr>
          <w:lang w:val="en-GB"/>
        </w:rPr>
        <w:sectPr w:rsidR="001C2378" w:rsidSect="00A30C37">
          <w:footnotePr>
            <w:numFmt w:val="lowerRoman"/>
          </w:footnotePr>
          <w:pgSz w:w="11906" w:h="16838"/>
          <w:pgMar w:top="720" w:right="720" w:bottom="1134" w:left="720" w:header="709" w:footer="284" w:gutter="0"/>
          <w:cols w:space="708"/>
          <w:titlePg/>
          <w:docGrid w:linePitch="360"/>
        </w:sectPr>
      </w:pPr>
    </w:p>
    <w:p w14:paraId="2901E9CA" w14:textId="557B90FA" w:rsidR="001C2378" w:rsidRPr="004C3399" w:rsidRDefault="001C2378" w:rsidP="004C3399">
      <w:pPr>
        <w:pStyle w:val="Heading1"/>
      </w:pPr>
      <w:r w:rsidRPr="004C3399">
        <w:lastRenderedPageBreak/>
        <w:t>Appendix A</w:t>
      </w:r>
    </w:p>
    <w:p w14:paraId="4972C1F9" w14:textId="77777777" w:rsidR="001C2378" w:rsidRPr="004C3399" w:rsidRDefault="001C2378" w:rsidP="004C3399">
      <w:pPr>
        <w:pStyle w:val="CDIFigures"/>
      </w:pPr>
      <w:r w:rsidRPr="004C3399">
        <w:t>Table A.1: Review of the international RSV cost of burden literature for children</w:t>
      </w:r>
    </w:p>
    <w:tbl>
      <w:tblPr>
        <w:tblStyle w:val="CDI-StandardTable"/>
        <w:tblW w:w="0" w:type="auto"/>
        <w:tblLook w:val="04A0" w:firstRow="1" w:lastRow="0" w:firstColumn="1" w:lastColumn="0" w:noHBand="0" w:noVBand="1"/>
        <w:tblDescription w:val="Review of the international RSV cost of burden literature for children"/>
      </w:tblPr>
      <w:tblGrid>
        <w:gridCol w:w="666"/>
        <w:gridCol w:w="1744"/>
        <w:gridCol w:w="3260"/>
        <w:gridCol w:w="2950"/>
        <w:gridCol w:w="3571"/>
        <w:gridCol w:w="2793"/>
      </w:tblGrid>
      <w:tr w:rsidR="000A556D" w:rsidRPr="000A556D" w14:paraId="2ADAE327" w14:textId="77777777" w:rsidTr="006E3337">
        <w:trPr>
          <w:cnfStyle w:val="100000000000" w:firstRow="1" w:lastRow="0" w:firstColumn="0" w:lastColumn="0" w:oddVBand="0" w:evenVBand="0" w:oddHBand="0" w:evenHBand="0" w:firstRowFirstColumn="0" w:firstRowLastColumn="0" w:lastRowFirstColumn="0" w:lastRowLastColumn="0"/>
        </w:trPr>
        <w:tc>
          <w:tcPr>
            <w:tcW w:w="0" w:type="auto"/>
            <w:tcBorders>
              <w:right w:val="single" w:sz="2" w:space="0" w:color="FFFFFF" w:themeColor="background1"/>
            </w:tcBorders>
            <w:vAlign w:val="center"/>
            <w:hideMark/>
          </w:tcPr>
          <w:p w14:paraId="52885442" w14:textId="77777777" w:rsidR="001C2378" w:rsidRPr="000A556D" w:rsidRDefault="001C2378" w:rsidP="006E3337">
            <w:pPr>
              <w:pStyle w:val="NormalWeb"/>
              <w:rPr>
                <w:color w:val="FFFFFF" w:themeColor="background1"/>
                <w:sz w:val="18"/>
                <w:szCs w:val="18"/>
              </w:rPr>
            </w:pPr>
            <w:r w:rsidRPr="000A556D">
              <w:rPr>
                <w:color w:val="FFFFFF" w:themeColor="background1"/>
                <w:sz w:val="18"/>
                <w:szCs w:val="18"/>
              </w:rPr>
              <w:t>Study</w:t>
            </w:r>
          </w:p>
        </w:tc>
        <w:tc>
          <w:tcPr>
            <w:tcW w:w="1744" w:type="dxa"/>
            <w:tcBorders>
              <w:left w:val="single" w:sz="2" w:space="0" w:color="FFFFFF" w:themeColor="background1"/>
              <w:right w:val="single" w:sz="2" w:space="0" w:color="FFFFFF" w:themeColor="background1"/>
            </w:tcBorders>
            <w:vAlign w:val="center"/>
            <w:hideMark/>
          </w:tcPr>
          <w:p w14:paraId="531549E8" w14:textId="77777777" w:rsidR="001C2378" w:rsidRPr="000A556D" w:rsidRDefault="001C2378" w:rsidP="006E3337">
            <w:pPr>
              <w:pStyle w:val="NormalWeb"/>
              <w:jc w:val="center"/>
              <w:rPr>
                <w:color w:val="FFFFFF" w:themeColor="background1"/>
                <w:sz w:val="18"/>
                <w:szCs w:val="18"/>
              </w:rPr>
            </w:pPr>
            <w:r w:rsidRPr="000A556D">
              <w:rPr>
                <w:color w:val="FFFFFF" w:themeColor="background1"/>
                <w:sz w:val="18"/>
                <w:szCs w:val="18"/>
              </w:rPr>
              <w:t>Country and cohort</w:t>
            </w:r>
          </w:p>
        </w:tc>
        <w:tc>
          <w:tcPr>
            <w:tcW w:w="3260" w:type="dxa"/>
            <w:tcBorders>
              <w:left w:val="single" w:sz="2" w:space="0" w:color="FFFFFF" w:themeColor="background1"/>
              <w:right w:val="single" w:sz="2" w:space="0" w:color="FFFFFF" w:themeColor="background1"/>
            </w:tcBorders>
            <w:vAlign w:val="center"/>
            <w:hideMark/>
          </w:tcPr>
          <w:p w14:paraId="72C132A1" w14:textId="77777777" w:rsidR="001C2378" w:rsidRPr="000A556D" w:rsidRDefault="001C2378" w:rsidP="006E3337">
            <w:pPr>
              <w:pStyle w:val="NormalWeb"/>
              <w:jc w:val="center"/>
              <w:rPr>
                <w:color w:val="FFFFFF" w:themeColor="background1"/>
                <w:sz w:val="18"/>
                <w:szCs w:val="18"/>
              </w:rPr>
            </w:pPr>
            <w:r w:rsidRPr="000A556D">
              <w:rPr>
                <w:color w:val="FFFFFF" w:themeColor="background1"/>
                <w:sz w:val="18"/>
                <w:szCs w:val="18"/>
              </w:rPr>
              <w:t>Context of the burden of cost</w:t>
            </w:r>
          </w:p>
        </w:tc>
        <w:tc>
          <w:tcPr>
            <w:tcW w:w="2950" w:type="dxa"/>
            <w:tcBorders>
              <w:left w:val="single" w:sz="2" w:space="0" w:color="FFFFFF" w:themeColor="background1"/>
              <w:right w:val="single" w:sz="2" w:space="0" w:color="FFFFFF" w:themeColor="background1"/>
            </w:tcBorders>
            <w:vAlign w:val="center"/>
            <w:hideMark/>
          </w:tcPr>
          <w:p w14:paraId="78C03329" w14:textId="77777777" w:rsidR="001C2378" w:rsidRPr="000A556D" w:rsidRDefault="001C2378" w:rsidP="006E3337">
            <w:pPr>
              <w:pStyle w:val="NormalWeb"/>
              <w:jc w:val="center"/>
              <w:rPr>
                <w:color w:val="FFFFFF" w:themeColor="background1"/>
                <w:sz w:val="18"/>
                <w:szCs w:val="18"/>
              </w:rPr>
            </w:pPr>
            <w:r w:rsidRPr="000A556D">
              <w:rPr>
                <w:color w:val="FFFFFF" w:themeColor="background1"/>
                <w:sz w:val="18"/>
                <w:szCs w:val="18"/>
              </w:rPr>
              <w:t>Cost data as presented in the paper</w:t>
            </w:r>
          </w:p>
        </w:tc>
        <w:tc>
          <w:tcPr>
            <w:tcW w:w="3571" w:type="dxa"/>
            <w:tcBorders>
              <w:left w:val="single" w:sz="2" w:space="0" w:color="FFFFFF" w:themeColor="background1"/>
              <w:right w:val="single" w:sz="2" w:space="0" w:color="FFFFFF" w:themeColor="background1"/>
            </w:tcBorders>
            <w:vAlign w:val="center"/>
            <w:hideMark/>
          </w:tcPr>
          <w:p w14:paraId="0077A2A9" w14:textId="67085F49" w:rsidR="001C2378" w:rsidRPr="000A556D" w:rsidRDefault="001C2378" w:rsidP="006E3337">
            <w:pPr>
              <w:pStyle w:val="NormalWeb"/>
              <w:jc w:val="center"/>
              <w:rPr>
                <w:color w:val="FFFFFF" w:themeColor="background1"/>
                <w:sz w:val="18"/>
                <w:szCs w:val="18"/>
              </w:rPr>
            </w:pPr>
            <w:r w:rsidRPr="000A556D">
              <w:rPr>
                <w:color w:val="FFFFFF" w:themeColor="background1"/>
                <w:sz w:val="18"/>
                <w:szCs w:val="18"/>
              </w:rPr>
              <w:t xml:space="preserve">Cost data converted to </w:t>
            </w:r>
            <w:r w:rsidR="00A55250">
              <w:rPr>
                <w:color w:val="FFFFFF" w:themeColor="background1"/>
                <w:sz w:val="18"/>
                <w:szCs w:val="18"/>
              </w:rPr>
              <w:t>$</w:t>
            </w:r>
            <w:proofErr w:type="gramStart"/>
            <w:r w:rsidR="00A55250">
              <w:rPr>
                <w:color w:val="FFFFFF" w:themeColor="background1"/>
                <w:sz w:val="18"/>
                <w:szCs w:val="18"/>
              </w:rPr>
              <w:t>AUD[</w:t>
            </w:r>
            <w:proofErr w:type="gramEnd"/>
            <w:r w:rsidR="00A55250">
              <w:rPr>
                <w:color w:val="FFFFFF" w:themeColor="background1"/>
                <w:sz w:val="18"/>
                <w:szCs w:val="18"/>
              </w:rPr>
              <w:t>2018/2019]</w:t>
            </w:r>
          </w:p>
        </w:tc>
        <w:tc>
          <w:tcPr>
            <w:tcW w:w="2793" w:type="dxa"/>
            <w:tcBorders>
              <w:left w:val="single" w:sz="2" w:space="0" w:color="FFFFFF" w:themeColor="background1"/>
            </w:tcBorders>
            <w:vAlign w:val="center"/>
            <w:hideMark/>
          </w:tcPr>
          <w:p w14:paraId="08A7DD21" w14:textId="77777777" w:rsidR="001C2378" w:rsidRPr="000A556D" w:rsidRDefault="001C2378" w:rsidP="006E3337">
            <w:pPr>
              <w:pStyle w:val="NormalWeb"/>
              <w:jc w:val="center"/>
              <w:rPr>
                <w:color w:val="FFFFFF" w:themeColor="background1"/>
                <w:sz w:val="18"/>
                <w:szCs w:val="18"/>
              </w:rPr>
            </w:pPr>
            <w:r w:rsidRPr="000A556D">
              <w:rPr>
                <w:color w:val="FFFFFF" w:themeColor="background1"/>
                <w:sz w:val="18"/>
                <w:szCs w:val="18"/>
              </w:rPr>
              <w:t>Additional comments</w:t>
            </w:r>
          </w:p>
        </w:tc>
      </w:tr>
      <w:tr w:rsidR="000A556D" w:rsidRPr="000A556D" w14:paraId="3D504B07" w14:textId="77777777" w:rsidTr="000A556D">
        <w:tblPrEx>
          <w:tblCellMar>
            <w:top w:w="57" w:type="dxa"/>
            <w:left w:w="57" w:type="dxa"/>
            <w:bottom w:w="57" w:type="dxa"/>
            <w:right w:w="57" w:type="dxa"/>
          </w:tblCellMar>
        </w:tblPrEx>
        <w:tc>
          <w:tcPr>
            <w:tcW w:w="0" w:type="auto"/>
            <w:hideMark/>
          </w:tcPr>
          <w:p w14:paraId="2A491BEF" w14:textId="77777777" w:rsidR="001C2378" w:rsidRPr="000A556D" w:rsidRDefault="001C2378" w:rsidP="0091710A">
            <w:pPr>
              <w:pStyle w:val="NormalWeb"/>
              <w:rPr>
                <w:sz w:val="18"/>
                <w:szCs w:val="18"/>
              </w:rPr>
            </w:pPr>
            <w:r w:rsidRPr="000A556D">
              <w:rPr>
                <w:sz w:val="18"/>
                <w:szCs w:val="18"/>
              </w:rPr>
              <w:t>15</w:t>
            </w:r>
          </w:p>
        </w:tc>
        <w:tc>
          <w:tcPr>
            <w:tcW w:w="1744" w:type="dxa"/>
            <w:hideMark/>
          </w:tcPr>
          <w:p w14:paraId="51C169F7" w14:textId="77777777" w:rsidR="001C2378" w:rsidRPr="000A556D" w:rsidRDefault="001C2378" w:rsidP="000A556D">
            <w:pPr>
              <w:pStyle w:val="NormalWeb"/>
              <w:rPr>
                <w:sz w:val="18"/>
                <w:szCs w:val="18"/>
              </w:rPr>
            </w:pPr>
            <w:r w:rsidRPr="000A556D">
              <w:rPr>
                <w:sz w:val="18"/>
                <w:szCs w:val="18"/>
              </w:rPr>
              <w:t>Australia</w:t>
            </w:r>
          </w:p>
          <w:p w14:paraId="040B0B87" w14:textId="77777777" w:rsidR="001C2378" w:rsidRPr="000A556D" w:rsidRDefault="001C2378" w:rsidP="000A556D">
            <w:pPr>
              <w:pStyle w:val="NormalWeb"/>
              <w:rPr>
                <w:sz w:val="18"/>
                <w:szCs w:val="18"/>
              </w:rPr>
            </w:pPr>
            <w:r w:rsidRPr="000A556D">
              <w:rPr>
                <w:sz w:val="18"/>
                <w:szCs w:val="18"/>
              </w:rPr>
              <w:t>Children under five years of age</w:t>
            </w:r>
          </w:p>
        </w:tc>
        <w:tc>
          <w:tcPr>
            <w:tcW w:w="3260" w:type="dxa"/>
            <w:hideMark/>
          </w:tcPr>
          <w:p w14:paraId="36C5ED4B" w14:textId="77777777" w:rsidR="001C2378" w:rsidRPr="000A556D" w:rsidRDefault="001C2378" w:rsidP="000A556D">
            <w:pPr>
              <w:pStyle w:val="NormalWeb"/>
              <w:rPr>
                <w:sz w:val="18"/>
                <w:szCs w:val="18"/>
              </w:rPr>
            </w:pPr>
            <w:r w:rsidRPr="000A556D">
              <w:rPr>
                <w:sz w:val="18"/>
                <w:szCs w:val="18"/>
              </w:rPr>
              <w:t>Health service perspective.</w:t>
            </w:r>
          </w:p>
          <w:p w14:paraId="622D3960" w14:textId="77777777" w:rsidR="001C2378" w:rsidRPr="000A556D" w:rsidRDefault="001C2378" w:rsidP="000A556D">
            <w:pPr>
              <w:pStyle w:val="NormalWeb"/>
              <w:rPr>
                <w:sz w:val="18"/>
                <w:szCs w:val="18"/>
              </w:rPr>
            </w:pPr>
            <w:r w:rsidRPr="000A556D">
              <w:rPr>
                <w:sz w:val="18"/>
                <w:szCs w:val="18"/>
              </w:rPr>
              <w:t>Data collection between 1991 and 2000.</w:t>
            </w:r>
          </w:p>
          <w:p w14:paraId="7BFEFDA0" w14:textId="77777777" w:rsidR="001C2378" w:rsidRPr="000A556D" w:rsidRDefault="001C2378" w:rsidP="000A556D">
            <w:pPr>
              <w:pStyle w:val="NormalWeb"/>
              <w:rPr>
                <w:sz w:val="18"/>
                <w:szCs w:val="18"/>
              </w:rPr>
            </w:pPr>
            <w:r w:rsidRPr="000A556D">
              <w:rPr>
                <w:sz w:val="18"/>
                <w:szCs w:val="18"/>
              </w:rPr>
              <w:t>Cost data modelled for the estimated 2,773 to 5,710 influenza or pneumonia hospital admissions per year for children aged 0-4, index admission only.</w:t>
            </w:r>
          </w:p>
        </w:tc>
        <w:tc>
          <w:tcPr>
            <w:tcW w:w="2950" w:type="dxa"/>
            <w:hideMark/>
          </w:tcPr>
          <w:p w14:paraId="0054D698" w14:textId="77777777" w:rsidR="001C2378" w:rsidRPr="000A556D" w:rsidRDefault="001C2378" w:rsidP="000A556D">
            <w:pPr>
              <w:pStyle w:val="NormalWeb"/>
              <w:rPr>
                <w:sz w:val="18"/>
                <w:szCs w:val="18"/>
              </w:rPr>
            </w:pPr>
            <w:r w:rsidRPr="000A556D">
              <w:rPr>
                <w:sz w:val="18"/>
                <w:szCs w:val="18"/>
              </w:rPr>
              <w:t>AUD 2005</w:t>
            </w:r>
          </w:p>
          <w:p w14:paraId="51B9353F" w14:textId="77777777" w:rsidR="001C2378" w:rsidRPr="000A556D" w:rsidRDefault="001C2378" w:rsidP="000A556D">
            <w:pPr>
              <w:pStyle w:val="NormalWeb"/>
              <w:rPr>
                <w:sz w:val="18"/>
                <w:szCs w:val="18"/>
              </w:rPr>
            </w:pPr>
            <w:r w:rsidRPr="000A556D">
              <w:rPr>
                <w:sz w:val="18"/>
                <w:szCs w:val="18"/>
              </w:rPr>
              <w:t>Per hospitalisation: $5,245</w:t>
            </w:r>
          </w:p>
          <w:p w14:paraId="493C9C49" w14:textId="77777777" w:rsidR="001C2378" w:rsidRPr="000A556D" w:rsidRDefault="001C2378" w:rsidP="000A556D">
            <w:pPr>
              <w:pStyle w:val="NormalWeb"/>
              <w:rPr>
                <w:sz w:val="18"/>
                <w:szCs w:val="18"/>
              </w:rPr>
            </w:pPr>
            <w:r w:rsidRPr="000A556D">
              <w:rPr>
                <w:sz w:val="18"/>
                <w:szCs w:val="18"/>
              </w:rPr>
              <w:t>National annual total direct cost of hospitalisation: $14,544,000 to $29,949,000</w:t>
            </w:r>
          </w:p>
        </w:tc>
        <w:tc>
          <w:tcPr>
            <w:tcW w:w="3571" w:type="dxa"/>
            <w:hideMark/>
          </w:tcPr>
          <w:p w14:paraId="3544820C" w14:textId="77777777" w:rsidR="001C2378" w:rsidRPr="000A556D" w:rsidRDefault="001C2378" w:rsidP="000A556D">
            <w:pPr>
              <w:pStyle w:val="NormalWeb"/>
              <w:rPr>
                <w:sz w:val="18"/>
                <w:szCs w:val="18"/>
              </w:rPr>
            </w:pPr>
            <w:r w:rsidRPr="000A556D">
              <w:rPr>
                <w:sz w:val="18"/>
                <w:szCs w:val="18"/>
              </w:rPr>
              <w:t>Per hospitalisation: $7,888</w:t>
            </w:r>
          </w:p>
          <w:p w14:paraId="203DE4EC" w14:textId="77777777" w:rsidR="001C2378" w:rsidRPr="000A556D" w:rsidRDefault="001C2378" w:rsidP="000A556D">
            <w:pPr>
              <w:pStyle w:val="NormalWeb"/>
              <w:rPr>
                <w:sz w:val="18"/>
                <w:szCs w:val="18"/>
              </w:rPr>
            </w:pPr>
            <w:r w:rsidRPr="000A556D">
              <w:rPr>
                <w:sz w:val="18"/>
                <w:szCs w:val="18"/>
              </w:rPr>
              <w:t>National annual total direct cost of hospitalisation: $21,472,441 to $44,216,043</w:t>
            </w:r>
          </w:p>
        </w:tc>
        <w:tc>
          <w:tcPr>
            <w:tcW w:w="2793" w:type="dxa"/>
            <w:hideMark/>
          </w:tcPr>
          <w:p w14:paraId="0183EE0E" w14:textId="77777777" w:rsidR="001C2378" w:rsidRPr="000A556D" w:rsidRDefault="001C2378" w:rsidP="000A556D">
            <w:pPr>
              <w:pStyle w:val="NormalWeb"/>
              <w:rPr>
                <w:sz w:val="18"/>
                <w:szCs w:val="18"/>
              </w:rPr>
            </w:pPr>
            <w:r w:rsidRPr="000A556D">
              <w:rPr>
                <w:sz w:val="18"/>
                <w:szCs w:val="18"/>
              </w:rPr>
              <w:t>This study notes that hospital costs account for around 60% of the total direct health care costs of RSV infections in young children; as such, the cost of RSV on the Australian health system is estimated to be between $35 to $74 million (AUD 2005 $24 to $50 million) annually.</w:t>
            </w:r>
          </w:p>
        </w:tc>
      </w:tr>
      <w:tr w:rsidR="000A556D" w:rsidRPr="000A556D" w14:paraId="30126749" w14:textId="77777777" w:rsidTr="000A556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C5B315F" w14:textId="77777777" w:rsidR="001C2378" w:rsidRPr="000A556D" w:rsidRDefault="001C2378" w:rsidP="0091710A">
            <w:pPr>
              <w:pStyle w:val="NormalWeb"/>
              <w:rPr>
                <w:sz w:val="18"/>
                <w:szCs w:val="18"/>
              </w:rPr>
            </w:pPr>
            <w:r w:rsidRPr="000A556D">
              <w:rPr>
                <w:sz w:val="18"/>
                <w:szCs w:val="18"/>
              </w:rPr>
              <w:t>18</w:t>
            </w:r>
          </w:p>
        </w:tc>
        <w:tc>
          <w:tcPr>
            <w:tcW w:w="1744" w:type="dxa"/>
            <w:hideMark/>
          </w:tcPr>
          <w:p w14:paraId="6181E90B" w14:textId="77777777" w:rsidR="001C2378" w:rsidRPr="000A556D" w:rsidRDefault="001C2378" w:rsidP="000A556D">
            <w:pPr>
              <w:pStyle w:val="NormalWeb"/>
              <w:rPr>
                <w:sz w:val="18"/>
                <w:szCs w:val="18"/>
              </w:rPr>
            </w:pPr>
            <w:r w:rsidRPr="000A556D">
              <w:rPr>
                <w:sz w:val="18"/>
                <w:szCs w:val="18"/>
              </w:rPr>
              <w:t>Canada</w:t>
            </w:r>
          </w:p>
          <w:p w14:paraId="4FD63B8A" w14:textId="77777777" w:rsidR="001C2378" w:rsidRPr="000A556D" w:rsidRDefault="001C2378" w:rsidP="000A556D">
            <w:pPr>
              <w:pStyle w:val="NormalWeb"/>
              <w:rPr>
                <w:sz w:val="18"/>
                <w:szCs w:val="18"/>
              </w:rPr>
            </w:pPr>
            <w:r w:rsidRPr="000A556D">
              <w:rPr>
                <w:sz w:val="18"/>
                <w:szCs w:val="18"/>
              </w:rPr>
              <w:t>Children under five years of age</w:t>
            </w:r>
          </w:p>
        </w:tc>
        <w:tc>
          <w:tcPr>
            <w:tcW w:w="3260" w:type="dxa"/>
            <w:hideMark/>
          </w:tcPr>
          <w:p w14:paraId="68B6F03A" w14:textId="77777777" w:rsidR="001C2378" w:rsidRPr="000A556D" w:rsidRDefault="001C2378" w:rsidP="000A556D">
            <w:pPr>
              <w:pStyle w:val="NormalWeb"/>
              <w:rPr>
                <w:sz w:val="18"/>
                <w:szCs w:val="18"/>
              </w:rPr>
            </w:pPr>
            <w:r w:rsidRPr="000A556D">
              <w:rPr>
                <w:sz w:val="18"/>
                <w:szCs w:val="18"/>
              </w:rPr>
              <w:t>Health system perspective.</w:t>
            </w:r>
          </w:p>
          <w:p w14:paraId="4D2ACBC5" w14:textId="77777777" w:rsidR="001C2378" w:rsidRPr="000A556D" w:rsidRDefault="001C2378" w:rsidP="000A556D">
            <w:pPr>
              <w:pStyle w:val="NormalWeb"/>
              <w:rPr>
                <w:sz w:val="18"/>
                <w:szCs w:val="18"/>
              </w:rPr>
            </w:pPr>
            <w:r w:rsidRPr="000A556D">
              <w:rPr>
                <w:sz w:val="18"/>
                <w:szCs w:val="18"/>
              </w:rPr>
              <w:t>Cost of RSV related hospitalisation in 1994 across 9 Canadian hospitals for children aged under five years of age.</w:t>
            </w:r>
          </w:p>
          <w:p w14:paraId="7DD81137" w14:textId="77777777" w:rsidR="001C2378" w:rsidRPr="000A556D" w:rsidRDefault="001C2378" w:rsidP="000A556D">
            <w:pPr>
              <w:pStyle w:val="NormalWeb"/>
              <w:rPr>
                <w:sz w:val="18"/>
                <w:szCs w:val="18"/>
              </w:rPr>
            </w:pPr>
            <w:r w:rsidRPr="000A556D">
              <w:rPr>
                <w:sz w:val="18"/>
                <w:szCs w:val="18"/>
              </w:rPr>
              <w:t>Based on 5,714 children with combined direct costs (including total hospital expenditures, physician fees and outpatient care), indirect costs and total costs presented.</w:t>
            </w:r>
          </w:p>
        </w:tc>
        <w:tc>
          <w:tcPr>
            <w:tcW w:w="2950" w:type="dxa"/>
            <w:hideMark/>
          </w:tcPr>
          <w:p w14:paraId="65196436" w14:textId="77777777" w:rsidR="001C2378" w:rsidRPr="000A556D" w:rsidRDefault="001C2378" w:rsidP="000A556D">
            <w:pPr>
              <w:pStyle w:val="NormalWeb"/>
              <w:rPr>
                <w:sz w:val="18"/>
                <w:szCs w:val="18"/>
              </w:rPr>
            </w:pPr>
            <w:r w:rsidRPr="000A556D">
              <w:rPr>
                <w:sz w:val="18"/>
                <w:szCs w:val="18"/>
              </w:rPr>
              <w:t>USD 1993</w:t>
            </w:r>
          </w:p>
          <w:p w14:paraId="1A2667ED" w14:textId="77777777" w:rsidR="001C2378" w:rsidRPr="000A556D" w:rsidRDefault="001C2378" w:rsidP="000A556D">
            <w:pPr>
              <w:pStyle w:val="NormalWeb"/>
              <w:rPr>
                <w:sz w:val="18"/>
                <w:szCs w:val="18"/>
              </w:rPr>
            </w:pPr>
            <w:r w:rsidRPr="000A556D">
              <w:rPr>
                <w:sz w:val="18"/>
                <w:szCs w:val="18"/>
              </w:rPr>
              <w:t>Per hospitalisation: $3,026</w:t>
            </w:r>
          </w:p>
          <w:p w14:paraId="4E6DAFAF" w14:textId="77777777" w:rsidR="001C2378" w:rsidRPr="000A556D" w:rsidRDefault="001C2378" w:rsidP="000A556D">
            <w:pPr>
              <w:pStyle w:val="NormalWeb"/>
              <w:rPr>
                <w:sz w:val="18"/>
                <w:szCs w:val="18"/>
              </w:rPr>
            </w:pPr>
            <w:r w:rsidRPr="000A556D">
              <w:rPr>
                <w:sz w:val="18"/>
                <w:szCs w:val="18"/>
              </w:rPr>
              <w:t>National annual total direct cost of hospitalisation $10,464,245</w:t>
            </w:r>
          </w:p>
        </w:tc>
        <w:tc>
          <w:tcPr>
            <w:tcW w:w="3571" w:type="dxa"/>
            <w:hideMark/>
          </w:tcPr>
          <w:p w14:paraId="60F9BC71" w14:textId="77777777" w:rsidR="001C2378" w:rsidRPr="000A556D" w:rsidRDefault="001C2378" w:rsidP="000A556D">
            <w:pPr>
              <w:pStyle w:val="NormalWeb"/>
              <w:rPr>
                <w:sz w:val="18"/>
                <w:szCs w:val="18"/>
              </w:rPr>
            </w:pPr>
            <w:r w:rsidRPr="000A556D">
              <w:rPr>
                <w:sz w:val="18"/>
                <w:szCs w:val="18"/>
              </w:rPr>
              <w:t>Per hospitalisation: $9,959</w:t>
            </w:r>
          </w:p>
          <w:p w14:paraId="67BF1C28" w14:textId="77777777" w:rsidR="001C2378" w:rsidRPr="000A556D" w:rsidRDefault="001C2378" w:rsidP="000A556D">
            <w:pPr>
              <w:pStyle w:val="NormalWeb"/>
              <w:rPr>
                <w:sz w:val="18"/>
                <w:szCs w:val="18"/>
              </w:rPr>
            </w:pPr>
            <w:r w:rsidRPr="000A556D">
              <w:rPr>
                <w:sz w:val="18"/>
                <w:szCs w:val="18"/>
              </w:rPr>
              <w:t>National annual total direct cost of hospitalisation $34,439,331</w:t>
            </w:r>
          </w:p>
        </w:tc>
        <w:tc>
          <w:tcPr>
            <w:tcW w:w="2793" w:type="dxa"/>
            <w:hideMark/>
          </w:tcPr>
          <w:p w14:paraId="29A813F5" w14:textId="77777777" w:rsidR="001C2378" w:rsidRPr="000A556D" w:rsidRDefault="001C2378" w:rsidP="000A556D">
            <w:pPr>
              <w:pStyle w:val="NormalWeb"/>
              <w:rPr>
                <w:sz w:val="18"/>
                <w:szCs w:val="18"/>
              </w:rPr>
            </w:pPr>
            <w:r w:rsidRPr="000A556D">
              <w:rPr>
                <w:sz w:val="18"/>
                <w:szCs w:val="18"/>
              </w:rPr>
              <w:t>This study also reported an assumed reinfection rate of 33% for children aged 2-4 years. Total cohort combined direct cost of hospitalisation $55,983,877 (USD 1993 $17,010,179) and indirect cost of $4,955,930 (USD 1993 $1,505,813) totalling $60,939,807 (USD 1993 $18,515,992).</w:t>
            </w:r>
          </w:p>
        </w:tc>
      </w:tr>
      <w:tr w:rsidR="000A556D" w:rsidRPr="000A556D" w14:paraId="0BA63CEE" w14:textId="77777777" w:rsidTr="000A556D">
        <w:tblPrEx>
          <w:tblCellMar>
            <w:top w:w="57" w:type="dxa"/>
            <w:left w:w="57" w:type="dxa"/>
            <w:bottom w:w="57" w:type="dxa"/>
            <w:right w:w="57" w:type="dxa"/>
          </w:tblCellMar>
        </w:tblPrEx>
        <w:tc>
          <w:tcPr>
            <w:tcW w:w="0" w:type="auto"/>
            <w:hideMark/>
          </w:tcPr>
          <w:p w14:paraId="4D1127B9" w14:textId="77777777" w:rsidR="001C2378" w:rsidRPr="000A556D" w:rsidRDefault="001C2378" w:rsidP="0091710A">
            <w:pPr>
              <w:pStyle w:val="NormalWeb"/>
              <w:rPr>
                <w:sz w:val="18"/>
                <w:szCs w:val="18"/>
              </w:rPr>
            </w:pPr>
            <w:r w:rsidRPr="000A556D">
              <w:rPr>
                <w:sz w:val="18"/>
                <w:szCs w:val="18"/>
              </w:rPr>
              <w:t>6</w:t>
            </w:r>
          </w:p>
        </w:tc>
        <w:tc>
          <w:tcPr>
            <w:tcW w:w="1744" w:type="dxa"/>
            <w:hideMark/>
          </w:tcPr>
          <w:p w14:paraId="262DB3A2" w14:textId="77777777" w:rsidR="001C2378" w:rsidRPr="000A556D" w:rsidRDefault="001C2378" w:rsidP="000A556D">
            <w:pPr>
              <w:pStyle w:val="NormalWeb"/>
              <w:rPr>
                <w:sz w:val="18"/>
                <w:szCs w:val="18"/>
              </w:rPr>
            </w:pPr>
            <w:r w:rsidRPr="000A556D">
              <w:rPr>
                <w:sz w:val="18"/>
                <w:szCs w:val="18"/>
              </w:rPr>
              <w:t>United Kingdom</w:t>
            </w:r>
          </w:p>
          <w:p w14:paraId="42511602" w14:textId="77777777" w:rsidR="001C2378" w:rsidRPr="000A556D" w:rsidRDefault="001C2378" w:rsidP="000A556D">
            <w:pPr>
              <w:pStyle w:val="NormalWeb"/>
              <w:rPr>
                <w:sz w:val="18"/>
                <w:szCs w:val="18"/>
              </w:rPr>
            </w:pPr>
            <w:r w:rsidRPr="000A556D">
              <w:rPr>
                <w:sz w:val="18"/>
                <w:szCs w:val="18"/>
              </w:rPr>
              <w:t>Children under two years of age</w:t>
            </w:r>
          </w:p>
        </w:tc>
        <w:tc>
          <w:tcPr>
            <w:tcW w:w="3260" w:type="dxa"/>
            <w:hideMark/>
          </w:tcPr>
          <w:p w14:paraId="3BC6217E" w14:textId="77777777" w:rsidR="001C2378" w:rsidRPr="000A556D" w:rsidRDefault="001C2378" w:rsidP="000A556D">
            <w:pPr>
              <w:pStyle w:val="NormalWeb"/>
              <w:rPr>
                <w:sz w:val="18"/>
                <w:szCs w:val="18"/>
              </w:rPr>
            </w:pPr>
            <w:r w:rsidRPr="000A556D">
              <w:rPr>
                <w:sz w:val="18"/>
                <w:szCs w:val="18"/>
              </w:rPr>
              <w:t>Health service perspective.</w:t>
            </w:r>
          </w:p>
          <w:p w14:paraId="3AFFC5A7" w14:textId="77777777" w:rsidR="001C2378" w:rsidRPr="000A556D" w:rsidRDefault="001C2378" w:rsidP="000A556D">
            <w:pPr>
              <w:pStyle w:val="NormalWeb"/>
              <w:rPr>
                <w:sz w:val="18"/>
                <w:szCs w:val="18"/>
              </w:rPr>
            </w:pPr>
            <w:r w:rsidRPr="000A556D">
              <w:rPr>
                <w:sz w:val="18"/>
                <w:szCs w:val="18"/>
              </w:rPr>
              <w:t>Based on 411 preterm infants who had 497 RSV related hospitalisations over three consecutive RSV seasons, 1996-99. 83% had 1 admission, 15% had two admissions and 32% had three admissions. Length of stay was a median of 2 days (range 0-19 days).</w:t>
            </w:r>
          </w:p>
        </w:tc>
        <w:tc>
          <w:tcPr>
            <w:tcW w:w="2950" w:type="dxa"/>
            <w:hideMark/>
          </w:tcPr>
          <w:p w14:paraId="014E5A35" w14:textId="77777777" w:rsidR="001C2378" w:rsidRPr="000A556D" w:rsidRDefault="001C2378" w:rsidP="000A556D">
            <w:pPr>
              <w:pStyle w:val="NormalWeb"/>
              <w:rPr>
                <w:sz w:val="18"/>
                <w:szCs w:val="18"/>
              </w:rPr>
            </w:pPr>
            <w:r w:rsidRPr="000A556D">
              <w:rPr>
                <w:sz w:val="18"/>
                <w:szCs w:val="18"/>
              </w:rPr>
              <w:t>GBP 2003</w:t>
            </w:r>
          </w:p>
          <w:p w14:paraId="35E7621F" w14:textId="77777777" w:rsidR="001C2378" w:rsidRPr="000A556D" w:rsidRDefault="001C2378" w:rsidP="000A556D">
            <w:pPr>
              <w:pStyle w:val="NormalWeb"/>
              <w:rPr>
                <w:sz w:val="18"/>
                <w:szCs w:val="18"/>
              </w:rPr>
            </w:pPr>
            <w:r w:rsidRPr="000A556D">
              <w:rPr>
                <w:sz w:val="18"/>
                <w:szCs w:val="18"/>
              </w:rPr>
              <w:t>Per hospitalisation: £849</w:t>
            </w:r>
          </w:p>
          <w:p w14:paraId="08AC01F4" w14:textId="77777777" w:rsidR="001C2378" w:rsidRPr="000A556D" w:rsidRDefault="001C2378" w:rsidP="000A556D">
            <w:pPr>
              <w:pStyle w:val="NormalWeb"/>
              <w:rPr>
                <w:sz w:val="18"/>
                <w:szCs w:val="18"/>
              </w:rPr>
            </w:pPr>
            <w:r w:rsidRPr="000A556D">
              <w:rPr>
                <w:sz w:val="18"/>
                <w:szCs w:val="18"/>
              </w:rPr>
              <w:t>Total cohort cost of hospitalisation: £421,938</w:t>
            </w:r>
          </w:p>
        </w:tc>
        <w:tc>
          <w:tcPr>
            <w:tcW w:w="3571" w:type="dxa"/>
            <w:hideMark/>
          </w:tcPr>
          <w:p w14:paraId="49D39F8B" w14:textId="77777777" w:rsidR="001C2378" w:rsidRPr="000A556D" w:rsidRDefault="001C2378" w:rsidP="000A556D">
            <w:pPr>
              <w:pStyle w:val="NormalWeb"/>
              <w:rPr>
                <w:sz w:val="18"/>
                <w:szCs w:val="18"/>
              </w:rPr>
            </w:pPr>
            <w:r w:rsidRPr="000A556D">
              <w:rPr>
                <w:sz w:val="18"/>
                <w:szCs w:val="18"/>
              </w:rPr>
              <w:t>Per hospitalisation: $2,567</w:t>
            </w:r>
          </w:p>
          <w:p w14:paraId="569C7049" w14:textId="77777777" w:rsidR="001C2378" w:rsidRPr="000A556D" w:rsidRDefault="001C2378" w:rsidP="000A556D">
            <w:pPr>
              <w:pStyle w:val="NormalWeb"/>
              <w:rPr>
                <w:sz w:val="18"/>
                <w:szCs w:val="18"/>
              </w:rPr>
            </w:pPr>
            <w:r w:rsidRPr="000A556D">
              <w:rPr>
                <w:sz w:val="18"/>
                <w:szCs w:val="18"/>
              </w:rPr>
              <w:t>Total cohort cost of hospitalisation: $1,275,942</w:t>
            </w:r>
          </w:p>
        </w:tc>
        <w:tc>
          <w:tcPr>
            <w:tcW w:w="2793" w:type="dxa"/>
            <w:hideMark/>
          </w:tcPr>
          <w:p w14:paraId="4A8C83B9" w14:textId="77777777" w:rsidR="001C2378" w:rsidRPr="000A556D" w:rsidRDefault="001C2378" w:rsidP="000A556D">
            <w:pPr>
              <w:pStyle w:val="NormalWeb"/>
              <w:rPr>
                <w:sz w:val="18"/>
                <w:szCs w:val="18"/>
              </w:rPr>
            </w:pPr>
            <w:r w:rsidRPr="000A556D">
              <w:rPr>
                <w:sz w:val="18"/>
                <w:szCs w:val="18"/>
              </w:rPr>
              <w:t>Preterm infants of less than 36 weeks gestation, who were under 6 months of age accounted for 11% of these costs. RSV re-hospitalisations (including ICU admissions) of children under 2 years of age contributed to 8.1% of total RSV related health authority costs.</w:t>
            </w:r>
          </w:p>
        </w:tc>
      </w:tr>
      <w:tr w:rsidR="000A556D" w:rsidRPr="000A556D" w14:paraId="53A66D9B" w14:textId="77777777" w:rsidTr="000A556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37C3F72" w14:textId="77777777" w:rsidR="001C2378" w:rsidRPr="000A556D" w:rsidRDefault="001C2378" w:rsidP="0091710A">
            <w:pPr>
              <w:pStyle w:val="NormalWeb"/>
              <w:rPr>
                <w:sz w:val="18"/>
                <w:szCs w:val="18"/>
              </w:rPr>
            </w:pPr>
            <w:r w:rsidRPr="000A556D">
              <w:rPr>
                <w:sz w:val="18"/>
                <w:szCs w:val="18"/>
              </w:rPr>
              <w:t>12</w:t>
            </w:r>
          </w:p>
        </w:tc>
        <w:tc>
          <w:tcPr>
            <w:tcW w:w="1744" w:type="dxa"/>
            <w:hideMark/>
          </w:tcPr>
          <w:p w14:paraId="509AA8BE" w14:textId="77777777" w:rsidR="001C2378" w:rsidRPr="000A556D" w:rsidRDefault="001C2378" w:rsidP="000A556D">
            <w:pPr>
              <w:pStyle w:val="NormalWeb"/>
              <w:rPr>
                <w:sz w:val="18"/>
                <w:szCs w:val="18"/>
              </w:rPr>
            </w:pPr>
            <w:r w:rsidRPr="000A556D">
              <w:rPr>
                <w:sz w:val="18"/>
                <w:szCs w:val="18"/>
              </w:rPr>
              <w:t>United Kingdom</w:t>
            </w:r>
          </w:p>
          <w:p w14:paraId="584860EE" w14:textId="570A91B0" w:rsidR="001C2378" w:rsidRPr="000A556D" w:rsidRDefault="001C2378" w:rsidP="000A556D">
            <w:pPr>
              <w:pStyle w:val="NormalWeb"/>
              <w:rPr>
                <w:sz w:val="18"/>
                <w:szCs w:val="18"/>
              </w:rPr>
            </w:pPr>
            <w:r w:rsidRPr="000A556D">
              <w:rPr>
                <w:sz w:val="18"/>
                <w:szCs w:val="18"/>
              </w:rPr>
              <w:t>Children under two years of age</w:t>
            </w:r>
          </w:p>
        </w:tc>
        <w:tc>
          <w:tcPr>
            <w:tcW w:w="3260" w:type="dxa"/>
            <w:hideMark/>
          </w:tcPr>
          <w:p w14:paraId="6BBB777B" w14:textId="77777777" w:rsidR="001C2378" w:rsidRPr="000A556D" w:rsidRDefault="001C2378" w:rsidP="000A556D">
            <w:pPr>
              <w:pStyle w:val="NormalWeb"/>
              <w:rPr>
                <w:sz w:val="18"/>
                <w:szCs w:val="18"/>
              </w:rPr>
            </w:pPr>
            <w:r w:rsidRPr="000A556D">
              <w:rPr>
                <w:sz w:val="18"/>
                <w:szCs w:val="18"/>
              </w:rPr>
              <w:t>Health service perspective.</w:t>
            </w:r>
          </w:p>
          <w:p w14:paraId="11E38E8A" w14:textId="77777777" w:rsidR="001C2378" w:rsidRPr="000A556D" w:rsidRDefault="001C2378" w:rsidP="000A556D">
            <w:pPr>
              <w:pStyle w:val="NormalWeb"/>
              <w:rPr>
                <w:sz w:val="18"/>
                <w:szCs w:val="18"/>
              </w:rPr>
            </w:pPr>
            <w:r w:rsidRPr="000A556D">
              <w:rPr>
                <w:sz w:val="18"/>
                <w:szCs w:val="18"/>
              </w:rPr>
              <w:t xml:space="preserve">Based on 2000-2007 data from two local hospitals of premature infants (32–35 weeks of gestation) and their RSV related healthcare utilisation during the first 2 years of life. Data was collected on 20 RSV </w:t>
            </w:r>
            <w:r w:rsidRPr="000A556D">
              <w:rPr>
                <w:sz w:val="18"/>
                <w:szCs w:val="18"/>
              </w:rPr>
              <w:lastRenderedPageBreak/>
              <w:t>positive infants and this reflected multiple hospitalisations with an average of 2.3 hospital admissions per child, and combined length of stay was a mean of 9.6 days.</w:t>
            </w:r>
          </w:p>
        </w:tc>
        <w:tc>
          <w:tcPr>
            <w:tcW w:w="2950" w:type="dxa"/>
            <w:hideMark/>
          </w:tcPr>
          <w:p w14:paraId="61E00A7D" w14:textId="5865DE36" w:rsidR="001C2378" w:rsidRPr="000A556D" w:rsidRDefault="001C2378" w:rsidP="000A556D">
            <w:pPr>
              <w:pStyle w:val="NormalWeb"/>
              <w:rPr>
                <w:sz w:val="18"/>
                <w:szCs w:val="18"/>
              </w:rPr>
            </w:pPr>
            <w:r w:rsidRPr="000A556D">
              <w:rPr>
                <w:sz w:val="18"/>
                <w:szCs w:val="18"/>
              </w:rPr>
              <w:lastRenderedPageBreak/>
              <w:t>GBP 2003</w:t>
            </w:r>
          </w:p>
          <w:p w14:paraId="6AFF4CC0" w14:textId="77777777" w:rsidR="001C2378" w:rsidRPr="000A556D" w:rsidRDefault="001C2378" w:rsidP="000A556D">
            <w:pPr>
              <w:pStyle w:val="NormalWeb"/>
              <w:rPr>
                <w:sz w:val="18"/>
                <w:szCs w:val="18"/>
              </w:rPr>
            </w:pPr>
            <w:r w:rsidRPr="000A556D">
              <w:rPr>
                <w:sz w:val="18"/>
                <w:szCs w:val="18"/>
              </w:rPr>
              <w:t>Per hospitalisation: £4,755</w:t>
            </w:r>
          </w:p>
          <w:p w14:paraId="5F305ECE" w14:textId="77777777" w:rsidR="001C2378" w:rsidRPr="000A556D" w:rsidRDefault="001C2378" w:rsidP="000A556D">
            <w:pPr>
              <w:pStyle w:val="NormalWeb"/>
              <w:rPr>
                <w:sz w:val="18"/>
                <w:szCs w:val="18"/>
              </w:rPr>
            </w:pPr>
            <w:r w:rsidRPr="000A556D">
              <w:rPr>
                <w:sz w:val="18"/>
                <w:szCs w:val="18"/>
              </w:rPr>
              <w:lastRenderedPageBreak/>
              <w:t>Cost of 2.3 admissions over two years was £10,936, multiplied by 20 infants totalled £218,720</w:t>
            </w:r>
          </w:p>
        </w:tc>
        <w:tc>
          <w:tcPr>
            <w:tcW w:w="3571" w:type="dxa"/>
            <w:hideMark/>
          </w:tcPr>
          <w:p w14:paraId="5DB1E4D1" w14:textId="77777777" w:rsidR="001C2378" w:rsidRPr="000A556D" w:rsidRDefault="001C2378" w:rsidP="000A556D">
            <w:pPr>
              <w:pStyle w:val="NormalWeb"/>
              <w:rPr>
                <w:sz w:val="18"/>
                <w:szCs w:val="18"/>
              </w:rPr>
            </w:pPr>
            <w:r w:rsidRPr="000A556D">
              <w:rPr>
                <w:sz w:val="18"/>
                <w:szCs w:val="18"/>
              </w:rPr>
              <w:lastRenderedPageBreak/>
              <w:t>Per hospitalisation: $15,015</w:t>
            </w:r>
          </w:p>
          <w:p w14:paraId="0CA419EB" w14:textId="77777777" w:rsidR="001C2378" w:rsidRPr="000A556D" w:rsidRDefault="001C2378" w:rsidP="000A556D">
            <w:pPr>
              <w:pStyle w:val="NormalWeb"/>
              <w:rPr>
                <w:sz w:val="18"/>
                <w:szCs w:val="18"/>
              </w:rPr>
            </w:pPr>
            <w:r w:rsidRPr="000A556D">
              <w:rPr>
                <w:sz w:val="18"/>
                <w:szCs w:val="18"/>
              </w:rPr>
              <w:t>Cost of 2.3 admissions over two years was $34,534, multiplied by 20 infants totalled $690,670</w:t>
            </w:r>
          </w:p>
        </w:tc>
        <w:tc>
          <w:tcPr>
            <w:tcW w:w="2793" w:type="dxa"/>
            <w:hideMark/>
          </w:tcPr>
          <w:p w14:paraId="0E8306BE" w14:textId="77777777" w:rsidR="001C2378" w:rsidRPr="000A556D" w:rsidRDefault="001C2378" w:rsidP="000A556D">
            <w:pPr>
              <w:pStyle w:val="NormalWeb"/>
              <w:rPr>
                <w:sz w:val="18"/>
                <w:szCs w:val="18"/>
              </w:rPr>
            </w:pPr>
            <w:r w:rsidRPr="000A556D">
              <w:rPr>
                <w:sz w:val="18"/>
                <w:szCs w:val="18"/>
              </w:rPr>
              <w:t>The cost of care for each admission was calculated as the number of days the infant spent at each level of care, that is in a paediatric ward, HDU or ICU multiplied by the cost of care of that level of care.</w:t>
            </w:r>
          </w:p>
        </w:tc>
      </w:tr>
      <w:tr w:rsidR="000A556D" w:rsidRPr="000A556D" w14:paraId="4C86F2FA" w14:textId="77777777" w:rsidTr="000A556D">
        <w:tblPrEx>
          <w:tblCellMar>
            <w:top w:w="57" w:type="dxa"/>
            <w:left w:w="57" w:type="dxa"/>
            <w:bottom w:w="57" w:type="dxa"/>
            <w:right w:w="57" w:type="dxa"/>
          </w:tblCellMar>
        </w:tblPrEx>
        <w:tc>
          <w:tcPr>
            <w:tcW w:w="0" w:type="auto"/>
            <w:hideMark/>
          </w:tcPr>
          <w:p w14:paraId="32C7B132" w14:textId="77777777" w:rsidR="001C2378" w:rsidRPr="000A556D" w:rsidRDefault="001C2378" w:rsidP="0091710A">
            <w:pPr>
              <w:pStyle w:val="NormalWeb"/>
              <w:rPr>
                <w:sz w:val="18"/>
                <w:szCs w:val="18"/>
              </w:rPr>
            </w:pPr>
            <w:r w:rsidRPr="000A556D">
              <w:rPr>
                <w:sz w:val="18"/>
                <w:szCs w:val="18"/>
              </w:rPr>
              <w:t>3</w:t>
            </w:r>
          </w:p>
        </w:tc>
        <w:tc>
          <w:tcPr>
            <w:tcW w:w="1744" w:type="dxa"/>
            <w:hideMark/>
          </w:tcPr>
          <w:p w14:paraId="31E5957E" w14:textId="77777777" w:rsidR="001C2378" w:rsidRPr="000A556D" w:rsidRDefault="001C2378" w:rsidP="000A556D">
            <w:pPr>
              <w:pStyle w:val="NormalWeb"/>
              <w:rPr>
                <w:sz w:val="18"/>
                <w:szCs w:val="18"/>
              </w:rPr>
            </w:pPr>
            <w:r w:rsidRPr="000A556D">
              <w:rPr>
                <w:sz w:val="18"/>
                <w:szCs w:val="18"/>
              </w:rPr>
              <w:t>United States of America</w:t>
            </w:r>
          </w:p>
          <w:p w14:paraId="4FA4E3CE" w14:textId="77777777" w:rsidR="001C2378" w:rsidRPr="000A556D" w:rsidRDefault="001C2378" w:rsidP="000A556D">
            <w:pPr>
              <w:pStyle w:val="NormalWeb"/>
              <w:rPr>
                <w:sz w:val="18"/>
                <w:szCs w:val="18"/>
              </w:rPr>
            </w:pPr>
            <w:r w:rsidRPr="000A556D">
              <w:rPr>
                <w:sz w:val="18"/>
                <w:szCs w:val="18"/>
              </w:rPr>
              <w:t>Children under five years of age</w:t>
            </w:r>
          </w:p>
        </w:tc>
        <w:tc>
          <w:tcPr>
            <w:tcW w:w="3260" w:type="dxa"/>
            <w:hideMark/>
          </w:tcPr>
          <w:p w14:paraId="03C4384C" w14:textId="77777777" w:rsidR="001C2378" w:rsidRPr="000A556D" w:rsidRDefault="001C2378" w:rsidP="000A556D">
            <w:pPr>
              <w:pStyle w:val="NormalWeb"/>
              <w:rPr>
                <w:sz w:val="18"/>
                <w:szCs w:val="18"/>
              </w:rPr>
            </w:pPr>
            <w:r w:rsidRPr="000A556D">
              <w:rPr>
                <w:sz w:val="18"/>
                <w:szCs w:val="18"/>
              </w:rPr>
              <w:t>Third party payer perspective.</w:t>
            </w:r>
          </w:p>
          <w:p w14:paraId="19B062A6" w14:textId="77777777" w:rsidR="001C2378" w:rsidRPr="000A556D" w:rsidRDefault="001C2378" w:rsidP="000A556D">
            <w:pPr>
              <w:pStyle w:val="NormalWeb"/>
              <w:rPr>
                <w:sz w:val="18"/>
                <w:szCs w:val="18"/>
              </w:rPr>
            </w:pPr>
            <w:r w:rsidRPr="000A556D">
              <w:rPr>
                <w:sz w:val="18"/>
                <w:szCs w:val="18"/>
              </w:rPr>
              <w:t>Cost of RSV in 2000 was reported for children under five years of age with data extracted from 3 separate national databases. The annual cost of illness was based on healthcare resource use and direct medical costs in the hospital inpatient, hospital outpatient, emergency room and office visit settings in the US. For inpatient data, billed charges were converted to costs.</w:t>
            </w:r>
          </w:p>
        </w:tc>
        <w:tc>
          <w:tcPr>
            <w:tcW w:w="2950" w:type="dxa"/>
            <w:hideMark/>
          </w:tcPr>
          <w:p w14:paraId="1EC54622" w14:textId="18B44FCB" w:rsidR="001C2378" w:rsidRPr="000A556D" w:rsidRDefault="001C2378" w:rsidP="000A556D">
            <w:pPr>
              <w:pStyle w:val="NormalWeb"/>
              <w:rPr>
                <w:sz w:val="18"/>
                <w:szCs w:val="18"/>
              </w:rPr>
            </w:pPr>
            <w:r w:rsidRPr="000A556D">
              <w:rPr>
                <w:sz w:val="18"/>
                <w:szCs w:val="18"/>
              </w:rPr>
              <w:t>USD 2002</w:t>
            </w:r>
          </w:p>
          <w:p w14:paraId="1120594D" w14:textId="77777777" w:rsidR="001C2378" w:rsidRPr="000A556D" w:rsidRDefault="001C2378" w:rsidP="000A556D">
            <w:pPr>
              <w:pStyle w:val="NormalWeb"/>
              <w:rPr>
                <w:sz w:val="18"/>
                <w:szCs w:val="18"/>
              </w:rPr>
            </w:pPr>
            <w:r w:rsidRPr="000A556D">
              <w:rPr>
                <w:sz w:val="18"/>
                <w:szCs w:val="18"/>
              </w:rPr>
              <w:t>Per hospitalisation: $4,581.</w:t>
            </w:r>
          </w:p>
          <w:p w14:paraId="210E955F" w14:textId="77777777" w:rsidR="001C2378" w:rsidRPr="000A556D" w:rsidRDefault="001C2378" w:rsidP="000A556D">
            <w:pPr>
              <w:pStyle w:val="NormalWeb"/>
              <w:rPr>
                <w:sz w:val="18"/>
                <w:szCs w:val="18"/>
              </w:rPr>
            </w:pPr>
            <w:r w:rsidRPr="000A556D">
              <w:rPr>
                <w:sz w:val="18"/>
                <w:szCs w:val="18"/>
              </w:rPr>
              <w:t>National annual total direct cost of hospitalisation: $394 million.</w:t>
            </w:r>
          </w:p>
        </w:tc>
        <w:tc>
          <w:tcPr>
            <w:tcW w:w="3571" w:type="dxa"/>
            <w:hideMark/>
          </w:tcPr>
          <w:p w14:paraId="47853268" w14:textId="77777777" w:rsidR="001C2378" w:rsidRPr="000A556D" w:rsidRDefault="001C2378" w:rsidP="000A556D">
            <w:pPr>
              <w:pStyle w:val="NormalWeb"/>
              <w:rPr>
                <w:sz w:val="18"/>
                <w:szCs w:val="18"/>
              </w:rPr>
            </w:pPr>
            <w:r w:rsidRPr="000A556D">
              <w:rPr>
                <w:sz w:val="18"/>
                <w:szCs w:val="18"/>
              </w:rPr>
              <w:t>Per hospitalisation: $11,221</w:t>
            </w:r>
          </w:p>
          <w:p w14:paraId="5BEB91E7" w14:textId="77777777" w:rsidR="001C2378" w:rsidRPr="000A556D" w:rsidRDefault="001C2378" w:rsidP="000A556D">
            <w:pPr>
              <w:pStyle w:val="NormalWeb"/>
              <w:rPr>
                <w:sz w:val="18"/>
                <w:szCs w:val="18"/>
              </w:rPr>
            </w:pPr>
            <w:r w:rsidRPr="000A556D">
              <w:rPr>
                <w:sz w:val="18"/>
                <w:szCs w:val="18"/>
              </w:rPr>
              <w:t>National annual total direct cost of hospitalisation: $965 million.</w:t>
            </w:r>
          </w:p>
        </w:tc>
        <w:tc>
          <w:tcPr>
            <w:tcW w:w="2793" w:type="dxa"/>
            <w:hideMark/>
          </w:tcPr>
          <w:p w14:paraId="774927C0" w14:textId="77777777" w:rsidR="001C2378" w:rsidRPr="000A556D" w:rsidRDefault="001C2378" w:rsidP="000A556D">
            <w:pPr>
              <w:pStyle w:val="NormalWeb"/>
              <w:rPr>
                <w:sz w:val="18"/>
                <w:szCs w:val="18"/>
              </w:rPr>
            </w:pPr>
            <w:r w:rsidRPr="000A556D">
              <w:rPr>
                <w:sz w:val="18"/>
                <w:szCs w:val="18"/>
              </w:rPr>
              <w:t>National annual total direct cost of hospitalisation was $965 million (USD 2002 $394 million) represented 60% of the total direct annual medical costs of $1,597 million (USD 2002 $652 million); with the other 40% representing other medical encounters at a cost of $631 million (USD 2002 $258 million).</w:t>
            </w:r>
          </w:p>
        </w:tc>
      </w:tr>
      <w:tr w:rsidR="000A556D" w:rsidRPr="000A556D" w14:paraId="0E5C8574" w14:textId="77777777" w:rsidTr="000A556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0242EF8" w14:textId="77777777" w:rsidR="001C2378" w:rsidRPr="000A556D" w:rsidRDefault="001C2378" w:rsidP="0091710A">
            <w:pPr>
              <w:pStyle w:val="NormalWeb"/>
              <w:rPr>
                <w:sz w:val="18"/>
                <w:szCs w:val="18"/>
              </w:rPr>
            </w:pPr>
            <w:r w:rsidRPr="000A556D">
              <w:rPr>
                <w:sz w:val="18"/>
                <w:szCs w:val="18"/>
              </w:rPr>
              <w:t>19</w:t>
            </w:r>
          </w:p>
        </w:tc>
        <w:tc>
          <w:tcPr>
            <w:tcW w:w="1744" w:type="dxa"/>
            <w:hideMark/>
          </w:tcPr>
          <w:p w14:paraId="372ACB3E" w14:textId="77777777" w:rsidR="001C2378" w:rsidRPr="000A556D" w:rsidRDefault="001C2378" w:rsidP="000A556D">
            <w:pPr>
              <w:pStyle w:val="NormalWeb"/>
              <w:rPr>
                <w:sz w:val="18"/>
                <w:szCs w:val="18"/>
              </w:rPr>
            </w:pPr>
            <w:r w:rsidRPr="000A556D">
              <w:rPr>
                <w:sz w:val="18"/>
                <w:szCs w:val="18"/>
              </w:rPr>
              <w:t>France</w:t>
            </w:r>
          </w:p>
          <w:p w14:paraId="7FC3D9C5" w14:textId="77777777" w:rsidR="001C2378" w:rsidRPr="000A556D" w:rsidRDefault="001C2378" w:rsidP="000A556D">
            <w:pPr>
              <w:pStyle w:val="NormalWeb"/>
              <w:rPr>
                <w:sz w:val="18"/>
                <w:szCs w:val="18"/>
              </w:rPr>
            </w:pPr>
            <w:r w:rsidRPr="000A556D">
              <w:rPr>
                <w:sz w:val="18"/>
                <w:szCs w:val="18"/>
              </w:rPr>
              <w:t>Children in first year of life (up to one year of age)</w:t>
            </w:r>
          </w:p>
        </w:tc>
        <w:tc>
          <w:tcPr>
            <w:tcW w:w="3260" w:type="dxa"/>
            <w:hideMark/>
          </w:tcPr>
          <w:p w14:paraId="17864903" w14:textId="77777777" w:rsidR="001C2378" w:rsidRPr="000A556D" w:rsidRDefault="001C2378" w:rsidP="000A556D">
            <w:pPr>
              <w:pStyle w:val="NormalWeb"/>
              <w:rPr>
                <w:sz w:val="18"/>
                <w:szCs w:val="18"/>
              </w:rPr>
            </w:pPr>
            <w:r w:rsidRPr="000A556D">
              <w:rPr>
                <w:sz w:val="18"/>
                <w:szCs w:val="18"/>
              </w:rPr>
              <w:t>Health service perspective.</w:t>
            </w:r>
          </w:p>
          <w:p w14:paraId="15ABC80B" w14:textId="77777777" w:rsidR="001C2378" w:rsidRPr="000A556D" w:rsidRDefault="001C2378" w:rsidP="000A556D">
            <w:pPr>
              <w:pStyle w:val="NormalWeb"/>
              <w:rPr>
                <w:sz w:val="18"/>
                <w:szCs w:val="18"/>
              </w:rPr>
            </w:pPr>
            <w:r w:rsidRPr="000A556D">
              <w:rPr>
                <w:sz w:val="18"/>
                <w:szCs w:val="18"/>
              </w:rPr>
              <w:t>Cost of RSV was reported for a cohort of 350 newborns in a university hospital between 2012 and 2016. An episode of hospitalisation was defined as a new admission to one of the conventional paediatric hospital departments with an RSV positive sample at admission.</w:t>
            </w:r>
          </w:p>
        </w:tc>
        <w:tc>
          <w:tcPr>
            <w:tcW w:w="2950" w:type="dxa"/>
            <w:hideMark/>
          </w:tcPr>
          <w:p w14:paraId="7A25FA33" w14:textId="77777777" w:rsidR="001C2378" w:rsidRPr="000A556D" w:rsidRDefault="001C2378" w:rsidP="000A556D">
            <w:pPr>
              <w:pStyle w:val="NormalWeb"/>
              <w:rPr>
                <w:sz w:val="18"/>
                <w:szCs w:val="18"/>
              </w:rPr>
            </w:pPr>
            <w:r w:rsidRPr="000A556D">
              <w:rPr>
                <w:sz w:val="18"/>
                <w:szCs w:val="18"/>
              </w:rPr>
              <w:t>Euro 2016</w:t>
            </w:r>
          </w:p>
          <w:p w14:paraId="1DFC7D2D" w14:textId="77777777" w:rsidR="001C2378" w:rsidRPr="000A556D" w:rsidRDefault="001C2378" w:rsidP="000A556D">
            <w:pPr>
              <w:pStyle w:val="NormalWeb"/>
              <w:rPr>
                <w:sz w:val="18"/>
                <w:szCs w:val="18"/>
              </w:rPr>
            </w:pPr>
            <w:r w:rsidRPr="000A556D">
              <w:rPr>
                <w:sz w:val="18"/>
                <w:szCs w:val="18"/>
              </w:rPr>
              <w:t>Per hospitalisation: €3,973.</w:t>
            </w:r>
          </w:p>
          <w:p w14:paraId="7A5AEA8E" w14:textId="77777777" w:rsidR="001C2378" w:rsidRPr="000A556D" w:rsidRDefault="001C2378" w:rsidP="000A556D">
            <w:pPr>
              <w:pStyle w:val="NormalWeb"/>
              <w:rPr>
                <w:sz w:val="18"/>
                <w:szCs w:val="18"/>
              </w:rPr>
            </w:pPr>
            <w:r w:rsidRPr="000A556D">
              <w:rPr>
                <w:sz w:val="18"/>
                <w:szCs w:val="18"/>
              </w:rPr>
              <w:t>Total cohort cost: €364,269</w:t>
            </w:r>
          </w:p>
        </w:tc>
        <w:tc>
          <w:tcPr>
            <w:tcW w:w="3571" w:type="dxa"/>
            <w:hideMark/>
          </w:tcPr>
          <w:p w14:paraId="0CE5472B" w14:textId="77777777" w:rsidR="001C2378" w:rsidRPr="000A556D" w:rsidRDefault="001C2378" w:rsidP="000A556D">
            <w:pPr>
              <w:pStyle w:val="NormalWeb"/>
              <w:rPr>
                <w:sz w:val="18"/>
                <w:szCs w:val="18"/>
              </w:rPr>
            </w:pPr>
            <w:r w:rsidRPr="000A556D">
              <w:rPr>
                <w:sz w:val="18"/>
                <w:szCs w:val="18"/>
              </w:rPr>
              <w:t>Per hospitalisation: $6,927</w:t>
            </w:r>
          </w:p>
          <w:p w14:paraId="52E80095" w14:textId="77777777" w:rsidR="001C2378" w:rsidRPr="000A556D" w:rsidRDefault="001C2378" w:rsidP="000A556D">
            <w:pPr>
              <w:pStyle w:val="NormalWeb"/>
              <w:rPr>
                <w:sz w:val="18"/>
                <w:szCs w:val="18"/>
              </w:rPr>
            </w:pPr>
            <w:r w:rsidRPr="000A556D">
              <w:rPr>
                <w:sz w:val="18"/>
                <w:szCs w:val="18"/>
              </w:rPr>
              <w:t>Total cohort cost: $635,099</w:t>
            </w:r>
          </w:p>
        </w:tc>
        <w:tc>
          <w:tcPr>
            <w:tcW w:w="2793" w:type="dxa"/>
            <w:hideMark/>
          </w:tcPr>
          <w:p w14:paraId="296B244E" w14:textId="77777777" w:rsidR="001C2378" w:rsidRPr="000A556D" w:rsidRDefault="001C2378" w:rsidP="000A556D">
            <w:pPr>
              <w:pStyle w:val="NormalWeb"/>
              <w:rPr>
                <w:sz w:val="18"/>
                <w:szCs w:val="18"/>
              </w:rPr>
            </w:pPr>
            <w:r w:rsidRPr="000A556D">
              <w:rPr>
                <w:sz w:val="18"/>
                <w:szCs w:val="18"/>
              </w:rPr>
              <w:t>Related direct medical annual cost for the 350 newborns was mostly attributed to children born during the RSV season $404,418 (Euro 2016 €231,959) and children born premature $189,470 (Euro 2016 €108,673), based on modelled economic data.</w:t>
            </w:r>
          </w:p>
        </w:tc>
      </w:tr>
    </w:tbl>
    <w:p w14:paraId="13E8425E" w14:textId="77777777" w:rsidR="008B5348" w:rsidRDefault="008B5348">
      <w:pPr>
        <w:rPr>
          <w:rStyle w:val="A10"/>
        </w:rPr>
      </w:pPr>
      <w:r>
        <w:rPr>
          <w:rStyle w:val="A10"/>
        </w:rPr>
        <w:br w:type="page"/>
      </w:r>
    </w:p>
    <w:p w14:paraId="41556E3A" w14:textId="77777777" w:rsidR="006A618B" w:rsidRDefault="006A618B" w:rsidP="006A618B">
      <w:pPr>
        <w:pStyle w:val="CDIFigures"/>
        <w:rPr>
          <w:lang w:val="en-GB"/>
        </w:rPr>
      </w:pPr>
      <w:r>
        <w:rPr>
          <w:lang w:val="en-GB"/>
        </w:rPr>
        <w:lastRenderedPageBreak/>
        <w:t>Table A.2: Australian Refined Diagnosis-Related Groups (AR-DRG)</w:t>
      </w:r>
    </w:p>
    <w:tbl>
      <w:tblPr>
        <w:tblStyle w:val="CDI-StandardTable"/>
        <w:tblW w:w="0" w:type="auto"/>
        <w:tblLook w:val="04A0" w:firstRow="1" w:lastRow="0" w:firstColumn="1" w:lastColumn="0" w:noHBand="0" w:noVBand="1"/>
        <w:tblDescription w:val="Australian Refined Diagnosis-Related Groups (AR-DRG)&#10;"/>
      </w:tblPr>
      <w:tblGrid>
        <w:gridCol w:w="851"/>
        <w:gridCol w:w="6662"/>
        <w:gridCol w:w="1559"/>
        <w:gridCol w:w="2127"/>
        <w:gridCol w:w="1842"/>
        <w:gridCol w:w="1943"/>
      </w:tblGrid>
      <w:tr w:rsidR="008F62ED" w:rsidRPr="008F62ED" w14:paraId="4E036B9A" w14:textId="77777777" w:rsidTr="00643BBD">
        <w:trPr>
          <w:cnfStyle w:val="100000000000" w:firstRow="1" w:lastRow="0" w:firstColumn="0" w:lastColumn="0" w:oddVBand="0" w:evenVBand="0" w:oddHBand="0" w:evenHBand="0" w:firstRowFirstColumn="0" w:firstRowLastColumn="0" w:lastRowFirstColumn="0" w:lastRowLastColumn="0"/>
          <w:tblHeader/>
        </w:trPr>
        <w:tc>
          <w:tcPr>
            <w:tcW w:w="851" w:type="dxa"/>
            <w:tcBorders>
              <w:right w:val="single" w:sz="2" w:space="0" w:color="FFFFFF" w:themeColor="background1"/>
            </w:tcBorders>
            <w:vAlign w:val="center"/>
            <w:hideMark/>
          </w:tcPr>
          <w:p w14:paraId="05727F44" w14:textId="77777777" w:rsidR="006A618B" w:rsidRPr="008F62ED" w:rsidRDefault="006A618B" w:rsidP="006E3337">
            <w:pPr>
              <w:pStyle w:val="NormalWeb"/>
              <w:rPr>
                <w:color w:val="FFFFFF" w:themeColor="background1"/>
                <w:sz w:val="18"/>
                <w:szCs w:val="18"/>
              </w:rPr>
            </w:pPr>
            <w:r w:rsidRPr="008F62ED">
              <w:rPr>
                <w:color w:val="FFFFFF" w:themeColor="background1"/>
                <w:sz w:val="18"/>
                <w:szCs w:val="18"/>
              </w:rPr>
              <w:t>AR-DRG</w:t>
            </w:r>
          </w:p>
        </w:tc>
        <w:tc>
          <w:tcPr>
            <w:tcW w:w="6662" w:type="dxa"/>
            <w:tcBorders>
              <w:left w:val="single" w:sz="2" w:space="0" w:color="FFFFFF" w:themeColor="background1"/>
              <w:right w:val="single" w:sz="2" w:space="0" w:color="FFFFFF" w:themeColor="background1"/>
            </w:tcBorders>
            <w:vAlign w:val="center"/>
            <w:hideMark/>
          </w:tcPr>
          <w:p w14:paraId="1488FF2A" w14:textId="77777777" w:rsidR="006A618B" w:rsidRPr="008F62ED" w:rsidRDefault="006A618B" w:rsidP="006E3337">
            <w:pPr>
              <w:pStyle w:val="NormalWeb"/>
              <w:jc w:val="center"/>
              <w:rPr>
                <w:color w:val="FFFFFF" w:themeColor="background1"/>
                <w:sz w:val="18"/>
                <w:szCs w:val="18"/>
              </w:rPr>
            </w:pPr>
            <w:r w:rsidRPr="008F62ED">
              <w:rPr>
                <w:color w:val="FFFFFF" w:themeColor="background1"/>
                <w:sz w:val="18"/>
                <w:szCs w:val="18"/>
              </w:rPr>
              <w:t>AR-DRG Description</w:t>
            </w:r>
          </w:p>
        </w:tc>
        <w:tc>
          <w:tcPr>
            <w:tcW w:w="1559" w:type="dxa"/>
            <w:tcBorders>
              <w:left w:val="single" w:sz="2" w:space="0" w:color="FFFFFF" w:themeColor="background1"/>
              <w:right w:val="single" w:sz="2" w:space="0" w:color="FFFFFF" w:themeColor="background1"/>
            </w:tcBorders>
            <w:vAlign w:val="center"/>
            <w:hideMark/>
          </w:tcPr>
          <w:p w14:paraId="66B1AF38" w14:textId="77777777" w:rsidR="006A618B" w:rsidRPr="008F62ED" w:rsidRDefault="006A618B" w:rsidP="006E3337">
            <w:pPr>
              <w:pStyle w:val="NormalWeb"/>
              <w:jc w:val="center"/>
              <w:rPr>
                <w:color w:val="FFFFFF" w:themeColor="background1"/>
                <w:sz w:val="18"/>
                <w:szCs w:val="18"/>
              </w:rPr>
            </w:pPr>
            <w:r w:rsidRPr="008F62ED">
              <w:rPr>
                <w:color w:val="FFFFFF" w:themeColor="background1"/>
                <w:sz w:val="18"/>
                <w:szCs w:val="18"/>
              </w:rPr>
              <w:t>Index admission (N = 363)</w:t>
            </w:r>
          </w:p>
        </w:tc>
        <w:tc>
          <w:tcPr>
            <w:tcW w:w="2127" w:type="dxa"/>
            <w:tcBorders>
              <w:left w:val="single" w:sz="2" w:space="0" w:color="FFFFFF" w:themeColor="background1"/>
              <w:right w:val="single" w:sz="2" w:space="0" w:color="FFFFFF" w:themeColor="background1"/>
            </w:tcBorders>
            <w:vAlign w:val="center"/>
            <w:hideMark/>
          </w:tcPr>
          <w:p w14:paraId="499BE3B1" w14:textId="77777777" w:rsidR="006A618B" w:rsidRPr="008F62ED" w:rsidRDefault="006A618B" w:rsidP="006E3337">
            <w:pPr>
              <w:pStyle w:val="NormalWeb"/>
              <w:jc w:val="center"/>
              <w:rPr>
                <w:color w:val="FFFFFF" w:themeColor="background1"/>
                <w:sz w:val="18"/>
                <w:szCs w:val="18"/>
              </w:rPr>
            </w:pPr>
            <w:r w:rsidRPr="008F62ED">
              <w:rPr>
                <w:color w:val="FFFFFF" w:themeColor="background1"/>
                <w:sz w:val="18"/>
                <w:szCs w:val="18"/>
              </w:rPr>
              <w:t>0–</w:t>
            </w:r>
            <w:proofErr w:type="gramStart"/>
            <w:r w:rsidRPr="008F62ED">
              <w:rPr>
                <w:color w:val="FFFFFF" w:themeColor="background1"/>
                <w:sz w:val="18"/>
                <w:szCs w:val="18"/>
              </w:rPr>
              <w:t>30 day</w:t>
            </w:r>
            <w:proofErr w:type="gramEnd"/>
            <w:r w:rsidRPr="008F62ED">
              <w:rPr>
                <w:color w:val="FFFFFF" w:themeColor="background1"/>
                <w:sz w:val="18"/>
                <w:szCs w:val="18"/>
              </w:rPr>
              <w:t xml:space="preserve"> re-admissions (N = 51)</w:t>
            </w:r>
          </w:p>
        </w:tc>
        <w:tc>
          <w:tcPr>
            <w:tcW w:w="1842" w:type="dxa"/>
            <w:tcBorders>
              <w:left w:val="single" w:sz="2" w:space="0" w:color="FFFFFF" w:themeColor="background1"/>
              <w:right w:val="single" w:sz="2" w:space="0" w:color="FFFFFF" w:themeColor="background1"/>
            </w:tcBorders>
            <w:vAlign w:val="center"/>
            <w:hideMark/>
          </w:tcPr>
          <w:p w14:paraId="7C7AC9CD" w14:textId="77777777" w:rsidR="006A618B" w:rsidRPr="008F62ED" w:rsidRDefault="006A618B" w:rsidP="006E3337">
            <w:pPr>
              <w:pStyle w:val="NormalWeb"/>
              <w:jc w:val="center"/>
              <w:rPr>
                <w:color w:val="FFFFFF" w:themeColor="background1"/>
                <w:sz w:val="18"/>
                <w:szCs w:val="18"/>
              </w:rPr>
            </w:pPr>
            <w:r w:rsidRPr="008F62ED">
              <w:rPr>
                <w:color w:val="FFFFFF" w:themeColor="background1"/>
                <w:sz w:val="18"/>
                <w:szCs w:val="18"/>
              </w:rPr>
              <w:t>1–</w:t>
            </w:r>
            <w:proofErr w:type="gramStart"/>
            <w:r w:rsidRPr="008F62ED">
              <w:rPr>
                <w:color w:val="FFFFFF" w:themeColor="background1"/>
                <w:sz w:val="18"/>
                <w:szCs w:val="18"/>
              </w:rPr>
              <w:t>6 month</w:t>
            </w:r>
            <w:proofErr w:type="gramEnd"/>
            <w:r w:rsidRPr="008F62ED">
              <w:rPr>
                <w:color w:val="FFFFFF" w:themeColor="background1"/>
                <w:sz w:val="18"/>
                <w:szCs w:val="18"/>
              </w:rPr>
              <w:t xml:space="preserve"> re-admissions (N = 153)</w:t>
            </w:r>
          </w:p>
        </w:tc>
        <w:tc>
          <w:tcPr>
            <w:tcW w:w="1943" w:type="dxa"/>
            <w:tcBorders>
              <w:left w:val="single" w:sz="2" w:space="0" w:color="FFFFFF" w:themeColor="background1"/>
            </w:tcBorders>
            <w:vAlign w:val="center"/>
            <w:hideMark/>
          </w:tcPr>
          <w:p w14:paraId="0D9CA8C6" w14:textId="77777777" w:rsidR="006A618B" w:rsidRPr="008F62ED" w:rsidRDefault="006A618B" w:rsidP="006E3337">
            <w:pPr>
              <w:pStyle w:val="NormalWeb"/>
              <w:jc w:val="center"/>
              <w:rPr>
                <w:color w:val="FFFFFF" w:themeColor="background1"/>
                <w:sz w:val="18"/>
                <w:szCs w:val="18"/>
              </w:rPr>
            </w:pPr>
            <w:r w:rsidRPr="008F62ED">
              <w:rPr>
                <w:color w:val="FFFFFF" w:themeColor="background1"/>
                <w:sz w:val="18"/>
                <w:szCs w:val="18"/>
              </w:rPr>
              <w:t>All admissions combined (N = 567)</w:t>
            </w:r>
          </w:p>
        </w:tc>
      </w:tr>
      <w:tr w:rsidR="008F62ED" w:rsidRPr="008F62ED" w14:paraId="1B2F6C01" w14:textId="77777777" w:rsidTr="00643BBD">
        <w:tblPrEx>
          <w:tblCellMar>
            <w:top w:w="57" w:type="dxa"/>
            <w:left w:w="57" w:type="dxa"/>
            <w:bottom w:w="57" w:type="dxa"/>
            <w:right w:w="57" w:type="dxa"/>
          </w:tblCellMar>
        </w:tblPrEx>
        <w:tc>
          <w:tcPr>
            <w:tcW w:w="851" w:type="dxa"/>
            <w:hideMark/>
          </w:tcPr>
          <w:p w14:paraId="7443CB35" w14:textId="77777777" w:rsidR="006A618B" w:rsidRPr="008F62ED" w:rsidRDefault="006A618B" w:rsidP="0091710A">
            <w:pPr>
              <w:pStyle w:val="NormalWeb"/>
              <w:rPr>
                <w:sz w:val="18"/>
                <w:szCs w:val="18"/>
              </w:rPr>
            </w:pPr>
            <w:r w:rsidRPr="008F62ED">
              <w:rPr>
                <w:sz w:val="18"/>
                <w:szCs w:val="18"/>
              </w:rPr>
              <w:t>A06A</w:t>
            </w:r>
          </w:p>
        </w:tc>
        <w:tc>
          <w:tcPr>
            <w:tcW w:w="6662" w:type="dxa"/>
            <w:hideMark/>
          </w:tcPr>
          <w:p w14:paraId="67D7AF68" w14:textId="77777777" w:rsidR="006A618B" w:rsidRPr="008F62ED" w:rsidRDefault="006A618B" w:rsidP="008F62ED">
            <w:pPr>
              <w:pStyle w:val="NormalWeb"/>
              <w:rPr>
                <w:sz w:val="18"/>
                <w:szCs w:val="18"/>
              </w:rPr>
            </w:pPr>
            <w:r w:rsidRPr="008F62ED">
              <w:rPr>
                <w:sz w:val="18"/>
                <w:szCs w:val="18"/>
              </w:rPr>
              <w:t>Tracheostomy W Ventilation &gt;95 hours W Catastrophic CC</w:t>
            </w:r>
          </w:p>
        </w:tc>
        <w:tc>
          <w:tcPr>
            <w:tcW w:w="1559" w:type="dxa"/>
            <w:hideMark/>
          </w:tcPr>
          <w:p w14:paraId="58710C0F"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03E88F24"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0BC81CF1"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170AFA42"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7C73974E"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054F146B" w14:textId="77777777" w:rsidR="006A618B" w:rsidRPr="008F62ED" w:rsidRDefault="006A618B" w:rsidP="0091710A">
            <w:pPr>
              <w:pStyle w:val="NormalWeb"/>
              <w:rPr>
                <w:sz w:val="18"/>
                <w:szCs w:val="18"/>
              </w:rPr>
            </w:pPr>
            <w:r w:rsidRPr="008F62ED">
              <w:rPr>
                <w:sz w:val="18"/>
                <w:szCs w:val="18"/>
              </w:rPr>
              <w:t>A13A</w:t>
            </w:r>
          </w:p>
        </w:tc>
        <w:tc>
          <w:tcPr>
            <w:tcW w:w="6662" w:type="dxa"/>
            <w:hideMark/>
          </w:tcPr>
          <w:p w14:paraId="45CF0D3C" w14:textId="77777777" w:rsidR="006A618B" w:rsidRPr="008F62ED" w:rsidRDefault="006A618B" w:rsidP="008F62ED">
            <w:pPr>
              <w:pStyle w:val="NormalWeb"/>
              <w:rPr>
                <w:sz w:val="18"/>
                <w:szCs w:val="18"/>
              </w:rPr>
            </w:pPr>
            <w:r w:rsidRPr="008F62ED">
              <w:rPr>
                <w:sz w:val="18"/>
                <w:szCs w:val="18"/>
              </w:rPr>
              <w:t>Ventilation &gt;=336hours, Major Complexity</w:t>
            </w:r>
          </w:p>
        </w:tc>
        <w:tc>
          <w:tcPr>
            <w:tcW w:w="1559" w:type="dxa"/>
            <w:hideMark/>
          </w:tcPr>
          <w:p w14:paraId="333B91C3"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0F53ACF3"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181EA838"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6B2819D3"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534AC240" w14:textId="77777777" w:rsidTr="00643BBD">
        <w:tblPrEx>
          <w:tblCellMar>
            <w:top w:w="57" w:type="dxa"/>
            <w:left w:w="57" w:type="dxa"/>
            <w:bottom w:w="57" w:type="dxa"/>
            <w:right w:w="57" w:type="dxa"/>
          </w:tblCellMar>
        </w:tblPrEx>
        <w:tc>
          <w:tcPr>
            <w:tcW w:w="851" w:type="dxa"/>
            <w:hideMark/>
          </w:tcPr>
          <w:p w14:paraId="79807BA6" w14:textId="77777777" w:rsidR="006A618B" w:rsidRPr="008F62ED" w:rsidRDefault="006A618B" w:rsidP="0091710A">
            <w:pPr>
              <w:pStyle w:val="NormalWeb"/>
              <w:rPr>
                <w:sz w:val="18"/>
                <w:szCs w:val="18"/>
              </w:rPr>
            </w:pPr>
            <w:r w:rsidRPr="008F62ED">
              <w:rPr>
                <w:sz w:val="18"/>
                <w:szCs w:val="18"/>
              </w:rPr>
              <w:t>A14C</w:t>
            </w:r>
          </w:p>
        </w:tc>
        <w:tc>
          <w:tcPr>
            <w:tcW w:w="6662" w:type="dxa"/>
            <w:hideMark/>
          </w:tcPr>
          <w:p w14:paraId="51149A4C" w14:textId="77777777" w:rsidR="006A618B" w:rsidRPr="008F62ED" w:rsidRDefault="006A618B" w:rsidP="008F62ED">
            <w:pPr>
              <w:pStyle w:val="NormalWeb"/>
              <w:rPr>
                <w:sz w:val="18"/>
                <w:szCs w:val="18"/>
              </w:rPr>
            </w:pPr>
            <w:r w:rsidRPr="008F62ED">
              <w:rPr>
                <w:sz w:val="18"/>
                <w:szCs w:val="18"/>
              </w:rPr>
              <w:t>Ventilation &gt;=96hours &amp; &lt;336hours, Minor Complexity</w:t>
            </w:r>
          </w:p>
        </w:tc>
        <w:tc>
          <w:tcPr>
            <w:tcW w:w="1559" w:type="dxa"/>
            <w:hideMark/>
          </w:tcPr>
          <w:p w14:paraId="1E702D5A" w14:textId="77777777" w:rsidR="006A618B" w:rsidRPr="008F62ED" w:rsidRDefault="006A618B" w:rsidP="0091710A">
            <w:pPr>
              <w:pStyle w:val="NormalWeb"/>
              <w:jc w:val="center"/>
              <w:rPr>
                <w:sz w:val="18"/>
                <w:szCs w:val="18"/>
              </w:rPr>
            </w:pPr>
            <w:r w:rsidRPr="008F62ED">
              <w:rPr>
                <w:sz w:val="18"/>
                <w:szCs w:val="18"/>
              </w:rPr>
              <w:t>2</w:t>
            </w:r>
          </w:p>
        </w:tc>
        <w:tc>
          <w:tcPr>
            <w:tcW w:w="2127" w:type="dxa"/>
            <w:hideMark/>
          </w:tcPr>
          <w:p w14:paraId="5088A412"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250B203B"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36E03B2B" w14:textId="77777777" w:rsidR="006A618B" w:rsidRPr="008F62ED" w:rsidRDefault="006A618B" w:rsidP="0091710A">
            <w:pPr>
              <w:pStyle w:val="NormalWeb"/>
              <w:jc w:val="center"/>
              <w:rPr>
                <w:sz w:val="18"/>
                <w:szCs w:val="18"/>
              </w:rPr>
            </w:pPr>
            <w:r w:rsidRPr="008F62ED">
              <w:rPr>
                <w:sz w:val="18"/>
                <w:szCs w:val="18"/>
              </w:rPr>
              <w:t>2</w:t>
            </w:r>
          </w:p>
        </w:tc>
      </w:tr>
      <w:tr w:rsidR="008F62ED" w:rsidRPr="008F62ED" w14:paraId="649DDA53"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760B0516" w14:textId="77777777" w:rsidR="006A618B" w:rsidRPr="008F62ED" w:rsidRDefault="006A618B" w:rsidP="0091710A">
            <w:pPr>
              <w:pStyle w:val="NormalWeb"/>
              <w:rPr>
                <w:sz w:val="18"/>
                <w:szCs w:val="18"/>
              </w:rPr>
            </w:pPr>
            <w:r w:rsidRPr="008F62ED">
              <w:rPr>
                <w:sz w:val="18"/>
                <w:szCs w:val="18"/>
              </w:rPr>
              <w:t>B02B</w:t>
            </w:r>
          </w:p>
        </w:tc>
        <w:tc>
          <w:tcPr>
            <w:tcW w:w="6662" w:type="dxa"/>
            <w:hideMark/>
          </w:tcPr>
          <w:p w14:paraId="1FCF1627" w14:textId="77777777" w:rsidR="006A618B" w:rsidRPr="008F62ED" w:rsidRDefault="006A618B" w:rsidP="008F62ED">
            <w:pPr>
              <w:pStyle w:val="NormalWeb"/>
              <w:rPr>
                <w:sz w:val="18"/>
                <w:szCs w:val="18"/>
              </w:rPr>
            </w:pPr>
            <w:r w:rsidRPr="008F62ED">
              <w:rPr>
                <w:sz w:val="18"/>
                <w:szCs w:val="18"/>
              </w:rPr>
              <w:t>Cranial Interventions, Intermediate Complexity</w:t>
            </w:r>
          </w:p>
        </w:tc>
        <w:tc>
          <w:tcPr>
            <w:tcW w:w="1559" w:type="dxa"/>
            <w:hideMark/>
          </w:tcPr>
          <w:p w14:paraId="6691A511"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7C766147"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647ED468"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70A77E1C"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4D26CF6D" w14:textId="77777777" w:rsidTr="00643BBD">
        <w:tblPrEx>
          <w:tblCellMar>
            <w:top w:w="57" w:type="dxa"/>
            <w:left w:w="57" w:type="dxa"/>
            <w:bottom w:w="57" w:type="dxa"/>
            <w:right w:w="57" w:type="dxa"/>
          </w:tblCellMar>
        </w:tblPrEx>
        <w:tc>
          <w:tcPr>
            <w:tcW w:w="851" w:type="dxa"/>
            <w:hideMark/>
          </w:tcPr>
          <w:p w14:paraId="16CDA08F" w14:textId="77777777" w:rsidR="006A618B" w:rsidRPr="008F62ED" w:rsidRDefault="006A618B" w:rsidP="0091710A">
            <w:pPr>
              <w:pStyle w:val="NormalWeb"/>
              <w:rPr>
                <w:sz w:val="18"/>
                <w:szCs w:val="18"/>
              </w:rPr>
            </w:pPr>
            <w:r w:rsidRPr="008F62ED">
              <w:rPr>
                <w:sz w:val="18"/>
                <w:szCs w:val="18"/>
              </w:rPr>
              <w:t>B41B</w:t>
            </w:r>
          </w:p>
        </w:tc>
        <w:tc>
          <w:tcPr>
            <w:tcW w:w="6662" w:type="dxa"/>
            <w:hideMark/>
          </w:tcPr>
          <w:p w14:paraId="699551D5" w14:textId="77777777" w:rsidR="006A618B" w:rsidRPr="008F62ED" w:rsidRDefault="006A618B" w:rsidP="008F62ED">
            <w:pPr>
              <w:pStyle w:val="NormalWeb"/>
              <w:rPr>
                <w:sz w:val="18"/>
                <w:szCs w:val="18"/>
              </w:rPr>
            </w:pPr>
            <w:r w:rsidRPr="008F62ED">
              <w:rPr>
                <w:sz w:val="18"/>
                <w:szCs w:val="18"/>
              </w:rPr>
              <w:t>Telemetric EEG Monitoring, Minor Complexity</w:t>
            </w:r>
          </w:p>
        </w:tc>
        <w:tc>
          <w:tcPr>
            <w:tcW w:w="1559" w:type="dxa"/>
            <w:hideMark/>
          </w:tcPr>
          <w:p w14:paraId="207147F3"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34E1FA83"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5C544722" w14:textId="77777777" w:rsidR="006A618B" w:rsidRPr="008F62ED" w:rsidRDefault="006A618B" w:rsidP="0091710A">
            <w:pPr>
              <w:pStyle w:val="NormalWeb"/>
              <w:jc w:val="center"/>
              <w:rPr>
                <w:sz w:val="18"/>
                <w:szCs w:val="18"/>
              </w:rPr>
            </w:pPr>
            <w:r w:rsidRPr="008F62ED">
              <w:rPr>
                <w:sz w:val="18"/>
                <w:szCs w:val="18"/>
              </w:rPr>
              <w:t>2</w:t>
            </w:r>
          </w:p>
        </w:tc>
        <w:tc>
          <w:tcPr>
            <w:tcW w:w="1943" w:type="dxa"/>
            <w:hideMark/>
          </w:tcPr>
          <w:p w14:paraId="2839D17F" w14:textId="77777777" w:rsidR="006A618B" w:rsidRPr="008F62ED" w:rsidRDefault="006A618B" w:rsidP="0091710A">
            <w:pPr>
              <w:pStyle w:val="NormalWeb"/>
              <w:jc w:val="center"/>
              <w:rPr>
                <w:sz w:val="18"/>
                <w:szCs w:val="18"/>
              </w:rPr>
            </w:pPr>
            <w:r w:rsidRPr="008F62ED">
              <w:rPr>
                <w:sz w:val="18"/>
                <w:szCs w:val="18"/>
              </w:rPr>
              <w:t>2</w:t>
            </w:r>
          </w:p>
        </w:tc>
      </w:tr>
      <w:tr w:rsidR="008F62ED" w:rsidRPr="008F62ED" w14:paraId="77F4FBDB"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64F05DB7" w14:textId="77777777" w:rsidR="006A618B" w:rsidRPr="008F62ED" w:rsidRDefault="006A618B" w:rsidP="0091710A">
            <w:pPr>
              <w:pStyle w:val="NormalWeb"/>
              <w:rPr>
                <w:sz w:val="18"/>
                <w:szCs w:val="18"/>
              </w:rPr>
            </w:pPr>
            <w:r w:rsidRPr="008F62ED">
              <w:rPr>
                <w:sz w:val="18"/>
                <w:szCs w:val="18"/>
              </w:rPr>
              <w:t>B42B</w:t>
            </w:r>
          </w:p>
        </w:tc>
        <w:tc>
          <w:tcPr>
            <w:tcW w:w="6662" w:type="dxa"/>
            <w:hideMark/>
          </w:tcPr>
          <w:p w14:paraId="74481C81" w14:textId="77777777" w:rsidR="006A618B" w:rsidRPr="008F62ED" w:rsidRDefault="006A618B" w:rsidP="008F62ED">
            <w:pPr>
              <w:pStyle w:val="NormalWeb"/>
              <w:rPr>
                <w:sz w:val="18"/>
                <w:szCs w:val="18"/>
              </w:rPr>
            </w:pPr>
            <w:r w:rsidRPr="008F62ED">
              <w:rPr>
                <w:sz w:val="18"/>
                <w:szCs w:val="18"/>
              </w:rPr>
              <w:t>Nervous System Disorders W Ventilator Support, Intermediate Complexity</w:t>
            </w:r>
          </w:p>
        </w:tc>
        <w:tc>
          <w:tcPr>
            <w:tcW w:w="1559" w:type="dxa"/>
            <w:hideMark/>
          </w:tcPr>
          <w:p w14:paraId="0D7A77B4"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2E4EEB2A"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24A07BA2"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3BB3B35E"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2421AE12" w14:textId="77777777" w:rsidTr="00643BBD">
        <w:tblPrEx>
          <w:tblCellMar>
            <w:top w:w="57" w:type="dxa"/>
            <w:left w:w="57" w:type="dxa"/>
            <w:bottom w:w="57" w:type="dxa"/>
            <w:right w:w="57" w:type="dxa"/>
          </w:tblCellMar>
        </w:tblPrEx>
        <w:tc>
          <w:tcPr>
            <w:tcW w:w="851" w:type="dxa"/>
            <w:hideMark/>
          </w:tcPr>
          <w:p w14:paraId="0C6EF12E" w14:textId="77777777" w:rsidR="006A618B" w:rsidRPr="008F62ED" w:rsidRDefault="006A618B" w:rsidP="0091710A">
            <w:pPr>
              <w:pStyle w:val="NormalWeb"/>
              <w:rPr>
                <w:sz w:val="18"/>
                <w:szCs w:val="18"/>
              </w:rPr>
            </w:pPr>
            <w:r w:rsidRPr="008F62ED">
              <w:rPr>
                <w:sz w:val="18"/>
                <w:szCs w:val="18"/>
              </w:rPr>
              <w:t>B75Z</w:t>
            </w:r>
          </w:p>
        </w:tc>
        <w:tc>
          <w:tcPr>
            <w:tcW w:w="6662" w:type="dxa"/>
            <w:hideMark/>
          </w:tcPr>
          <w:p w14:paraId="1727257D" w14:textId="77777777" w:rsidR="006A618B" w:rsidRPr="008F62ED" w:rsidRDefault="006A618B" w:rsidP="008F62ED">
            <w:pPr>
              <w:pStyle w:val="NormalWeb"/>
              <w:rPr>
                <w:sz w:val="18"/>
                <w:szCs w:val="18"/>
              </w:rPr>
            </w:pPr>
            <w:r w:rsidRPr="008F62ED">
              <w:rPr>
                <w:sz w:val="18"/>
                <w:szCs w:val="18"/>
              </w:rPr>
              <w:t>Febrile Convulsions</w:t>
            </w:r>
          </w:p>
        </w:tc>
        <w:tc>
          <w:tcPr>
            <w:tcW w:w="1559" w:type="dxa"/>
            <w:hideMark/>
          </w:tcPr>
          <w:p w14:paraId="53D5F397" w14:textId="77777777" w:rsidR="006A618B" w:rsidRPr="008F62ED" w:rsidRDefault="006A618B" w:rsidP="0091710A">
            <w:pPr>
              <w:pStyle w:val="NormalWeb"/>
              <w:jc w:val="center"/>
              <w:rPr>
                <w:sz w:val="18"/>
                <w:szCs w:val="18"/>
              </w:rPr>
            </w:pPr>
            <w:r w:rsidRPr="008F62ED">
              <w:rPr>
                <w:sz w:val="18"/>
                <w:szCs w:val="18"/>
              </w:rPr>
              <w:t>2</w:t>
            </w:r>
          </w:p>
        </w:tc>
        <w:tc>
          <w:tcPr>
            <w:tcW w:w="2127" w:type="dxa"/>
            <w:hideMark/>
          </w:tcPr>
          <w:p w14:paraId="51EED720"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52BFB659"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1FC3585D" w14:textId="77777777" w:rsidR="006A618B" w:rsidRPr="008F62ED" w:rsidRDefault="006A618B" w:rsidP="0091710A">
            <w:pPr>
              <w:pStyle w:val="NormalWeb"/>
              <w:jc w:val="center"/>
              <w:rPr>
                <w:sz w:val="18"/>
                <w:szCs w:val="18"/>
              </w:rPr>
            </w:pPr>
            <w:r w:rsidRPr="008F62ED">
              <w:rPr>
                <w:sz w:val="18"/>
                <w:szCs w:val="18"/>
              </w:rPr>
              <w:t>4</w:t>
            </w:r>
          </w:p>
        </w:tc>
      </w:tr>
      <w:tr w:rsidR="008F62ED" w:rsidRPr="008F62ED" w14:paraId="247D0279"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3B1FAA8D" w14:textId="77777777" w:rsidR="006A618B" w:rsidRPr="008F62ED" w:rsidRDefault="006A618B" w:rsidP="0091710A">
            <w:pPr>
              <w:pStyle w:val="NormalWeb"/>
              <w:rPr>
                <w:sz w:val="18"/>
                <w:szCs w:val="18"/>
              </w:rPr>
            </w:pPr>
            <w:r w:rsidRPr="008F62ED">
              <w:rPr>
                <w:sz w:val="18"/>
                <w:szCs w:val="18"/>
              </w:rPr>
              <w:t>B76A</w:t>
            </w:r>
          </w:p>
        </w:tc>
        <w:tc>
          <w:tcPr>
            <w:tcW w:w="6662" w:type="dxa"/>
            <w:hideMark/>
          </w:tcPr>
          <w:p w14:paraId="48DEBE09" w14:textId="77777777" w:rsidR="006A618B" w:rsidRPr="008F62ED" w:rsidRDefault="006A618B" w:rsidP="008F62ED">
            <w:pPr>
              <w:pStyle w:val="NormalWeb"/>
              <w:rPr>
                <w:sz w:val="18"/>
                <w:szCs w:val="18"/>
              </w:rPr>
            </w:pPr>
            <w:r w:rsidRPr="008F62ED">
              <w:rPr>
                <w:sz w:val="18"/>
                <w:szCs w:val="18"/>
              </w:rPr>
              <w:t>Seizures, Major Complexity</w:t>
            </w:r>
          </w:p>
        </w:tc>
        <w:tc>
          <w:tcPr>
            <w:tcW w:w="1559" w:type="dxa"/>
            <w:hideMark/>
          </w:tcPr>
          <w:p w14:paraId="242D3ECE"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76CF2F03"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054B7F8D"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3C6908A2" w14:textId="77777777" w:rsidR="006A618B" w:rsidRPr="008F62ED" w:rsidRDefault="006A618B" w:rsidP="0091710A">
            <w:pPr>
              <w:pStyle w:val="NormalWeb"/>
              <w:jc w:val="center"/>
              <w:rPr>
                <w:sz w:val="18"/>
                <w:szCs w:val="18"/>
              </w:rPr>
            </w:pPr>
            <w:r w:rsidRPr="008F62ED">
              <w:rPr>
                <w:sz w:val="18"/>
                <w:szCs w:val="18"/>
              </w:rPr>
              <w:t>2</w:t>
            </w:r>
          </w:p>
        </w:tc>
      </w:tr>
      <w:tr w:rsidR="008F62ED" w:rsidRPr="008F62ED" w14:paraId="59D9713F" w14:textId="77777777" w:rsidTr="00643BBD">
        <w:tblPrEx>
          <w:tblCellMar>
            <w:top w:w="57" w:type="dxa"/>
            <w:left w:w="57" w:type="dxa"/>
            <w:bottom w:w="57" w:type="dxa"/>
            <w:right w:w="57" w:type="dxa"/>
          </w:tblCellMar>
        </w:tblPrEx>
        <w:tc>
          <w:tcPr>
            <w:tcW w:w="851" w:type="dxa"/>
            <w:hideMark/>
          </w:tcPr>
          <w:p w14:paraId="6AD4AAB4" w14:textId="77777777" w:rsidR="006A618B" w:rsidRPr="008F62ED" w:rsidRDefault="006A618B" w:rsidP="0091710A">
            <w:pPr>
              <w:pStyle w:val="NormalWeb"/>
              <w:rPr>
                <w:sz w:val="18"/>
                <w:szCs w:val="18"/>
              </w:rPr>
            </w:pPr>
            <w:r w:rsidRPr="008F62ED">
              <w:rPr>
                <w:sz w:val="18"/>
                <w:szCs w:val="18"/>
              </w:rPr>
              <w:t>B76B</w:t>
            </w:r>
          </w:p>
        </w:tc>
        <w:tc>
          <w:tcPr>
            <w:tcW w:w="6662" w:type="dxa"/>
            <w:hideMark/>
          </w:tcPr>
          <w:p w14:paraId="7BA5B7EB" w14:textId="77777777" w:rsidR="006A618B" w:rsidRPr="008F62ED" w:rsidRDefault="006A618B" w:rsidP="008F62ED">
            <w:pPr>
              <w:pStyle w:val="NormalWeb"/>
              <w:rPr>
                <w:sz w:val="18"/>
                <w:szCs w:val="18"/>
              </w:rPr>
            </w:pPr>
            <w:r w:rsidRPr="008F62ED">
              <w:rPr>
                <w:sz w:val="18"/>
                <w:szCs w:val="18"/>
              </w:rPr>
              <w:t>Seizures, Minor Complexity</w:t>
            </w:r>
          </w:p>
        </w:tc>
        <w:tc>
          <w:tcPr>
            <w:tcW w:w="1559" w:type="dxa"/>
            <w:hideMark/>
          </w:tcPr>
          <w:p w14:paraId="1F8DAE61"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19678A65"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3434FF49"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70326F01"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4AFEEAD6"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05DA6FB5" w14:textId="77777777" w:rsidR="006A618B" w:rsidRPr="008F62ED" w:rsidRDefault="006A618B" w:rsidP="0091710A">
            <w:pPr>
              <w:pStyle w:val="NormalWeb"/>
              <w:rPr>
                <w:sz w:val="18"/>
                <w:szCs w:val="18"/>
              </w:rPr>
            </w:pPr>
            <w:r w:rsidRPr="008F62ED">
              <w:rPr>
                <w:sz w:val="18"/>
                <w:szCs w:val="18"/>
              </w:rPr>
              <w:t>B80B</w:t>
            </w:r>
          </w:p>
        </w:tc>
        <w:tc>
          <w:tcPr>
            <w:tcW w:w="6662" w:type="dxa"/>
            <w:hideMark/>
          </w:tcPr>
          <w:p w14:paraId="27FC22DC" w14:textId="77777777" w:rsidR="006A618B" w:rsidRPr="008F62ED" w:rsidRDefault="006A618B" w:rsidP="008F62ED">
            <w:pPr>
              <w:pStyle w:val="NormalWeb"/>
              <w:rPr>
                <w:sz w:val="18"/>
                <w:szCs w:val="18"/>
              </w:rPr>
            </w:pPr>
            <w:r w:rsidRPr="008F62ED">
              <w:rPr>
                <w:sz w:val="18"/>
                <w:szCs w:val="18"/>
              </w:rPr>
              <w:t>Other Head Injuries, Minor Complexity</w:t>
            </w:r>
          </w:p>
        </w:tc>
        <w:tc>
          <w:tcPr>
            <w:tcW w:w="1559" w:type="dxa"/>
            <w:hideMark/>
          </w:tcPr>
          <w:p w14:paraId="0ED21CEE"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2DAC831F"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4E2EF9A1"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7B2B6642"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61AACADE" w14:textId="77777777" w:rsidTr="00643BBD">
        <w:tblPrEx>
          <w:tblCellMar>
            <w:top w:w="57" w:type="dxa"/>
            <w:left w:w="57" w:type="dxa"/>
            <w:bottom w:w="57" w:type="dxa"/>
            <w:right w:w="57" w:type="dxa"/>
          </w:tblCellMar>
        </w:tblPrEx>
        <w:tc>
          <w:tcPr>
            <w:tcW w:w="851" w:type="dxa"/>
            <w:hideMark/>
          </w:tcPr>
          <w:p w14:paraId="3083ED22" w14:textId="77777777" w:rsidR="006A618B" w:rsidRPr="008F62ED" w:rsidRDefault="006A618B" w:rsidP="0091710A">
            <w:pPr>
              <w:pStyle w:val="NormalWeb"/>
              <w:rPr>
                <w:sz w:val="18"/>
                <w:szCs w:val="18"/>
              </w:rPr>
            </w:pPr>
            <w:r w:rsidRPr="008F62ED">
              <w:rPr>
                <w:sz w:val="18"/>
                <w:szCs w:val="18"/>
              </w:rPr>
              <w:t>B81A</w:t>
            </w:r>
          </w:p>
        </w:tc>
        <w:tc>
          <w:tcPr>
            <w:tcW w:w="6662" w:type="dxa"/>
            <w:hideMark/>
          </w:tcPr>
          <w:p w14:paraId="502CFF93" w14:textId="77777777" w:rsidR="006A618B" w:rsidRPr="008F62ED" w:rsidRDefault="006A618B" w:rsidP="008F62ED">
            <w:pPr>
              <w:pStyle w:val="NormalWeb"/>
              <w:rPr>
                <w:sz w:val="18"/>
                <w:szCs w:val="18"/>
              </w:rPr>
            </w:pPr>
            <w:r w:rsidRPr="008F62ED">
              <w:rPr>
                <w:sz w:val="18"/>
                <w:szCs w:val="18"/>
              </w:rPr>
              <w:t>Other Disorders of the Nervous System, Major Complexity</w:t>
            </w:r>
          </w:p>
        </w:tc>
        <w:tc>
          <w:tcPr>
            <w:tcW w:w="1559" w:type="dxa"/>
            <w:hideMark/>
          </w:tcPr>
          <w:p w14:paraId="69559C84"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1462664C"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1DFB2C21"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47D8C282"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6F8C6C79"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70359816" w14:textId="77777777" w:rsidR="006A618B" w:rsidRPr="008F62ED" w:rsidRDefault="006A618B" w:rsidP="0091710A">
            <w:pPr>
              <w:pStyle w:val="NormalWeb"/>
              <w:rPr>
                <w:sz w:val="18"/>
                <w:szCs w:val="18"/>
              </w:rPr>
            </w:pPr>
            <w:r w:rsidRPr="008F62ED">
              <w:rPr>
                <w:sz w:val="18"/>
                <w:szCs w:val="18"/>
              </w:rPr>
              <w:t>B81B</w:t>
            </w:r>
          </w:p>
        </w:tc>
        <w:tc>
          <w:tcPr>
            <w:tcW w:w="6662" w:type="dxa"/>
            <w:hideMark/>
          </w:tcPr>
          <w:p w14:paraId="53188458" w14:textId="77777777" w:rsidR="006A618B" w:rsidRPr="008F62ED" w:rsidRDefault="006A618B" w:rsidP="008F62ED">
            <w:pPr>
              <w:pStyle w:val="NormalWeb"/>
              <w:rPr>
                <w:sz w:val="18"/>
                <w:szCs w:val="18"/>
              </w:rPr>
            </w:pPr>
            <w:r w:rsidRPr="008F62ED">
              <w:rPr>
                <w:sz w:val="18"/>
                <w:szCs w:val="18"/>
              </w:rPr>
              <w:t>Other Disorders of the Nervous System, Minor Complexity</w:t>
            </w:r>
          </w:p>
        </w:tc>
        <w:tc>
          <w:tcPr>
            <w:tcW w:w="1559" w:type="dxa"/>
            <w:hideMark/>
          </w:tcPr>
          <w:p w14:paraId="6E9A03A6"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258AF5C9"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5F03EADF"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34565876"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0FC70D63" w14:textId="77777777" w:rsidTr="00643BBD">
        <w:tblPrEx>
          <w:tblCellMar>
            <w:top w:w="57" w:type="dxa"/>
            <w:left w:w="57" w:type="dxa"/>
            <w:bottom w:w="57" w:type="dxa"/>
            <w:right w:w="57" w:type="dxa"/>
          </w:tblCellMar>
        </w:tblPrEx>
        <w:tc>
          <w:tcPr>
            <w:tcW w:w="851" w:type="dxa"/>
            <w:hideMark/>
          </w:tcPr>
          <w:p w14:paraId="792A5457" w14:textId="77777777" w:rsidR="006A618B" w:rsidRPr="008F62ED" w:rsidRDefault="006A618B" w:rsidP="0091710A">
            <w:pPr>
              <w:pStyle w:val="NormalWeb"/>
              <w:rPr>
                <w:sz w:val="18"/>
                <w:szCs w:val="18"/>
              </w:rPr>
            </w:pPr>
            <w:r w:rsidRPr="008F62ED">
              <w:rPr>
                <w:sz w:val="18"/>
                <w:szCs w:val="18"/>
              </w:rPr>
              <w:t>D03A</w:t>
            </w:r>
          </w:p>
        </w:tc>
        <w:tc>
          <w:tcPr>
            <w:tcW w:w="6662" w:type="dxa"/>
            <w:hideMark/>
          </w:tcPr>
          <w:p w14:paraId="67F28D82" w14:textId="77777777" w:rsidR="006A618B" w:rsidRPr="008F62ED" w:rsidRDefault="006A618B" w:rsidP="008F62ED">
            <w:pPr>
              <w:pStyle w:val="NormalWeb"/>
              <w:rPr>
                <w:sz w:val="18"/>
                <w:szCs w:val="18"/>
              </w:rPr>
            </w:pPr>
            <w:r w:rsidRPr="008F62ED">
              <w:rPr>
                <w:sz w:val="18"/>
                <w:szCs w:val="18"/>
              </w:rPr>
              <w:t>Surgical Repair for Cleft Lip and Palate Disorders, Major Complexity</w:t>
            </w:r>
          </w:p>
        </w:tc>
        <w:tc>
          <w:tcPr>
            <w:tcW w:w="1559" w:type="dxa"/>
            <w:hideMark/>
          </w:tcPr>
          <w:p w14:paraId="5F2B9076"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2551EFB6"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5365E1B9"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0691506D"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6CF4B908"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625953BF" w14:textId="77777777" w:rsidR="006A618B" w:rsidRPr="008F62ED" w:rsidRDefault="006A618B" w:rsidP="0091710A">
            <w:pPr>
              <w:pStyle w:val="NormalWeb"/>
              <w:rPr>
                <w:sz w:val="18"/>
                <w:szCs w:val="18"/>
              </w:rPr>
            </w:pPr>
            <w:r w:rsidRPr="008F62ED">
              <w:rPr>
                <w:sz w:val="18"/>
                <w:szCs w:val="18"/>
              </w:rPr>
              <w:t>D40Z</w:t>
            </w:r>
          </w:p>
        </w:tc>
        <w:tc>
          <w:tcPr>
            <w:tcW w:w="6662" w:type="dxa"/>
            <w:hideMark/>
          </w:tcPr>
          <w:p w14:paraId="17EEBCDA" w14:textId="77777777" w:rsidR="006A618B" w:rsidRPr="008F62ED" w:rsidRDefault="006A618B" w:rsidP="008F62ED">
            <w:pPr>
              <w:pStyle w:val="NormalWeb"/>
              <w:rPr>
                <w:sz w:val="18"/>
                <w:szCs w:val="18"/>
              </w:rPr>
            </w:pPr>
            <w:r w:rsidRPr="008F62ED">
              <w:rPr>
                <w:sz w:val="18"/>
                <w:szCs w:val="18"/>
              </w:rPr>
              <w:t>Dental Extractions and Restorations</w:t>
            </w:r>
          </w:p>
        </w:tc>
        <w:tc>
          <w:tcPr>
            <w:tcW w:w="1559" w:type="dxa"/>
            <w:hideMark/>
          </w:tcPr>
          <w:p w14:paraId="3CCFB157"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06D32EA6"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6EB15A30"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24DDD302"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002DB460" w14:textId="77777777" w:rsidTr="00643BBD">
        <w:tblPrEx>
          <w:tblCellMar>
            <w:top w:w="57" w:type="dxa"/>
            <w:left w:w="57" w:type="dxa"/>
            <w:bottom w:w="57" w:type="dxa"/>
            <w:right w:w="57" w:type="dxa"/>
          </w:tblCellMar>
        </w:tblPrEx>
        <w:tc>
          <w:tcPr>
            <w:tcW w:w="851" w:type="dxa"/>
            <w:hideMark/>
          </w:tcPr>
          <w:p w14:paraId="036B68C9" w14:textId="77777777" w:rsidR="006A618B" w:rsidRPr="008F62ED" w:rsidRDefault="006A618B" w:rsidP="0091710A">
            <w:pPr>
              <w:pStyle w:val="NormalWeb"/>
              <w:rPr>
                <w:sz w:val="18"/>
                <w:szCs w:val="18"/>
              </w:rPr>
            </w:pPr>
            <w:r w:rsidRPr="008F62ED">
              <w:rPr>
                <w:sz w:val="18"/>
                <w:szCs w:val="18"/>
              </w:rPr>
              <w:t>D63A</w:t>
            </w:r>
          </w:p>
        </w:tc>
        <w:tc>
          <w:tcPr>
            <w:tcW w:w="6662" w:type="dxa"/>
            <w:hideMark/>
          </w:tcPr>
          <w:p w14:paraId="4A9FAAAE" w14:textId="77777777" w:rsidR="006A618B" w:rsidRPr="008F62ED" w:rsidRDefault="006A618B" w:rsidP="008F62ED">
            <w:pPr>
              <w:pStyle w:val="NormalWeb"/>
              <w:rPr>
                <w:sz w:val="18"/>
                <w:szCs w:val="18"/>
              </w:rPr>
            </w:pPr>
            <w:r w:rsidRPr="008F62ED">
              <w:rPr>
                <w:sz w:val="18"/>
                <w:szCs w:val="18"/>
              </w:rPr>
              <w:t>Otitis Media and Upper Respiratory Infections, Major Complexity</w:t>
            </w:r>
          </w:p>
        </w:tc>
        <w:tc>
          <w:tcPr>
            <w:tcW w:w="1559" w:type="dxa"/>
            <w:hideMark/>
          </w:tcPr>
          <w:p w14:paraId="6A63AFDF" w14:textId="77777777" w:rsidR="006A618B" w:rsidRPr="008F62ED" w:rsidRDefault="006A618B" w:rsidP="0091710A">
            <w:pPr>
              <w:pStyle w:val="NormalWeb"/>
              <w:jc w:val="center"/>
              <w:rPr>
                <w:sz w:val="18"/>
                <w:szCs w:val="18"/>
              </w:rPr>
            </w:pPr>
            <w:r w:rsidRPr="008F62ED">
              <w:rPr>
                <w:sz w:val="18"/>
                <w:szCs w:val="18"/>
              </w:rPr>
              <w:t>2</w:t>
            </w:r>
          </w:p>
        </w:tc>
        <w:tc>
          <w:tcPr>
            <w:tcW w:w="2127" w:type="dxa"/>
            <w:hideMark/>
          </w:tcPr>
          <w:p w14:paraId="0D5EF5FA"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0F0F23E2" w14:textId="77777777" w:rsidR="006A618B" w:rsidRPr="008F62ED" w:rsidRDefault="006A618B" w:rsidP="0091710A">
            <w:pPr>
              <w:pStyle w:val="NormalWeb"/>
              <w:jc w:val="center"/>
              <w:rPr>
                <w:sz w:val="18"/>
                <w:szCs w:val="18"/>
              </w:rPr>
            </w:pPr>
            <w:r w:rsidRPr="008F62ED">
              <w:rPr>
                <w:sz w:val="18"/>
                <w:szCs w:val="18"/>
              </w:rPr>
              <w:t>2</w:t>
            </w:r>
          </w:p>
        </w:tc>
        <w:tc>
          <w:tcPr>
            <w:tcW w:w="1943" w:type="dxa"/>
            <w:hideMark/>
          </w:tcPr>
          <w:p w14:paraId="52E04115" w14:textId="77777777" w:rsidR="006A618B" w:rsidRPr="008F62ED" w:rsidRDefault="006A618B" w:rsidP="0091710A">
            <w:pPr>
              <w:pStyle w:val="NormalWeb"/>
              <w:jc w:val="center"/>
              <w:rPr>
                <w:sz w:val="18"/>
                <w:szCs w:val="18"/>
              </w:rPr>
            </w:pPr>
            <w:r w:rsidRPr="008F62ED">
              <w:rPr>
                <w:sz w:val="18"/>
                <w:szCs w:val="18"/>
              </w:rPr>
              <w:t>4</w:t>
            </w:r>
          </w:p>
        </w:tc>
      </w:tr>
      <w:tr w:rsidR="008F62ED" w:rsidRPr="008F62ED" w14:paraId="6623EC6F"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746D7002" w14:textId="77777777" w:rsidR="006A618B" w:rsidRPr="008F62ED" w:rsidRDefault="006A618B" w:rsidP="0091710A">
            <w:pPr>
              <w:pStyle w:val="NormalWeb"/>
              <w:rPr>
                <w:sz w:val="18"/>
                <w:szCs w:val="18"/>
              </w:rPr>
            </w:pPr>
            <w:r w:rsidRPr="008F62ED">
              <w:rPr>
                <w:sz w:val="18"/>
                <w:szCs w:val="18"/>
              </w:rPr>
              <w:t>D63B</w:t>
            </w:r>
          </w:p>
        </w:tc>
        <w:tc>
          <w:tcPr>
            <w:tcW w:w="6662" w:type="dxa"/>
            <w:hideMark/>
          </w:tcPr>
          <w:p w14:paraId="256EF238" w14:textId="77777777" w:rsidR="006A618B" w:rsidRPr="008F62ED" w:rsidRDefault="006A618B" w:rsidP="008F62ED">
            <w:pPr>
              <w:pStyle w:val="NormalWeb"/>
              <w:rPr>
                <w:sz w:val="18"/>
                <w:szCs w:val="18"/>
              </w:rPr>
            </w:pPr>
            <w:r w:rsidRPr="008F62ED">
              <w:rPr>
                <w:sz w:val="18"/>
                <w:szCs w:val="18"/>
              </w:rPr>
              <w:t>Otitis Media and Upper Respiratory Infections, Minor Complexity</w:t>
            </w:r>
          </w:p>
        </w:tc>
        <w:tc>
          <w:tcPr>
            <w:tcW w:w="1559" w:type="dxa"/>
            <w:hideMark/>
          </w:tcPr>
          <w:p w14:paraId="2C4F0904" w14:textId="77777777" w:rsidR="006A618B" w:rsidRPr="008F62ED" w:rsidRDefault="006A618B" w:rsidP="0091710A">
            <w:pPr>
              <w:pStyle w:val="NormalWeb"/>
              <w:jc w:val="center"/>
              <w:rPr>
                <w:sz w:val="18"/>
                <w:szCs w:val="18"/>
              </w:rPr>
            </w:pPr>
            <w:r w:rsidRPr="008F62ED">
              <w:rPr>
                <w:sz w:val="18"/>
                <w:szCs w:val="18"/>
              </w:rPr>
              <w:t>17</w:t>
            </w:r>
          </w:p>
        </w:tc>
        <w:tc>
          <w:tcPr>
            <w:tcW w:w="2127" w:type="dxa"/>
            <w:hideMark/>
          </w:tcPr>
          <w:p w14:paraId="6F199A8B" w14:textId="77777777" w:rsidR="006A618B" w:rsidRPr="008F62ED" w:rsidRDefault="006A618B" w:rsidP="0091710A">
            <w:pPr>
              <w:pStyle w:val="NormalWeb"/>
              <w:jc w:val="center"/>
              <w:rPr>
                <w:sz w:val="18"/>
                <w:szCs w:val="18"/>
              </w:rPr>
            </w:pPr>
            <w:r w:rsidRPr="008F62ED">
              <w:rPr>
                <w:sz w:val="18"/>
                <w:szCs w:val="18"/>
              </w:rPr>
              <w:t>2</w:t>
            </w:r>
          </w:p>
        </w:tc>
        <w:tc>
          <w:tcPr>
            <w:tcW w:w="1842" w:type="dxa"/>
            <w:hideMark/>
          </w:tcPr>
          <w:p w14:paraId="444ABA43"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01D8683F" w14:textId="77777777" w:rsidR="006A618B" w:rsidRPr="008F62ED" w:rsidRDefault="006A618B" w:rsidP="0091710A">
            <w:pPr>
              <w:pStyle w:val="NormalWeb"/>
              <w:jc w:val="center"/>
              <w:rPr>
                <w:sz w:val="18"/>
                <w:szCs w:val="18"/>
              </w:rPr>
            </w:pPr>
            <w:r w:rsidRPr="008F62ED">
              <w:rPr>
                <w:sz w:val="18"/>
                <w:szCs w:val="18"/>
              </w:rPr>
              <w:t>20</w:t>
            </w:r>
          </w:p>
        </w:tc>
      </w:tr>
      <w:tr w:rsidR="008F62ED" w:rsidRPr="008F62ED" w14:paraId="02052D3D" w14:textId="77777777" w:rsidTr="00643BBD">
        <w:tblPrEx>
          <w:tblCellMar>
            <w:top w:w="57" w:type="dxa"/>
            <w:left w:w="57" w:type="dxa"/>
            <w:bottom w:w="57" w:type="dxa"/>
            <w:right w:w="57" w:type="dxa"/>
          </w:tblCellMar>
        </w:tblPrEx>
        <w:tc>
          <w:tcPr>
            <w:tcW w:w="851" w:type="dxa"/>
            <w:hideMark/>
          </w:tcPr>
          <w:p w14:paraId="0B325D55" w14:textId="77777777" w:rsidR="006A618B" w:rsidRPr="008F62ED" w:rsidRDefault="006A618B" w:rsidP="0091710A">
            <w:pPr>
              <w:pStyle w:val="NormalWeb"/>
              <w:rPr>
                <w:sz w:val="18"/>
                <w:szCs w:val="18"/>
              </w:rPr>
            </w:pPr>
            <w:r w:rsidRPr="008F62ED">
              <w:rPr>
                <w:sz w:val="18"/>
                <w:szCs w:val="18"/>
              </w:rPr>
              <w:t>E01A</w:t>
            </w:r>
          </w:p>
        </w:tc>
        <w:tc>
          <w:tcPr>
            <w:tcW w:w="6662" w:type="dxa"/>
            <w:hideMark/>
          </w:tcPr>
          <w:p w14:paraId="26334BCA" w14:textId="77777777" w:rsidR="006A618B" w:rsidRPr="008F62ED" w:rsidRDefault="006A618B" w:rsidP="008F62ED">
            <w:pPr>
              <w:pStyle w:val="NormalWeb"/>
              <w:rPr>
                <w:sz w:val="18"/>
                <w:szCs w:val="18"/>
              </w:rPr>
            </w:pPr>
            <w:r w:rsidRPr="008F62ED">
              <w:rPr>
                <w:sz w:val="18"/>
                <w:szCs w:val="18"/>
              </w:rPr>
              <w:t>Major Chest Interventions, Major Complexity</w:t>
            </w:r>
          </w:p>
        </w:tc>
        <w:tc>
          <w:tcPr>
            <w:tcW w:w="1559" w:type="dxa"/>
            <w:hideMark/>
          </w:tcPr>
          <w:p w14:paraId="18EF49EB"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2EF3856D"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4F528442"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2BA8B3C4"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462B4DA2"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1BA53822" w14:textId="77777777" w:rsidR="006A618B" w:rsidRPr="008F62ED" w:rsidRDefault="006A618B" w:rsidP="0091710A">
            <w:pPr>
              <w:pStyle w:val="NormalWeb"/>
              <w:rPr>
                <w:sz w:val="18"/>
                <w:szCs w:val="18"/>
              </w:rPr>
            </w:pPr>
            <w:r w:rsidRPr="008F62ED">
              <w:rPr>
                <w:sz w:val="18"/>
                <w:szCs w:val="18"/>
              </w:rPr>
              <w:t>E40A</w:t>
            </w:r>
          </w:p>
        </w:tc>
        <w:tc>
          <w:tcPr>
            <w:tcW w:w="6662" w:type="dxa"/>
            <w:hideMark/>
          </w:tcPr>
          <w:p w14:paraId="2C6721F5" w14:textId="77777777" w:rsidR="006A618B" w:rsidRPr="008F62ED" w:rsidRDefault="006A618B" w:rsidP="008F62ED">
            <w:pPr>
              <w:pStyle w:val="NormalWeb"/>
              <w:rPr>
                <w:sz w:val="18"/>
                <w:szCs w:val="18"/>
              </w:rPr>
            </w:pPr>
            <w:r w:rsidRPr="008F62ED">
              <w:rPr>
                <w:sz w:val="18"/>
                <w:szCs w:val="18"/>
              </w:rPr>
              <w:t>Respiratory System Disorders W Ventilator Support, Major Complexity</w:t>
            </w:r>
          </w:p>
        </w:tc>
        <w:tc>
          <w:tcPr>
            <w:tcW w:w="1559" w:type="dxa"/>
            <w:hideMark/>
          </w:tcPr>
          <w:p w14:paraId="0B8E87ED"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7601535B"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2BE7B61B"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734200F3"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08BE9FB1" w14:textId="77777777" w:rsidTr="00643BBD">
        <w:tblPrEx>
          <w:tblCellMar>
            <w:top w:w="57" w:type="dxa"/>
            <w:left w:w="57" w:type="dxa"/>
            <w:bottom w:w="57" w:type="dxa"/>
            <w:right w:w="57" w:type="dxa"/>
          </w:tblCellMar>
        </w:tblPrEx>
        <w:tc>
          <w:tcPr>
            <w:tcW w:w="851" w:type="dxa"/>
            <w:hideMark/>
          </w:tcPr>
          <w:p w14:paraId="064E144D" w14:textId="77777777" w:rsidR="006A618B" w:rsidRPr="008F62ED" w:rsidRDefault="006A618B" w:rsidP="0091710A">
            <w:pPr>
              <w:pStyle w:val="NormalWeb"/>
              <w:rPr>
                <w:sz w:val="18"/>
                <w:szCs w:val="18"/>
              </w:rPr>
            </w:pPr>
            <w:r w:rsidRPr="008F62ED">
              <w:rPr>
                <w:sz w:val="18"/>
                <w:szCs w:val="18"/>
              </w:rPr>
              <w:t>E40B</w:t>
            </w:r>
          </w:p>
        </w:tc>
        <w:tc>
          <w:tcPr>
            <w:tcW w:w="6662" w:type="dxa"/>
            <w:hideMark/>
          </w:tcPr>
          <w:p w14:paraId="7C6D7648" w14:textId="77777777" w:rsidR="006A618B" w:rsidRPr="008F62ED" w:rsidRDefault="006A618B" w:rsidP="008F62ED">
            <w:pPr>
              <w:pStyle w:val="NormalWeb"/>
              <w:rPr>
                <w:sz w:val="18"/>
                <w:szCs w:val="18"/>
              </w:rPr>
            </w:pPr>
            <w:r w:rsidRPr="008F62ED">
              <w:rPr>
                <w:sz w:val="18"/>
                <w:szCs w:val="18"/>
              </w:rPr>
              <w:t>Respiratory System Disorders W Ventilator Support, Minor Complexity</w:t>
            </w:r>
          </w:p>
        </w:tc>
        <w:tc>
          <w:tcPr>
            <w:tcW w:w="1559" w:type="dxa"/>
            <w:hideMark/>
          </w:tcPr>
          <w:p w14:paraId="0E5F9DB9"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05327589"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7BD3CC80"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07595280"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599BA799"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1400FCB4" w14:textId="77777777" w:rsidR="006A618B" w:rsidRPr="008F62ED" w:rsidRDefault="006A618B" w:rsidP="0091710A">
            <w:pPr>
              <w:pStyle w:val="NormalWeb"/>
              <w:rPr>
                <w:sz w:val="18"/>
                <w:szCs w:val="18"/>
              </w:rPr>
            </w:pPr>
            <w:r w:rsidRPr="008F62ED">
              <w:rPr>
                <w:sz w:val="18"/>
                <w:szCs w:val="18"/>
              </w:rPr>
              <w:t>E41A</w:t>
            </w:r>
          </w:p>
        </w:tc>
        <w:tc>
          <w:tcPr>
            <w:tcW w:w="6662" w:type="dxa"/>
            <w:hideMark/>
          </w:tcPr>
          <w:p w14:paraId="04EB5019" w14:textId="77777777" w:rsidR="006A618B" w:rsidRPr="008F62ED" w:rsidRDefault="006A618B" w:rsidP="008F62ED">
            <w:pPr>
              <w:pStyle w:val="NormalWeb"/>
              <w:rPr>
                <w:sz w:val="18"/>
                <w:szCs w:val="18"/>
              </w:rPr>
            </w:pPr>
            <w:r w:rsidRPr="008F62ED">
              <w:rPr>
                <w:sz w:val="18"/>
                <w:szCs w:val="18"/>
              </w:rPr>
              <w:t>Respiratory System Disorders W Non-Invasive Ventilation, Major Complexity</w:t>
            </w:r>
          </w:p>
        </w:tc>
        <w:tc>
          <w:tcPr>
            <w:tcW w:w="1559" w:type="dxa"/>
            <w:hideMark/>
          </w:tcPr>
          <w:p w14:paraId="526C863A" w14:textId="77777777" w:rsidR="006A618B" w:rsidRPr="008F62ED" w:rsidRDefault="006A618B" w:rsidP="0091710A">
            <w:pPr>
              <w:pStyle w:val="NormalWeb"/>
              <w:jc w:val="center"/>
              <w:rPr>
                <w:sz w:val="18"/>
                <w:szCs w:val="18"/>
              </w:rPr>
            </w:pPr>
            <w:r w:rsidRPr="008F62ED">
              <w:rPr>
                <w:sz w:val="18"/>
                <w:szCs w:val="18"/>
              </w:rPr>
              <w:t>36</w:t>
            </w:r>
          </w:p>
        </w:tc>
        <w:tc>
          <w:tcPr>
            <w:tcW w:w="2127" w:type="dxa"/>
            <w:hideMark/>
          </w:tcPr>
          <w:p w14:paraId="28665349"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7895E6CA" w14:textId="77777777" w:rsidR="006A618B" w:rsidRPr="008F62ED" w:rsidRDefault="006A618B" w:rsidP="0091710A">
            <w:pPr>
              <w:pStyle w:val="NormalWeb"/>
              <w:jc w:val="center"/>
              <w:rPr>
                <w:sz w:val="18"/>
                <w:szCs w:val="18"/>
              </w:rPr>
            </w:pPr>
            <w:r w:rsidRPr="008F62ED">
              <w:rPr>
                <w:sz w:val="18"/>
                <w:szCs w:val="18"/>
              </w:rPr>
              <w:t>6</w:t>
            </w:r>
          </w:p>
        </w:tc>
        <w:tc>
          <w:tcPr>
            <w:tcW w:w="1943" w:type="dxa"/>
            <w:hideMark/>
          </w:tcPr>
          <w:p w14:paraId="29C3DA55" w14:textId="77777777" w:rsidR="006A618B" w:rsidRPr="008F62ED" w:rsidRDefault="006A618B" w:rsidP="0091710A">
            <w:pPr>
              <w:pStyle w:val="NormalWeb"/>
              <w:jc w:val="center"/>
              <w:rPr>
                <w:sz w:val="18"/>
                <w:szCs w:val="18"/>
              </w:rPr>
            </w:pPr>
            <w:r w:rsidRPr="008F62ED">
              <w:rPr>
                <w:sz w:val="18"/>
                <w:szCs w:val="18"/>
              </w:rPr>
              <w:t>43</w:t>
            </w:r>
          </w:p>
        </w:tc>
      </w:tr>
      <w:tr w:rsidR="008F62ED" w:rsidRPr="008F62ED" w14:paraId="0197DC7E" w14:textId="77777777" w:rsidTr="00643BBD">
        <w:tblPrEx>
          <w:tblCellMar>
            <w:top w:w="57" w:type="dxa"/>
            <w:left w:w="57" w:type="dxa"/>
            <w:bottom w:w="57" w:type="dxa"/>
            <w:right w:w="57" w:type="dxa"/>
          </w:tblCellMar>
        </w:tblPrEx>
        <w:tc>
          <w:tcPr>
            <w:tcW w:w="851" w:type="dxa"/>
            <w:hideMark/>
          </w:tcPr>
          <w:p w14:paraId="437985AE" w14:textId="77777777" w:rsidR="006A618B" w:rsidRPr="008F62ED" w:rsidRDefault="006A618B" w:rsidP="0091710A">
            <w:pPr>
              <w:pStyle w:val="NormalWeb"/>
              <w:rPr>
                <w:sz w:val="18"/>
                <w:szCs w:val="18"/>
              </w:rPr>
            </w:pPr>
            <w:r w:rsidRPr="008F62ED">
              <w:rPr>
                <w:sz w:val="18"/>
                <w:szCs w:val="18"/>
              </w:rPr>
              <w:t>E41B</w:t>
            </w:r>
          </w:p>
        </w:tc>
        <w:tc>
          <w:tcPr>
            <w:tcW w:w="6662" w:type="dxa"/>
            <w:hideMark/>
          </w:tcPr>
          <w:p w14:paraId="280A29AC" w14:textId="77777777" w:rsidR="006A618B" w:rsidRPr="008F62ED" w:rsidRDefault="006A618B" w:rsidP="008F62ED">
            <w:pPr>
              <w:pStyle w:val="NormalWeb"/>
              <w:rPr>
                <w:sz w:val="18"/>
                <w:szCs w:val="18"/>
              </w:rPr>
            </w:pPr>
            <w:r w:rsidRPr="008F62ED">
              <w:rPr>
                <w:sz w:val="18"/>
                <w:szCs w:val="18"/>
              </w:rPr>
              <w:t>Respiratory System Disorders W Non-Invasive Ventilation, Minor Complexity</w:t>
            </w:r>
          </w:p>
        </w:tc>
        <w:tc>
          <w:tcPr>
            <w:tcW w:w="1559" w:type="dxa"/>
            <w:hideMark/>
          </w:tcPr>
          <w:p w14:paraId="28ED6D93" w14:textId="77777777" w:rsidR="006A618B" w:rsidRPr="008F62ED" w:rsidRDefault="006A618B" w:rsidP="0091710A">
            <w:pPr>
              <w:pStyle w:val="NormalWeb"/>
              <w:jc w:val="center"/>
              <w:rPr>
                <w:sz w:val="18"/>
                <w:szCs w:val="18"/>
              </w:rPr>
            </w:pPr>
            <w:r w:rsidRPr="008F62ED">
              <w:rPr>
                <w:sz w:val="18"/>
                <w:szCs w:val="18"/>
              </w:rPr>
              <w:t>34</w:t>
            </w:r>
          </w:p>
        </w:tc>
        <w:tc>
          <w:tcPr>
            <w:tcW w:w="2127" w:type="dxa"/>
            <w:hideMark/>
          </w:tcPr>
          <w:p w14:paraId="37915BD2" w14:textId="77777777" w:rsidR="006A618B" w:rsidRPr="008F62ED" w:rsidRDefault="006A618B" w:rsidP="0091710A">
            <w:pPr>
              <w:pStyle w:val="NormalWeb"/>
              <w:jc w:val="center"/>
              <w:rPr>
                <w:sz w:val="18"/>
                <w:szCs w:val="18"/>
              </w:rPr>
            </w:pPr>
            <w:r w:rsidRPr="008F62ED">
              <w:rPr>
                <w:sz w:val="18"/>
                <w:szCs w:val="18"/>
              </w:rPr>
              <w:t>2</w:t>
            </w:r>
          </w:p>
        </w:tc>
        <w:tc>
          <w:tcPr>
            <w:tcW w:w="1842" w:type="dxa"/>
            <w:hideMark/>
          </w:tcPr>
          <w:p w14:paraId="5E7C62B3" w14:textId="77777777" w:rsidR="006A618B" w:rsidRPr="008F62ED" w:rsidRDefault="006A618B" w:rsidP="0091710A">
            <w:pPr>
              <w:pStyle w:val="NormalWeb"/>
              <w:jc w:val="center"/>
              <w:rPr>
                <w:sz w:val="18"/>
                <w:szCs w:val="18"/>
              </w:rPr>
            </w:pPr>
            <w:r w:rsidRPr="008F62ED">
              <w:rPr>
                <w:sz w:val="18"/>
                <w:szCs w:val="18"/>
              </w:rPr>
              <w:t>3</w:t>
            </w:r>
          </w:p>
        </w:tc>
        <w:tc>
          <w:tcPr>
            <w:tcW w:w="1943" w:type="dxa"/>
            <w:hideMark/>
          </w:tcPr>
          <w:p w14:paraId="64E35DF1" w14:textId="77777777" w:rsidR="006A618B" w:rsidRPr="008F62ED" w:rsidRDefault="006A618B" w:rsidP="0091710A">
            <w:pPr>
              <w:pStyle w:val="NormalWeb"/>
              <w:jc w:val="center"/>
              <w:rPr>
                <w:sz w:val="18"/>
                <w:szCs w:val="18"/>
              </w:rPr>
            </w:pPr>
            <w:r w:rsidRPr="008F62ED">
              <w:rPr>
                <w:sz w:val="18"/>
                <w:szCs w:val="18"/>
              </w:rPr>
              <w:t>39</w:t>
            </w:r>
          </w:p>
        </w:tc>
      </w:tr>
      <w:tr w:rsidR="008F62ED" w:rsidRPr="008F62ED" w14:paraId="6FD8D73A"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39F27D81" w14:textId="77777777" w:rsidR="006A618B" w:rsidRPr="008F62ED" w:rsidRDefault="006A618B" w:rsidP="0091710A">
            <w:pPr>
              <w:pStyle w:val="NormalWeb"/>
              <w:rPr>
                <w:sz w:val="18"/>
                <w:szCs w:val="18"/>
              </w:rPr>
            </w:pPr>
            <w:r w:rsidRPr="008F62ED">
              <w:rPr>
                <w:sz w:val="18"/>
                <w:szCs w:val="18"/>
              </w:rPr>
              <w:t>E62A</w:t>
            </w:r>
          </w:p>
        </w:tc>
        <w:tc>
          <w:tcPr>
            <w:tcW w:w="6662" w:type="dxa"/>
            <w:hideMark/>
          </w:tcPr>
          <w:p w14:paraId="26C58C64" w14:textId="77777777" w:rsidR="006A618B" w:rsidRPr="008F62ED" w:rsidRDefault="006A618B" w:rsidP="008F62ED">
            <w:pPr>
              <w:pStyle w:val="NormalWeb"/>
              <w:rPr>
                <w:sz w:val="18"/>
                <w:szCs w:val="18"/>
              </w:rPr>
            </w:pPr>
            <w:r w:rsidRPr="008F62ED">
              <w:rPr>
                <w:sz w:val="18"/>
                <w:szCs w:val="18"/>
              </w:rPr>
              <w:t>Respiratory Infections and Inflammations, Major Complexity</w:t>
            </w:r>
          </w:p>
        </w:tc>
        <w:tc>
          <w:tcPr>
            <w:tcW w:w="1559" w:type="dxa"/>
            <w:hideMark/>
          </w:tcPr>
          <w:p w14:paraId="03A7A50F" w14:textId="77777777" w:rsidR="006A618B" w:rsidRPr="008F62ED" w:rsidRDefault="006A618B" w:rsidP="0091710A">
            <w:pPr>
              <w:pStyle w:val="NormalWeb"/>
              <w:jc w:val="center"/>
              <w:rPr>
                <w:sz w:val="18"/>
                <w:szCs w:val="18"/>
              </w:rPr>
            </w:pPr>
            <w:r w:rsidRPr="008F62ED">
              <w:rPr>
                <w:sz w:val="18"/>
                <w:szCs w:val="18"/>
              </w:rPr>
              <w:t>19</w:t>
            </w:r>
          </w:p>
        </w:tc>
        <w:tc>
          <w:tcPr>
            <w:tcW w:w="2127" w:type="dxa"/>
            <w:hideMark/>
          </w:tcPr>
          <w:p w14:paraId="5173E3ED"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65FBCCC4"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07EB7AF6" w14:textId="77777777" w:rsidR="006A618B" w:rsidRPr="008F62ED" w:rsidRDefault="006A618B" w:rsidP="0091710A">
            <w:pPr>
              <w:pStyle w:val="NormalWeb"/>
              <w:jc w:val="center"/>
              <w:rPr>
                <w:sz w:val="18"/>
                <w:szCs w:val="18"/>
              </w:rPr>
            </w:pPr>
            <w:r w:rsidRPr="008F62ED">
              <w:rPr>
                <w:sz w:val="18"/>
                <w:szCs w:val="18"/>
              </w:rPr>
              <w:t>20</w:t>
            </w:r>
          </w:p>
        </w:tc>
      </w:tr>
      <w:tr w:rsidR="008F62ED" w:rsidRPr="008F62ED" w14:paraId="58912885" w14:textId="77777777" w:rsidTr="00643BBD">
        <w:tblPrEx>
          <w:tblCellMar>
            <w:top w:w="57" w:type="dxa"/>
            <w:left w:w="57" w:type="dxa"/>
            <w:bottom w:w="57" w:type="dxa"/>
            <w:right w:w="57" w:type="dxa"/>
          </w:tblCellMar>
        </w:tblPrEx>
        <w:tc>
          <w:tcPr>
            <w:tcW w:w="851" w:type="dxa"/>
            <w:hideMark/>
          </w:tcPr>
          <w:p w14:paraId="6CC5BE2F" w14:textId="77777777" w:rsidR="006A618B" w:rsidRPr="008F62ED" w:rsidRDefault="006A618B" w:rsidP="0091710A">
            <w:pPr>
              <w:pStyle w:val="NormalWeb"/>
              <w:rPr>
                <w:sz w:val="18"/>
                <w:szCs w:val="18"/>
              </w:rPr>
            </w:pPr>
            <w:r w:rsidRPr="008F62ED">
              <w:rPr>
                <w:sz w:val="18"/>
                <w:szCs w:val="18"/>
              </w:rPr>
              <w:t>E62B</w:t>
            </w:r>
          </w:p>
        </w:tc>
        <w:tc>
          <w:tcPr>
            <w:tcW w:w="6662" w:type="dxa"/>
            <w:hideMark/>
          </w:tcPr>
          <w:p w14:paraId="791E037D" w14:textId="77777777" w:rsidR="006A618B" w:rsidRPr="008F62ED" w:rsidRDefault="006A618B" w:rsidP="008F62ED">
            <w:pPr>
              <w:pStyle w:val="NormalWeb"/>
              <w:rPr>
                <w:sz w:val="18"/>
                <w:szCs w:val="18"/>
              </w:rPr>
            </w:pPr>
            <w:r w:rsidRPr="008F62ED">
              <w:rPr>
                <w:sz w:val="18"/>
                <w:szCs w:val="18"/>
              </w:rPr>
              <w:t>Respiratory Infections and Inflammations, Minor Complexity</w:t>
            </w:r>
          </w:p>
        </w:tc>
        <w:tc>
          <w:tcPr>
            <w:tcW w:w="1559" w:type="dxa"/>
            <w:hideMark/>
          </w:tcPr>
          <w:p w14:paraId="0F78BA57" w14:textId="77777777" w:rsidR="006A618B" w:rsidRPr="008F62ED" w:rsidRDefault="006A618B" w:rsidP="0091710A">
            <w:pPr>
              <w:pStyle w:val="NormalWeb"/>
              <w:jc w:val="center"/>
              <w:rPr>
                <w:sz w:val="18"/>
                <w:szCs w:val="18"/>
              </w:rPr>
            </w:pPr>
            <w:r w:rsidRPr="008F62ED">
              <w:rPr>
                <w:sz w:val="18"/>
                <w:szCs w:val="18"/>
              </w:rPr>
              <w:t>24</w:t>
            </w:r>
          </w:p>
        </w:tc>
        <w:tc>
          <w:tcPr>
            <w:tcW w:w="2127" w:type="dxa"/>
            <w:hideMark/>
          </w:tcPr>
          <w:p w14:paraId="25914CAF" w14:textId="77777777" w:rsidR="006A618B" w:rsidRPr="008F62ED" w:rsidRDefault="006A618B" w:rsidP="0091710A">
            <w:pPr>
              <w:pStyle w:val="NormalWeb"/>
              <w:jc w:val="center"/>
              <w:rPr>
                <w:sz w:val="18"/>
                <w:szCs w:val="18"/>
              </w:rPr>
            </w:pPr>
            <w:r w:rsidRPr="008F62ED">
              <w:rPr>
                <w:sz w:val="18"/>
                <w:szCs w:val="18"/>
              </w:rPr>
              <w:t>7</w:t>
            </w:r>
          </w:p>
        </w:tc>
        <w:tc>
          <w:tcPr>
            <w:tcW w:w="1842" w:type="dxa"/>
            <w:hideMark/>
          </w:tcPr>
          <w:p w14:paraId="5237AE70" w14:textId="77777777" w:rsidR="006A618B" w:rsidRPr="008F62ED" w:rsidRDefault="006A618B" w:rsidP="0091710A">
            <w:pPr>
              <w:pStyle w:val="NormalWeb"/>
              <w:jc w:val="center"/>
              <w:rPr>
                <w:sz w:val="18"/>
                <w:szCs w:val="18"/>
              </w:rPr>
            </w:pPr>
            <w:r w:rsidRPr="008F62ED">
              <w:rPr>
                <w:sz w:val="18"/>
                <w:szCs w:val="18"/>
              </w:rPr>
              <w:t>2</w:t>
            </w:r>
          </w:p>
        </w:tc>
        <w:tc>
          <w:tcPr>
            <w:tcW w:w="1943" w:type="dxa"/>
            <w:hideMark/>
          </w:tcPr>
          <w:p w14:paraId="3D2BE8DD" w14:textId="77777777" w:rsidR="006A618B" w:rsidRPr="008F62ED" w:rsidRDefault="006A618B" w:rsidP="0091710A">
            <w:pPr>
              <w:pStyle w:val="NormalWeb"/>
              <w:jc w:val="center"/>
              <w:rPr>
                <w:sz w:val="18"/>
                <w:szCs w:val="18"/>
              </w:rPr>
            </w:pPr>
            <w:r w:rsidRPr="008F62ED">
              <w:rPr>
                <w:sz w:val="18"/>
                <w:szCs w:val="18"/>
              </w:rPr>
              <w:t>33</w:t>
            </w:r>
          </w:p>
        </w:tc>
      </w:tr>
      <w:tr w:rsidR="008F62ED" w:rsidRPr="008F62ED" w14:paraId="445A8941"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53CC6609" w14:textId="77777777" w:rsidR="006A618B" w:rsidRPr="008F62ED" w:rsidRDefault="006A618B" w:rsidP="0091710A">
            <w:pPr>
              <w:pStyle w:val="NormalWeb"/>
              <w:rPr>
                <w:sz w:val="18"/>
                <w:szCs w:val="18"/>
              </w:rPr>
            </w:pPr>
            <w:r w:rsidRPr="008F62ED">
              <w:rPr>
                <w:sz w:val="18"/>
                <w:szCs w:val="18"/>
              </w:rPr>
              <w:t>E63A</w:t>
            </w:r>
          </w:p>
        </w:tc>
        <w:tc>
          <w:tcPr>
            <w:tcW w:w="6662" w:type="dxa"/>
            <w:hideMark/>
          </w:tcPr>
          <w:p w14:paraId="63733A70" w14:textId="77777777" w:rsidR="006A618B" w:rsidRPr="008F62ED" w:rsidRDefault="006A618B" w:rsidP="008F62ED">
            <w:pPr>
              <w:pStyle w:val="NormalWeb"/>
              <w:rPr>
                <w:sz w:val="18"/>
                <w:szCs w:val="18"/>
              </w:rPr>
            </w:pPr>
            <w:r w:rsidRPr="008F62ED">
              <w:rPr>
                <w:sz w:val="18"/>
                <w:szCs w:val="18"/>
              </w:rPr>
              <w:t>Sleep Apnoea, Major Complexity</w:t>
            </w:r>
          </w:p>
        </w:tc>
        <w:tc>
          <w:tcPr>
            <w:tcW w:w="1559" w:type="dxa"/>
            <w:hideMark/>
          </w:tcPr>
          <w:p w14:paraId="5695CC5A"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4BCD8797"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26D77F1A"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3433DAB8"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6F5402C0" w14:textId="77777777" w:rsidTr="00643BBD">
        <w:tblPrEx>
          <w:tblCellMar>
            <w:top w:w="57" w:type="dxa"/>
            <w:left w:w="57" w:type="dxa"/>
            <w:bottom w:w="57" w:type="dxa"/>
            <w:right w:w="57" w:type="dxa"/>
          </w:tblCellMar>
        </w:tblPrEx>
        <w:tc>
          <w:tcPr>
            <w:tcW w:w="851" w:type="dxa"/>
            <w:tcBorders>
              <w:bottom w:val="single" w:sz="2" w:space="0" w:color="000000" w:themeColor="text1"/>
            </w:tcBorders>
            <w:hideMark/>
          </w:tcPr>
          <w:p w14:paraId="6050563B" w14:textId="77777777" w:rsidR="006A618B" w:rsidRPr="008F62ED" w:rsidRDefault="006A618B" w:rsidP="0091710A">
            <w:pPr>
              <w:pStyle w:val="NormalWeb"/>
              <w:rPr>
                <w:sz w:val="18"/>
                <w:szCs w:val="18"/>
              </w:rPr>
            </w:pPr>
            <w:r w:rsidRPr="008F62ED">
              <w:rPr>
                <w:sz w:val="18"/>
                <w:szCs w:val="18"/>
              </w:rPr>
              <w:t>E63B</w:t>
            </w:r>
          </w:p>
        </w:tc>
        <w:tc>
          <w:tcPr>
            <w:tcW w:w="6662" w:type="dxa"/>
            <w:tcBorders>
              <w:bottom w:val="single" w:sz="2" w:space="0" w:color="000000" w:themeColor="text1"/>
            </w:tcBorders>
            <w:hideMark/>
          </w:tcPr>
          <w:p w14:paraId="05090A8D" w14:textId="77777777" w:rsidR="006A618B" w:rsidRPr="008F62ED" w:rsidRDefault="006A618B" w:rsidP="008F62ED">
            <w:pPr>
              <w:pStyle w:val="NormalWeb"/>
              <w:rPr>
                <w:sz w:val="18"/>
                <w:szCs w:val="18"/>
              </w:rPr>
            </w:pPr>
            <w:r w:rsidRPr="008F62ED">
              <w:rPr>
                <w:sz w:val="18"/>
                <w:szCs w:val="18"/>
              </w:rPr>
              <w:t>Sleep Apnoea, Minor Complexity</w:t>
            </w:r>
          </w:p>
        </w:tc>
        <w:tc>
          <w:tcPr>
            <w:tcW w:w="1559" w:type="dxa"/>
            <w:tcBorders>
              <w:bottom w:val="single" w:sz="2" w:space="0" w:color="000000" w:themeColor="text1"/>
            </w:tcBorders>
            <w:hideMark/>
          </w:tcPr>
          <w:p w14:paraId="46E67307" w14:textId="77777777" w:rsidR="006A618B" w:rsidRPr="008F62ED" w:rsidRDefault="006A618B" w:rsidP="0091710A">
            <w:pPr>
              <w:pStyle w:val="NormalWeb"/>
              <w:jc w:val="center"/>
              <w:rPr>
                <w:sz w:val="18"/>
                <w:szCs w:val="18"/>
              </w:rPr>
            </w:pPr>
            <w:r w:rsidRPr="008F62ED">
              <w:rPr>
                <w:sz w:val="18"/>
                <w:szCs w:val="18"/>
              </w:rPr>
              <w:t>0</w:t>
            </w:r>
          </w:p>
        </w:tc>
        <w:tc>
          <w:tcPr>
            <w:tcW w:w="2127" w:type="dxa"/>
            <w:tcBorders>
              <w:bottom w:val="single" w:sz="2" w:space="0" w:color="000000" w:themeColor="text1"/>
            </w:tcBorders>
            <w:hideMark/>
          </w:tcPr>
          <w:p w14:paraId="11D7A90A" w14:textId="77777777" w:rsidR="006A618B" w:rsidRPr="008F62ED" w:rsidRDefault="006A618B" w:rsidP="0091710A">
            <w:pPr>
              <w:pStyle w:val="NormalWeb"/>
              <w:jc w:val="center"/>
              <w:rPr>
                <w:sz w:val="18"/>
                <w:szCs w:val="18"/>
              </w:rPr>
            </w:pPr>
            <w:r w:rsidRPr="008F62ED">
              <w:rPr>
                <w:sz w:val="18"/>
                <w:szCs w:val="18"/>
              </w:rPr>
              <w:t>0</w:t>
            </w:r>
          </w:p>
        </w:tc>
        <w:tc>
          <w:tcPr>
            <w:tcW w:w="1842" w:type="dxa"/>
            <w:tcBorders>
              <w:bottom w:val="single" w:sz="2" w:space="0" w:color="000000" w:themeColor="text1"/>
            </w:tcBorders>
            <w:hideMark/>
          </w:tcPr>
          <w:p w14:paraId="197CA1C7" w14:textId="77777777" w:rsidR="006A618B" w:rsidRPr="008F62ED" w:rsidRDefault="006A618B" w:rsidP="0091710A">
            <w:pPr>
              <w:pStyle w:val="NormalWeb"/>
              <w:jc w:val="center"/>
              <w:rPr>
                <w:sz w:val="18"/>
                <w:szCs w:val="18"/>
              </w:rPr>
            </w:pPr>
            <w:r w:rsidRPr="008F62ED">
              <w:rPr>
                <w:sz w:val="18"/>
                <w:szCs w:val="18"/>
              </w:rPr>
              <w:t>1</w:t>
            </w:r>
          </w:p>
        </w:tc>
        <w:tc>
          <w:tcPr>
            <w:tcW w:w="1943" w:type="dxa"/>
            <w:tcBorders>
              <w:bottom w:val="single" w:sz="2" w:space="0" w:color="000000" w:themeColor="text1"/>
            </w:tcBorders>
            <w:hideMark/>
          </w:tcPr>
          <w:p w14:paraId="5D570B29"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3CE7F079"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tcBorders>
              <w:top w:val="single" w:sz="2" w:space="0" w:color="000000" w:themeColor="text1"/>
            </w:tcBorders>
            <w:hideMark/>
          </w:tcPr>
          <w:p w14:paraId="04FA7E4F" w14:textId="77777777" w:rsidR="006A618B" w:rsidRPr="008F62ED" w:rsidRDefault="006A618B" w:rsidP="0091710A">
            <w:pPr>
              <w:pStyle w:val="NormalWeb"/>
              <w:rPr>
                <w:sz w:val="18"/>
                <w:szCs w:val="18"/>
              </w:rPr>
            </w:pPr>
            <w:r w:rsidRPr="008F62ED">
              <w:rPr>
                <w:sz w:val="18"/>
                <w:szCs w:val="18"/>
              </w:rPr>
              <w:lastRenderedPageBreak/>
              <w:t>E67A</w:t>
            </w:r>
          </w:p>
        </w:tc>
        <w:tc>
          <w:tcPr>
            <w:tcW w:w="6662" w:type="dxa"/>
            <w:tcBorders>
              <w:top w:val="single" w:sz="2" w:space="0" w:color="000000" w:themeColor="text1"/>
            </w:tcBorders>
            <w:hideMark/>
          </w:tcPr>
          <w:p w14:paraId="18CC483C" w14:textId="77777777" w:rsidR="006A618B" w:rsidRPr="008F62ED" w:rsidRDefault="006A618B" w:rsidP="008F62ED">
            <w:pPr>
              <w:pStyle w:val="NormalWeb"/>
              <w:rPr>
                <w:sz w:val="18"/>
                <w:szCs w:val="18"/>
              </w:rPr>
            </w:pPr>
            <w:r w:rsidRPr="008F62ED">
              <w:rPr>
                <w:sz w:val="18"/>
                <w:szCs w:val="18"/>
              </w:rPr>
              <w:t>Respiratory Signs and Symptoms, Major Complexity</w:t>
            </w:r>
          </w:p>
        </w:tc>
        <w:tc>
          <w:tcPr>
            <w:tcW w:w="1559" w:type="dxa"/>
            <w:tcBorders>
              <w:top w:val="single" w:sz="2" w:space="0" w:color="000000" w:themeColor="text1"/>
            </w:tcBorders>
            <w:hideMark/>
          </w:tcPr>
          <w:p w14:paraId="6FFBEDBA" w14:textId="77777777" w:rsidR="006A618B" w:rsidRPr="008F62ED" w:rsidRDefault="006A618B" w:rsidP="0091710A">
            <w:pPr>
              <w:pStyle w:val="NormalWeb"/>
              <w:jc w:val="center"/>
              <w:rPr>
                <w:sz w:val="18"/>
                <w:szCs w:val="18"/>
              </w:rPr>
            </w:pPr>
            <w:r w:rsidRPr="008F62ED">
              <w:rPr>
                <w:sz w:val="18"/>
                <w:szCs w:val="18"/>
              </w:rPr>
              <w:t>4</w:t>
            </w:r>
          </w:p>
        </w:tc>
        <w:tc>
          <w:tcPr>
            <w:tcW w:w="2127" w:type="dxa"/>
            <w:tcBorders>
              <w:top w:val="single" w:sz="2" w:space="0" w:color="000000" w:themeColor="text1"/>
            </w:tcBorders>
            <w:hideMark/>
          </w:tcPr>
          <w:p w14:paraId="2EDBE0CC" w14:textId="77777777" w:rsidR="006A618B" w:rsidRPr="008F62ED" w:rsidRDefault="006A618B" w:rsidP="0091710A">
            <w:pPr>
              <w:pStyle w:val="NormalWeb"/>
              <w:jc w:val="center"/>
              <w:rPr>
                <w:sz w:val="18"/>
                <w:szCs w:val="18"/>
              </w:rPr>
            </w:pPr>
            <w:r w:rsidRPr="008F62ED">
              <w:rPr>
                <w:sz w:val="18"/>
                <w:szCs w:val="18"/>
              </w:rPr>
              <w:t>3</w:t>
            </w:r>
          </w:p>
        </w:tc>
        <w:tc>
          <w:tcPr>
            <w:tcW w:w="1842" w:type="dxa"/>
            <w:tcBorders>
              <w:top w:val="single" w:sz="2" w:space="0" w:color="000000" w:themeColor="text1"/>
            </w:tcBorders>
            <w:hideMark/>
          </w:tcPr>
          <w:p w14:paraId="444BBF10" w14:textId="77777777" w:rsidR="006A618B" w:rsidRPr="008F62ED" w:rsidRDefault="006A618B" w:rsidP="0091710A">
            <w:pPr>
              <w:pStyle w:val="NormalWeb"/>
              <w:jc w:val="center"/>
              <w:rPr>
                <w:sz w:val="18"/>
                <w:szCs w:val="18"/>
              </w:rPr>
            </w:pPr>
            <w:r w:rsidRPr="008F62ED">
              <w:rPr>
                <w:sz w:val="18"/>
                <w:szCs w:val="18"/>
              </w:rPr>
              <w:t>3</w:t>
            </w:r>
          </w:p>
        </w:tc>
        <w:tc>
          <w:tcPr>
            <w:tcW w:w="1943" w:type="dxa"/>
            <w:tcBorders>
              <w:top w:val="single" w:sz="2" w:space="0" w:color="000000" w:themeColor="text1"/>
            </w:tcBorders>
            <w:hideMark/>
          </w:tcPr>
          <w:p w14:paraId="28ED9132" w14:textId="77777777" w:rsidR="006A618B" w:rsidRPr="008F62ED" w:rsidRDefault="006A618B" w:rsidP="0091710A">
            <w:pPr>
              <w:pStyle w:val="NormalWeb"/>
              <w:jc w:val="center"/>
              <w:rPr>
                <w:sz w:val="18"/>
                <w:szCs w:val="18"/>
              </w:rPr>
            </w:pPr>
            <w:r w:rsidRPr="008F62ED">
              <w:rPr>
                <w:sz w:val="18"/>
                <w:szCs w:val="18"/>
              </w:rPr>
              <w:t>10</w:t>
            </w:r>
          </w:p>
        </w:tc>
      </w:tr>
      <w:tr w:rsidR="008F62ED" w:rsidRPr="008F62ED" w14:paraId="33833A73" w14:textId="77777777" w:rsidTr="00643BBD">
        <w:tblPrEx>
          <w:tblCellMar>
            <w:top w:w="57" w:type="dxa"/>
            <w:left w:w="57" w:type="dxa"/>
            <w:bottom w:w="57" w:type="dxa"/>
            <w:right w:w="57" w:type="dxa"/>
          </w:tblCellMar>
        </w:tblPrEx>
        <w:tc>
          <w:tcPr>
            <w:tcW w:w="851" w:type="dxa"/>
            <w:hideMark/>
          </w:tcPr>
          <w:p w14:paraId="29012C79" w14:textId="77777777" w:rsidR="006A618B" w:rsidRPr="008F62ED" w:rsidRDefault="006A618B" w:rsidP="0091710A">
            <w:pPr>
              <w:pStyle w:val="NormalWeb"/>
              <w:rPr>
                <w:sz w:val="18"/>
                <w:szCs w:val="18"/>
              </w:rPr>
            </w:pPr>
            <w:r w:rsidRPr="008F62ED">
              <w:rPr>
                <w:sz w:val="18"/>
                <w:szCs w:val="18"/>
              </w:rPr>
              <w:t>E67B</w:t>
            </w:r>
          </w:p>
        </w:tc>
        <w:tc>
          <w:tcPr>
            <w:tcW w:w="6662" w:type="dxa"/>
            <w:hideMark/>
          </w:tcPr>
          <w:p w14:paraId="2D13E19E" w14:textId="77777777" w:rsidR="006A618B" w:rsidRPr="008F62ED" w:rsidRDefault="006A618B" w:rsidP="008F62ED">
            <w:pPr>
              <w:pStyle w:val="NormalWeb"/>
              <w:rPr>
                <w:sz w:val="18"/>
                <w:szCs w:val="18"/>
              </w:rPr>
            </w:pPr>
            <w:r w:rsidRPr="008F62ED">
              <w:rPr>
                <w:sz w:val="18"/>
                <w:szCs w:val="18"/>
              </w:rPr>
              <w:t>Respiratory Signs and Symptoms, Minor Complexity</w:t>
            </w:r>
          </w:p>
        </w:tc>
        <w:tc>
          <w:tcPr>
            <w:tcW w:w="1559" w:type="dxa"/>
            <w:hideMark/>
          </w:tcPr>
          <w:p w14:paraId="6EC3450F" w14:textId="77777777" w:rsidR="006A618B" w:rsidRPr="008F62ED" w:rsidRDefault="006A618B" w:rsidP="0091710A">
            <w:pPr>
              <w:pStyle w:val="NormalWeb"/>
              <w:jc w:val="center"/>
              <w:rPr>
                <w:sz w:val="18"/>
                <w:szCs w:val="18"/>
              </w:rPr>
            </w:pPr>
            <w:r w:rsidRPr="008F62ED">
              <w:rPr>
                <w:sz w:val="18"/>
                <w:szCs w:val="18"/>
              </w:rPr>
              <w:t>5</w:t>
            </w:r>
          </w:p>
        </w:tc>
        <w:tc>
          <w:tcPr>
            <w:tcW w:w="2127" w:type="dxa"/>
            <w:hideMark/>
          </w:tcPr>
          <w:p w14:paraId="543D4869"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4E0FB6A4" w14:textId="77777777" w:rsidR="006A618B" w:rsidRPr="008F62ED" w:rsidRDefault="006A618B" w:rsidP="0091710A">
            <w:pPr>
              <w:pStyle w:val="NormalWeb"/>
              <w:jc w:val="center"/>
              <w:rPr>
                <w:sz w:val="18"/>
                <w:szCs w:val="18"/>
              </w:rPr>
            </w:pPr>
            <w:r w:rsidRPr="008F62ED">
              <w:rPr>
                <w:sz w:val="18"/>
                <w:szCs w:val="18"/>
              </w:rPr>
              <w:t>16</w:t>
            </w:r>
          </w:p>
        </w:tc>
        <w:tc>
          <w:tcPr>
            <w:tcW w:w="1943" w:type="dxa"/>
            <w:hideMark/>
          </w:tcPr>
          <w:p w14:paraId="4BDE8AE4" w14:textId="77777777" w:rsidR="006A618B" w:rsidRPr="008F62ED" w:rsidRDefault="006A618B" w:rsidP="0091710A">
            <w:pPr>
              <w:pStyle w:val="NormalWeb"/>
              <w:jc w:val="center"/>
              <w:rPr>
                <w:sz w:val="18"/>
                <w:szCs w:val="18"/>
              </w:rPr>
            </w:pPr>
            <w:r w:rsidRPr="008F62ED">
              <w:rPr>
                <w:sz w:val="18"/>
                <w:szCs w:val="18"/>
              </w:rPr>
              <w:t>21</w:t>
            </w:r>
          </w:p>
        </w:tc>
      </w:tr>
      <w:tr w:rsidR="008F62ED" w:rsidRPr="008F62ED" w14:paraId="2D5131E0"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4C661DA7" w14:textId="77777777" w:rsidR="006A618B" w:rsidRPr="008F62ED" w:rsidRDefault="006A618B" w:rsidP="0091710A">
            <w:pPr>
              <w:pStyle w:val="NormalWeb"/>
              <w:rPr>
                <w:sz w:val="18"/>
                <w:szCs w:val="18"/>
              </w:rPr>
            </w:pPr>
            <w:r w:rsidRPr="008F62ED">
              <w:rPr>
                <w:sz w:val="18"/>
                <w:szCs w:val="18"/>
              </w:rPr>
              <w:t>E69B</w:t>
            </w:r>
          </w:p>
        </w:tc>
        <w:tc>
          <w:tcPr>
            <w:tcW w:w="6662" w:type="dxa"/>
            <w:hideMark/>
          </w:tcPr>
          <w:p w14:paraId="048C5B46" w14:textId="77777777" w:rsidR="006A618B" w:rsidRPr="008F62ED" w:rsidRDefault="006A618B" w:rsidP="008F62ED">
            <w:pPr>
              <w:pStyle w:val="NormalWeb"/>
              <w:rPr>
                <w:sz w:val="18"/>
                <w:szCs w:val="18"/>
              </w:rPr>
            </w:pPr>
            <w:r w:rsidRPr="008F62ED">
              <w:rPr>
                <w:sz w:val="18"/>
                <w:szCs w:val="18"/>
              </w:rPr>
              <w:t>Bronchitis and Asthma, Minor Complexity</w:t>
            </w:r>
          </w:p>
        </w:tc>
        <w:tc>
          <w:tcPr>
            <w:tcW w:w="1559" w:type="dxa"/>
            <w:hideMark/>
          </w:tcPr>
          <w:p w14:paraId="17964A79" w14:textId="77777777" w:rsidR="006A618B" w:rsidRPr="008F62ED" w:rsidRDefault="006A618B" w:rsidP="0091710A">
            <w:pPr>
              <w:pStyle w:val="NormalWeb"/>
              <w:jc w:val="center"/>
              <w:rPr>
                <w:sz w:val="18"/>
                <w:szCs w:val="18"/>
              </w:rPr>
            </w:pPr>
            <w:r w:rsidRPr="008F62ED">
              <w:rPr>
                <w:sz w:val="18"/>
                <w:szCs w:val="18"/>
              </w:rPr>
              <w:t>2</w:t>
            </w:r>
          </w:p>
        </w:tc>
        <w:tc>
          <w:tcPr>
            <w:tcW w:w="2127" w:type="dxa"/>
            <w:hideMark/>
          </w:tcPr>
          <w:p w14:paraId="7BB3C6B7"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3ADB549D" w14:textId="77777777" w:rsidR="006A618B" w:rsidRPr="008F62ED" w:rsidRDefault="006A618B" w:rsidP="0091710A">
            <w:pPr>
              <w:pStyle w:val="NormalWeb"/>
              <w:jc w:val="center"/>
              <w:rPr>
                <w:sz w:val="18"/>
                <w:szCs w:val="18"/>
              </w:rPr>
            </w:pPr>
            <w:r w:rsidRPr="008F62ED">
              <w:rPr>
                <w:sz w:val="18"/>
                <w:szCs w:val="18"/>
              </w:rPr>
              <w:t>11</w:t>
            </w:r>
          </w:p>
        </w:tc>
        <w:tc>
          <w:tcPr>
            <w:tcW w:w="1943" w:type="dxa"/>
            <w:hideMark/>
          </w:tcPr>
          <w:p w14:paraId="0B49E7E0" w14:textId="77777777" w:rsidR="006A618B" w:rsidRPr="008F62ED" w:rsidRDefault="006A618B" w:rsidP="0091710A">
            <w:pPr>
              <w:pStyle w:val="NormalWeb"/>
              <w:jc w:val="center"/>
              <w:rPr>
                <w:sz w:val="18"/>
                <w:szCs w:val="18"/>
              </w:rPr>
            </w:pPr>
            <w:r w:rsidRPr="008F62ED">
              <w:rPr>
                <w:sz w:val="18"/>
                <w:szCs w:val="18"/>
              </w:rPr>
              <w:t>14</w:t>
            </w:r>
          </w:p>
        </w:tc>
      </w:tr>
      <w:tr w:rsidR="008F62ED" w:rsidRPr="008F62ED" w14:paraId="6450ED7D" w14:textId="77777777" w:rsidTr="00643BBD">
        <w:tblPrEx>
          <w:tblCellMar>
            <w:top w:w="57" w:type="dxa"/>
            <w:left w:w="57" w:type="dxa"/>
            <w:bottom w:w="57" w:type="dxa"/>
            <w:right w:w="57" w:type="dxa"/>
          </w:tblCellMar>
        </w:tblPrEx>
        <w:tc>
          <w:tcPr>
            <w:tcW w:w="851" w:type="dxa"/>
            <w:hideMark/>
          </w:tcPr>
          <w:p w14:paraId="1EF32C61" w14:textId="77777777" w:rsidR="006A618B" w:rsidRPr="008F62ED" w:rsidRDefault="006A618B" w:rsidP="0091710A">
            <w:pPr>
              <w:pStyle w:val="NormalWeb"/>
              <w:rPr>
                <w:sz w:val="18"/>
                <w:szCs w:val="18"/>
              </w:rPr>
            </w:pPr>
            <w:r w:rsidRPr="008F62ED">
              <w:rPr>
                <w:sz w:val="18"/>
                <w:szCs w:val="18"/>
              </w:rPr>
              <w:t>E70A</w:t>
            </w:r>
          </w:p>
        </w:tc>
        <w:tc>
          <w:tcPr>
            <w:tcW w:w="6662" w:type="dxa"/>
            <w:hideMark/>
          </w:tcPr>
          <w:p w14:paraId="71FA3C15" w14:textId="77777777" w:rsidR="006A618B" w:rsidRPr="008F62ED" w:rsidRDefault="006A618B" w:rsidP="008F62ED">
            <w:pPr>
              <w:pStyle w:val="NormalWeb"/>
              <w:rPr>
                <w:sz w:val="18"/>
                <w:szCs w:val="18"/>
              </w:rPr>
            </w:pPr>
            <w:r w:rsidRPr="008F62ED">
              <w:rPr>
                <w:sz w:val="18"/>
                <w:szCs w:val="18"/>
              </w:rPr>
              <w:t>Whooping Cough and Acute Bronchiolitis, Major Complexity</w:t>
            </w:r>
          </w:p>
        </w:tc>
        <w:tc>
          <w:tcPr>
            <w:tcW w:w="1559" w:type="dxa"/>
            <w:hideMark/>
          </w:tcPr>
          <w:p w14:paraId="27DFF056" w14:textId="77777777" w:rsidR="006A618B" w:rsidRPr="008F62ED" w:rsidRDefault="006A618B" w:rsidP="0091710A">
            <w:pPr>
              <w:pStyle w:val="NormalWeb"/>
              <w:jc w:val="center"/>
              <w:rPr>
                <w:sz w:val="18"/>
                <w:szCs w:val="18"/>
              </w:rPr>
            </w:pPr>
            <w:r w:rsidRPr="008F62ED">
              <w:rPr>
                <w:sz w:val="18"/>
                <w:szCs w:val="18"/>
              </w:rPr>
              <w:t>26</w:t>
            </w:r>
          </w:p>
        </w:tc>
        <w:tc>
          <w:tcPr>
            <w:tcW w:w="2127" w:type="dxa"/>
            <w:hideMark/>
          </w:tcPr>
          <w:p w14:paraId="5513CCB6"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73A1482B" w14:textId="77777777" w:rsidR="006A618B" w:rsidRPr="008F62ED" w:rsidRDefault="006A618B" w:rsidP="0091710A">
            <w:pPr>
              <w:pStyle w:val="NormalWeb"/>
              <w:jc w:val="center"/>
              <w:rPr>
                <w:sz w:val="18"/>
                <w:szCs w:val="18"/>
              </w:rPr>
            </w:pPr>
            <w:r w:rsidRPr="008F62ED">
              <w:rPr>
                <w:sz w:val="18"/>
                <w:szCs w:val="18"/>
              </w:rPr>
              <w:t>3</w:t>
            </w:r>
          </w:p>
        </w:tc>
        <w:tc>
          <w:tcPr>
            <w:tcW w:w="1943" w:type="dxa"/>
            <w:hideMark/>
          </w:tcPr>
          <w:p w14:paraId="0D5A8299" w14:textId="77777777" w:rsidR="006A618B" w:rsidRPr="008F62ED" w:rsidRDefault="006A618B" w:rsidP="0091710A">
            <w:pPr>
              <w:pStyle w:val="NormalWeb"/>
              <w:jc w:val="center"/>
              <w:rPr>
                <w:sz w:val="18"/>
                <w:szCs w:val="18"/>
              </w:rPr>
            </w:pPr>
            <w:r w:rsidRPr="008F62ED">
              <w:rPr>
                <w:sz w:val="18"/>
                <w:szCs w:val="18"/>
              </w:rPr>
              <w:t>30</w:t>
            </w:r>
          </w:p>
        </w:tc>
      </w:tr>
      <w:tr w:rsidR="008F62ED" w:rsidRPr="008F62ED" w14:paraId="1E549221"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0FB3C04F" w14:textId="77777777" w:rsidR="006A618B" w:rsidRPr="008F62ED" w:rsidRDefault="006A618B" w:rsidP="0091710A">
            <w:pPr>
              <w:pStyle w:val="NormalWeb"/>
              <w:rPr>
                <w:sz w:val="18"/>
                <w:szCs w:val="18"/>
              </w:rPr>
            </w:pPr>
            <w:r w:rsidRPr="008F62ED">
              <w:rPr>
                <w:sz w:val="18"/>
                <w:szCs w:val="18"/>
              </w:rPr>
              <w:t>E70B</w:t>
            </w:r>
          </w:p>
        </w:tc>
        <w:tc>
          <w:tcPr>
            <w:tcW w:w="6662" w:type="dxa"/>
            <w:hideMark/>
          </w:tcPr>
          <w:p w14:paraId="7DE55FC0" w14:textId="77777777" w:rsidR="006A618B" w:rsidRPr="008F62ED" w:rsidRDefault="006A618B" w:rsidP="008F62ED">
            <w:pPr>
              <w:pStyle w:val="NormalWeb"/>
              <w:rPr>
                <w:sz w:val="18"/>
                <w:szCs w:val="18"/>
              </w:rPr>
            </w:pPr>
            <w:r w:rsidRPr="008F62ED">
              <w:rPr>
                <w:sz w:val="18"/>
                <w:szCs w:val="18"/>
              </w:rPr>
              <w:t>Whooping Cough and Acute Bronchiolitis, Minor Complexity</w:t>
            </w:r>
          </w:p>
        </w:tc>
        <w:tc>
          <w:tcPr>
            <w:tcW w:w="1559" w:type="dxa"/>
            <w:hideMark/>
          </w:tcPr>
          <w:p w14:paraId="63974CC6" w14:textId="77777777" w:rsidR="006A618B" w:rsidRPr="008F62ED" w:rsidRDefault="006A618B" w:rsidP="0091710A">
            <w:pPr>
              <w:pStyle w:val="NormalWeb"/>
              <w:jc w:val="center"/>
              <w:rPr>
                <w:sz w:val="18"/>
                <w:szCs w:val="18"/>
              </w:rPr>
            </w:pPr>
            <w:r w:rsidRPr="008F62ED">
              <w:rPr>
                <w:sz w:val="18"/>
                <w:szCs w:val="18"/>
              </w:rPr>
              <w:t>107</w:t>
            </w:r>
          </w:p>
        </w:tc>
        <w:tc>
          <w:tcPr>
            <w:tcW w:w="2127" w:type="dxa"/>
            <w:hideMark/>
          </w:tcPr>
          <w:p w14:paraId="3E6923DE" w14:textId="77777777" w:rsidR="006A618B" w:rsidRPr="008F62ED" w:rsidRDefault="006A618B" w:rsidP="0091710A">
            <w:pPr>
              <w:pStyle w:val="NormalWeb"/>
              <w:jc w:val="center"/>
              <w:rPr>
                <w:sz w:val="18"/>
                <w:szCs w:val="18"/>
              </w:rPr>
            </w:pPr>
            <w:r w:rsidRPr="008F62ED">
              <w:rPr>
                <w:sz w:val="18"/>
                <w:szCs w:val="18"/>
              </w:rPr>
              <w:t>8</w:t>
            </w:r>
          </w:p>
        </w:tc>
        <w:tc>
          <w:tcPr>
            <w:tcW w:w="1842" w:type="dxa"/>
            <w:hideMark/>
          </w:tcPr>
          <w:p w14:paraId="6291D09E" w14:textId="77777777" w:rsidR="006A618B" w:rsidRPr="008F62ED" w:rsidRDefault="006A618B" w:rsidP="0091710A">
            <w:pPr>
              <w:pStyle w:val="NormalWeb"/>
              <w:jc w:val="center"/>
              <w:rPr>
                <w:sz w:val="18"/>
                <w:szCs w:val="18"/>
              </w:rPr>
            </w:pPr>
            <w:r w:rsidRPr="008F62ED">
              <w:rPr>
                <w:sz w:val="18"/>
                <w:szCs w:val="18"/>
              </w:rPr>
              <w:t>23</w:t>
            </w:r>
          </w:p>
        </w:tc>
        <w:tc>
          <w:tcPr>
            <w:tcW w:w="1943" w:type="dxa"/>
            <w:hideMark/>
          </w:tcPr>
          <w:p w14:paraId="0EFD167E" w14:textId="77777777" w:rsidR="006A618B" w:rsidRPr="008F62ED" w:rsidRDefault="006A618B" w:rsidP="0091710A">
            <w:pPr>
              <w:pStyle w:val="NormalWeb"/>
              <w:jc w:val="center"/>
              <w:rPr>
                <w:sz w:val="18"/>
                <w:szCs w:val="18"/>
              </w:rPr>
            </w:pPr>
            <w:r w:rsidRPr="008F62ED">
              <w:rPr>
                <w:sz w:val="18"/>
                <w:szCs w:val="18"/>
              </w:rPr>
              <w:t>138</w:t>
            </w:r>
          </w:p>
        </w:tc>
      </w:tr>
      <w:tr w:rsidR="008F62ED" w:rsidRPr="008F62ED" w14:paraId="6A65DFCF" w14:textId="77777777" w:rsidTr="00643BBD">
        <w:tblPrEx>
          <w:tblCellMar>
            <w:top w:w="57" w:type="dxa"/>
            <w:left w:w="57" w:type="dxa"/>
            <w:bottom w:w="57" w:type="dxa"/>
            <w:right w:w="57" w:type="dxa"/>
          </w:tblCellMar>
        </w:tblPrEx>
        <w:tc>
          <w:tcPr>
            <w:tcW w:w="851" w:type="dxa"/>
            <w:hideMark/>
          </w:tcPr>
          <w:p w14:paraId="2D76B1DD" w14:textId="77777777" w:rsidR="006A618B" w:rsidRPr="008F62ED" w:rsidRDefault="006A618B" w:rsidP="0091710A">
            <w:pPr>
              <w:pStyle w:val="NormalWeb"/>
              <w:rPr>
                <w:sz w:val="18"/>
                <w:szCs w:val="18"/>
              </w:rPr>
            </w:pPr>
            <w:r w:rsidRPr="008F62ED">
              <w:rPr>
                <w:sz w:val="18"/>
                <w:szCs w:val="18"/>
              </w:rPr>
              <w:t>E75A</w:t>
            </w:r>
          </w:p>
        </w:tc>
        <w:tc>
          <w:tcPr>
            <w:tcW w:w="6662" w:type="dxa"/>
            <w:hideMark/>
          </w:tcPr>
          <w:p w14:paraId="3D9235C4" w14:textId="77777777" w:rsidR="006A618B" w:rsidRPr="008F62ED" w:rsidRDefault="006A618B" w:rsidP="008F62ED">
            <w:pPr>
              <w:pStyle w:val="NormalWeb"/>
              <w:rPr>
                <w:sz w:val="18"/>
                <w:szCs w:val="18"/>
              </w:rPr>
            </w:pPr>
            <w:r w:rsidRPr="008F62ED">
              <w:rPr>
                <w:sz w:val="18"/>
                <w:szCs w:val="18"/>
              </w:rPr>
              <w:t>Other Respiratory System Disorders, Major Complexity</w:t>
            </w:r>
          </w:p>
        </w:tc>
        <w:tc>
          <w:tcPr>
            <w:tcW w:w="1559" w:type="dxa"/>
            <w:hideMark/>
          </w:tcPr>
          <w:p w14:paraId="2D2568CF" w14:textId="77777777" w:rsidR="006A618B" w:rsidRPr="008F62ED" w:rsidRDefault="006A618B" w:rsidP="0091710A">
            <w:pPr>
              <w:pStyle w:val="NormalWeb"/>
              <w:jc w:val="center"/>
              <w:rPr>
                <w:sz w:val="18"/>
                <w:szCs w:val="18"/>
              </w:rPr>
            </w:pPr>
            <w:r w:rsidRPr="008F62ED">
              <w:rPr>
                <w:sz w:val="18"/>
                <w:szCs w:val="18"/>
              </w:rPr>
              <w:t>9</w:t>
            </w:r>
          </w:p>
        </w:tc>
        <w:tc>
          <w:tcPr>
            <w:tcW w:w="2127" w:type="dxa"/>
            <w:hideMark/>
          </w:tcPr>
          <w:p w14:paraId="0F32A76B"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254D5BA9" w14:textId="77777777" w:rsidR="006A618B" w:rsidRPr="008F62ED" w:rsidRDefault="006A618B" w:rsidP="0091710A">
            <w:pPr>
              <w:pStyle w:val="NormalWeb"/>
              <w:jc w:val="center"/>
              <w:rPr>
                <w:sz w:val="18"/>
                <w:szCs w:val="18"/>
              </w:rPr>
            </w:pPr>
            <w:r w:rsidRPr="008F62ED">
              <w:rPr>
                <w:sz w:val="18"/>
                <w:szCs w:val="18"/>
              </w:rPr>
              <w:t>3</w:t>
            </w:r>
          </w:p>
        </w:tc>
        <w:tc>
          <w:tcPr>
            <w:tcW w:w="1943" w:type="dxa"/>
            <w:hideMark/>
          </w:tcPr>
          <w:p w14:paraId="23C2272E" w14:textId="77777777" w:rsidR="006A618B" w:rsidRPr="008F62ED" w:rsidRDefault="006A618B" w:rsidP="0091710A">
            <w:pPr>
              <w:pStyle w:val="NormalWeb"/>
              <w:jc w:val="center"/>
              <w:rPr>
                <w:sz w:val="18"/>
                <w:szCs w:val="18"/>
              </w:rPr>
            </w:pPr>
            <w:r w:rsidRPr="008F62ED">
              <w:rPr>
                <w:sz w:val="18"/>
                <w:szCs w:val="18"/>
              </w:rPr>
              <w:t>13</w:t>
            </w:r>
          </w:p>
        </w:tc>
      </w:tr>
      <w:tr w:rsidR="008F62ED" w:rsidRPr="008F62ED" w14:paraId="332F72DC"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6147E8B5" w14:textId="77777777" w:rsidR="006A618B" w:rsidRPr="008F62ED" w:rsidRDefault="006A618B" w:rsidP="0091710A">
            <w:pPr>
              <w:pStyle w:val="NormalWeb"/>
              <w:rPr>
                <w:sz w:val="18"/>
                <w:szCs w:val="18"/>
              </w:rPr>
            </w:pPr>
            <w:r w:rsidRPr="008F62ED">
              <w:rPr>
                <w:sz w:val="18"/>
                <w:szCs w:val="18"/>
              </w:rPr>
              <w:t>E75B</w:t>
            </w:r>
          </w:p>
        </w:tc>
        <w:tc>
          <w:tcPr>
            <w:tcW w:w="6662" w:type="dxa"/>
            <w:hideMark/>
          </w:tcPr>
          <w:p w14:paraId="1EB73FCC" w14:textId="77777777" w:rsidR="006A618B" w:rsidRPr="008F62ED" w:rsidRDefault="006A618B" w:rsidP="008F62ED">
            <w:pPr>
              <w:pStyle w:val="NormalWeb"/>
              <w:rPr>
                <w:sz w:val="18"/>
                <w:szCs w:val="18"/>
              </w:rPr>
            </w:pPr>
            <w:r w:rsidRPr="008F62ED">
              <w:rPr>
                <w:sz w:val="18"/>
                <w:szCs w:val="18"/>
              </w:rPr>
              <w:t>Other Respiratory System Disorders, Minor Complexity</w:t>
            </w:r>
          </w:p>
        </w:tc>
        <w:tc>
          <w:tcPr>
            <w:tcW w:w="1559" w:type="dxa"/>
            <w:hideMark/>
          </w:tcPr>
          <w:p w14:paraId="771738FE" w14:textId="77777777" w:rsidR="006A618B" w:rsidRPr="008F62ED" w:rsidRDefault="006A618B" w:rsidP="0091710A">
            <w:pPr>
              <w:pStyle w:val="NormalWeb"/>
              <w:jc w:val="center"/>
              <w:rPr>
                <w:sz w:val="18"/>
                <w:szCs w:val="18"/>
              </w:rPr>
            </w:pPr>
            <w:r w:rsidRPr="008F62ED">
              <w:rPr>
                <w:sz w:val="18"/>
                <w:szCs w:val="18"/>
              </w:rPr>
              <w:t>13</w:t>
            </w:r>
          </w:p>
        </w:tc>
        <w:tc>
          <w:tcPr>
            <w:tcW w:w="2127" w:type="dxa"/>
            <w:hideMark/>
          </w:tcPr>
          <w:p w14:paraId="50F257D7" w14:textId="77777777" w:rsidR="006A618B" w:rsidRPr="008F62ED" w:rsidRDefault="006A618B" w:rsidP="0091710A">
            <w:pPr>
              <w:pStyle w:val="NormalWeb"/>
              <w:jc w:val="center"/>
              <w:rPr>
                <w:sz w:val="18"/>
                <w:szCs w:val="18"/>
              </w:rPr>
            </w:pPr>
            <w:r w:rsidRPr="008F62ED">
              <w:rPr>
                <w:sz w:val="18"/>
                <w:szCs w:val="18"/>
              </w:rPr>
              <w:t>3</w:t>
            </w:r>
          </w:p>
        </w:tc>
        <w:tc>
          <w:tcPr>
            <w:tcW w:w="1842" w:type="dxa"/>
            <w:hideMark/>
          </w:tcPr>
          <w:p w14:paraId="7C20BEC6" w14:textId="77777777" w:rsidR="006A618B" w:rsidRPr="008F62ED" w:rsidRDefault="006A618B" w:rsidP="0091710A">
            <w:pPr>
              <w:pStyle w:val="NormalWeb"/>
              <w:jc w:val="center"/>
              <w:rPr>
                <w:sz w:val="18"/>
                <w:szCs w:val="18"/>
              </w:rPr>
            </w:pPr>
            <w:r w:rsidRPr="008F62ED">
              <w:rPr>
                <w:sz w:val="18"/>
                <w:szCs w:val="18"/>
              </w:rPr>
              <w:t>3</w:t>
            </w:r>
          </w:p>
        </w:tc>
        <w:tc>
          <w:tcPr>
            <w:tcW w:w="1943" w:type="dxa"/>
            <w:hideMark/>
          </w:tcPr>
          <w:p w14:paraId="0F43B2CF" w14:textId="77777777" w:rsidR="006A618B" w:rsidRPr="008F62ED" w:rsidRDefault="006A618B" w:rsidP="0091710A">
            <w:pPr>
              <w:pStyle w:val="NormalWeb"/>
              <w:jc w:val="center"/>
              <w:rPr>
                <w:sz w:val="18"/>
                <w:szCs w:val="18"/>
              </w:rPr>
            </w:pPr>
            <w:r w:rsidRPr="008F62ED">
              <w:rPr>
                <w:sz w:val="18"/>
                <w:szCs w:val="18"/>
              </w:rPr>
              <w:t>19</w:t>
            </w:r>
          </w:p>
        </w:tc>
      </w:tr>
      <w:tr w:rsidR="008F62ED" w:rsidRPr="008F62ED" w14:paraId="0D064FBB" w14:textId="77777777" w:rsidTr="00643BBD">
        <w:tblPrEx>
          <w:tblCellMar>
            <w:top w:w="57" w:type="dxa"/>
            <w:left w:w="57" w:type="dxa"/>
            <w:bottom w:w="57" w:type="dxa"/>
            <w:right w:w="57" w:type="dxa"/>
          </w:tblCellMar>
        </w:tblPrEx>
        <w:tc>
          <w:tcPr>
            <w:tcW w:w="851" w:type="dxa"/>
            <w:hideMark/>
          </w:tcPr>
          <w:p w14:paraId="3E563C96" w14:textId="77777777" w:rsidR="006A618B" w:rsidRPr="008F62ED" w:rsidRDefault="006A618B" w:rsidP="0091710A">
            <w:pPr>
              <w:pStyle w:val="NormalWeb"/>
              <w:rPr>
                <w:sz w:val="18"/>
                <w:szCs w:val="18"/>
              </w:rPr>
            </w:pPr>
            <w:r w:rsidRPr="008F62ED">
              <w:rPr>
                <w:sz w:val="18"/>
                <w:szCs w:val="18"/>
              </w:rPr>
              <w:t>F04A</w:t>
            </w:r>
          </w:p>
        </w:tc>
        <w:tc>
          <w:tcPr>
            <w:tcW w:w="6662" w:type="dxa"/>
            <w:hideMark/>
          </w:tcPr>
          <w:p w14:paraId="0D5F1818" w14:textId="77777777" w:rsidR="006A618B" w:rsidRPr="008F62ED" w:rsidRDefault="006A618B" w:rsidP="008F62ED">
            <w:pPr>
              <w:pStyle w:val="NormalWeb"/>
              <w:rPr>
                <w:sz w:val="18"/>
                <w:szCs w:val="18"/>
              </w:rPr>
            </w:pPr>
            <w:r w:rsidRPr="008F62ED">
              <w:rPr>
                <w:sz w:val="18"/>
                <w:szCs w:val="18"/>
              </w:rPr>
              <w:t>Cardiac Valve Interventions W CPB Pump W/O Invasive Cardiac Invest, Major Comp</w:t>
            </w:r>
          </w:p>
        </w:tc>
        <w:tc>
          <w:tcPr>
            <w:tcW w:w="1559" w:type="dxa"/>
            <w:hideMark/>
          </w:tcPr>
          <w:p w14:paraId="142BFCC8"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768D30A3"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218FCEF5"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25035CA8"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0BB29DC4"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462D8356" w14:textId="77777777" w:rsidR="006A618B" w:rsidRPr="008F62ED" w:rsidRDefault="006A618B" w:rsidP="0091710A">
            <w:pPr>
              <w:pStyle w:val="NormalWeb"/>
              <w:rPr>
                <w:sz w:val="18"/>
                <w:szCs w:val="18"/>
              </w:rPr>
            </w:pPr>
            <w:r w:rsidRPr="008F62ED">
              <w:rPr>
                <w:sz w:val="18"/>
                <w:szCs w:val="18"/>
              </w:rPr>
              <w:t>F69B</w:t>
            </w:r>
          </w:p>
        </w:tc>
        <w:tc>
          <w:tcPr>
            <w:tcW w:w="6662" w:type="dxa"/>
            <w:hideMark/>
          </w:tcPr>
          <w:p w14:paraId="5B14623E" w14:textId="77777777" w:rsidR="006A618B" w:rsidRPr="008F62ED" w:rsidRDefault="006A618B" w:rsidP="008F62ED">
            <w:pPr>
              <w:pStyle w:val="NormalWeb"/>
              <w:rPr>
                <w:sz w:val="18"/>
                <w:szCs w:val="18"/>
              </w:rPr>
            </w:pPr>
            <w:r w:rsidRPr="008F62ED">
              <w:rPr>
                <w:sz w:val="18"/>
                <w:szCs w:val="18"/>
              </w:rPr>
              <w:t>Valvular Disorders, Minor Complexity</w:t>
            </w:r>
          </w:p>
        </w:tc>
        <w:tc>
          <w:tcPr>
            <w:tcW w:w="1559" w:type="dxa"/>
            <w:hideMark/>
          </w:tcPr>
          <w:p w14:paraId="3809C2DC"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69853FB2"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37E97E55"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13A06796"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64B67CD4" w14:textId="77777777" w:rsidTr="00643BBD">
        <w:tblPrEx>
          <w:tblCellMar>
            <w:top w:w="57" w:type="dxa"/>
            <w:left w:w="57" w:type="dxa"/>
            <w:bottom w:w="57" w:type="dxa"/>
            <w:right w:w="57" w:type="dxa"/>
          </w:tblCellMar>
        </w:tblPrEx>
        <w:tc>
          <w:tcPr>
            <w:tcW w:w="851" w:type="dxa"/>
            <w:hideMark/>
          </w:tcPr>
          <w:p w14:paraId="5E5B2B7D" w14:textId="77777777" w:rsidR="006A618B" w:rsidRPr="008F62ED" w:rsidRDefault="006A618B" w:rsidP="0091710A">
            <w:pPr>
              <w:pStyle w:val="NormalWeb"/>
              <w:rPr>
                <w:sz w:val="18"/>
                <w:szCs w:val="18"/>
              </w:rPr>
            </w:pPr>
            <w:r w:rsidRPr="008F62ED">
              <w:rPr>
                <w:sz w:val="18"/>
                <w:szCs w:val="18"/>
              </w:rPr>
              <w:t>F76A</w:t>
            </w:r>
          </w:p>
        </w:tc>
        <w:tc>
          <w:tcPr>
            <w:tcW w:w="6662" w:type="dxa"/>
            <w:hideMark/>
          </w:tcPr>
          <w:p w14:paraId="6AA03898" w14:textId="77777777" w:rsidR="006A618B" w:rsidRPr="008F62ED" w:rsidRDefault="006A618B" w:rsidP="008F62ED">
            <w:pPr>
              <w:pStyle w:val="NormalWeb"/>
              <w:rPr>
                <w:sz w:val="18"/>
                <w:szCs w:val="18"/>
              </w:rPr>
            </w:pPr>
            <w:r w:rsidRPr="008F62ED">
              <w:rPr>
                <w:sz w:val="18"/>
                <w:szCs w:val="18"/>
              </w:rPr>
              <w:t>Arrhythmia, Cardiac Arrest and Conduction Disorders, Major Complexity</w:t>
            </w:r>
          </w:p>
        </w:tc>
        <w:tc>
          <w:tcPr>
            <w:tcW w:w="1559" w:type="dxa"/>
            <w:hideMark/>
          </w:tcPr>
          <w:p w14:paraId="1FA8056C"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0BE4D0C9"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642A6C9C"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4A958259"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0BE9A8DF"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47DFAB74" w14:textId="77777777" w:rsidR="006A618B" w:rsidRPr="008F62ED" w:rsidRDefault="006A618B" w:rsidP="0091710A">
            <w:pPr>
              <w:pStyle w:val="NormalWeb"/>
              <w:rPr>
                <w:sz w:val="18"/>
                <w:szCs w:val="18"/>
              </w:rPr>
            </w:pPr>
            <w:r w:rsidRPr="008F62ED">
              <w:rPr>
                <w:sz w:val="18"/>
                <w:szCs w:val="18"/>
              </w:rPr>
              <w:t>G03B</w:t>
            </w:r>
          </w:p>
        </w:tc>
        <w:tc>
          <w:tcPr>
            <w:tcW w:w="6662" w:type="dxa"/>
            <w:hideMark/>
          </w:tcPr>
          <w:p w14:paraId="6AC16432" w14:textId="77777777" w:rsidR="006A618B" w:rsidRPr="008F62ED" w:rsidRDefault="006A618B" w:rsidP="008F62ED">
            <w:pPr>
              <w:pStyle w:val="NormalWeb"/>
              <w:rPr>
                <w:sz w:val="18"/>
                <w:szCs w:val="18"/>
              </w:rPr>
            </w:pPr>
            <w:r w:rsidRPr="008F62ED">
              <w:rPr>
                <w:sz w:val="18"/>
                <w:szCs w:val="18"/>
              </w:rPr>
              <w:t>Stomach, Oesophageal and Duodenal Interventions, Intermediate Complexity</w:t>
            </w:r>
          </w:p>
        </w:tc>
        <w:tc>
          <w:tcPr>
            <w:tcW w:w="1559" w:type="dxa"/>
            <w:hideMark/>
          </w:tcPr>
          <w:p w14:paraId="182DB0F3"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2BEA2B80"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5193A371"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27F20D01"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65309353" w14:textId="77777777" w:rsidTr="00643BBD">
        <w:tblPrEx>
          <w:tblCellMar>
            <w:top w:w="57" w:type="dxa"/>
            <w:left w:w="57" w:type="dxa"/>
            <w:bottom w:w="57" w:type="dxa"/>
            <w:right w:w="57" w:type="dxa"/>
          </w:tblCellMar>
        </w:tblPrEx>
        <w:tc>
          <w:tcPr>
            <w:tcW w:w="851" w:type="dxa"/>
            <w:hideMark/>
          </w:tcPr>
          <w:p w14:paraId="1E002DC2" w14:textId="77777777" w:rsidR="006A618B" w:rsidRPr="008F62ED" w:rsidRDefault="006A618B" w:rsidP="0091710A">
            <w:pPr>
              <w:pStyle w:val="NormalWeb"/>
              <w:rPr>
                <w:sz w:val="18"/>
                <w:szCs w:val="18"/>
              </w:rPr>
            </w:pPr>
            <w:r w:rsidRPr="008F62ED">
              <w:rPr>
                <w:sz w:val="18"/>
                <w:szCs w:val="18"/>
              </w:rPr>
              <w:t>G05B</w:t>
            </w:r>
          </w:p>
        </w:tc>
        <w:tc>
          <w:tcPr>
            <w:tcW w:w="6662" w:type="dxa"/>
            <w:hideMark/>
          </w:tcPr>
          <w:p w14:paraId="07E82E8B" w14:textId="77777777" w:rsidR="006A618B" w:rsidRPr="008F62ED" w:rsidRDefault="006A618B" w:rsidP="008F62ED">
            <w:pPr>
              <w:pStyle w:val="NormalWeb"/>
              <w:rPr>
                <w:sz w:val="18"/>
                <w:szCs w:val="18"/>
              </w:rPr>
            </w:pPr>
            <w:r w:rsidRPr="008F62ED">
              <w:rPr>
                <w:sz w:val="18"/>
                <w:szCs w:val="18"/>
              </w:rPr>
              <w:t>Minor Small and Large Bowel Interventions, Minor Complexity</w:t>
            </w:r>
          </w:p>
        </w:tc>
        <w:tc>
          <w:tcPr>
            <w:tcW w:w="1559" w:type="dxa"/>
            <w:hideMark/>
          </w:tcPr>
          <w:p w14:paraId="714E2D69"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5F3107B5"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7701A09D" w14:textId="77777777" w:rsidR="006A618B" w:rsidRPr="008F62ED" w:rsidRDefault="006A618B" w:rsidP="0091710A">
            <w:pPr>
              <w:pStyle w:val="NormalWeb"/>
              <w:jc w:val="center"/>
              <w:rPr>
                <w:sz w:val="18"/>
                <w:szCs w:val="18"/>
              </w:rPr>
            </w:pPr>
            <w:r w:rsidRPr="008F62ED">
              <w:rPr>
                <w:sz w:val="18"/>
                <w:szCs w:val="18"/>
              </w:rPr>
              <w:t>2</w:t>
            </w:r>
          </w:p>
        </w:tc>
        <w:tc>
          <w:tcPr>
            <w:tcW w:w="1943" w:type="dxa"/>
            <w:hideMark/>
          </w:tcPr>
          <w:p w14:paraId="147B9C87" w14:textId="77777777" w:rsidR="006A618B" w:rsidRPr="008F62ED" w:rsidRDefault="006A618B" w:rsidP="0091710A">
            <w:pPr>
              <w:pStyle w:val="NormalWeb"/>
              <w:jc w:val="center"/>
              <w:rPr>
                <w:sz w:val="18"/>
                <w:szCs w:val="18"/>
              </w:rPr>
            </w:pPr>
            <w:r w:rsidRPr="008F62ED">
              <w:rPr>
                <w:sz w:val="18"/>
                <w:szCs w:val="18"/>
              </w:rPr>
              <w:t>2</w:t>
            </w:r>
          </w:p>
        </w:tc>
      </w:tr>
      <w:tr w:rsidR="008F62ED" w:rsidRPr="008F62ED" w14:paraId="103B0CB4"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1390BE68" w14:textId="77777777" w:rsidR="006A618B" w:rsidRPr="008F62ED" w:rsidRDefault="006A618B" w:rsidP="0091710A">
            <w:pPr>
              <w:pStyle w:val="NormalWeb"/>
              <w:rPr>
                <w:sz w:val="18"/>
                <w:szCs w:val="18"/>
              </w:rPr>
            </w:pPr>
            <w:r w:rsidRPr="008F62ED">
              <w:rPr>
                <w:sz w:val="18"/>
                <w:szCs w:val="18"/>
              </w:rPr>
              <w:t>G10B</w:t>
            </w:r>
          </w:p>
        </w:tc>
        <w:tc>
          <w:tcPr>
            <w:tcW w:w="6662" w:type="dxa"/>
            <w:hideMark/>
          </w:tcPr>
          <w:p w14:paraId="32E55ACC" w14:textId="77777777" w:rsidR="006A618B" w:rsidRPr="008F62ED" w:rsidRDefault="006A618B" w:rsidP="008F62ED">
            <w:pPr>
              <w:pStyle w:val="NormalWeb"/>
              <w:rPr>
                <w:sz w:val="18"/>
                <w:szCs w:val="18"/>
              </w:rPr>
            </w:pPr>
            <w:r w:rsidRPr="008F62ED">
              <w:rPr>
                <w:sz w:val="18"/>
                <w:szCs w:val="18"/>
              </w:rPr>
              <w:t>Hernia Interventions, Minor Complexity</w:t>
            </w:r>
          </w:p>
        </w:tc>
        <w:tc>
          <w:tcPr>
            <w:tcW w:w="1559" w:type="dxa"/>
            <w:hideMark/>
          </w:tcPr>
          <w:p w14:paraId="23D914BC"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59FD34DB"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61E1971D" w14:textId="77777777" w:rsidR="006A618B" w:rsidRPr="008F62ED" w:rsidRDefault="006A618B" w:rsidP="0091710A">
            <w:pPr>
              <w:pStyle w:val="NormalWeb"/>
              <w:jc w:val="center"/>
              <w:rPr>
                <w:sz w:val="18"/>
                <w:szCs w:val="18"/>
              </w:rPr>
            </w:pPr>
            <w:r w:rsidRPr="008F62ED">
              <w:rPr>
                <w:sz w:val="18"/>
                <w:szCs w:val="18"/>
              </w:rPr>
              <w:t>4</w:t>
            </w:r>
          </w:p>
        </w:tc>
        <w:tc>
          <w:tcPr>
            <w:tcW w:w="1943" w:type="dxa"/>
            <w:hideMark/>
          </w:tcPr>
          <w:p w14:paraId="266F2068" w14:textId="77777777" w:rsidR="006A618B" w:rsidRPr="008F62ED" w:rsidRDefault="006A618B" w:rsidP="0091710A">
            <w:pPr>
              <w:pStyle w:val="NormalWeb"/>
              <w:jc w:val="center"/>
              <w:rPr>
                <w:sz w:val="18"/>
                <w:szCs w:val="18"/>
              </w:rPr>
            </w:pPr>
            <w:r w:rsidRPr="008F62ED">
              <w:rPr>
                <w:sz w:val="18"/>
                <w:szCs w:val="18"/>
              </w:rPr>
              <w:t>4</w:t>
            </w:r>
          </w:p>
        </w:tc>
      </w:tr>
      <w:tr w:rsidR="008F62ED" w:rsidRPr="008F62ED" w14:paraId="3FB72E73" w14:textId="77777777" w:rsidTr="00643BBD">
        <w:tblPrEx>
          <w:tblCellMar>
            <w:top w:w="57" w:type="dxa"/>
            <w:left w:w="57" w:type="dxa"/>
            <w:bottom w:w="57" w:type="dxa"/>
            <w:right w:w="57" w:type="dxa"/>
          </w:tblCellMar>
        </w:tblPrEx>
        <w:tc>
          <w:tcPr>
            <w:tcW w:w="851" w:type="dxa"/>
            <w:hideMark/>
          </w:tcPr>
          <w:p w14:paraId="4462FD7A" w14:textId="77777777" w:rsidR="006A618B" w:rsidRPr="008F62ED" w:rsidRDefault="006A618B" w:rsidP="0091710A">
            <w:pPr>
              <w:pStyle w:val="NormalWeb"/>
              <w:rPr>
                <w:sz w:val="18"/>
                <w:szCs w:val="18"/>
              </w:rPr>
            </w:pPr>
            <w:r w:rsidRPr="008F62ED">
              <w:rPr>
                <w:sz w:val="18"/>
                <w:szCs w:val="18"/>
              </w:rPr>
              <w:t>G46A</w:t>
            </w:r>
          </w:p>
        </w:tc>
        <w:tc>
          <w:tcPr>
            <w:tcW w:w="6662" w:type="dxa"/>
            <w:hideMark/>
          </w:tcPr>
          <w:p w14:paraId="24A311FB" w14:textId="77777777" w:rsidR="006A618B" w:rsidRPr="008F62ED" w:rsidRDefault="006A618B" w:rsidP="008F62ED">
            <w:pPr>
              <w:pStyle w:val="NormalWeb"/>
              <w:rPr>
                <w:sz w:val="18"/>
                <w:szCs w:val="18"/>
              </w:rPr>
            </w:pPr>
            <w:r w:rsidRPr="008F62ED">
              <w:rPr>
                <w:sz w:val="18"/>
                <w:szCs w:val="18"/>
              </w:rPr>
              <w:t>Complex Endoscopy, Major Complexity</w:t>
            </w:r>
          </w:p>
        </w:tc>
        <w:tc>
          <w:tcPr>
            <w:tcW w:w="1559" w:type="dxa"/>
            <w:hideMark/>
          </w:tcPr>
          <w:p w14:paraId="1EF589CD"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4CB4391D"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38FFFDDA" w14:textId="77777777" w:rsidR="006A618B" w:rsidRPr="008F62ED" w:rsidRDefault="006A618B" w:rsidP="0091710A">
            <w:pPr>
              <w:pStyle w:val="NormalWeb"/>
              <w:jc w:val="center"/>
              <w:rPr>
                <w:sz w:val="18"/>
                <w:szCs w:val="18"/>
              </w:rPr>
            </w:pPr>
            <w:r w:rsidRPr="008F62ED">
              <w:rPr>
                <w:sz w:val="18"/>
                <w:szCs w:val="18"/>
              </w:rPr>
              <w:t>2</w:t>
            </w:r>
          </w:p>
        </w:tc>
        <w:tc>
          <w:tcPr>
            <w:tcW w:w="1943" w:type="dxa"/>
            <w:hideMark/>
          </w:tcPr>
          <w:p w14:paraId="4FBA78C0" w14:textId="77777777" w:rsidR="006A618B" w:rsidRPr="008F62ED" w:rsidRDefault="006A618B" w:rsidP="0091710A">
            <w:pPr>
              <w:pStyle w:val="NormalWeb"/>
              <w:jc w:val="center"/>
              <w:rPr>
                <w:sz w:val="18"/>
                <w:szCs w:val="18"/>
              </w:rPr>
            </w:pPr>
            <w:r w:rsidRPr="008F62ED">
              <w:rPr>
                <w:sz w:val="18"/>
                <w:szCs w:val="18"/>
              </w:rPr>
              <w:t>2</w:t>
            </w:r>
          </w:p>
        </w:tc>
      </w:tr>
      <w:tr w:rsidR="008F62ED" w:rsidRPr="008F62ED" w14:paraId="5D1414D2"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717DBD4D" w14:textId="77777777" w:rsidR="006A618B" w:rsidRPr="008F62ED" w:rsidRDefault="006A618B" w:rsidP="0091710A">
            <w:pPr>
              <w:pStyle w:val="NormalWeb"/>
              <w:rPr>
                <w:sz w:val="18"/>
                <w:szCs w:val="18"/>
              </w:rPr>
            </w:pPr>
            <w:r w:rsidRPr="008F62ED">
              <w:rPr>
                <w:sz w:val="18"/>
                <w:szCs w:val="18"/>
              </w:rPr>
              <w:t>G47B</w:t>
            </w:r>
          </w:p>
        </w:tc>
        <w:tc>
          <w:tcPr>
            <w:tcW w:w="6662" w:type="dxa"/>
            <w:hideMark/>
          </w:tcPr>
          <w:p w14:paraId="7FD436C5" w14:textId="77777777" w:rsidR="006A618B" w:rsidRPr="008F62ED" w:rsidRDefault="006A618B" w:rsidP="008F62ED">
            <w:pPr>
              <w:pStyle w:val="NormalWeb"/>
              <w:rPr>
                <w:sz w:val="18"/>
                <w:szCs w:val="18"/>
              </w:rPr>
            </w:pPr>
            <w:r w:rsidRPr="008F62ED">
              <w:rPr>
                <w:sz w:val="18"/>
                <w:szCs w:val="18"/>
              </w:rPr>
              <w:t>Gastroscopy, Intermediate Complexity</w:t>
            </w:r>
          </w:p>
        </w:tc>
        <w:tc>
          <w:tcPr>
            <w:tcW w:w="1559" w:type="dxa"/>
            <w:hideMark/>
          </w:tcPr>
          <w:p w14:paraId="0B4610E4"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1A02AEE8"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73FCB6F8"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41044D3E"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4671B1B1" w14:textId="77777777" w:rsidTr="00643BBD">
        <w:tblPrEx>
          <w:tblCellMar>
            <w:top w:w="57" w:type="dxa"/>
            <w:left w:w="57" w:type="dxa"/>
            <w:bottom w:w="57" w:type="dxa"/>
            <w:right w:w="57" w:type="dxa"/>
          </w:tblCellMar>
        </w:tblPrEx>
        <w:tc>
          <w:tcPr>
            <w:tcW w:w="851" w:type="dxa"/>
            <w:hideMark/>
          </w:tcPr>
          <w:p w14:paraId="666F9933" w14:textId="77777777" w:rsidR="006A618B" w:rsidRPr="008F62ED" w:rsidRDefault="006A618B" w:rsidP="0091710A">
            <w:pPr>
              <w:pStyle w:val="NormalWeb"/>
              <w:rPr>
                <w:sz w:val="18"/>
                <w:szCs w:val="18"/>
              </w:rPr>
            </w:pPr>
            <w:r w:rsidRPr="008F62ED">
              <w:rPr>
                <w:sz w:val="18"/>
                <w:szCs w:val="18"/>
              </w:rPr>
              <w:t>G66A</w:t>
            </w:r>
          </w:p>
        </w:tc>
        <w:tc>
          <w:tcPr>
            <w:tcW w:w="6662" w:type="dxa"/>
            <w:hideMark/>
          </w:tcPr>
          <w:p w14:paraId="62551C5B" w14:textId="77777777" w:rsidR="006A618B" w:rsidRPr="008F62ED" w:rsidRDefault="006A618B" w:rsidP="008F62ED">
            <w:pPr>
              <w:pStyle w:val="NormalWeb"/>
              <w:rPr>
                <w:sz w:val="18"/>
                <w:szCs w:val="18"/>
              </w:rPr>
            </w:pPr>
            <w:r w:rsidRPr="008F62ED">
              <w:rPr>
                <w:sz w:val="18"/>
                <w:szCs w:val="18"/>
              </w:rPr>
              <w:t>Abdominal Pain and Mesenteric Adenitis, Major Complexity</w:t>
            </w:r>
          </w:p>
        </w:tc>
        <w:tc>
          <w:tcPr>
            <w:tcW w:w="1559" w:type="dxa"/>
            <w:hideMark/>
          </w:tcPr>
          <w:p w14:paraId="762DBF4C"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5410CA8F"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2337A4D8"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28BBC498" w14:textId="77777777" w:rsidR="006A618B" w:rsidRPr="008F62ED" w:rsidRDefault="006A618B" w:rsidP="0091710A">
            <w:pPr>
              <w:pStyle w:val="NormalWeb"/>
              <w:jc w:val="center"/>
              <w:rPr>
                <w:sz w:val="18"/>
                <w:szCs w:val="18"/>
              </w:rPr>
            </w:pPr>
            <w:r w:rsidRPr="008F62ED">
              <w:rPr>
                <w:sz w:val="18"/>
                <w:szCs w:val="18"/>
              </w:rPr>
              <w:t>2</w:t>
            </w:r>
          </w:p>
        </w:tc>
      </w:tr>
      <w:tr w:rsidR="008F62ED" w:rsidRPr="008F62ED" w14:paraId="4B9F74EE"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12BAAF2A" w14:textId="77777777" w:rsidR="006A618B" w:rsidRPr="008F62ED" w:rsidRDefault="006A618B" w:rsidP="0091710A">
            <w:pPr>
              <w:pStyle w:val="NormalWeb"/>
              <w:rPr>
                <w:sz w:val="18"/>
                <w:szCs w:val="18"/>
              </w:rPr>
            </w:pPr>
            <w:r w:rsidRPr="008F62ED">
              <w:rPr>
                <w:sz w:val="18"/>
                <w:szCs w:val="18"/>
              </w:rPr>
              <w:t>G66B</w:t>
            </w:r>
          </w:p>
        </w:tc>
        <w:tc>
          <w:tcPr>
            <w:tcW w:w="6662" w:type="dxa"/>
            <w:hideMark/>
          </w:tcPr>
          <w:p w14:paraId="1EDEAC43" w14:textId="77777777" w:rsidR="006A618B" w:rsidRPr="008F62ED" w:rsidRDefault="006A618B" w:rsidP="008F62ED">
            <w:pPr>
              <w:pStyle w:val="NormalWeb"/>
              <w:rPr>
                <w:sz w:val="18"/>
                <w:szCs w:val="18"/>
              </w:rPr>
            </w:pPr>
            <w:r w:rsidRPr="008F62ED">
              <w:rPr>
                <w:sz w:val="18"/>
                <w:szCs w:val="18"/>
              </w:rPr>
              <w:t>Abdominal Pain and Mesenteric Adenitis, Minor Complexity</w:t>
            </w:r>
          </w:p>
        </w:tc>
        <w:tc>
          <w:tcPr>
            <w:tcW w:w="1559" w:type="dxa"/>
            <w:hideMark/>
          </w:tcPr>
          <w:p w14:paraId="5F833D30"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48CF32C7"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4FDBDC0D"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4095BDCF"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23642CFD" w14:textId="77777777" w:rsidTr="00643BBD">
        <w:tblPrEx>
          <w:tblCellMar>
            <w:top w:w="57" w:type="dxa"/>
            <w:left w:w="57" w:type="dxa"/>
            <w:bottom w:w="57" w:type="dxa"/>
            <w:right w:w="57" w:type="dxa"/>
          </w:tblCellMar>
        </w:tblPrEx>
        <w:tc>
          <w:tcPr>
            <w:tcW w:w="851" w:type="dxa"/>
            <w:hideMark/>
          </w:tcPr>
          <w:p w14:paraId="3F55BA48" w14:textId="77777777" w:rsidR="006A618B" w:rsidRPr="008F62ED" w:rsidRDefault="006A618B" w:rsidP="0091710A">
            <w:pPr>
              <w:pStyle w:val="NormalWeb"/>
              <w:rPr>
                <w:sz w:val="18"/>
                <w:szCs w:val="18"/>
              </w:rPr>
            </w:pPr>
            <w:r w:rsidRPr="008F62ED">
              <w:rPr>
                <w:sz w:val="18"/>
                <w:szCs w:val="18"/>
              </w:rPr>
              <w:t>G67A</w:t>
            </w:r>
          </w:p>
        </w:tc>
        <w:tc>
          <w:tcPr>
            <w:tcW w:w="6662" w:type="dxa"/>
            <w:hideMark/>
          </w:tcPr>
          <w:p w14:paraId="56D8449B" w14:textId="77777777" w:rsidR="006A618B" w:rsidRPr="008F62ED" w:rsidRDefault="006A618B" w:rsidP="008F62ED">
            <w:pPr>
              <w:pStyle w:val="NormalWeb"/>
              <w:rPr>
                <w:sz w:val="18"/>
                <w:szCs w:val="18"/>
              </w:rPr>
            </w:pPr>
            <w:r w:rsidRPr="008F62ED">
              <w:rPr>
                <w:sz w:val="18"/>
                <w:szCs w:val="18"/>
              </w:rPr>
              <w:t>Oesophagitis and Gastroenteritis, Major Complexity</w:t>
            </w:r>
          </w:p>
        </w:tc>
        <w:tc>
          <w:tcPr>
            <w:tcW w:w="1559" w:type="dxa"/>
            <w:hideMark/>
          </w:tcPr>
          <w:p w14:paraId="41CCD017"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6957DDC4"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6AE3991E" w14:textId="77777777" w:rsidR="006A618B" w:rsidRPr="008F62ED" w:rsidRDefault="006A618B" w:rsidP="0091710A">
            <w:pPr>
              <w:pStyle w:val="NormalWeb"/>
              <w:jc w:val="center"/>
              <w:rPr>
                <w:sz w:val="18"/>
                <w:szCs w:val="18"/>
              </w:rPr>
            </w:pPr>
            <w:r w:rsidRPr="008F62ED">
              <w:rPr>
                <w:sz w:val="18"/>
                <w:szCs w:val="18"/>
              </w:rPr>
              <w:t>2</w:t>
            </w:r>
          </w:p>
        </w:tc>
        <w:tc>
          <w:tcPr>
            <w:tcW w:w="1943" w:type="dxa"/>
            <w:hideMark/>
          </w:tcPr>
          <w:p w14:paraId="387609D6" w14:textId="77777777" w:rsidR="006A618B" w:rsidRPr="008F62ED" w:rsidRDefault="006A618B" w:rsidP="0091710A">
            <w:pPr>
              <w:pStyle w:val="NormalWeb"/>
              <w:jc w:val="center"/>
              <w:rPr>
                <w:sz w:val="18"/>
                <w:szCs w:val="18"/>
              </w:rPr>
            </w:pPr>
            <w:r w:rsidRPr="008F62ED">
              <w:rPr>
                <w:sz w:val="18"/>
                <w:szCs w:val="18"/>
              </w:rPr>
              <w:t>3</w:t>
            </w:r>
          </w:p>
        </w:tc>
      </w:tr>
      <w:tr w:rsidR="008F62ED" w:rsidRPr="008F62ED" w14:paraId="40BB7823"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551E9C02" w14:textId="77777777" w:rsidR="006A618B" w:rsidRPr="008F62ED" w:rsidRDefault="006A618B" w:rsidP="0091710A">
            <w:pPr>
              <w:pStyle w:val="NormalWeb"/>
              <w:rPr>
                <w:sz w:val="18"/>
                <w:szCs w:val="18"/>
              </w:rPr>
            </w:pPr>
            <w:r w:rsidRPr="008F62ED">
              <w:rPr>
                <w:sz w:val="18"/>
                <w:szCs w:val="18"/>
              </w:rPr>
              <w:t>G67B</w:t>
            </w:r>
          </w:p>
        </w:tc>
        <w:tc>
          <w:tcPr>
            <w:tcW w:w="6662" w:type="dxa"/>
            <w:hideMark/>
          </w:tcPr>
          <w:p w14:paraId="1253D81D" w14:textId="77777777" w:rsidR="006A618B" w:rsidRPr="008F62ED" w:rsidRDefault="006A618B" w:rsidP="008F62ED">
            <w:pPr>
              <w:pStyle w:val="NormalWeb"/>
              <w:rPr>
                <w:sz w:val="18"/>
                <w:szCs w:val="18"/>
              </w:rPr>
            </w:pPr>
            <w:r w:rsidRPr="008F62ED">
              <w:rPr>
                <w:sz w:val="18"/>
                <w:szCs w:val="18"/>
              </w:rPr>
              <w:t>Oesophagitis and Gastroenteritis, Minor Complexity</w:t>
            </w:r>
          </w:p>
        </w:tc>
        <w:tc>
          <w:tcPr>
            <w:tcW w:w="1559" w:type="dxa"/>
            <w:hideMark/>
          </w:tcPr>
          <w:p w14:paraId="35968CC7" w14:textId="77777777" w:rsidR="006A618B" w:rsidRPr="008F62ED" w:rsidRDefault="006A618B" w:rsidP="0091710A">
            <w:pPr>
              <w:pStyle w:val="NormalWeb"/>
              <w:jc w:val="center"/>
              <w:rPr>
                <w:sz w:val="18"/>
                <w:szCs w:val="18"/>
              </w:rPr>
            </w:pPr>
            <w:r w:rsidRPr="008F62ED">
              <w:rPr>
                <w:sz w:val="18"/>
                <w:szCs w:val="18"/>
              </w:rPr>
              <w:t>2</w:t>
            </w:r>
          </w:p>
        </w:tc>
        <w:tc>
          <w:tcPr>
            <w:tcW w:w="2127" w:type="dxa"/>
            <w:hideMark/>
          </w:tcPr>
          <w:p w14:paraId="6BA389A1"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7BE3CF6F" w14:textId="77777777" w:rsidR="006A618B" w:rsidRPr="008F62ED" w:rsidRDefault="006A618B" w:rsidP="0091710A">
            <w:pPr>
              <w:pStyle w:val="NormalWeb"/>
              <w:jc w:val="center"/>
              <w:rPr>
                <w:sz w:val="18"/>
                <w:szCs w:val="18"/>
              </w:rPr>
            </w:pPr>
            <w:r w:rsidRPr="008F62ED">
              <w:rPr>
                <w:sz w:val="18"/>
                <w:szCs w:val="18"/>
              </w:rPr>
              <w:t>4</w:t>
            </w:r>
          </w:p>
        </w:tc>
        <w:tc>
          <w:tcPr>
            <w:tcW w:w="1943" w:type="dxa"/>
            <w:hideMark/>
          </w:tcPr>
          <w:p w14:paraId="6D99CF88" w14:textId="77777777" w:rsidR="006A618B" w:rsidRPr="008F62ED" w:rsidRDefault="006A618B" w:rsidP="0091710A">
            <w:pPr>
              <w:pStyle w:val="NormalWeb"/>
              <w:jc w:val="center"/>
              <w:rPr>
                <w:sz w:val="18"/>
                <w:szCs w:val="18"/>
              </w:rPr>
            </w:pPr>
            <w:r w:rsidRPr="008F62ED">
              <w:rPr>
                <w:sz w:val="18"/>
                <w:szCs w:val="18"/>
              </w:rPr>
              <w:t>6</w:t>
            </w:r>
          </w:p>
        </w:tc>
      </w:tr>
      <w:tr w:rsidR="008F62ED" w:rsidRPr="008F62ED" w14:paraId="4FCE1619" w14:textId="77777777" w:rsidTr="00643BBD">
        <w:tblPrEx>
          <w:tblCellMar>
            <w:top w:w="57" w:type="dxa"/>
            <w:left w:w="57" w:type="dxa"/>
            <w:bottom w:w="57" w:type="dxa"/>
            <w:right w:w="57" w:type="dxa"/>
          </w:tblCellMar>
        </w:tblPrEx>
        <w:tc>
          <w:tcPr>
            <w:tcW w:w="851" w:type="dxa"/>
            <w:hideMark/>
          </w:tcPr>
          <w:p w14:paraId="72FCA78F" w14:textId="77777777" w:rsidR="006A618B" w:rsidRPr="008F62ED" w:rsidRDefault="006A618B" w:rsidP="0091710A">
            <w:pPr>
              <w:pStyle w:val="NormalWeb"/>
              <w:rPr>
                <w:sz w:val="18"/>
                <w:szCs w:val="18"/>
              </w:rPr>
            </w:pPr>
            <w:r w:rsidRPr="008F62ED">
              <w:rPr>
                <w:sz w:val="18"/>
                <w:szCs w:val="18"/>
              </w:rPr>
              <w:t>G70B</w:t>
            </w:r>
          </w:p>
        </w:tc>
        <w:tc>
          <w:tcPr>
            <w:tcW w:w="6662" w:type="dxa"/>
            <w:hideMark/>
          </w:tcPr>
          <w:p w14:paraId="61B518C6" w14:textId="77777777" w:rsidR="006A618B" w:rsidRPr="008F62ED" w:rsidRDefault="006A618B" w:rsidP="008F62ED">
            <w:pPr>
              <w:pStyle w:val="NormalWeb"/>
              <w:rPr>
                <w:sz w:val="18"/>
                <w:szCs w:val="18"/>
              </w:rPr>
            </w:pPr>
            <w:r w:rsidRPr="008F62ED">
              <w:rPr>
                <w:sz w:val="18"/>
                <w:szCs w:val="18"/>
              </w:rPr>
              <w:t>Other Digestive System Disorders, Intermediate Complexity</w:t>
            </w:r>
          </w:p>
        </w:tc>
        <w:tc>
          <w:tcPr>
            <w:tcW w:w="1559" w:type="dxa"/>
            <w:hideMark/>
          </w:tcPr>
          <w:p w14:paraId="7B845FA2"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2055C5C9" w14:textId="77777777" w:rsidR="006A618B" w:rsidRPr="008F62ED" w:rsidRDefault="006A618B" w:rsidP="0091710A">
            <w:pPr>
              <w:pStyle w:val="NormalWeb"/>
              <w:jc w:val="center"/>
              <w:rPr>
                <w:sz w:val="18"/>
                <w:szCs w:val="18"/>
              </w:rPr>
            </w:pPr>
            <w:r w:rsidRPr="008F62ED">
              <w:rPr>
                <w:sz w:val="18"/>
                <w:szCs w:val="18"/>
              </w:rPr>
              <w:t>2</w:t>
            </w:r>
          </w:p>
        </w:tc>
        <w:tc>
          <w:tcPr>
            <w:tcW w:w="1842" w:type="dxa"/>
            <w:hideMark/>
          </w:tcPr>
          <w:p w14:paraId="15917448" w14:textId="77777777" w:rsidR="006A618B" w:rsidRPr="008F62ED" w:rsidRDefault="006A618B" w:rsidP="0091710A">
            <w:pPr>
              <w:pStyle w:val="NormalWeb"/>
              <w:jc w:val="center"/>
              <w:rPr>
                <w:sz w:val="18"/>
                <w:szCs w:val="18"/>
              </w:rPr>
            </w:pPr>
            <w:r w:rsidRPr="008F62ED">
              <w:rPr>
                <w:sz w:val="18"/>
                <w:szCs w:val="18"/>
              </w:rPr>
              <w:t>3</w:t>
            </w:r>
          </w:p>
        </w:tc>
        <w:tc>
          <w:tcPr>
            <w:tcW w:w="1943" w:type="dxa"/>
            <w:hideMark/>
          </w:tcPr>
          <w:p w14:paraId="0826B3D8" w14:textId="77777777" w:rsidR="006A618B" w:rsidRPr="008F62ED" w:rsidRDefault="006A618B" w:rsidP="0091710A">
            <w:pPr>
              <w:pStyle w:val="NormalWeb"/>
              <w:jc w:val="center"/>
              <w:rPr>
                <w:sz w:val="18"/>
                <w:szCs w:val="18"/>
              </w:rPr>
            </w:pPr>
            <w:r w:rsidRPr="008F62ED">
              <w:rPr>
                <w:sz w:val="18"/>
                <w:szCs w:val="18"/>
              </w:rPr>
              <w:t>5</w:t>
            </w:r>
          </w:p>
        </w:tc>
      </w:tr>
      <w:tr w:rsidR="008F62ED" w:rsidRPr="008F62ED" w14:paraId="16373C2F"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30329280" w14:textId="77777777" w:rsidR="006A618B" w:rsidRPr="008F62ED" w:rsidRDefault="006A618B" w:rsidP="0091710A">
            <w:pPr>
              <w:pStyle w:val="NormalWeb"/>
              <w:rPr>
                <w:sz w:val="18"/>
                <w:szCs w:val="18"/>
              </w:rPr>
            </w:pPr>
            <w:r w:rsidRPr="008F62ED">
              <w:rPr>
                <w:sz w:val="18"/>
                <w:szCs w:val="18"/>
              </w:rPr>
              <w:t>G70C</w:t>
            </w:r>
          </w:p>
        </w:tc>
        <w:tc>
          <w:tcPr>
            <w:tcW w:w="6662" w:type="dxa"/>
            <w:hideMark/>
          </w:tcPr>
          <w:p w14:paraId="1F2B150A" w14:textId="77777777" w:rsidR="006A618B" w:rsidRPr="008F62ED" w:rsidRDefault="006A618B" w:rsidP="008F62ED">
            <w:pPr>
              <w:pStyle w:val="NormalWeb"/>
              <w:rPr>
                <w:sz w:val="18"/>
                <w:szCs w:val="18"/>
              </w:rPr>
            </w:pPr>
            <w:r w:rsidRPr="008F62ED">
              <w:rPr>
                <w:sz w:val="18"/>
                <w:szCs w:val="18"/>
              </w:rPr>
              <w:t>Other Digestive System Disorders, Minor Complexity</w:t>
            </w:r>
          </w:p>
        </w:tc>
        <w:tc>
          <w:tcPr>
            <w:tcW w:w="1559" w:type="dxa"/>
            <w:hideMark/>
          </w:tcPr>
          <w:p w14:paraId="52D2E09F"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7F00123E"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40C8D699"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73DD9202"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1E9DFB90" w14:textId="77777777" w:rsidTr="00643BBD">
        <w:tblPrEx>
          <w:tblCellMar>
            <w:top w:w="57" w:type="dxa"/>
            <w:left w:w="57" w:type="dxa"/>
            <w:bottom w:w="57" w:type="dxa"/>
            <w:right w:w="57" w:type="dxa"/>
          </w:tblCellMar>
        </w:tblPrEx>
        <w:tc>
          <w:tcPr>
            <w:tcW w:w="851" w:type="dxa"/>
            <w:hideMark/>
          </w:tcPr>
          <w:p w14:paraId="600C8873" w14:textId="77777777" w:rsidR="006A618B" w:rsidRPr="008F62ED" w:rsidRDefault="006A618B" w:rsidP="0091710A">
            <w:pPr>
              <w:pStyle w:val="NormalWeb"/>
              <w:rPr>
                <w:sz w:val="18"/>
                <w:szCs w:val="18"/>
              </w:rPr>
            </w:pPr>
            <w:r w:rsidRPr="008F62ED">
              <w:rPr>
                <w:sz w:val="18"/>
                <w:szCs w:val="18"/>
              </w:rPr>
              <w:t>I23B</w:t>
            </w:r>
          </w:p>
        </w:tc>
        <w:tc>
          <w:tcPr>
            <w:tcW w:w="6662" w:type="dxa"/>
            <w:hideMark/>
          </w:tcPr>
          <w:p w14:paraId="5BDB9884" w14:textId="77777777" w:rsidR="006A618B" w:rsidRPr="008F62ED" w:rsidRDefault="006A618B" w:rsidP="008F62ED">
            <w:pPr>
              <w:pStyle w:val="NormalWeb"/>
              <w:rPr>
                <w:sz w:val="18"/>
                <w:szCs w:val="18"/>
              </w:rPr>
            </w:pPr>
            <w:r w:rsidRPr="008F62ED">
              <w:rPr>
                <w:sz w:val="18"/>
                <w:szCs w:val="18"/>
              </w:rPr>
              <w:t xml:space="preserve">Local Excision &amp; Removal of Internal Fixation Device, Except Hip &amp; </w:t>
            </w:r>
            <w:proofErr w:type="spellStart"/>
            <w:r w:rsidRPr="008F62ED">
              <w:rPr>
                <w:sz w:val="18"/>
                <w:szCs w:val="18"/>
              </w:rPr>
              <w:t>Fmr</w:t>
            </w:r>
            <w:proofErr w:type="spellEnd"/>
            <w:r w:rsidRPr="008F62ED">
              <w:rPr>
                <w:sz w:val="18"/>
                <w:szCs w:val="18"/>
              </w:rPr>
              <w:t>, Min Comp</w:t>
            </w:r>
          </w:p>
        </w:tc>
        <w:tc>
          <w:tcPr>
            <w:tcW w:w="1559" w:type="dxa"/>
            <w:hideMark/>
          </w:tcPr>
          <w:p w14:paraId="1276D9A5"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748852AC"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2CD8987B"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0C5E743D"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7D6E6E49"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2DC88E04" w14:textId="77777777" w:rsidR="006A618B" w:rsidRPr="008F62ED" w:rsidRDefault="006A618B" w:rsidP="0091710A">
            <w:pPr>
              <w:pStyle w:val="NormalWeb"/>
              <w:rPr>
                <w:sz w:val="18"/>
                <w:szCs w:val="18"/>
              </w:rPr>
            </w:pPr>
            <w:r w:rsidRPr="008F62ED">
              <w:rPr>
                <w:sz w:val="18"/>
                <w:szCs w:val="18"/>
              </w:rPr>
              <w:t>I76B</w:t>
            </w:r>
          </w:p>
        </w:tc>
        <w:tc>
          <w:tcPr>
            <w:tcW w:w="6662" w:type="dxa"/>
            <w:hideMark/>
          </w:tcPr>
          <w:p w14:paraId="01FD0CF8" w14:textId="77777777" w:rsidR="006A618B" w:rsidRPr="008F62ED" w:rsidRDefault="006A618B" w:rsidP="008F62ED">
            <w:pPr>
              <w:pStyle w:val="NormalWeb"/>
              <w:rPr>
                <w:sz w:val="18"/>
                <w:szCs w:val="18"/>
              </w:rPr>
            </w:pPr>
            <w:r w:rsidRPr="008F62ED">
              <w:rPr>
                <w:sz w:val="18"/>
                <w:szCs w:val="18"/>
              </w:rPr>
              <w:t>Other Musculoskeletal Disorders, Minor Complexity</w:t>
            </w:r>
          </w:p>
        </w:tc>
        <w:tc>
          <w:tcPr>
            <w:tcW w:w="1559" w:type="dxa"/>
            <w:hideMark/>
          </w:tcPr>
          <w:p w14:paraId="63E72D94"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36CC7C68"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5DCD7301"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2DC1C34F"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05DEEB71" w14:textId="77777777" w:rsidTr="00643BBD">
        <w:tblPrEx>
          <w:tblCellMar>
            <w:top w:w="57" w:type="dxa"/>
            <w:left w:w="57" w:type="dxa"/>
            <w:bottom w:w="57" w:type="dxa"/>
            <w:right w:w="57" w:type="dxa"/>
          </w:tblCellMar>
        </w:tblPrEx>
        <w:tc>
          <w:tcPr>
            <w:tcW w:w="851" w:type="dxa"/>
            <w:hideMark/>
          </w:tcPr>
          <w:p w14:paraId="1089D664" w14:textId="77777777" w:rsidR="006A618B" w:rsidRPr="008F62ED" w:rsidRDefault="006A618B" w:rsidP="0091710A">
            <w:pPr>
              <w:pStyle w:val="NormalWeb"/>
              <w:rPr>
                <w:sz w:val="18"/>
                <w:szCs w:val="18"/>
              </w:rPr>
            </w:pPr>
            <w:r w:rsidRPr="008F62ED">
              <w:rPr>
                <w:sz w:val="18"/>
                <w:szCs w:val="18"/>
              </w:rPr>
              <w:t>J65B</w:t>
            </w:r>
          </w:p>
        </w:tc>
        <w:tc>
          <w:tcPr>
            <w:tcW w:w="6662" w:type="dxa"/>
            <w:hideMark/>
          </w:tcPr>
          <w:p w14:paraId="12F27526" w14:textId="77777777" w:rsidR="006A618B" w:rsidRPr="008F62ED" w:rsidRDefault="006A618B" w:rsidP="008F62ED">
            <w:pPr>
              <w:pStyle w:val="NormalWeb"/>
              <w:rPr>
                <w:sz w:val="18"/>
                <w:szCs w:val="18"/>
              </w:rPr>
            </w:pPr>
            <w:r w:rsidRPr="008F62ED">
              <w:rPr>
                <w:sz w:val="18"/>
                <w:szCs w:val="18"/>
              </w:rPr>
              <w:t>Trauma to Skin, Subcutaneous Tissue and Breast, Minor Complexity</w:t>
            </w:r>
          </w:p>
        </w:tc>
        <w:tc>
          <w:tcPr>
            <w:tcW w:w="1559" w:type="dxa"/>
            <w:hideMark/>
          </w:tcPr>
          <w:p w14:paraId="7A84FCD5"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5AE462E6"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06B30493"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1CC327EA"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65D29CBB"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53FB00B4" w14:textId="77777777" w:rsidR="006A618B" w:rsidRPr="008F62ED" w:rsidRDefault="006A618B" w:rsidP="0091710A">
            <w:pPr>
              <w:pStyle w:val="NormalWeb"/>
              <w:rPr>
                <w:sz w:val="18"/>
                <w:szCs w:val="18"/>
              </w:rPr>
            </w:pPr>
            <w:r w:rsidRPr="008F62ED">
              <w:rPr>
                <w:sz w:val="18"/>
                <w:szCs w:val="18"/>
              </w:rPr>
              <w:t>J67A</w:t>
            </w:r>
          </w:p>
        </w:tc>
        <w:tc>
          <w:tcPr>
            <w:tcW w:w="6662" w:type="dxa"/>
            <w:hideMark/>
          </w:tcPr>
          <w:p w14:paraId="5F56CB23" w14:textId="77777777" w:rsidR="006A618B" w:rsidRPr="008F62ED" w:rsidRDefault="006A618B" w:rsidP="008F62ED">
            <w:pPr>
              <w:pStyle w:val="NormalWeb"/>
              <w:rPr>
                <w:sz w:val="18"/>
                <w:szCs w:val="18"/>
              </w:rPr>
            </w:pPr>
            <w:r w:rsidRPr="008F62ED">
              <w:rPr>
                <w:sz w:val="18"/>
                <w:szCs w:val="18"/>
              </w:rPr>
              <w:t>Minor Skin Disorders, Major Complexity</w:t>
            </w:r>
          </w:p>
        </w:tc>
        <w:tc>
          <w:tcPr>
            <w:tcW w:w="1559" w:type="dxa"/>
            <w:hideMark/>
          </w:tcPr>
          <w:p w14:paraId="1FBBDE13"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05434903"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01549DDC"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2638A304"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3E5460A4" w14:textId="77777777" w:rsidTr="00643BBD">
        <w:tblPrEx>
          <w:tblCellMar>
            <w:top w:w="57" w:type="dxa"/>
            <w:left w:w="57" w:type="dxa"/>
            <w:bottom w:w="57" w:type="dxa"/>
            <w:right w:w="57" w:type="dxa"/>
          </w:tblCellMar>
        </w:tblPrEx>
        <w:tc>
          <w:tcPr>
            <w:tcW w:w="851" w:type="dxa"/>
            <w:hideMark/>
          </w:tcPr>
          <w:p w14:paraId="5BD393D3" w14:textId="77777777" w:rsidR="006A618B" w:rsidRPr="008F62ED" w:rsidRDefault="006A618B" w:rsidP="0091710A">
            <w:pPr>
              <w:pStyle w:val="NormalWeb"/>
              <w:rPr>
                <w:sz w:val="18"/>
                <w:szCs w:val="18"/>
              </w:rPr>
            </w:pPr>
            <w:r w:rsidRPr="008F62ED">
              <w:rPr>
                <w:sz w:val="18"/>
                <w:szCs w:val="18"/>
              </w:rPr>
              <w:t>J68A</w:t>
            </w:r>
          </w:p>
        </w:tc>
        <w:tc>
          <w:tcPr>
            <w:tcW w:w="6662" w:type="dxa"/>
            <w:hideMark/>
          </w:tcPr>
          <w:p w14:paraId="5EDAFEBC" w14:textId="77777777" w:rsidR="006A618B" w:rsidRPr="008F62ED" w:rsidRDefault="006A618B" w:rsidP="008F62ED">
            <w:pPr>
              <w:pStyle w:val="NormalWeb"/>
              <w:rPr>
                <w:sz w:val="18"/>
                <w:szCs w:val="18"/>
              </w:rPr>
            </w:pPr>
            <w:r w:rsidRPr="008F62ED">
              <w:rPr>
                <w:sz w:val="18"/>
                <w:szCs w:val="18"/>
              </w:rPr>
              <w:t>Major Skin Disorders, Major Complexity</w:t>
            </w:r>
          </w:p>
        </w:tc>
        <w:tc>
          <w:tcPr>
            <w:tcW w:w="1559" w:type="dxa"/>
            <w:hideMark/>
          </w:tcPr>
          <w:p w14:paraId="126B6085"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3C628936"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2B36AD9E"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6BAF476F"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73B663DC"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460C3C09" w14:textId="77777777" w:rsidR="006A618B" w:rsidRPr="008F62ED" w:rsidRDefault="006A618B" w:rsidP="0091710A">
            <w:pPr>
              <w:pStyle w:val="NormalWeb"/>
              <w:rPr>
                <w:sz w:val="18"/>
                <w:szCs w:val="18"/>
              </w:rPr>
            </w:pPr>
            <w:r w:rsidRPr="008F62ED">
              <w:rPr>
                <w:sz w:val="18"/>
                <w:szCs w:val="18"/>
              </w:rPr>
              <w:t>K62A</w:t>
            </w:r>
          </w:p>
        </w:tc>
        <w:tc>
          <w:tcPr>
            <w:tcW w:w="6662" w:type="dxa"/>
            <w:hideMark/>
          </w:tcPr>
          <w:p w14:paraId="5E67F18C" w14:textId="77777777" w:rsidR="006A618B" w:rsidRPr="008F62ED" w:rsidRDefault="006A618B" w:rsidP="008F62ED">
            <w:pPr>
              <w:pStyle w:val="NormalWeb"/>
              <w:rPr>
                <w:sz w:val="18"/>
                <w:szCs w:val="18"/>
              </w:rPr>
            </w:pPr>
            <w:r w:rsidRPr="008F62ED">
              <w:rPr>
                <w:sz w:val="18"/>
                <w:szCs w:val="18"/>
              </w:rPr>
              <w:t>Miscellaneous Metabolic Disorders, Major Complexity</w:t>
            </w:r>
          </w:p>
        </w:tc>
        <w:tc>
          <w:tcPr>
            <w:tcW w:w="1559" w:type="dxa"/>
            <w:hideMark/>
          </w:tcPr>
          <w:p w14:paraId="54AA5E40"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26EEA7A6" w14:textId="77777777" w:rsidR="006A618B" w:rsidRPr="008F62ED" w:rsidRDefault="006A618B" w:rsidP="0091710A">
            <w:pPr>
              <w:pStyle w:val="NormalWeb"/>
              <w:jc w:val="center"/>
              <w:rPr>
                <w:sz w:val="18"/>
                <w:szCs w:val="18"/>
              </w:rPr>
            </w:pPr>
            <w:r w:rsidRPr="008F62ED">
              <w:rPr>
                <w:sz w:val="18"/>
                <w:szCs w:val="18"/>
              </w:rPr>
              <w:t>2</w:t>
            </w:r>
          </w:p>
        </w:tc>
        <w:tc>
          <w:tcPr>
            <w:tcW w:w="1842" w:type="dxa"/>
            <w:hideMark/>
          </w:tcPr>
          <w:p w14:paraId="2CA26273"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6CA792C4" w14:textId="77777777" w:rsidR="006A618B" w:rsidRPr="008F62ED" w:rsidRDefault="006A618B" w:rsidP="0091710A">
            <w:pPr>
              <w:pStyle w:val="NormalWeb"/>
              <w:jc w:val="center"/>
              <w:rPr>
                <w:sz w:val="18"/>
                <w:szCs w:val="18"/>
              </w:rPr>
            </w:pPr>
            <w:r w:rsidRPr="008F62ED">
              <w:rPr>
                <w:sz w:val="18"/>
                <w:szCs w:val="18"/>
              </w:rPr>
              <w:t>3</w:t>
            </w:r>
          </w:p>
        </w:tc>
      </w:tr>
      <w:tr w:rsidR="008F62ED" w:rsidRPr="008F62ED" w14:paraId="0F60F1B1" w14:textId="77777777" w:rsidTr="00643BBD">
        <w:tblPrEx>
          <w:tblCellMar>
            <w:top w:w="57" w:type="dxa"/>
            <w:left w:w="57" w:type="dxa"/>
            <w:bottom w:w="57" w:type="dxa"/>
            <w:right w:w="57" w:type="dxa"/>
          </w:tblCellMar>
        </w:tblPrEx>
        <w:tc>
          <w:tcPr>
            <w:tcW w:w="851" w:type="dxa"/>
            <w:hideMark/>
          </w:tcPr>
          <w:p w14:paraId="3721D619" w14:textId="77777777" w:rsidR="006A618B" w:rsidRPr="008F62ED" w:rsidRDefault="006A618B" w:rsidP="0091710A">
            <w:pPr>
              <w:pStyle w:val="NormalWeb"/>
              <w:rPr>
                <w:sz w:val="18"/>
                <w:szCs w:val="18"/>
              </w:rPr>
            </w:pPr>
            <w:r w:rsidRPr="008F62ED">
              <w:rPr>
                <w:sz w:val="18"/>
                <w:szCs w:val="18"/>
              </w:rPr>
              <w:lastRenderedPageBreak/>
              <w:t>K62B</w:t>
            </w:r>
          </w:p>
        </w:tc>
        <w:tc>
          <w:tcPr>
            <w:tcW w:w="6662" w:type="dxa"/>
            <w:hideMark/>
          </w:tcPr>
          <w:p w14:paraId="281F5B92" w14:textId="77777777" w:rsidR="006A618B" w:rsidRPr="008F62ED" w:rsidRDefault="006A618B" w:rsidP="008F62ED">
            <w:pPr>
              <w:pStyle w:val="NormalWeb"/>
              <w:rPr>
                <w:sz w:val="18"/>
                <w:szCs w:val="18"/>
              </w:rPr>
            </w:pPr>
            <w:r w:rsidRPr="008F62ED">
              <w:rPr>
                <w:sz w:val="18"/>
                <w:szCs w:val="18"/>
              </w:rPr>
              <w:t>Miscellaneous Metabolic Disorders, Intermediate Complexity</w:t>
            </w:r>
          </w:p>
        </w:tc>
        <w:tc>
          <w:tcPr>
            <w:tcW w:w="1559" w:type="dxa"/>
            <w:hideMark/>
          </w:tcPr>
          <w:p w14:paraId="5608A563"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24BDAD65"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1BB1BAC9"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0C576240" w14:textId="77777777" w:rsidR="006A618B" w:rsidRPr="008F62ED" w:rsidRDefault="006A618B" w:rsidP="0091710A">
            <w:pPr>
              <w:pStyle w:val="NormalWeb"/>
              <w:jc w:val="center"/>
              <w:rPr>
                <w:sz w:val="18"/>
                <w:szCs w:val="18"/>
              </w:rPr>
            </w:pPr>
            <w:r w:rsidRPr="008F62ED">
              <w:rPr>
                <w:sz w:val="18"/>
                <w:szCs w:val="18"/>
              </w:rPr>
              <w:t>2</w:t>
            </w:r>
          </w:p>
        </w:tc>
      </w:tr>
      <w:tr w:rsidR="008F62ED" w:rsidRPr="008F62ED" w14:paraId="6410325C"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1524CEDF" w14:textId="77777777" w:rsidR="006A618B" w:rsidRPr="008F62ED" w:rsidRDefault="006A618B" w:rsidP="0091710A">
            <w:pPr>
              <w:pStyle w:val="NormalWeb"/>
              <w:rPr>
                <w:sz w:val="18"/>
                <w:szCs w:val="18"/>
              </w:rPr>
            </w:pPr>
            <w:r w:rsidRPr="008F62ED">
              <w:rPr>
                <w:sz w:val="18"/>
                <w:szCs w:val="18"/>
              </w:rPr>
              <w:t>K62C</w:t>
            </w:r>
          </w:p>
        </w:tc>
        <w:tc>
          <w:tcPr>
            <w:tcW w:w="6662" w:type="dxa"/>
            <w:hideMark/>
          </w:tcPr>
          <w:p w14:paraId="402103FF" w14:textId="77777777" w:rsidR="006A618B" w:rsidRPr="008F62ED" w:rsidRDefault="006A618B" w:rsidP="008F62ED">
            <w:pPr>
              <w:pStyle w:val="NormalWeb"/>
              <w:rPr>
                <w:sz w:val="18"/>
                <w:szCs w:val="18"/>
              </w:rPr>
            </w:pPr>
            <w:r w:rsidRPr="008F62ED">
              <w:rPr>
                <w:sz w:val="18"/>
                <w:szCs w:val="18"/>
              </w:rPr>
              <w:t>Miscellaneous Metabolic Disorders, Minor Complexity</w:t>
            </w:r>
          </w:p>
        </w:tc>
        <w:tc>
          <w:tcPr>
            <w:tcW w:w="1559" w:type="dxa"/>
            <w:hideMark/>
          </w:tcPr>
          <w:p w14:paraId="4DA33650"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09676B64"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5F8F8403" w14:textId="77777777" w:rsidR="006A618B" w:rsidRPr="008F62ED" w:rsidRDefault="006A618B" w:rsidP="0091710A">
            <w:pPr>
              <w:pStyle w:val="NormalWeb"/>
              <w:jc w:val="center"/>
              <w:rPr>
                <w:sz w:val="18"/>
                <w:szCs w:val="18"/>
              </w:rPr>
            </w:pPr>
            <w:r w:rsidRPr="008F62ED">
              <w:rPr>
                <w:sz w:val="18"/>
                <w:szCs w:val="18"/>
              </w:rPr>
              <w:t>2</w:t>
            </w:r>
          </w:p>
        </w:tc>
        <w:tc>
          <w:tcPr>
            <w:tcW w:w="1943" w:type="dxa"/>
            <w:hideMark/>
          </w:tcPr>
          <w:p w14:paraId="1FC85922" w14:textId="77777777" w:rsidR="006A618B" w:rsidRPr="008F62ED" w:rsidRDefault="006A618B" w:rsidP="0091710A">
            <w:pPr>
              <w:pStyle w:val="NormalWeb"/>
              <w:jc w:val="center"/>
              <w:rPr>
                <w:sz w:val="18"/>
                <w:szCs w:val="18"/>
              </w:rPr>
            </w:pPr>
            <w:r w:rsidRPr="008F62ED">
              <w:rPr>
                <w:sz w:val="18"/>
                <w:szCs w:val="18"/>
              </w:rPr>
              <w:t>4</w:t>
            </w:r>
          </w:p>
        </w:tc>
      </w:tr>
      <w:tr w:rsidR="008F62ED" w:rsidRPr="008F62ED" w14:paraId="03B85ACF" w14:textId="77777777" w:rsidTr="00643BBD">
        <w:tblPrEx>
          <w:tblCellMar>
            <w:top w:w="57" w:type="dxa"/>
            <w:left w:w="57" w:type="dxa"/>
            <w:bottom w:w="57" w:type="dxa"/>
            <w:right w:w="57" w:type="dxa"/>
          </w:tblCellMar>
        </w:tblPrEx>
        <w:tc>
          <w:tcPr>
            <w:tcW w:w="851" w:type="dxa"/>
            <w:hideMark/>
          </w:tcPr>
          <w:p w14:paraId="5C68D86C" w14:textId="77777777" w:rsidR="006A618B" w:rsidRPr="008F62ED" w:rsidRDefault="006A618B" w:rsidP="0091710A">
            <w:pPr>
              <w:pStyle w:val="NormalWeb"/>
              <w:rPr>
                <w:sz w:val="18"/>
                <w:szCs w:val="18"/>
              </w:rPr>
            </w:pPr>
            <w:r w:rsidRPr="008F62ED">
              <w:rPr>
                <w:sz w:val="18"/>
                <w:szCs w:val="18"/>
              </w:rPr>
              <w:t>L09C</w:t>
            </w:r>
          </w:p>
        </w:tc>
        <w:tc>
          <w:tcPr>
            <w:tcW w:w="6662" w:type="dxa"/>
            <w:hideMark/>
          </w:tcPr>
          <w:p w14:paraId="3D43A1BE" w14:textId="77777777" w:rsidR="006A618B" w:rsidRPr="008F62ED" w:rsidRDefault="006A618B" w:rsidP="008F62ED">
            <w:pPr>
              <w:pStyle w:val="NormalWeb"/>
              <w:rPr>
                <w:sz w:val="18"/>
                <w:szCs w:val="18"/>
              </w:rPr>
            </w:pPr>
            <w:r w:rsidRPr="008F62ED">
              <w:rPr>
                <w:sz w:val="18"/>
                <w:szCs w:val="18"/>
              </w:rPr>
              <w:t>Other Interventions for Kidney and Urinary Tract Disorders, Minor Complexity</w:t>
            </w:r>
          </w:p>
        </w:tc>
        <w:tc>
          <w:tcPr>
            <w:tcW w:w="1559" w:type="dxa"/>
            <w:hideMark/>
          </w:tcPr>
          <w:p w14:paraId="66A0CF30"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4239441F"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29F73161"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0B2E2118"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09085971"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52805672" w14:textId="77777777" w:rsidR="006A618B" w:rsidRPr="008F62ED" w:rsidRDefault="006A618B" w:rsidP="0091710A">
            <w:pPr>
              <w:pStyle w:val="NormalWeb"/>
              <w:rPr>
                <w:sz w:val="18"/>
                <w:szCs w:val="18"/>
              </w:rPr>
            </w:pPr>
            <w:r w:rsidRPr="008F62ED">
              <w:rPr>
                <w:sz w:val="18"/>
                <w:szCs w:val="18"/>
              </w:rPr>
              <w:t>L63A</w:t>
            </w:r>
          </w:p>
        </w:tc>
        <w:tc>
          <w:tcPr>
            <w:tcW w:w="6662" w:type="dxa"/>
            <w:hideMark/>
          </w:tcPr>
          <w:p w14:paraId="20812371" w14:textId="77777777" w:rsidR="006A618B" w:rsidRPr="008F62ED" w:rsidRDefault="006A618B" w:rsidP="008F62ED">
            <w:pPr>
              <w:pStyle w:val="NormalWeb"/>
              <w:rPr>
                <w:sz w:val="18"/>
                <w:szCs w:val="18"/>
              </w:rPr>
            </w:pPr>
            <w:r w:rsidRPr="008F62ED">
              <w:rPr>
                <w:sz w:val="18"/>
                <w:szCs w:val="18"/>
              </w:rPr>
              <w:t>Kidney and Urinary Tract Infections, Major Complexity</w:t>
            </w:r>
          </w:p>
        </w:tc>
        <w:tc>
          <w:tcPr>
            <w:tcW w:w="1559" w:type="dxa"/>
            <w:hideMark/>
          </w:tcPr>
          <w:p w14:paraId="1539593B"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5420E23B"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0C93DB50"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1F51326E"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090D5339" w14:textId="77777777" w:rsidTr="00643BBD">
        <w:tblPrEx>
          <w:tblCellMar>
            <w:top w:w="57" w:type="dxa"/>
            <w:left w:w="57" w:type="dxa"/>
            <w:bottom w:w="57" w:type="dxa"/>
            <w:right w:w="57" w:type="dxa"/>
          </w:tblCellMar>
        </w:tblPrEx>
        <w:tc>
          <w:tcPr>
            <w:tcW w:w="851" w:type="dxa"/>
            <w:hideMark/>
          </w:tcPr>
          <w:p w14:paraId="205BEF5D" w14:textId="77777777" w:rsidR="006A618B" w:rsidRPr="008F62ED" w:rsidRDefault="006A618B" w:rsidP="0091710A">
            <w:pPr>
              <w:pStyle w:val="NormalWeb"/>
              <w:rPr>
                <w:sz w:val="18"/>
                <w:szCs w:val="18"/>
              </w:rPr>
            </w:pPr>
            <w:r w:rsidRPr="008F62ED">
              <w:rPr>
                <w:sz w:val="18"/>
                <w:szCs w:val="18"/>
              </w:rPr>
              <w:t>M03B</w:t>
            </w:r>
          </w:p>
        </w:tc>
        <w:tc>
          <w:tcPr>
            <w:tcW w:w="6662" w:type="dxa"/>
            <w:hideMark/>
          </w:tcPr>
          <w:p w14:paraId="01FA75D1" w14:textId="77777777" w:rsidR="006A618B" w:rsidRPr="008F62ED" w:rsidRDefault="006A618B" w:rsidP="008F62ED">
            <w:pPr>
              <w:pStyle w:val="NormalWeb"/>
              <w:rPr>
                <w:sz w:val="18"/>
                <w:szCs w:val="18"/>
              </w:rPr>
            </w:pPr>
            <w:r w:rsidRPr="008F62ED">
              <w:rPr>
                <w:sz w:val="18"/>
                <w:szCs w:val="18"/>
              </w:rPr>
              <w:t>Penis Interventions, Minor Complexity</w:t>
            </w:r>
          </w:p>
        </w:tc>
        <w:tc>
          <w:tcPr>
            <w:tcW w:w="1559" w:type="dxa"/>
            <w:hideMark/>
          </w:tcPr>
          <w:p w14:paraId="00867ACB"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42216323"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15E518B1" w14:textId="77777777" w:rsidR="006A618B" w:rsidRPr="008F62ED" w:rsidRDefault="006A618B" w:rsidP="0091710A">
            <w:pPr>
              <w:pStyle w:val="NormalWeb"/>
              <w:jc w:val="center"/>
              <w:rPr>
                <w:sz w:val="18"/>
                <w:szCs w:val="18"/>
              </w:rPr>
            </w:pPr>
            <w:r w:rsidRPr="008F62ED">
              <w:rPr>
                <w:sz w:val="18"/>
                <w:szCs w:val="18"/>
              </w:rPr>
              <w:t>2</w:t>
            </w:r>
          </w:p>
        </w:tc>
        <w:tc>
          <w:tcPr>
            <w:tcW w:w="1943" w:type="dxa"/>
            <w:hideMark/>
          </w:tcPr>
          <w:p w14:paraId="10F10303" w14:textId="77777777" w:rsidR="006A618B" w:rsidRPr="008F62ED" w:rsidRDefault="006A618B" w:rsidP="0091710A">
            <w:pPr>
              <w:pStyle w:val="NormalWeb"/>
              <w:jc w:val="center"/>
              <w:rPr>
                <w:sz w:val="18"/>
                <w:szCs w:val="18"/>
              </w:rPr>
            </w:pPr>
            <w:r w:rsidRPr="008F62ED">
              <w:rPr>
                <w:sz w:val="18"/>
                <w:szCs w:val="18"/>
              </w:rPr>
              <w:t>2</w:t>
            </w:r>
          </w:p>
        </w:tc>
      </w:tr>
      <w:tr w:rsidR="008F62ED" w:rsidRPr="008F62ED" w14:paraId="6F848047"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5F3E6FF9" w14:textId="77777777" w:rsidR="006A618B" w:rsidRPr="008F62ED" w:rsidRDefault="006A618B" w:rsidP="0091710A">
            <w:pPr>
              <w:pStyle w:val="NormalWeb"/>
              <w:rPr>
                <w:sz w:val="18"/>
                <w:szCs w:val="18"/>
              </w:rPr>
            </w:pPr>
            <w:r w:rsidRPr="008F62ED">
              <w:rPr>
                <w:sz w:val="18"/>
                <w:szCs w:val="18"/>
              </w:rPr>
              <w:t>M04Z</w:t>
            </w:r>
          </w:p>
        </w:tc>
        <w:tc>
          <w:tcPr>
            <w:tcW w:w="6662" w:type="dxa"/>
            <w:hideMark/>
          </w:tcPr>
          <w:p w14:paraId="795A7B1F" w14:textId="77777777" w:rsidR="006A618B" w:rsidRPr="008F62ED" w:rsidRDefault="006A618B" w:rsidP="008F62ED">
            <w:pPr>
              <w:pStyle w:val="NormalWeb"/>
              <w:rPr>
                <w:sz w:val="18"/>
                <w:szCs w:val="18"/>
              </w:rPr>
            </w:pPr>
            <w:r w:rsidRPr="008F62ED">
              <w:rPr>
                <w:sz w:val="18"/>
                <w:szCs w:val="18"/>
              </w:rPr>
              <w:t>Testes Interventions</w:t>
            </w:r>
          </w:p>
        </w:tc>
        <w:tc>
          <w:tcPr>
            <w:tcW w:w="1559" w:type="dxa"/>
            <w:hideMark/>
          </w:tcPr>
          <w:p w14:paraId="1F324209"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661C0ACA"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5CD6D813"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392C31EF"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702C657D" w14:textId="77777777" w:rsidTr="00643BBD">
        <w:tblPrEx>
          <w:tblCellMar>
            <w:top w:w="57" w:type="dxa"/>
            <w:left w:w="57" w:type="dxa"/>
            <w:bottom w:w="57" w:type="dxa"/>
            <w:right w:w="57" w:type="dxa"/>
          </w:tblCellMar>
        </w:tblPrEx>
        <w:tc>
          <w:tcPr>
            <w:tcW w:w="851" w:type="dxa"/>
            <w:hideMark/>
          </w:tcPr>
          <w:p w14:paraId="493A178F" w14:textId="77777777" w:rsidR="006A618B" w:rsidRPr="008F62ED" w:rsidRDefault="006A618B" w:rsidP="0091710A">
            <w:pPr>
              <w:pStyle w:val="NormalWeb"/>
              <w:rPr>
                <w:sz w:val="18"/>
                <w:szCs w:val="18"/>
              </w:rPr>
            </w:pPr>
            <w:r w:rsidRPr="008F62ED">
              <w:rPr>
                <w:sz w:val="18"/>
                <w:szCs w:val="18"/>
              </w:rPr>
              <w:t>P05A</w:t>
            </w:r>
          </w:p>
        </w:tc>
        <w:tc>
          <w:tcPr>
            <w:tcW w:w="6662" w:type="dxa"/>
            <w:hideMark/>
          </w:tcPr>
          <w:p w14:paraId="54A694DA" w14:textId="77777777" w:rsidR="006A618B" w:rsidRPr="008F62ED" w:rsidRDefault="006A618B" w:rsidP="008F62ED">
            <w:pPr>
              <w:pStyle w:val="NormalWeb"/>
              <w:rPr>
                <w:sz w:val="18"/>
                <w:szCs w:val="18"/>
              </w:rPr>
            </w:pPr>
            <w:r w:rsidRPr="008F62ED">
              <w:rPr>
                <w:sz w:val="18"/>
                <w:szCs w:val="18"/>
              </w:rPr>
              <w:t xml:space="preserve">Neonate, </w:t>
            </w:r>
            <w:proofErr w:type="spellStart"/>
            <w:r w:rsidRPr="008F62ED">
              <w:rPr>
                <w:sz w:val="18"/>
                <w:szCs w:val="18"/>
              </w:rPr>
              <w:t>AdmWt</w:t>
            </w:r>
            <w:proofErr w:type="spellEnd"/>
            <w:r w:rsidRPr="008F62ED">
              <w:rPr>
                <w:sz w:val="18"/>
                <w:szCs w:val="18"/>
              </w:rPr>
              <w:t xml:space="preserve"> 2000-2499g W Significant GI/Vent&gt;=96hrs, Major Complexity</w:t>
            </w:r>
          </w:p>
        </w:tc>
        <w:tc>
          <w:tcPr>
            <w:tcW w:w="1559" w:type="dxa"/>
            <w:hideMark/>
          </w:tcPr>
          <w:p w14:paraId="15A9491D"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1A668FD1"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6BA7F3D4"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254200FB"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29A07222"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723E511C" w14:textId="77777777" w:rsidR="006A618B" w:rsidRPr="008F62ED" w:rsidRDefault="006A618B" w:rsidP="0091710A">
            <w:pPr>
              <w:pStyle w:val="NormalWeb"/>
              <w:rPr>
                <w:sz w:val="18"/>
                <w:szCs w:val="18"/>
              </w:rPr>
            </w:pPr>
            <w:r w:rsidRPr="008F62ED">
              <w:rPr>
                <w:sz w:val="18"/>
                <w:szCs w:val="18"/>
              </w:rPr>
              <w:t>P05B</w:t>
            </w:r>
          </w:p>
        </w:tc>
        <w:tc>
          <w:tcPr>
            <w:tcW w:w="6662" w:type="dxa"/>
            <w:hideMark/>
          </w:tcPr>
          <w:p w14:paraId="5BBAA42B" w14:textId="77777777" w:rsidR="006A618B" w:rsidRPr="008F62ED" w:rsidRDefault="006A618B" w:rsidP="008F62ED">
            <w:pPr>
              <w:pStyle w:val="NormalWeb"/>
              <w:rPr>
                <w:sz w:val="18"/>
                <w:szCs w:val="18"/>
              </w:rPr>
            </w:pPr>
            <w:r w:rsidRPr="008F62ED">
              <w:rPr>
                <w:sz w:val="18"/>
                <w:szCs w:val="18"/>
              </w:rPr>
              <w:t xml:space="preserve">Neonate, </w:t>
            </w:r>
            <w:proofErr w:type="spellStart"/>
            <w:r w:rsidRPr="008F62ED">
              <w:rPr>
                <w:sz w:val="18"/>
                <w:szCs w:val="18"/>
              </w:rPr>
              <w:t>AdmWt</w:t>
            </w:r>
            <w:proofErr w:type="spellEnd"/>
            <w:r w:rsidRPr="008F62ED">
              <w:rPr>
                <w:sz w:val="18"/>
                <w:szCs w:val="18"/>
              </w:rPr>
              <w:t xml:space="preserve"> 2000-2499g W Significant GI/Vent&gt;=96hrs, Minor Complexity</w:t>
            </w:r>
          </w:p>
        </w:tc>
        <w:tc>
          <w:tcPr>
            <w:tcW w:w="1559" w:type="dxa"/>
            <w:hideMark/>
          </w:tcPr>
          <w:p w14:paraId="2238EF59"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7D42E81E"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0ACFCF59"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615233F7"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0036BE78" w14:textId="77777777" w:rsidTr="00643BBD">
        <w:tblPrEx>
          <w:tblCellMar>
            <w:top w:w="57" w:type="dxa"/>
            <w:left w:w="57" w:type="dxa"/>
            <w:bottom w:w="57" w:type="dxa"/>
            <w:right w:w="57" w:type="dxa"/>
          </w:tblCellMar>
        </w:tblPrEx>
        <w:tc>
          <w:tcPr>
            <w:tcW w:w="851" w:type="dxa"/>
            <w:hideMark/>
          </w:tcPr>
          <w:p w14:paraId="0B474F4E" w14:textId="77777777" w:rsidR="006A618B" w:rsidRPr="008F62ED" w:rsidRDefault="006A618B" w:rsidP="0091710A">
            <w:pPr>
              <w:pStyle w:val="NormalWeb"/>
              <w:rPr>
                <w:sz w:val="18"/>
                <w:szCs w:val="18"/>
              </w:rPr>
            </w:pPr>
            <w:r w:rsidRPr="008F62ED">
              <w:rPr>
                <w:sz w:val="18"/>
                <w:szCs w:val="18"/>
              </w:rPr>
              <w:t>P06A</w:t>
            </w:r>
          </w:p>
        </w:tc>
        <w:tc>
          <w:tcPr>
            <w:tcW w:w="6662" w:type="dxa"/>
            <w:hideMark/>
          </w:tcPr>
          <w:p w14:paraId="49BA2BB7" w14:textId="77777777" w:rsidR="006A618B" w:rsidRPr="008F62ED" w:rsidRDefault="006A618B" w:rsidP="008F62ED">
            <w:pPr>
              <w:pStyle w:val="NormalWeb"/>
              <w:rPr>
                <w:sz w:val="18"/>
                <w:szCs w:val="18"/>
              </w:rPr>
            </w:pPr>
            <w:r w:rsidRPr="008F62ED">
              <w:rPr>
                <w:sz w:val="18"/>
                <w:szCs w:val="18"/>
              </w:rPr>
              <w:t xml:space="preserve">Neonate, </w:t>
            </w:r>
            <w:proofErr w:type="spellStart"/>
            <w:r w:rsidRPr="008F62ED">
              <w:rPr>
                <w:sz w:val="18"/>
                <w:szCs w:val="18"/>
              </w:rPr>
              <w:t>AdmWt</w:t>
            </w:r>
            <w:proofErr w:type="spellEnd"/>
            <w:r w:rsidRPr="008F62ED">
              <w:rPr>
                <w:sz w:val="18"/>
                <w:szCs w:val="18"/>
              </w:rPr>
              <w:t xml:space="preserve"> &gt;=2500g W Significant GI/Vent&gt;=96hrs, Major Complexity</w:t>
            </w:r>
          </w:p>
        </w:tc>
        <w:tc>
          <w:tcPr>
            <w:tcW w:w="1559" w:type="dxa"/>
            <w:hideMark/>
          </w:tcPr>
          <w:p w14:paraId="062BF728" w14:textId="77777777" w:rsidR="006A618B" w:rsidRPr="008F62ED" w:rsidRDefault="006A618B" w:rsidP="0091710A">
            <w:pPr>
              <w:pStyle w:val="NormalWeb"/>
              <w:jc w:val="center"/>
              <w:rPr>
                <w:sz w:val="18"/>
                <w:szCs w:val="18"/>
              </w:rPr>
            </w:pPr>
            <w:r w:rsidRPr="008F62ED">
              <w:rPr>
                <w:sz w:val="18"/>
                <w:szCs w:val="18"/>
              </w:rPr>
              <w:t>4</w:t>
            </w:r>
          </w:p>
        </w:tc>
        <w:tc>
          <w:tcPr>
            <w:tcW w:w="2127" w:type="dxa"/>
            <w:hideMark/>
          </w:tcPr>
          <w:p w14:paraId="5FB56DAE"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4E3D963C"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2BB95676" w14:textId="77777777" w:rsidR="006A618B" w:rsidRPr="008F62ED" w:rsidRDefault="006A618B" w:rsidP="0091710A">
            <w:pPr>
              <w:pStyle w:val="NormalWeb"/>
              <w:jc w:val="center"/>
              <w:rPr>
                <w:sz w:val="18"/>
                <w:szCs w:val="18"/>
              </w:rPr>
            </w:pPr>
            <w:r w:rsidRPr="008F62ED">
              <w:rPr>
                <w:sz w:val="18"/>
                <w:szCs w:val="18"/>
              </w:rPr>
              <w:t>4</w:t>
            </w:r>
          </w:p>
        </w:tc>
      </w:tr>
      <w:tr w:rsidR="008F62ED" w:rsidRPr="008F62ED" w14:paraId="436BF873"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4F35ADA7" w14:textId="77777777" w:rsidR="006A618B" w:rsidRPr="008F62ED" w:rsidRDefault="006A618B" w:rsidP="0091710A">
            <w:pPr>
              <w:pStyle w:val="NormalWeb"/>
              <w:rPr>
                <w:sz w:val="18"/>
                <w:szCs w:val="18"/>
              </w:rPr>
            </w:pPr>
            <w:r w:rsidRPr="008F62ED">
              <w:rPr>
                <w:sz w:val="18"/>
                <w:szCs w:val="18"/>
              </w:rPr>
              <w:t>P06B</w:t>
            </w:r>
          </w:p>
        </w:tc>
        <w:tc>
          <w:tcPr>
            <w:tcW w:w="6662" w:type="dxa"/>
            <w:hideMark/>
          </w:tcPr>
          <w:p w14:paraId="5953B204" w14:textId="77777777" w:rsidR="006A618B" w:rsidRPr="008F62ED" w:rsidRDefault="006A618B" w:rsidP="008F62ED">
            <w:pPr>
              <w:pStyle w:val="NormalWeb"/>
              <w:rPr>
                <w:sz w:val="18"/>
                <w:szCs w:val="18"/>
              </w:rPr>
            </w:pPr>
            <w:r w:rsidRPr="008F62ED">
              <w:rPr>
                <w:sz w:val="18"/>
                <w:szCs w:val="18"/>
              </w:rPr>
              <w:t xml:space="preserve">Neonate, </w:t>
            </w:r>
            <w:proofErr w:type="spellStart"/>
            <w:r w:rsidRPr="008F62ED">
              <w:rPr>
                <w:sz w:val="18"/>
                <w:szCs w:val="18"/>
              </w:rPr>
              <w:t>AdmWt</w:t>
            </w:r>
            <w:proofErr w:type="spellEnd"/>
            <w:r w:rsidRPr="008F62ED">
              <w:rPr>
                <w:sz w:val="18"/>
                <w:szCs w:val="18"/>
              </w:rPr>
              <w:t xml:space="preserve"> &gt;=2500g W Significant GI/Vent&gt;=96hrs, Minor Complexity</w:t>
            </w:r>
          </w:p>
        </w:tc>
        <w:tc>
          <w:tcPr>
            <w:tcW w:w="1559" w:type="dxa"/>
            <w:hideMark/>
          </w:tcPr>
          <w:p w14:paraId="7AE11D37" w14:textId="77777777" w:rsidR="006A618B" w:rsidRPr="008F62ED" w:rsidRDefault="006A618B" w:rsidP="0091710A">
            <w:pPr>
              <w:pStyle w:val="NormalWeb"/>
              <w:jc w:val="center"/>
              <w:rPr>
                <w:sz w:val="18"/>
                <w:szCs w:val="18"/>
              </w:rPr>
            </w:pPr>
            <w:r w:rsidRPr="008F62ED">
              <w:rPr>
                <w:sz w:val="18"/>
                <w:szCs w:val="18"/>
              </w:rPr>
              <w:t>2</w:t>
            </w:r>
          </w:p>
        </w:tc>
        <w:tc>
          <w:tcPr>
            <w:tcW w:w="2127" w:type="dxa"/>
            <w:hideMark/>
          </w:tcPr>
          <w:p w14:paraId="292AB80D"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66E381F1"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40FCF5BC" w14:textId="77777777" w:rsidR="006A618B" w:rsidRPr="008F62ED" w:rsidRDefault="006A618B" w:rsidP="0091710A">
            <w:pPr>
              <w:pStyle w:val="NormalWeb"/>
              <w:jc w:val="center"/>
              <w:rPr>
                <w:sz w:val="18"/>
                <w:szCs w:val="18"/>
              </w:rPr>
            </w:pPr>
            <w:r w:rsidRPr="008F62ED">
              <w:rPr>
                <w:sz w:val="18"/>
                <w:szCs w:val="18"/>
              </w:rPr>
              <w:t>2</w:t>
            </w:r>
          </w:p>
        </w:tc>
      </w:tr>
      <w:tr w:rsidR="008F62ED" w:rsidRPr="008F62ED" w14:paraId="6C802B6C" w14:textId="77777777" w:rsidTr="00643BBD">
        <w:tblPrEx>
          <w:tblCellMar>
            <w:top w:w="57" w:type="dxa"/>
            <w:left w:w="57" w:type="dxa"/>
            <w:bottom w:w="57" w:type="dxa"/>
            <w:right w:w="57" w:type="dxa"/>
          </w:tblCellMar>
        </w:tblPrEx>
        <w:tc>
          <w:tcPr>
            <w:tcW w:w="851" w:type="dxa"/>
            <w:hideMark/>
          </w:tcPr>
          <w:p w14:paraId="202734BD" w14:textId="77777777" w:rsidR="006A618B" w:rsidRPr="008F62ED" w:rsidRDefault="006A618B" w:rsidP="0091710A">
            <w:pPr>
              <w:pStyle w:val="NormalWeb"/>
              <w:rPr>
                <w:sz w:val="18"/>
                <w:szCs w:val="18"/>
              </w:rPr>
            </w:pPr>
            <w:r w:rsidRPr="008F62ED">
              <w:rPr>
                <w:sz w:val="18"/>
                <w:szCs w:val="18"/>
              </w:rPr>
              <w:t>P60B</w:t>
            </w:r>
          </w:p>
        </w:tc>
        <w:tc>
          <w:tcPr>
            <w:tcW w:w="6662" w:type="dxa"/>
            <w:hideMark/>
          </w:tcPr>
          <w:p w14:paraId="1B1EEBC9" w14:textId="77777777" w:rsidR="006A618B" w:rsidRPr="008F62ED" w:rsidRDefault="006A618B" w:rsidP="008F62ED">
            <w:pPr>
              <w:pStyle w:val="NormalWeb"/>
              <w:rPr>
                <w:sz w:val="18"/>
                <w:szCs w:val="18"/>
              </w:rPr>
            </w:pPr>
            <w:r w:rsidRPr="008F62ED">
              <w:rPr>
                <w:sz w:val="18"/>
                <w:szCs w:val="18"/>
              </w:rPr>
              <w:t>Neonate W/O Sig GI/Vent&gt;=96hrs, Died/Transfer Acute Facility &lt;5 Days, Min Comp</w:t>
            </w:r>
          </w:p>
        </w:tc>
        <w:tc>
          <w:tcPr>
            <w:tcW w:w="1559" w:type="dxa"/>
            <w:hideMark/>
          </w:tcPr>
          <w:p w14:paraId="0C484F8C" w14:textId="77777777" w:rsidR="006A618B" w:rsidRPr="008F62ED" w:rsidRDefault="006A618B" w:rsidP="0091710A">
            <w:pPr>
              <w:pStyle w:val="NormalWeb"/>
              <w:jc w:val="center"/>
              <w:rPr>
                <w:sz w:val="18"/>
                <w:szCs w:val="18"/>
              </w:rPr>
            </w:pPr>
            <w:r w:rsidRPr="008F62ED">
              <w:rPr>
                <w:sz w:val="18"/>
                <w:szCs w:val="18"/>
              </w:rPr>
              <w:t>3</w:t>
            </w:r>
          </w:p>
        </w:tc>
        <w:tc>
          <w:tcPr>
            <w:tcW w:w="2127" w:type="dxa"/>
            <w:hideMark/>
          </w:tcPr>
          <w:p w14:paraId="4D2052F3"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6C1B0ABE"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64780C63" w14:textId="77777777" w:rsidR="006A618B" w:rsidRPr="008F62ED" w:rsidRDefault="006A618B" w:rsidP="0091710A">
            <w:pPr>
              <w:pStyle w:val="NormalWeb"/>
              <w:jc w:val="center"/>
              <w:rPr>
                <w:sz w:val="18"/>
                <w:szCs w:val="18"/>
              </w:rPr>
            </w:pPr>
            <w:r w:rsidRPr="008F62ED">
              <w:rPr>
                <w:sz w:val="18"/>
                <w:szCs w:val="18"/>
              </w:rPr>
              <w:t>3</w:t>
            </w:r>
          </w:p>
        </w:tc>
      </w:tr>
      <w:tr w:rsidR="008F62ED" w:rsidRPr="008F62ED" w14:paraId="64ECC4DA"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0C0EB8F0" w14:textId="77777777" w:rsidR="006A618B" w:rsidRPr="008F62ED" w:rsidRDefault="006A618B" w:rsidP="0091710A">
            <w:pPr>
              <w:pStyle w:val="NormalWeb"/>
              <w:rPr>
                <w:sz w:val="18"/>
                <w:szCs w:val="18"/>
              </w:rPr>
            </w:pPr>
            <w:r w:rsidRPr="008F62ED">
              <w:rPr>
                <w:sz w:val="18"/>
                <w:szCs w:val="18"/>
              </w:rPr>
              <w:t>P66A</w:t>
            </w:r>
          </w:p>
        </w:tc>
        <w:tc>
          <w:tcPr>
            <w:tcW w:w="6662" w:type="dxa"/>
            <w:hideMark/>
          </w:tcPr>
          <w:p w14:paraId="2BD9757A" w14:textId="77777777" w:rsidR="006A618B" w:rsidRPr="008F62ED" w:rsidRDefault="006A618B" w:rsidP="008F62ED">
            <w:pPr>
              <w:pStyle w:val="NormalWeb"/>
              <w:rPr>
                <w:sz w:val="18"/>
                <w:szCs w:val="18"/>
              </w:rPr>
            </w:pPr>
            <w:r w:rsidRPr="008F62ED">
              <w:rPr>
                <w:sz w:val="18"/>
                <w:szCs w:val="18"/>
              </w:rPr>
              <w:t xml:space="preserve">Neonate, </w:t>
            </w:r>
            <w:proofErr w:type="spellStart"/>
            <w:r w:rsidRPr="008F62ED">
              <w:rPr>
                <w:sz w:val="18"/>
                <w:szCs w:val="18"/>
              </w:rPr>
              <w:t>AdmWt</w:t>
            </w:r>
            <w:proofErr w:type="spellEnd"/>
            <w:r w:rsidRPr="008F62ED">
              <w:rPr>
                <w:sz w:val="18"/>
                <w:szCs w:val="18"/>
              </w:rPr>
              <w:t xml:space="preserve"> 2000-2499g W/O Significant GI/Vent&gt;=96hrs, Extreme Comp</w:t>
            </w:r>
          </w:p>
        </w:tc>
        <w:tc>
          <w:tcPr>
            <w:tcW w:w="1559" w:type="dxa"/>
            <w:hideMark/>
          </w:tcPr>
          <w:p w14:paraId="507C9C31"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5780D998"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0528753D"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7C26508A"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19959915" w14:textId="77777777" w:rsidTr="00643BBD">
        <w:tblPrEx>
          <w:tblCellMar>
            <w:top w:w="57" w:type="dxa"/>
            <w:left w:w="57" w:type="dxa"/>
            <w:bottom w:w="57" w:type="dxa"/>
            <w:right w:w="57" w:type="dxa"/>
          </w:tblCellMar>
        </w:tblPrEx>
        <w:tc>
          <w:tcPr>
            <w:tcW w:w="851" w:type="dxa"/>
            <w:hideMark/>
          </w:tcPr>
          <w:p w14:paraId="6A48CFCF" w14:textId="77777777" w:rsidR="006A618B" w:rsidRPr="008F62ED" w:rsidRDefault="006A618B" w:rsidP="0091710A">
            <w:pPr>
              <w:pStyle w:val="NormalWeb"/>
              <w:rPr>
                <w:sz w:val="18"/>
                <w:szCs w:val="18"/>
              </w:rPr>
            </w:pPr>
            <w:r w:rsidRPr="008F62ED">
              <w:rPr>
                <w:sz w:val="18"/>
                <w:szCs w:val="18"/>
              </w:rPr>
              <w:t>P66B</w:t>
            </w:r>
          </w:p>
        </w:tc>
        <w:tc>
          <w:tcPr>
            <w:tcW w:w="6662" w:type="dxa"/>
            <w:hideMark/>
          </w:tcPr>
          <w:p w14:paraId="065938A1" w14:textId="77777777" w:rsidR="006A618B" w:rsidRPr="008F62ED" w:rsidRDefault="006A618B" w:rsidP="008F62ED">
            <w:pPr>
              <w:pStyle w:val="NormalWeb"/>
              <w:rPr>
                <w:sz w:val="18"/>
                <w:szCs w:val="18"/>
              </w:rPr>
            </w:pPr>
            <w:r w:rsidRPr="008F62ED">
              <w:rPr>
                <w:sz w:val="18"/>
                <w:szCs w:val="18"/>
              </w:rPr>
              <w:t xml:space="preserve">Neonate, </w:t>
            </w:r>
            <w:proofErr w:type="spellStart"/>
            <w:r w:rsidRPr="008F62ED">
              <w:rPr>
                <w:sz w:val="18"/>
                <w:szCs w:val="18"/>
              </w:rPr>
              <w:t>AdmWt</w:t>
            </w:r>
            <w:proofErr w:type="spellEnd"/>
            <w:r w:rsidRPr="008F62ED">
              <w:rPr>
                <w:sz w:val="18"/>
                <w:szCs w:val="18"/>
              </w:rPr>
              <w:t xml:space="preserve"> 2000-2499g W/O Significant GI/Vent&gt;=96hrs, Major Complexity</w:t>
            </w:r>
          </w:p>
        </w:tc>
        <w:tc>
          <w:tcPr>
            <w:tcW w:w="1559" w:type="dxa"/>
            <w:hideMark/>
          </w:tcPr>
          <w:p w14:paraId="27DE38B4"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13321E6C"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04C5BE39"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311F51E5"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0A943365"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1B1E7AC5" w14:textId="77777777" w:rsidR="006A618B" w:rsidRPr="008F62ED" w:rsidRDefault="006A618B" w:rsidP="0091710A">
            <w:pPr>
              <w:pStyle w:val="NormalWeb"/>
              <w:rPr>
                <w:sz w:val="18"/>
                <w:szCs w:val="18"/>
              </w:rPr>
            </w:pPr>
            <w:r w:rsidRPr="008F62ED">
              <w:rPr>
                <w:sz w:val="18"/>
                <w:szCs w:val="18"/>
              </w:rPr>
              <w:t>P68A</w:t>
            </w:r>
          </w:p>
        </w:tc>
        <w:tc>
          <w:tcPr>
            <w:tcW w:w="6662" w:type="dxa"/>
            <w:hideMark/>
          </w:tcPr>
          <w:p w14:paraId="7B589D9F" w14:textId="77777777" w:rsidR="006A618B" w:rsidRPr="008F62ED" w:rsidRDefault="006A618B" w:rsidP="008F62ED">
            <w:pPr>
              <w:pStyle w:val="NormalWeb"/>
              <w:rPr>
                <w:sz w:val="18"/>
                <w:szCs w:val="18"/>
              </w:rPr>
            </w:pPr>
            <w:r w:rsidRPr="008F62ED">
              <w:rPr>
                <w:sz w:val="18"/>
                <w:szCs w:val="18"/>
              </w:rPr>
              <w:t xml:space="preserve">Neonate, </w:t>
            </w:r>
            <w:proofErr w:type="spellStart"/>
            <w:r w:rsidRPr="008F62ED">
              <w:rPr>
                <w:sz w:val="18"/>
                <w:szCs w:val="18"/>
              </w:rPr>
              <w:t>AdmWt</w:t>
            </w:r>
            <w:proofErr w:type="spellEnd"/>
            <w:r w:rsidRPr="008F62ED">
              <w:rPr>
                <w:sz w:val="18"/>
                <w:szCs w:val="18"/>
              </w:rPr>
              <w:t xml:space="preserve"> &gt;=2500g W/O Sig GI/Vent&gt;=96hrs, &gt;=37 Comp </w:t>
            </w:r>
            <w:proofErr w:type="spellStart"/>
            <w:r w:rsidRPr="008F62ED">
              <w:rPr>
                <w:sz w:val="18"/>
                <w:szCs w:val="18"/>
              </w:rPr>
              <w:t>Wks</w:t>
            </w:r>
            <w:proofErr w:type="spellEnd"/>
            <w:r w:rsidRPr="008F62ED">
              <w:rPr>
                <w:sz w:val="18"/>
                <w:szCs w:val="18"/>
              </w:rPr>
              <w:t xml:space="preserve"> Gest, Ext Comp</w:t>
            </w:r>
          </w:p>
        </w:tc>
        <w:tc>
          <w:tcPr>
            <w:tcW w:w="1559" w:type="dxa"/>
            <w:hideMark/>
          </w:tcPr>
          <w:p w14:paraId="11A3D699" w14:textId="77777777" w:rsidR="006A618B" w:rsidRPr="008F62ED" w:rsidRDefault="006A618B" w:rsidP="0091710A">
            <w:pPr>
              <w:pStyle w:val="NormalWeb"/>
              <w:jc w:val="center"/>
              <w:rPr>
                <w:sz w:val="18"/>
                <w:szCs w:val="18"/>
              </w:rPr>
            </w:pPr>
            <w:r w:rsidRPr="008F62ED">
              <w:rPr>
                <w:sz w:val="18"/>
                <w:szCs w:val="18"/>
              </w:rPr>
              <w:t>7</w:t>
            </w:r>
          </w:p>
        </w:tc>
        <w:tc>
          <w:tcPr>
            <w:tcW w:w="2127" w:type="dxa"/>
            <w:hideMark/>
          </w:tcPr>
          <w:p w14:paraId="556C6C8B"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3B8CFCD8"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2ACCB6F9" w14:textId="77777777" w:rsidR="006A618B" w:rsidRPr="008F62ED" w:rsidRDefault="006A618B" w:rsidP="0091710A">
            <w:pPr>
              <w:pStyle w:val="NormalWeb"/>
              <w:jc w:val="center"/>
              <w:rPr>
                <w:sz w:val="18"/>
                <w:szCs w:val="18"/>
              </w:rPr>
            </w:pPr>
            <w:r w:rsidRPr="008F62ED">
              <w:rPr>
                <w:sz w:val="18"/>
                <w:szCs w:val="18"/>
              </w:rPr>
              <w:t>7</w:t>
            </w:r>
          </w:p>
        </w:tc>
      </w:tr>
      <w:tr w:rsidR="008F62ED" w:rsidRPr="008F62ED" w14:paraId="6822B3B1" w14:textId="77777777" w:rsidTr="00643BBD">
        <w:tblPrEx>
          <w:tblCellMar>
            <w:top w:w="57" w:type="dxa"/>
            <w:left w:w="57" w:type="dxa"/>
            <w:bottom w:w="57" w:type="dxa"/>
            <w:right w:w="57" w:type="dxa"/>
          </w:tblCellMar>
        </w:tblPrEx>
        <w:tc>
          <w:tcPr>
            <w:tcW w:w="851" w:type="dxa"/>
            <w:hideMark/>
          </w:tcPr>
          <w:p w14:paraId="7284615C" w14:textId="77777777" w:rsidR="006A618B" w:rsidRPr="008F62ED" w:rsidRDefault="006A618B" w:rsidP="0091710A">
            <w:pPr>
              <w:pStyle w:val="NormalWeb"/>
              <w:rPr>
                <w:sz w:val="18"/>
                <w:szCs w:val="18"/>
              </w:rPr>
            </w:pPr>
            <w:r w:rsidRPr="008F62ED">
              <w:rPr>
                <w:sz w:val="18"/>
                <w:szCs w:val="18"/>
              </w:rPr>
              <w:t>P68B</w:t>
            </w:r>
          </w:p>
        </w:tc>
        <w:tc>
          <w:tcPr>
            <w:tcW w:w="6662" w:type="dxa"/>
            <w:hideMark/>
          </w:tcPr>
          <w:p w14:paraId="5B98050D" w14:textId="77777777" w:rsidR="006A618B" w:rsidRPr="008F62ED" w:rsidRDefault="006A618B" w:rsidP="008F62ED">
            <w:pPr>
              <w:pStyle w:val="NormalWeb"/>
              <w:rPr>
                <w:sz w:val="18"/>
                <w:szCs w:val="18"/>
              </w:rPr>
            </w:pPr>
            <w:r w:rsidRPr="008F62ED">
              <w:rPr>
                <w:sz w:val="18"/>
                <w:szCs w:val="18"/>
              </w:rPr>
              <w:t xml:space="preserve">Neonate, </w:t>
            </w:r>
            <w:proofErr w:type="spellStart"/>
            <w:r w:rsidRPr="008F62ED">
              <w:rPr>
                <w:sz w:val="18"/>
                <w:szCs w:val="18"/>
              </w:rPr>
              <w:t>AdmWt</w:t>
            </w:r>
            <w:proofErr w:type="spellEnd"/>
            <w:r w:rsidRPr="008F62ED">
              <w:rPr>
                <w:sz w:val="18"/>
                <w:szCs w:val="18"/>
              </w:rPr>
              <w:t xml:space="preserve"> &gt;=2500g W/O Sig GI/Vent&gt;=96hrs, &gt;=37 Comp </w:t>
            </w:r>
            <w:proofErr w:type="spellStart"/>
            <w:r w:rsidRPr="008F62ED">
              <w:rPr>
                <w:sz w:val="18"/>
                <w:szCs w:val="18"/>
              </w:rPr>
              <w:t>Wks</w:t>
            </w:r>
            <w:proofErr w:type="spellEnd"/>
            <w:r w:rsidRPr="008F62ED">
              <w:rPr>
                <w:sz w:val="18"/>
                <w:szCs w:val="18"/>
              </w:rPr>
              <w:t xml:space="preserve"> Gest, Maj Comp</w:t>
            </w:r>
          </w:p>
        </w:tc>
        <w:tc>
          <w:tcPr>
            <w:tcW w:w="1559" w:type="dxa"/>
            <w:hideMark/>
          </w:tcPr>
          <w:p w14:paraId="72069CA9" w14:textId="77777777" w:rsidR="006A618B" w:rsidRPr="008F62ED" w:rsidRDefault="006A618B" w:rsidP="0091710A">
            <w:pPr>
              <w:pStyle w:val="NormalWeb"/>
              <w:jc w:val="center"/>
              <w:rPr>
                <w:sz w:val="18"/>
                <w:szCs w:val="18"/>
              </w:rPr>
            </w:pPr>
            <w:r w:rsidRPr="008F62ED">
              <w:rPr>
                <w:sz w:val="18"/>
                <w:szCs w:val="18"/>
              </w:rPr>
              <w:t>11</w:t>
            </w:r>
          </w:p>
        </w:tc>
        <w:tc>
          <w:tcPr>
            <w:tcW w:w="2127" w:type="dxa"/>
            <w:hideMark/>
          </w:tcPr>
          <w:p w14:paraId="02B4F08A"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727C9C65"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3188CCB9" w14:textId="77777777" w:rsidR="006A618B" w:rsidRPr="008F62ED" w:rsidRDefault="006A618B" w:rsidP="0091710A">
            <w:pPr>
              <w:pStyle w:val="NormalWeb"/>
              <w:jc w:val="center"/>
              <w:rPr>
                <w:sz w:val="18"/>
                <w:szCs w:val="18"/>
              </w:rPr>
            </w:pPr>
            <w:r w:rsidRPr="008F62ED">
              <w:rPr>
                <w:sz w:val="18"/>
                <w:szCs w:val="18"/>
              </w:rPr>
              <w:t>11</w:t>
            </w:r>
          </w:p>
        </w:tc>
      </w:tr>
      <w:tr w:rsidR="008F62ED" w:rsidRPr="008F62ED" w14:paraId="38991EA0"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16546904" w14:textId="77777777" w:rsidR="006A618B" w:rsidRPr="008F62ED" w:rsidRDefault="006A618B" w:rsidP="0091710A">
            <w:pPr>
              <w:pStyle w:val="NormalWeb"/>
              <w:rPr>
                <w:sz w:val="18"/>
                <w:szCs w:val="18"/>
              </w:rPr>
            </w:pPr>
            <w:r w:rsidRPr="008F62ED">
              <w:rPr>
                <w:sz w:val="18"/>
                <w:szCs w:val="18"/>
              </w:rPr>
              <w:t>P68C</w:t>
            </w:r>
          </w:p>
        </w:tc>
        <w:tc>
          <w:tcPr>
            <w:tcW w:w="6662" w:type="dxa"/>
            <w:hideMark/>
          </w:tcPr>
          <w:p w14:paraId="3F4D7E84" w14:textId="77777777" w:rsidR="006A618B" w:rsidRPr="008F62ED" w:rsidRDefault="006A618B" w:rsidP="008F62ED">
            <w:pPr>
              <w:pStyle w:val="NormalWeb"/>
              <w:rPr>
                <w:sz w:val="18"/>
                <w:szCs w:val="18"/>
              </w:rPr>
            </w:pPr>
            <w:r w:rsidRPr="008F62ED">
              <w:rPr>
                <w:sz w:val="18"/>
                <w:szCs w:val="18"/>
              </w:rPr>
              <w:t xml:space="preserve">Neonate, </w:t>
            </w:r>
            <w:proofErr w:type="spellStart"/>
            <w:r w:rsidRPr="008F62ED">
              <w:rPr>
                <w:sz w:val="18"/>
                <w:szCs w:val="18"/>
              </w:rPr>
              <w:t>AdmWt</w:t>
            </w:r>
            <w:proofErr w:type="spellEnd"/>
            <w:r w:rsidRPr="008F62ED">
              <w:rPr>
                <w:sz w:val="18"/>
                <w:szCs w:val="18"/>
              </w:rPr>
              <w:t xml:space="preserve"> &gt;=2500g W/O Sig GI/Vent&gt;=96hrs, &gt;=37 Comp </w:t>
            </w:r>
            <w:proofErr w:type="spellStart"/>
            <w:r w:rsidRPr="008F62ED">
              <w:rPr>
                <w:sz w:val="18"/>
                <w:szCs w:val="18"/>
              </w:rPr>
              <w:t>Wks</w:t>
            </w:r>
            <w:proofErr w:type="spellEnd"/>
            <w:r w:rsidRPr="008F62ED">
              <w:rPr>
                <w:sz w:val="18"/>
                <w:szCs w:val="18"/>
              </w:rPr>
              <w:t xml:space="preserve"> Gest, Int Comp</w:t>
            </w:r>
          </w:p>
        </w:tc>
        <w:tc>
          <w:tcPr>
            <w:tcW w:w="1559" w:type="dxa"/>
            <w:hideMark/>
          </w:tcPr>
          <w:p w14:paraId="1AFB7369" w14:textId="77777777" w:rsidR="006A618B" w:rsidRPr="008F62ED" w:rsidRDefault="006A618B" w:rsidP="0091710A">
            <w:pPr>
              <w:pStyle w:val="NormalWeb"/>
              <w:jc w:val="center"/>
              <w:rPr>
                <w:sz w:val="18"/>
                <w:szCs w:val="18"/>
              </w:rPr>
            </w:pPr>
            <w:r w:rsidRPr="008F62ED">
              <w:rPr>
                <w:sz w:val="18"/>
                <w:szCs w:val="18"/>
              </w:rPr>
              <w:t>3</w:t>
            </w:r>
          </w:p>
        </w:tc>
        <w:tc>
          <w:tcPr>
            <w:tcW w:w="2127" w:type="dxa"/>
            <w:hideMark/>
          </w:tcPr>
          <w:p w14:paraId="3B87345F"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4CF10750"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55B269FE" w14:textId="77777777" w:rsidR="006A618B" w:rsidRPr="008F62ED" w:rsidRDefault="006A618B" w:rsidP="0091710A">
            <w:pPr>
              <w:pStyle w:val="NormalWeb"/>
              <w:jc w:val="center"/>
              <w:rPr>
                <w:sz w:val="18"/>
                <w:szCs w:val="18"/>
              </w:rPr>
            </w:pPr>
            <w:r w:rsidRPr="008F62ED">
              <w:rPr>
                <w:sz w:val="18"/>
                <w:szCs w:val="18"/>
              </w:rPr>
              <w:t>3</w:t>
            </w:r>
          </w:p>
        </w:tc>
      </w:tr>
      <w:tr w:rsidR="008F62ED" w:rsidRPr="008F62ED" w14:paraId="2112BCD3" w14:textId="77777777" w:rsidTr="00643BBD">
        <w:tblPrEx>
          <w:tblCellMar>
            <w:top w:w="57" w:type="dxa"/>
            <w:left w:w="57" w:type="dxa"/>
            <w:bottom w:w="57" w:type="dxa"/>
            <w:right w:w="57" w:type="dxa"/>
          </w:tblCellMar>
        </w:tblPrEx>
        <w:tc>
          <w:tcPr>
            <w:tcW w:w="851" w:type="dxa"/>
            <w:hideMark/>
          </w:tcPr>
          <w:p w14:paraId="6538A26F" w14:textId="77777777" w:rsidR="006A618B" w:rsidRPr="008F62ED" w:rsidRDefault="006A618B" w:rsidP="0091710A">
            <w:pPr>
              <w:pStyle w:val="NormalWeb"/>
              <w:rPr>
                <w:sz w:val="18"/>
                <w:szCs w:val="18"/>
              </w:rPr>
            </w:pPr>
            <w:r w:rsidRPr="008F62ED">
              <w:rPr>
                <w:sz w:val="18"/>
                <w:szCs w:val="18"/>
              </w:rPr>
              <w:t>P68D</w:t>
            </w:r>
          </w:p>
        </w:tc>
        <w:tc>
          <w:tcPr>
            <w:tcW w:w="6662" w:type="dxa"/>
            <w:hideMark/>
          </w:tcPr>
          <w:p w14:paraId="48BC7303" w14:textId="77777777" w:rsidR="006A618B" w:rsidRPr="008F62ED" w:rsidRDefault="006A618B" w:rsidP="008F62ED">
            <w:pPr>
              <w:pStyle w:val="NormalWeb"/>
              <w:rPr>
                <w:sz w:val="18"/>
                <w:szCs w:val="18"/>
              </w:rPr>
            </w:pPr>
            <w:r w:rsidRPr="008F62ED">
              <w:rPr>
                <w:sz w:val="18"/>
                <w:szCs w:val="18"/>
              </w:rPr>
              <w:t xml:space="preserve">Neonate, </w:t>
            </w:r>
            <w:proofErr w:type="spellStart"/>
            <w:r w:rsidRPr="008F62ED">
              <w:rPr>
                <w:sz w:val="18"/>
                <w:szCs w:val="18"/>
              </w:rPr>
              <w:t>AdmWt</w:t>
            </w:r>
            <w:proofErr w:type="spellEnd"/>
            <w:r w:rsidRPr="008F62ED">
              <w:rPr>
                <w:sz w:val="18"/>
                <w:szCs w:val="18"/>
              </w:rPr>
              <w:t xml:space="preserve"> &gt;=2500g W/O Sig GI/Vent&gt;=96hrs, &gt;=37 Comp </w:t>
            </w:r>
            <w:proofErr w:type="spellStart"/>
            <w:r w:rsidRPr="008F62ED">
              <w:rPr>
                <w:sz w:val="18"/>
                <w:szCs w:val="18"/>
              </w:rPr>
              <w:t>Wks</w:t>
            </w:r>
            <w:proofErr w:type="spellEnd"/>
            <w:r w:rsidRPr="008F62ED">
              <w:rPr>
                <w:sz w:val="18"/>
                <w:szCs w:val="18"/>
              </w:rPr>
              <w:t xml:space="preserve"> Gest, Min Comp</w:t>
            </w:r>
          </w:p>
        </w:tc>
        <w:tc>
          <w:tcPr>
            <w:tcW w:w="1559" w:type="dxa"/>
            <w:hideMark/>
          </w:tcPr>
          <w:p w14:paraId="00950925"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708C75C1"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578E587C"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0AE57DAB"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075EC39A"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66E2AADD" w14:textId="77777777" w:rsidR="006A618B" w:rsidRPr="008F62ED" w:rsidRDefault="006A618B" w:rsidP="0091710A">
            <w:pPr>
              <w:pStyle w:val="NormalWeb"/>
              <w:rPr>
                <w:sz w:val="18"/>
                <w:szCs w:val="18"/>
              </w:rPr>
            </w:pPr>
            <w:r w:rsidRPr="008F62ED">
              <w:rPr>
                <w:sz w:val="18"/>
                <w:szCs w:val="18"/>
              </w:rPr>
              <w:t>Q60B</w:t>
            </w:r>
          </w:p>
        </w:tc>
        <w:tc>
          <w:tcPr>
            <w:tcW w:w="6662" w:type="dxa"/>
            <w:hideMark/>
          </w:tcPr>
          <w:p w14:paraId="20C1D3AD" w14:textId="77777777" w:rsidR="006A618B" w:rsidRPr="008F62ED" w:rsidRDefault="006A618B" w:rsidP="008F62ED">
            <w:pPr>
              <w:pStyle w:val="NormalWeb"/>
              <w:rPr>
                <w:sz w:val="18"/>
                <w:szCs w:val="18"/>
              </w:rPr>
            </w:pPr>
            <w:r w:rsidRPr="008F62ED">
              <w:rPr>
                <w:sz w:val="18"/>
                <w:szCs w:val="18"/>
              </w:rPr>
              <w:t>Reticuloendothelial and Immunity Disorders, Minor Complexity</w:t>
            </w:r>
          </w:p>
        </w:tc>
        <w:tc>
          <w:tcPr>
            <w:tcW w:w="1559" w:type="dxa"/>
            <w:hideMark/>
          </w:tcPr>
          <w:p w14:paraId="46E26332"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76045CB6"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2065B35F"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789F03B9"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384BF931" w14:textId="77777777" w:rsidTr="00643BBD">
        <w:tblPrEx>
          <w:tblCellMar>
            <w:top w:w="57" w:type="dxa"/>
            <w:left w:w="57" w:type="dxa"/>
            <w:bottom w:w="57" w:type="dxa"/>
            <w:right w:w="57" w:type="dxa"/>
          </w:tblCellMar>
        </w:tblPrEx>
        <w:tc>
          <w:tcPr>
            <w:tcW w:w="851" w:type="dxa"/>
            <w:hideMark/>
          </w:tcPr>
          <w:p w14:paraId="598293EE" w14:textId="77777777" w:rsidR="006A618B" w:rsidRPr="008F62ED" w:rsidRDefault="006A618B" w:rsidP="0091710A">
            <w:pPr>
              <w:pStyle w:val="NormalWeb"/>
              <w:rPr>
                <w:sz w:val="18"/>
                <w:szCs w:val="18"/>
              </w:rPr>
            </w:pPr>
            <w:r w:rsidRPr="008F62ED">
              <w:rPr>
                <w:sz w:val="18"/>
                <w:szCs w:val="18"/>
              </w:rPr>
              <w:t>Q62B</w:t>
            </w:r>
          </w:p>
        </w:tc>
        <w:tc>
          <w:tcPr>
            <w:tcW w:w="6662" w:type="dxa"/>
            <w:hideMark/>
          </w:tcPr>
          <w:p w14:paraId="0171F904" w14:textId="77777777" w:rsidR="006A618B" w:rsidRPr="008F62ED" w:rsidRDefault="006A618B" w:rsidP="008F62ED">
            <w:pPr>
              <w:pStyle w:val="NormalWeb"/>
              <w:rPr>
                <w:sz w:val="18"/>
                <w:szCs w:val="18"/>
              </w:rPr>
            </w:pPr>
            <w:r w:rsidRPr="008F62ED">
              <w:rPr>
                <w:sz w:val="18"/>
                <w:szCs w:val="18"/>
              </w:rPr>
              <w:t>Coagulation Disorders, Minor Complexity</w:t>
            </w:r>
          </w:p>
        </w:tc>
        <w:tc>
          <w:tcPr>
            <w:tcW w:w="1559" w:type="dxa"/>
            <w:hideMark/>
          </w:tcPr>
          <w:p w14:paraId="0C6AC2FB"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76C6D752"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453F5CB6"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2AD4945A"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5C567130"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55A3A4FE" w14:textId="77777777" w:rsidR="006A618B" w:rsidRPr="008F62ED" w:rsidRDefault="006A618B" w:rsidP="0091710A">
            <w:pPr>
              <w:pStyle w:val="NormalWeb"/>
              <w:rPr>
                <w:sz w:val="18"/>
                <w:szCs w:val="18"/>
              </w:rPr>
            </w:pPr>
            <w:r w:rsidRPr="008F62ED">
              <w:rPr>
                <w:sz w:val="18"/>
                <w:szCs w:val="18"/>
              </w:rPr>
              <w:t>R04A</w:t>
            </w:r>
          </w:p>
        </w:tc>
        <w:tc>
          <w:tcPr>
            <w:tcW w:w="6662" w:type="dxa"/>
            <w:hideMark/>
          </w:tcPr>
          <w:p w14:paraId="01FD7619" w14:textId="77777777" w:rsidR="006A618B" w:rsidRPr="008F62ED" w:rsidRDefault="006A618B" w:rsidP="008F62ED">
            <w:pPr>
              <w:pStyle w:val="NormalWeb"/>
              <w:rPr>
                <w:sz w:val="18"/>
                <w:szCs w:val="18"/>
              </w:rPr>
            </w:pPr>
            <w:r w:rsidRPr="008F62ED">
              <w:rPr>
                <w:sz w:val="18"/>
                <w:szCs w:val="18"/>
              </w:rPr>
              <w:t>Other Neoplastic Disorders W Other GIs, Major Complexity</w:t>
            </w:r>
          </w:p>
        </w:tc>
        <w:tc>
          <w:tcPr>
            <w:tcW w:w="1559" w:type="dxa"/>
            <w:hideMark/>
          </w:tcPr>
          <w:p w14:paraId="73A85E0B"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1D2CB859"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57A8EB8C"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06614310"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240B2BED" w14:textId="77777777" w:rsidTr="00643BBD">
        <w:tblPrEx>
          <w:tblCellMar>
            <w:top w:w="57" w:type="dxa"/>
            <w:left w:w="57" w:type="dxa"/>
            <w:bottom w:w="57" w:type="dxa"/>
            <w:right w:w="57" w:type="dxa"/>
          </w:tblCellMar>
        </w:tblPrEx>
        <w:tc>
          <w:tcPr>
            <w:tcW w:w="851" w:type="dxa"/>
            <w:hideMark/>
          </w:tcPr>
          <w:p w14:paraId="7B411700" w14:textId="77777777" w:rsidR="006A618B" w:rsidRPr="008F62ED" w:rsidRDefault="006A618B" w:rsidP="0091710A">
            <w:pPr>
              <w:pStyle w:val="NormalWeb"/>
              <w:rPr>
                <w:sz w:val="18"/>
                <w:szCs w:val="18"/>
              </w:rPr>
            </w:pPr>
            <w:r w:rsidRPr="008F62ED">
              <w:rPr>
                <w:sz w:val="18"/>
                <w:szCs w:val="18"/>
              </w:rPr>
              <w:t>R62A</w:t>
            </w:r>
          </w:p>
        </w:tc>
        <w:tc>
          <w:tcPr>
            <w:tcW w:w="6662" w:type="dxa"/>
            <w:hideMark/>
          </w:tcPr>
          <w:p w14:paraId="0B1C4FAB" w14:textId="77777777" w:rsidR="006A618B" w:rsidRPr="008F62ED" w:rsidRDefault="006A618B" w:rsidP="008F62ED">
            <w:pPr>
              <w:pStyle w:val="NormalWeb"/>
              <w:rPr>
                <w:sz w:val="18"/>
                <w:szCs w:val="18"/>
              </w:rPr>
            </w:pPr>
            <w:r w:rsidRPr="008F62ED">
              <w:rPr>
                <w:sz w:val="18"/>
                <w:szCs w:val="18"/>
              </w:rPr>
              <w:t>Other Neoplastic Disorders, Major Complexity</w:t>
            </w:r>
          </w:p>
        </w:tc>
        <w:tc>
          <w:tcPr>
            <w:tcW w:w="1559" w:type="dxa"/>
            <w:hideMark/>
          </w:tcPr>
          <w:p w14:paraId="5828FF8D"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37E0B969"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4335CE48"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02377188"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7E2572EA"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5BA0DB72" w14:textId="77777777" w:rsidR="006A618B" w:rsidRPr="008F62ED" w:rsidRDefault="006A618B" w:rsidP="0091710A">
            <w:pPr>
              <w:pStyle w:val="NormalWeb"/>
              <w:rPr>
                <w:sz w:val="18"/>
                <w:szCs w:val="18"/>
              </w:rPr>
            </w:pPr>
            <w:r w:rsidRPr="008F62ED">
              <w:rPr>
                <w:sz w:val="18"/>
                <w:szCs w:val="18"/>
              </w:rPr>
              <w:t>R62B</w:t>
            </w:r>
          </w:p>
        </w:tc>
        <w:tc>
          <w:tcPr>
            <w:tcW w:w="6662" w:type="dxa"/>
            <w:hideMark/>
          </w:tcPr>
          <w:p w14:paraId="450F85AC" w14:textId="77777777" w:rsidR="006A618B" w:rsidRPr="008F62ED" w:rsidRDefault="006A618B" w:rsidP="008F62ED">
            <w:pPr>
              <w:pStyle w:val="NormalWeb"/>
              <w:rPr>
                <w:sz w:val="18"/>
                <w:szCs w:val="18"/>
              </w:rPr>
            </w:pPr>
            <w:r w:rsidRPr="008F62ED">
              <w:rPr>
                <w:sz w:val="18"/>
                <w:szCs w:val="18"/>
              </w:rPr>
              <w:t>Other Neoplastic Disorders, Intermediate Complexity</w:t>
            </w:r>
          </w:p>
        </w:tc>
        <w:tc>
          <w:tcPr>
            <w:tcW w:w="1559" w:type="dxa"/>
            <w:hideMark/>
          </w:tcPr>
          <w:p w14:paraId="7F87E87A"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1BEE9E16"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2C337EF2" w14:textId="77777777" w:rsidR="006A618B" w:rsidRPr="008F62ED" w:rsidRDefault="006A618B" w:rsidP="0091710A">
            <w:pPr>
              <w:pStyle w:val="NormalWeb"/>
              <w:jc w:val="center"/>
              <w:rPr>
                <w:sz w:val="18"/>
                <w:szCs w:val="18"/>
              </w:rPr>
            </w:pPr>
            <w:r w:rsidRPr="008F62ED">
              <w:rPr>
                <w:sz w:val="18"/>
                <w:szCs w:val="18"/>
              </w:rPr>
              <w:t>4</w:t>
            </w:r>
          </w:p>
        </w:tc>
        <w:tc>
          <w:tcPr>
            <w:tcW w:w="1943" w:type="dxa"/>
            <w:hideMark/>
          </w:tcPr>
          <w:p w14:paraId="4E99D24B" w14:textId="77777777" w:rsidR="006A618B" w:rsidRPr="008F62ED" w:rsidRDefault="006A618B" w:rsidP="0091710A">
            <w:pPr>
              <w:pStyle w:val="NormalWeb"/>
              <w:jc w:val="center"/>
              <w:rPr>
                <w:sz w:val="18"/>
                <w:szCs w:val="18"/>
              </w:rPr>
            </w:pPr>
            <w:r w:rsidRPr="008F62ED">
              <w:rPr>
                <w:sz w:val="18"/>
                <w:szCs w:val="18"/>
              </w:rPr>
              <w:t>4</w:t>
            </w:r>
          </w:p>
        </w:tc>
      </w:tr>
      <w:tr w:rsidR="008F62ED" w:rsidRPr="008F62ED" w14:paraId="1C2A8948" w14:textId="77777777" w:rsidTr="00643BBD">
        <w:tblPrEx>
          <w:tblCellMar>
            <w:top w:w="57" w:type="dxa"/>
            <w:left w:w="57" w:type="dxa"/>
            <w:bottom w:w="57" w:type="dxa"/>
            <w:right w:w="57" w:type="dxa"/>
          </w:tblCellMar>
        </w:tblPrEx>
        <w:tc>
          <w:tcPr>
            <w:tcW w:w="851" w:type="dxa"/>
            <w:hideMark/>
          </w:tcPr>
          <w:p w14:paraId="7DB67BE2" w14:textId="77777777" w:rsidR="006A618B" w:rsidRPr="008F62ED" w:rsidRDefault="006A618B" w:rsidP="0091710A">
            <w:pPr>
              <w:pStyle w:val="NormalWeb"/>
              <w:rPr>
                <w:sz w:val="18"/>
                <w:szCs w:val="18"/>
              </w:rPr>
            </w:pPr>
            <w:r w:rsidRPr="008F62ED">
              <w:rPr>
                <w:sz w:val="18"/>
                <w:szCs w:val="18"/>
              </w:rPr>
              <w:t>R63Z</w:t>
            </w:r>
          </w:p>
        </w:tc>
        <w:tc>
          <w:tcPr>
            <w:tcW w:w="6662" w:type="dxa"/>
            <w:hideMark/>
          </w:tcPr>
          <w:p w14:paraId="5CBB7720" w14:textId="77777777" w:rsidR="006A618B" w:rsidRPr="008F62ED" w:rsidRDefault="006A618B" w:rsidP="008F62ED">
            <w:pPr>
              <w:pStyle w:val="NormalWeb"/>
              <w:rPr>
                <w:sz w:val="18"/>
                <w:szCs w:val="18"/>
              </w:rPr>
            </w:pPr>
            <w:r w:rsidRPr="008F62ED">
              <w:rPr>
                <w:sz w:val="18"/>
                <w:szCs w:val="18"/>
              </w:rPr>
              <w:t>Chemotherapy</w:t>
            </w:r>
          </w:p>
        </w:tc>
        <w:tc>
          <w:tcPr>
            <w:tcW w:w="1559" w:type="dxa"/>
            <w:hideMark/>
          </w:tcPr>
          <w:p w14:paraId="1ED5E15E"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0E33855B" w14:textId="77777777" w:rsidR="006A618B" w:rsidRPr="008F62ED" w:rsidRDefault="006A618B" w:rsidP="0091710A">
            <w:pPr>
              <w:pStyle w:val="NormalWeb"/>
              <w:jc w:val="center"/>
              <w:rPr>
                <w:sz w:val="18"/>
                <w:szCs w:val="18"/>
              </w:rPr>
            </w:pPr>
            <w:r w:rsidRPr="008F62ED">
              <w:rPr>
                <w:sz w:val="18"/>
                <w:szCs w:val="18"/>
              </w:rPr>
              <w:t>4</w:t>
            </w:r>
          </w:p>
        </w:tc>
        <w:tc>
          <w:tcPr>
            <w:tcW w:w="1842" w:type="dxa"/>
            <w:hideMark/>
          </w:tcPr>
          <w:p w14:paraId="698F9BFE" w14:textId="77777777" w:rsidR="006A618B" w:rsidRPr="008F62ED" w:rsidRDefault="006A618B" w:rsidP="0091710A">
            <w:pPr>
              <w:pStyle w:val="NormalWeb"/>
              <w:jc w:val="center"/>
              <w:rPr>
                <w:sz w:val="18"/>
                <w:szCs w:val="18"/>
              </w:rPr>
            </w:pPr>
            <w:r w:rsidRPr="008F62ED">
              <w:rPr>
                <w:sz w:val="18"/>
                <w:szCs w:val="18"/>
              </w:rPr>
              <w:t>9</w:t>
            </w:r>
          </w:p>
        </w:tc>
        <w:tc>
          <w:tcPr>
            <w:tcW w:w="1943" w:type="dxa"/>
            <w:hideMark/>
          </w:tcPr>
          <w:p w14:paraId="4560585C" w14:textId="77777777" w:rsidR="006A618B" w:rsidRPr="008F62ED" w:rsidRDefault="006A618B" w:rsidP="0091710A">
            <w:pPr>
              <w:pStyle w:val="NormalWeb"/>
              <w:jc w:val="center"/>
              <w:rPr>
                <w:sz w:val="18"/>
                <w:szCs w:val="18"/>
              </w:rPr>
            </w:pPr>
            <w:r w:rsidRPr="008F62ED">
              <w:rPr>
                <w:sz w:val="18"/>
                <w:szCs w:val="18"/>
              </w:rPr>
              <w:t>13</w:t>
            </w:r>
          </w:p>
        </w:tc>
      </w:tr>
      <w:tr w:rsidR="008F62ED" w:rsidRPr="008F62ED" w14:paraId="4D26795B"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26E14A0D" w14:textId="77777777" w:rsidR="006A618B" w:rsidRPr="008F62ED" w:rsidRDefault="006A618B" w:rsidP="0091710A">
            <w:pPr>
              <w:pStyle w:val="NormalWeb"/>
              <w:rPr>
                <w:sz w:val="18"/>
                <w:szCs w:val="18"/>
              </w:rPr>
            </w:pPr>
            <w:r w:rsidRPr="008F62ED">
              <w:rPr>
                <w:sz w:val="18"/>
                <w:szCs w:val="18"/>
              </w:rPr>
              <w:t>T60B</w:t>
            </w:r>
          </w:p>
        </w:tc>
        <w:tc>
          <w:tcPr>
            <w:tcW w:w="6662" w:type="dxa"/>
            <w:hideMark/>
          </w:tcPr>
          <w:p w14:paraId="2BE2A5B9" w14:textId="77777777" w:rsidR="006A618B" w:rsidRPr="008F62ED" w:rsidRDefault="006A618B" w:rsidP="008F62ED">
            <w:pPr>
              <w:pStyle w:val="NormalWeb"/>
              <w:rPr>
                <w:sz w:val="18"/>
                <w:szCs w:val="18"/>
              </w:rPr>
            </w:pPr>
            <w:r w:rsidRPr="008F62ED">
              <w:rPr>
                <w:sz w:val="18"/>
                <w:szCs w:val="18"/>
              </w:rPr>
              <w:t>Septicaemia, Intermediate Complexity</w:t>
            </w:r>
          </w:p>
        </w:tc>
        <w:tc>
          <w:tcPr>
            <w:tcW w:w="1559" w:type="dxa"/>
            <w:hideMark/>
          </w:tcPr>
          <w:p w14:paraId="30FC6B3F"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5EAB1CD6"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657E2C7C"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347D7CB8"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0F632913" w14:textId="77777777" w:rsidTr="00643BBD">
        <w:tblPrEx>
          <w:tblCellMar>
            <w:top w:w="57" w:type="dxa"/>
            <w:left w:w="57" w:type="dxa"/>
            <w:bottom w:w="57" w:type="dxa"/>
            <w:right w:w="57" w:type="dxa"/>
          </w:tblCellMar>
        </w:tblPrEx>
        <w:tc>
          <w:tcPr>
            <w:tcW w:w="851" w:type="dxa"/>
            <w:hideMark/>
          </w:tcPr>
          <w:p w14:paraId="580A8215" w14:textId="77777777" w:rsidR="006A618B" w:rsidRPr="008F62ED" w:rsidRDefault="006A618B" w:rsidP="0091710A">
            <w:pPr>
              <w:pStyle w:val="NormalWeb"/>
              <w:rPr>
                <w:sz w:val="18"/>
                <w:szCs w:val="18"/>
              </w:rPr>
            </w:pPr>
            <w:r w:rsidRPr="008F62ED">
              <w:rPr>
                <w:sz w:val="18"/>
                <w:szCs w:val="18"/>
              </w:rPr>
              <w:t>T60C</w:t>
            </w:r>
          </w:p>
        </w:tc>
        <w:tc>
          <w:tcPr>
            <w:tcW w:w="6662" w:type="dxa"/>
            <w:hideMark/>
          </w:tcPr>
          <w:p w14:paraId="262D3A4B" w14:textId="77777777" w:rsidR="006A618B" w:rsidRPr="008F62ED" w:rsidRDefault="006A618B" w:rsidP="008F62ED">
            <w:pPr>
              <w:pStyle w:val="NormalWeb"/>
              <w:rPr>
                <w:sz w:val="18"/>
                <w:szCs w:val="18"/>
              </w:rPr>
            </w:pPr>
            <w:r w:rsidRPr="008F62ED">
              <w:rPr>
                <w:sz w:val="18"/>
                <w:szCs w:val="18"/>
              </w:rPr>
              <w:t>Septicaemia, Minor Complexity</w:t>
            </w:r>
          </w:p>
        </w:tc>
        <w:tc>
          <w:tcPr>
            <w:tcW w:w="1559" w:type="dxa"/>
            <w:hideMark/>
          </w:tcPr>
          <w:p w14:paraId="302220D8" w14:textId="77777777" w:rsidR="006A618B" w:rsidRPr="008F62ED" w:rsidRDefault="006A618B" w:rsidP="0091710A">
            <w:pPr>
              <w:pStyle w:val="NormalWeb"/>
              <w:jc w:val="center"/>
              <w:rPr>
                <w:sz w:val="18"/>
                <w:szCs w:val="18"/>
              </w:rPr>
            </w:pPr>
            <w:r w:rsidRPr="008F62ED">
              <w:rPr>
                <w:sz w:val="18"/>
                <w:szCs w:val="18"/>
              </w:rPr>
              <w:t>1</w:t>
            </w:r>
          </w:p>
        </w:tc>
        <w:tc>
          <w:tcPr>
            <w:tcW w:w="2127" w:type="dxa"/>
            <w:hideMark/>
          </w:tcPr>
          <w:p w14:paraId="2852D0E4"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0C248D2E"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7148C2B9"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441254C9"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6A2B66BC" w14:textId="77777777" w:rsidR="006A618B" w:rsidRPr="008F62ED" w:rsidRDefault="006A618B" w:rsidP="0091710A">
            <w:pPr>
              <w:pStyle w:val="NormalWeb"/>
              <w:rPr>
                <w:sz w:val="18"/>
                <w:szCs w:val="18"/>
              </w:rPr>
            </w:pPr>
            <w:r w:rsidRPr="008F62ED">
              <w:rPr>
                <w:sz w:val="18"/>
                <w:szCs w:val="18"/>
              </w:rPr>
              <w:t>T62A</w:t>
            </w:r>
          </w:p>
        </w:tc>
        <w:tc>
          <w:tcPr>
            <w:tcW w:w="6662" w:type="dxa"/>
            <w:hideMark/>
          </w:tcPr>
          <w:p w14:paraId="1E113A47" w14:textId="77777777" w:rsidR="006A618B" w:rsidRPr="008F62ED" w:rsidRDefault="006A618B" w:rsidP="008F62ED">
            <w:pPr>
              <w:pStyle w:val="NormalWeb"/>
              <w:rPr>
                <w:sz w:val="18"/>
                <w:szCs w:val="18"/>
              </w:rPr>
            </w:pPr>
            <w:r w:rsidRPr="008F62ED">
              <w:rPr>
                <w:sz w:val="18"/>
                <w:szCs w:val="18"/>
              </w:rPr>
              <w:t>Fever of Unknown Origin, Major Complexity</w:t>
            </w:r>
          </w:p>
        </w:tc>
        <w:tc>
          <w:tcPr>
            <w:tcW w:w="1559" w:type="dxa"/>
            <w:hideMark/>
          </w:tcPr>
          <w:p w14:paraId="15F57290" w14:textId="77777777" w:rsidR="006A618B" w:rsidRPr="008F62ED" w:rsidRDefault="006A618B" w:rsidP="0091710A">
            <w:pPr>
              <w:pStyle w:val="NormalWeb"/>
              <w:jc w:val="center"/>
              <w:rPr>
                <w:sz w:val="18"/>
                <w:szCs w:val="18"/>
              </w:rPr>
            </w:pPr>
            <w:r w:rsidRPr="008F62ED">
              <w:rPr>
                <w:sz w:val="18"/>
                <w:szCs w:val="18"/>
              </w:rPr>
              <w:t>2</w:t>
            </w:r>
          </w:p>
        </w:tc>
        <w:tc>
          <w:tcPr>
            <w:tcW w:w="2127" w:type="dxa"/>
            <w:hideMark/>
          </w:tcPr>
          <w:p w14:paraId="0438BDB5"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0FD26F7F"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170C0B18" w14:textId="77777777" w:rsidR="006A618B" w:rsidRPr="008F62ED" w:rsidRDefault="006A618B" w:rsidP="0091710A">
            <w:pPr>
              <w:pStyle w:val="NormalWeb"/>
              <w:jc w:val="center"/>
              <w:rPr>
                <w:sz w:val="18"/>
                <w:szCs w:val="18"/>
              </w:rPr>
            </w:pPr>
            <w:r w:rsidRPr="008F62ED">
              <w:rPr>
                <w:sz w:val="18"/>
                <w:szCs w:val="18"/>
              </w:rPr>
              <w:t>2</w:t>
            </w:r>
          </w:p>
        </w:tc>
      </w:tr>
      <w:tr w:rsidR="008F62ED" w:rsidRPr="008F62ED" w14:paraId="7C1D59B7" w14:textId="77777777" w:rsidTr="00643BBD">
        <w:tblPrEx>
          <w:tblCellMar>
            <w:top w:w="57" w:type="dxa"/>
            <w:left w:w="57" w:type="dxa"/>
            <w:bottom w:w="57" w:type="dxa"/>
            <w:right w:w="57" w:type="dxa"/>
          </w:tblCellMar>
        </w:tblPrEx>
        <w:tc>
          <w:tcPr>
            <w:tcW w:w="851" w:type="dxa"/>
            <w:hideMark/>
          </w:tcPr>
          <w:p w14:paraId="0E4B7E49" w14:textId="77777777" w:rsidR="006A618B" w:rsidRPr="008F62ED" w:rsidRDefault="006A618B" w:rsidP="0091710A">
            <w:pPr>
              <w:pStyle w:val="NormalWeb"/>
              <w:rPr>
                <w:sz w:val="18"/>
                <w:szCs w:val="18"/>
              </w:rPr>
            </w:pPr>
            <w:r w:rsidRPr="008F62ED">
              <w:rPr>
                <w:sz w:val="18"/>
                <w:szCs w:val="18"/>
              </w:rPr>
              <w:t>T62B</w:t>
            </w:r>
          </w:p>
        </w:tc>
        <w:tc>
          <w:tcPr>
            <w:tcW w:w="6662" w:type="dxa"/>
            <w:hideMark/>
          </w:tcPr>
          <w:p w14:paraId="01387324" w14:textId="77777777" w:rsidR="006A618B" w:rsidRPr="008F62ED" w:rsidRDefault="006A618B" w:rsidP="008F62ED">
            <w:pPr>
              <w:pStyle w:val="NormalWeb"/>
              <w:rPr>
                <w:sz w:val="18"/>
                <w:szCs w:val="18"/>
              </w:rPr>
            </w:pPr>
            <w:r w:rsidRPr="008F62ED">
              <w:rPr>
                <w:sz w:val="18"/>
                <w:szCs w:val="18"/>
              </w:rPr>
              <w:t>Fever of Unknown Origin, Minor Complexity</w:t>
            </w:r>
          </w:p>
        </w:tc>
        <w:tc>
          <w:tcPr>
            <w:tcW w:w="1559" w:type="dxa"/>
            <w:hideMark/>
          </w:tcPr>
          <w:p w14:paraId="6DA5DD87" w14:textId="77777777" w:rsidR="006A618B" w:rsidRPr="008F62ED" w:rsidRDefault="006A618B" w:rsidP="0091710A">
            <w:pPr>
              <w:pStyle w:val="NormalWeb"/>
              <w:jc w:val="center"/>
              <w:rPr>
                <w:sz w:val="18"/>
                <w:szCs w:val="18"/>
              </w:rPr>
            </w:pPr>
            <w:r w:rsidRPr="008F62ED">
              <w:rPr>
                <w:sz w:val="18"/>
                <w:szCs w:val="18"/>
              </w:rPr>
              <w:t>2</w:t>
            </w:r>
          </w:p>
        </w:tc>
        <w:tc>
          <w:tcPr>
            <w:tcW w:w="2127" w:type="dxa"/>
            <w:hideMark/>
          </w:tcPr>
          <w:p w14:paraId="0F307FC1"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52A1C9EE" w14:textId="77777777" w:rsidR="006A618B" w:rsidRPr="008F62ED" w:rsidRDefault="006A618B" w:rsidP="0091710A">
            <w:pPr>
              <w:pStyle w:val="NormalWeb"/>
              <w:jc w:val="center"/>
              <w:rPr>
                <w:sz w:val="18"/>
                <w:szCs w:val="18"/>
              </w:rPr>
            </w:pPr>
            <w:r w:rsidRPr="008F62ED">
              <w:rPr>
                <w:sz w:val="18"/>
                <w:szCs w:val="18"/>
              </w:rPr>
              <w:t>4</w:t>
            </w:r>
          </w:p>
        </w:tc>
        <w:tc>
          <w:tcPr>
            <w:tcW w:w="1943" w:type="dxa"/>
            <w:hideMark/>
          </w:tcPr>
          <w:p w14:paraId="23CC9FDB" w14:textId="77777777" w:rsidR="006A618B" w:rsidRPr="008F62ED" w:rsidRDefault="006A618B" w:rsidP="0091710A">
            <w:pPr>
              <w:pStyle w:val="NormalWeb"/>
              <w:jc w:val="center"/>
              <w:rPr>
                <w:sz w:val="18"/>
                <w:szCs w:val="18"/>
              </w:rPr>
            </w:pPr>
            <w:r w:rsidRPr="008F62ED">
              <w:rPr>
                <w:sz w:val="18"/>
                <w:szCs w:val="18"/>
              </w:rPr>
              <w:t>6</w:t>
            </w:r>
          </w:p>
        </w:tc>
      </w:tr>
      <w:tr w:rsidR="008F62ED" w:rsidRPr="008F62ED" w14:paraId="3F30D71B"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0D07B46D" w14:textId="77777777" w:rsidR="006A618B" w:rsidRPr="008F62ED" w:rsidRDefault="006A618B" w:rsidP="0091710A">
            <w:pPr>
              <w:pStyle w:val="NormalWeb"/>
              <w:rPr>
                <w:sz w:val="18"/>
                <w:szCs w:val="18"/>
              </w:rPr>
            </w:pPr>
            <w:r w:rsidRPr="008F62ED">
              <w:rPr>
                <w:sz w:val="18"/>
                <w:szCs w:val="18"/>
              </w:rPr>
              <w:lastRenderedPageBreak/>
              <w:t>T63B</w:t>
            </w:r>
          </w:p>
        </w:tc>
        <w:tc>
          <w:tcPr>
            <w:tcW w:w="6662" w:type="dxa"/>
            <w:hideMark/>
          </w:tcPr>
          <w:p w14:paraId="7BA15F49" w14:textId="77777777" w:rsidR="006A618B" w:rsidRPr="008F62ED" w:rsidRDefault="006A618B" w:rsidP="008F62ED">
            <w:pPr>
              <w:pStyle w:val="NormalWeb"/>
              <w:rPr>
                <w:sz w:val="18"/>
                <w:szCs w:val="18"/>
              </w:rPr>
            </w:pPr>
            <w:r w:rsidRPr="008F62ED">
              <w:rPr>
                <w:sz w:val="18"/>
                <w:szCs w:val="18"/>
              </w:rPr>
              <w:t>Viral Illnesses, Minor Complexity</w:t>
            </w:r>
          </w:p>
        </w:tc>
        <w:tc>
          <w:tcPr>
            <w:tcW w:w="1559" w:type="dxa"/>
            <w:hideMark/>
          </w:tcPr>
          <w:p w14:paraId="78D15B5E" w14:textId="77777777" w:rsidR="006A618B" w:rsidRPr="008F62ED" w:rsidRDefault="006A618B" w:rsidP="0091710A">
            <w:pPr>
              <w:pStyle w:val="NormalWeb"/>
              <w:jc w:val="center"/>
              <w:rPr>
                <w:sz w:val="18"/>
                <w:szCs w:val="18"/>
              </w:rPr>
            </w:pPr>
            <w:r w:rsidRPr="008F62ED">
              <w:rPr>
                <w:sz w:val="18"/>
                <w:szCs w:val="18"/>
              </w:rPr>
              <w:t>4</w:t>
            </w:r>
          </w:p>
        </w:tc>
        <w:tc>
          <w:tcPr>
            <w:tcW w:w="2127" w:type="dxa"/>
            <w:hideMark/>
          </w:tcPr>
          <w:p w14:paraId="12AB1C10"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49604F7A" w14:textId="77777777" w:rsidR="006A618B" w:rsidRPr="008F62ED" w:rsidRDefault="006A618B" w:rsidP="0091710A">
            <w:pPr>
              <w:pStyle w:val="NormalWeb"/>
              <w:jc w:val="center"/>
              <w:rPr>
                <w:sz w:val="18"/>
                <w:szCs w:val="18"/>
              </w:rPr>
            </w:pPr>
            <w:r w:rsidRPr="008F62ED">
              <w:rPr>
                <w:sz w:val="18"/>
                <w:szCs w:val="18"/>
              </w:rPr>
              <w:t>7</w:t>
            </w:r>
          </w:p>
        </w:tc>
        <w:tc>
          <w:tcPr>
            <w:tcW w:w="1943" w:type="dxa"/>
            <w:hideMark/>
          </w:tcPr>
          <w:p w14:paraId="0ED5E7F8" w14:textId="77777777" w:rsidR="006A618B" w:rsidRPr="008F62ED" w:rsidRDefault="006A618B" w:rsidP="0091710A">
            <w:pPr>
              <w:pStyle w:val="NormalWeb"/>
              <w:jc w:val="center"/>
              <w:rPr>
                <w:sz w:val="18"/>
                <w:szCs w:val="18"/>
              </w:rPr>
            </w:pPr>
            <w:r w:rsidRPr="008F62ED">
              <w:rPr>
                <w:sz w:val="18"/>
                <w:szCs w:val="18"/>
              </w:rPr>
              <w:t>12</w:t>
            </w:r>
          </w:p>
        </w:tc>
      </w:tr>
      <w:tr w:rsidR="008F62ED" w:rsidRPr="008F62ED" w14:paraId="23B6BA8B" w14:textId="77777777" w:rsidTr="00643BBD">
        <w:tblPrEx>
          <w:tblCellMar>
            <w:top w:w="57" w:type="dxa"/>
            <w:left w:w="57" w:type="dxa"/>
            <w:bottom w:w="57" w:type="dxa"/>
            <w:right w:w="57" w:type="dxa"/>
          </w:tblCellMar>
        </w:tblPrEx>
        <w:tc>
          <w:tcPr>
            <w:tcW w:w="851" w:type="dxa"/>
            <w:hideMark/>
          </w:tcPr>
          <w:p w14:paraId="4FB9019F" w14:textId="77777777" w:rsidR="006A618B" w:rsidRPr="008F62ED" w:rsidRDefault="006A618B" w:rsidP="0091710A">
            <w:pPr>
              <w:pStyle w:val="NormalWeb"/>
              <w:rPr>
                <w:sz w:val="18"/>
                <w:szCs w:val="18"/>
              </w:rPr>
            </w:pPr>
            <w:r w:rsidRPr="008F62ED">
              <w:rPr>
                <w:sz w:val="18"/>
                <w:szCs w:val="18"/>
              </w:rPr>
              <w:t>U66B</w:t>
            </w:r>
          </w:p>
        </w:tc>
        <w:tc>
          <w:tcPr>
            <w:tcW w:w="6662" w:type="dxa"/>
            <w:hideMark/>
          </w:tcPr>
          <w:p w14:paraId="0780104D" w14:textId="77777777" w:rsidR="006A618B" w:rsidRPr="008F62ED" w:rsidRDefault="006A618B" w:rsidP="008F62ED">
            <w:pPr>
              <w:pStyle w:val="NormalWeb"/>
              <w:rPr>
                <w:sz w:val="18"/>
                <w:szCs w:val="18"/>
              </w:rPr>
            </w:pPr>
            <w:r w:rsidRPr="008F62ED">
              <w:rPr>
                <w:sz w:val="18"/>
                <w:szCs w:val="18"/>
              </w:rPr>
              <w:t>Eating and Obsessive-Compulsive Disorders, Minor Complexity</w:t>
            </w:r>
          </w:p>
        </w:tc>
        <w:tc>
          <w:tcPr>
            <w:tcW w:w="1559" w:type="dxa"/>
            <w:hideMark/>
          </w:tcPr>
          <w:p w14:paraId="56FDFDCA"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68FE017A" w14:textId="77777777" w:rsidR="006A618B" w:rsidRPr="008F62ED" w:rsidRDefault="006A618B" w:rsidP="0091710A">
            <w:pPr>
              <w:pStyle w:val="NormalWeb"/>
              <w:jc w:val="center"/>
              <w:rPr>
                <w:sz w:val="18"/>
                <w:szCs w:val="18"/>
              </w:rPr>
            </w:pPr>
            <w:r w:rsidRPr="008F62ED">
              <w:rPr>
                <w:sz w:val="18"/>
                <w:szCs w:val="18"/>
              </w:rPr>
              <w:t>2</w:t>
            </w:r>
          </w:p>
        </w:tc>
        <w:tc>
          <w:tcPr>
            <w:tcW w:w="1842" w:type="dxa"/>
            <w:hideMark/>
          </w:tcPr>
          <w:p w14:paraId="738B9004" w14:textId="77777777" w:rsidR="006A618B" w:rsidRPr="008F62ED" w:rsidRDefault="006A618B" w:rsidP="0091710A">
            <w:pPr>
              <w:pStyle w:val="NormalWeb"/>
              <w:jc w:val="center"/>
              <w:rPr>
                <w:sz w:val="18"/>
                <w:szCs w:val="18"/>
              </w:rPr>
            </w:pPr>
            <w:r w:rsidRPr="008F62ED">
              <w:rPr>
                <w:sz w:val="18"/>
                <w:szCs w:val="18"/>
              </w:rPr>
              <w:t>0</w:t>
            </w:r>
          </w:p>
        </w:tc>
        <w:tc>
          <w:tcPr>
            <w:tcW w:w="1943" w:type="dxa"/>
            <w:hideMark/>
          </w:tcPr>
          <w:p w14:paraId="4C20DC78" w14:textId="77777777" w:rsidR="006A618B" w:rsidRPr="008F62ED" w:rsidRDefault="006A618B" w:rsidP="0091710A">
            <w:pPr>
              <w:pStyle w:val="NormalWeb"/>
              <w:jc w:val="center"/>
              <w:rPr>
                <w:sz w:val="18"/>
                <w:szCs w:val="18"/>
              </w:rPr>
            </w:pPr>
            <w:r w:rsidRPr="008F62ED">
              <w:rPr>
                <w:sz w:val="18"/>
                <w:szCs w:val="18"/>
              </w:rPr>
              <w:t>2</w:t>
            </w:r>
          </w:p>
        </w:tc>
      </w:tr>
      <w:tr w:rsidR="008F62ED" w:rsidRPr="008F62ED" w14:paraId="327D2796"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341F1CE5" w14:textId="77777777" w:rsidR="006A618B" w:rsidRPr="008F62ED" w:rsidRDefault="006A618B" w:rsidP="0091710A">
            <w:pPr>
              <w:pStyle w:val="NormalWeb"/>
              <w:rPr>
                <w:sz w:val="18"/>
                <w:szCs w:val="18"/>
              </w:rPr>
            </w:pPr>
            <w:r w:rsidRPr="008F62ED">
              <w:rPr>
                <w:sz w:val="18"/>
                <w:szCs w:val="18"/>
              </w:rPr>
              <w:t>X61B</w:t>
            </w:r>
          </w:p>
        </w:tc>
        <w:tc>
          <w:tcPr>
            <w:tcW w:w="6662" w:type="dxa"/>
            <w:hideMark/>
          </w:tcPr>
          <w:p w14:paraId="28A45216" w14:textId="77777777" w:rsidR="006A618B" w:rsidRPr="008F62ED" w:rsidRDefault="006A618B" w:rsidP="008F62ED">
            <w:pPr>
              <w:pStyle w:val="NormalWeb"/>
              <w:rPr>
                <w:sz w:val="18"/>
                <w:szCs w:val="18"/>
              </w:rPr>
            </w:pPr>
            <w:r w:rsidRPr="008F62ED">
              <w:rPr>
                <w:sz w:val="18"/>
                <w:szCs w:val="18"/>
              </w:rPr>
              <w:t>Allergic Reactions, Minor Complexity</w:t>
            </w:r>
          </w:p>
        </w:tc>
        <w:tc>
          <w:tcPr>
            <w:tcW w:w="1559" w:type="dxa"/>
            <w:hideMark/>
          </w:tcPr>
          <w:p w14:paraId="42EDE81D"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3BEE7D5F"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474C8160" w14:textId="77777777" w:rsidR="006A618B" w:rsidRPr="008F62ED" w:rsidRDefault="006A618B" w:rsidP="0091710A">
            <w:pPr>
              <w:pStyle w:val="NormalWeb"/>
              <w:jc w:val="center"/>
              <w:rPr>
                <w:sz w:val="18"/>
                <w:szCs w:val="18"/>
              </w:rPr>
            </w:pPr>
            <w:r w:rsidRPr="008F62ED">
              <w:rPr>
                <w:sz w:val="18"/>
                <w:szCs w:val="18"/>
              </w:rPr>
              <w:t>2</w:t>
            </w:r>
          </w:p>
        </w:tc>
        <w:tc>
          <w:tcPr>
            <w:tcW w:w="1943" w:type="dxa"/>
            <w:hideMark/>
          </w:tcPr>
          <w:p w14:paraId="5D0C0DE0" w14:textId="77777777" w:rsidR="006A618B" w:rsidRPr="008F62ED" w:rsidRDefault="006A618B" w:rsidP="0091710A">
            <w:pPr>
              <w:pStyle w:val="NormalWeb"/>
              <w:jc w:val="center"/>
              <w:rPr>
                <w:sz w:val="18"/>
                <w:szCs w:val="18"/>
              </w:rPr>
            </w:pPr>
            <w:r w:rsidRPr="008F62ED">
              <w:rPr>
                <w:sz w:val="18"/>
                <w:szCs w:val="18"/>
              </w:rPr>
              <w:t>2</w:t>
            </w:r>
          </w:p>
        </w:tc>
      </w:tr>
      <w:tr w:rsidR="008F62ED" w:rsidRPr="008F62ED" w14:paraId="38A28475" w14:textId="77777777" w:rsidTr="00643BBD">
        <w:tblPrEx>
          <w:tblCellMar>
            <w:top w:w="57" w:type="dxa"/>
            <w:left w:w="57" w:type="dxa"/>
            <w:bottom w:w="57" w:type="dxa"/>
            <w:right w:w="57" w:type="dxa"/>
          </w:tblCellMar>
        </w:tblPrEx>
        <w:tc>
          <w:tcPr>
            <w:tcW w:w="851" w:type="dxa"/>
            <w:hideMark/>
          </w:tcPr>
          <w:p w14:paraId="06647DD6" w14:textId="77777777" w:rsidR="006A618B" w:rsidRPr="008F62ED" w:rsidRDefault="006A618B" w:rsidP="0091710A">
            <w:pPr>
              <w:pStyle w:val="NormalWeb"/>
              <w:rPr>
                <w:sz w:val="18"/>
                <w:szCs w:val="18"/>
              </w:rPr>
            </w:pPr>
            <w:r w:rsidRPr="008F62ED">
              <w:rPr>
                <w:sz w:val="18"/>
                <w:szCs w:val="18"/>
              </w:rPr>
              <w:t>X63A</w:t>
            </w:r>
          </w:p>
        </w:tc>
        <w:tc>
          <w:tcPr>
            <w:tcW w:w="6662" w:type="dxa"/>
            <w:hideMark/>
          </w:tcPr>
          <w:p w14:paraId="583C3423" w14:textId="77777777" w:rsidR="006A618B" w:rsidRPr="008F62ED" w:rsidRDefault="006A618B" w:rsidP="008F62ED">
            <w:pPr>
              <w:pStyle w:val="NormalWeb"/>
              <w:rPr>
                <w:sz w:val="18"/>
                <w:szCs w:val="18"/>
              </w:rPr>
            </w:pPr>
            <w:r w:rsidRPr="008F62ED">
              <w:rPr>
                <w:sz w:val="18"/>
                <w:szCs w:val="18"/>
              </w:rPr>
              <w:t>Sequelae of Treatment, Major Complexity</w:t>
            </w:r>
          </w:p>
        </w:tc>
        <w:tc>
          <w:tcPr>
            <w:tcW w:w="1559" w:type="dxa"/>
            <w:hideMark/>
          </w:tcPr>
          <w:p w14:paraId="18A901CD"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26B6DC35"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502AA2B6"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0EB10892" w14:textId="77777777" w:rsidR="006A618B" w:rsidRPr="008F62ED" w:rsidRDefault="006A618B" w:rsidP="0091710A">
            <w:pPr>
              <w:pStyle w:val="NormalWeb"/>
              <w:jc w:val="center"/>
              <w:rPr>
                <w:sz w:val="18"/>
                <w:szCs w:val="18"/>
              </w:rPr>
            </w:pPr>
            <w:r w:rsidRPr="008F62ED">
              <w:rPr>
                <w:sz w:val="18"/>
                <w:szCs w:val="18"/>
              </w:rPr>
              <w:t>1</w:t>
            </w:r>
          </w:p>
        </w:tc>
      </w:tr>
      <w:tr w:rsidR="008F62ED" w:rsidRPr="008F62ED" w14:paraId="1E2EBA16"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4DC057EA" w14:textId="77777777" w:rsidR="006A618B" w:rsidRPr="008F62ED" w:rsidRDefault="006A618B" w:rsidP="0091710A">
            <w:pPr>
              <w:pStyle w:val="NormalWeb"/>
              <w:rPr>
                <w:sz w:val="18"/>
                <w:szCs w:val="18"/>
              </w:rPr>
            </w:pPr>
            <w:r w:rsidRPr="008F62ED">
              <w:rPr>
                <w:sz w:val="18"/>
                <w:szCs w:val="18"/>
              </w:rPr>
              <w:t>X63B</w:t>
            </w:r>
          </w:p>
        </w:tc>
        <w:tc>
          <w:tcPr>
            <w:tcW w:w="6662" w:type="dxa"/>
            <w:hideMark/>
          </w:tcPr>
          <w:p w14:paraId="66F99CEC" w14:textId="77777777" w:rsidR="006A618B" w:rsidRPr="008F62ED" w:rsidRDefault="006A618B" w:rsidP="008F62ED">
            <w:pPr>
              <w:pStyle w:val="NormalWeb"/>
              <w:rPr>
                <w:sz w:val="18"/>
                <w:szCs w:val="18"/>
              </w:rPr>
            </w:pPr>
            <w:r w:rsidRPr="008F62ED">
              <w:rPr>
                <w:sz w:val="18"/>
                <w:szCs w:val="18"/>
              </w:rPr>
              <w:t>Sequelae of Treatment, Minor Complexity</w:t>
            </w:r>
          </w:p>
        </w:tc>
        <w:tc>
          <w:tcPr>
            <w:tcW w:w="1559" w:type="dxa"/>
            <w:hideMark/>
          </w:tcPr>
          <w:p w14:paraId="1105FFAD"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2E2E3F94"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3F49DF4A" w14:textId="77777777" w:rsidR="006A618B" w:rsidRPr="008F62ED" w:rsidRDefault="006A618B" w:rsidP="0091710A">
            <w:pPr>
              <w:pStyle w:val="NormalWeb"/>
              <w:jc w:val="center"/>
              <w:rPr>
                <w:sz w:val="18"/>
                <w:szCs w:val="18"/>
              </w:rPr>
            </w:pPr>
            <w:r w:rsidRPr="008F62ED">
              <w:rPr>
                <w:sz w:val="18"/>
                <w:szCs w:val="18"/>
              </w:rPr>
              <w:t>2</w:t>
            </w:r>
          </w:p>
        </w:tc>
        <w:tc>
          <w:tcPr>
            <w:tcW w:w="1943" w:type="dxa"/>
            <w:hideMark/>
          </w:tcPr>
          <w:p w14:paraId="10080183" w14:textId="77777777" w:rsidR="006A618B" w:rsidRPr="008F62ED" w:rsidRDefault="006A618B" w:rsidP="0091710A">
            <w:pPr>
              <w:pStyle w:val="NormalWeb"/>
              <w:jc w:val="center"/>
              <w:rPr>
                <w:sz w:val="18"/>
                <w:szCs w:val="18"/>
              </w:rPr>
            </w:pPr>
            <w:r w:rsidRPr="008F62ED">
              <w:rPr>
                <w:sz w:val="18"/>
                <w:szCs w:val="18"/>
              </w:rPr>
              <w:t>2</w:t>
            </w:r>
          </w:p>
        </w:tc>
      </w:tr>
      <w:tr w:rsidR="008F62ED" w:rsidRPr="008F62ED" w14:paraId="56613D98" w14:textId="77777777" w:rsidTr="00643BBD">
        <w:tblPrEx>
          <w:tblCellMar>
            <w:top w:w="57" w:type="dxa"/>
            <w:left w:w="57" w:type="dxa"/>
            <w:bottom w:w="57" w:type="dxa"/>
            <w:right w:w="57" w:type="dxa"/>
          </w:tblCellMar>
        </w:tblPrEx>
        <w:tc>
          <w:tcPr>
            <w:tcW w:w="851" w:type="dxa"/>
            <w:hideMark/>
          </w:tcPr>
          <w:p w14:paraId="01A59A04" w14:textId="77777777" w:rsidR="006A618B" w:rsidRPr="008F62ED" w:rsidRDefault="006A618B" w:rsidP="0091710A">
            <w:pPr>
              <w:pStyle w:val="NormalWeb"/>
              <w:rPr>
                <w:sz w:val="18"/>
                <w:szCs w:val="18"/>
              </w:rPr>
            </w:pPr>
            <w:r w:rsidRPr="008F62ED">
              <w:rPr>
                <w:sz w:val="18"/>
                <w:szCs w:val="18"/>
              </w:rPr>
              <w:t>Z61B</w:t>
            </w:r>
          </w:p>
        </w:tc>
        <w:tc>
          <w:tcPr>
            <w:tcW w:w="6662" w:type="dxa"/>
            <w:hideMark/>
          </w:tcPr>
          <w:p w14:paraId="49122B86" w14:textId="77777777" w:rsidR="006A618B" w:rsidRPr="008F62ED" w:rsidRDefault="006A618B" w:rsidP="008F62ED">
            <w:pPr>
              <w:pStyle w:val="NormalWeb"/>
              <w:rPr>
                <w:sz w:val="18"/>
                <w:szCs w:val="18"/>
              </w:rPr>
            </w:pPr>
            <w:r w:rsidRPr="008F62ED">
              <w:rPr>
                <w:sz w:val="18"/>
                <w:szCs w:val="18"/>
              </w:rPr>
              <w:t>Signs and Symptoms, Minor Complexity</w:t>
            </w:r>
          </w:p>
        </w:tc>
        <w:tc>
          <w:tcPr>
            <w:tcW w:w="1559" w:type="dxa"/>
            <w:hideMark/>
          </w:tcPr>
          <w:p w14:paraId="591C83A1"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35F29586" w14:textId="77777777" w:rsidR="006A618B" w:rsidRPr="008F62ED" w:rsidRDefault="006A618B" w:rsidP="0091710A">
            <w:pPr>
              <w:pStyle w:val="NormalWeb"/>
              <w:jc w:val="center"/>
              <w:rPr>
                <w:sz w:val="18"/>
                <w:szCs w:val="18"/>
              </w:rPr>
            </w:pPr>
            <w:r w:rsidRPr="008F62ED">
              <w:rPr>
                <w:sz w:val="18"/>
                <w:szCs w:val="18"/>
              </w:rPr>
              <w:t>1</w:t>
            </w:r>
          </w:p>
        </w:tc>
        <w:tc>
          <w:tcPr>
            <w:tcW w:w="1842" w:type="dxa"/>
            <w:hideMark/>
          </w:tcPr>
          <w:p w14:paraId="365F0DF2"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77A6D5B3" w14:textId="77777777" w:rsidR="006A618B" w:rsidRPr="008F62ED" w:rsidRDefault="006A618B" w:rsidP="0091710A">
            <w:pPr>
              <w:pStyle w:val="NormalWeb"/>
              <w:jc w:val="center"/>
              <w:rPr>
                <w:sz w:val="18"/>
                <w:szCs w:val="18"/>
              </w:rPr>
            </w:pPr>
            <w:r w:rsidRPr="008F62ED">
              <w:rPr>
                <w:sz w:val="18"/>
                <w:szCs w:val="18"/>
              </w:rPr>
              <w:t>2</w:t>
            </w:r>
          </w:p>
        </w:tc>
      </w:tr>
      <w:tr w:rsidR="008F62ED" w:rsidRPr="008F62ED" w14:paraId="3370C95F" w14:textId="77777777" w:rsidTr="00643BBD">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851" w:type="dxa"/>
            <w:hideMark/>
          </w:tcPr>
          <w:p w14:paraId="6B84DCF0" w14:textId="77777777" w:rsidR="006A618B" w:rsidRPr="008F62ED" w:rsidRDefault="006A618B" w:rsidP="0091710A">
            <w:pPr>
              <w:pStyle w:val="NormalWeb"/>
              <w:rPr>
                <w:sz w:val="18"/>
                <w:szCs w:val="18"/>
              </w:rPr>
            </w:pPr>
            <w:r w:rsidRPr="008F62ED">
              <w:rPr>
                <w:sz w:val="18"/>
                <w:szCs w:val="18"/>
              </w:rPr>
              <w:t>Z64B</w:t>
            </w:r>
          </w:p>
        </w:tc>
        <w:tc>
          <w:tcPr>
            <w:tcW w:w="6662" w:type="dxa"/>
            <w:hideMark/>
          </w:tcPr>
          <w:p w14:paraId="631CD287" w14:textId="77777777" w:rsidR="006A618B" w:rsidRPr="008F62ED" w:rsidRDefault="006A618B" w:rsidP="008F62ED">
            <w:pPr>
              <w:pStyle w:val="NormalWeb"/>
              <w:rPr>
                <w:sz w:val="18"/>
                <w:szCs w:val="18"/>
              </w:rPr>
            </w:pPr>
            <w:r w:rsidRPr="008F62ED">
              <w:rPr>
                <w:sz w:val="18"/>
                <w:szCs w:val="18"/>
              </w:rPr>
              <w:t>Other Factors Influencing Health Status, Minor Complexity</w:t>
            </w:r>
          </w:p>
        </w:tc>
        <w:tc>
          <w:tcPr>
            <w:tcW w:w="1559" w:type="dxa"/>
            <w:hideMark/>
          </w:tcPr>
          <w:p w14:paraId="63C5823F" w14:textId="77777777" w:rsidR="006A618B" w:rsidRPr="008F62ED" w:rsidRDefault="006A618B" w:rsidP="0091710A">
            <w:pPr>
              <w:pStyle w:val="NormalWeb"/>
              <w:jc w:val="center"/>
              <w:rPr>
                <w:sz w:val="18"/>
                <w:szCs w:val="18"/>
              </w:rPr>
            </w:pPr>
            <w:r w:rsidRPr="008F62ED">
              <w:rPr>
                <w:sz w:val="18"/>
                <w:szCs w:val="18"/>
              </w:rPr>
              <w:t>0</w:t>
            </w:r>
          </w:p>
        </w:tc>
        <w:tc>
          <w:tcPr>
            <w:tcW w:w="2127" w:type="dxa"/>
            <w:hideMark/>
          </w:tcPr>
          <w:p w14:paraId="2B2298BC" w14:textId="77777777" w:rsidR="006A618B" w:rsidRPr="008F62ED" w:rsidRDefault="006A618B" w:rsidP="0091710A">
            <w:pPr>
              <w:pStyle w:val="NormalWeb"/>
              <w:jc w:val="center"/>
              <w:rPr>
                <w:sz w:val="18"/>
                <w:szCs w:val="18"/>
              </w:rPr>
            </w:pPr>
            <w:r w:rsidRPr="008F62ED">
              <w:rPr>
                <w:sz w:val="18"/>
                <w:szCs w:val="18"/>
              </w:rPr>
              <w:t>0</w:t>
            </w:r>
          </w:p>
        </w:tc>
        <w:tc>
          <w:tcPr>
            <w:tcW w:w="1842" w:type="dxa"/>
            <w:hideMark/>
          </w:tcPr>
          <w:p w14:paraId="694A22B6" w14:textId="77777777" w:rsidR="006A618B" w:rsidRPr="008F62ED" w:rsidRDefault="006A618B" w:rsidP="0091710A">
            <w:pPr>
              <w:pStyle w:val="NormalWeb"/>
              <w:jc w:val="center"/>
              <w:rPr>
                <w:sz w:val="18"/>
                <w:szCs w:val="18"/>
              </w:rPr>
            </w:pPr>
            <w:r w:rsidRPr="008F62ED">
              <w:rPr>
                <w:sz w:val="18"/>
                <w:szCs w:val="18"/>
              </w:rPr>
              <w:t>1</w:t>
            </w:r>
          </w:p>
        </w:tc>
        <w:tc>
          <w:tcPr>
            <w:tcW w:w="1943" w:type="dxa"/>
            <w:hideMark/>
          </w:tcPr>
          <w:p w14:paraId="5C2285B8" w14:textId="77777777" w:rsidR="006A618B" w:rsidRPr="008F62ED" w:rsidRDefault="006A618B" w:rsidP="0091710A">
            <w:pPr>
              <w:pStyle w:val="NormalWeb"/>
              <w:jc w:val="center"/>
              <w:rPr>
                <w:sz w:val="18"/>
                <w:szCs w:val="18"/>
              </w:rPr>
            </w:pPr>
            <w:r w:rsidRPr="008F62ED">
              <w:rPr>
                <w:sz w:val="18"/>
                <w:szCs w:val="18"/>
              </w:rPr>
              <w:t>1</w:t>
            </w:r>
          </w:p>
        </w:tc>
      </w:tr>
    </w:tbl>
    <w:p w14:paraId="5046D41C" w14:textId="77777777" w:rsidR="008B5348" w:rsidRDefault="008B5348">
      <w:pPr>
        <w:rPr>
          <w:rStyle w:val="A10"/>
        </w:rPr>
      </w:pPr>
      <w:r>
        <w:rPr>
          <w:rStyle w:val="A10"/>
        </w:rPr>
        <w:br w:type="page"/>
      </w:r>
    </w:p>
    <w:p w14:paraId="48440658" w14:textId="77777777" w:rsidR="008B5348" w:rsidRDefault="008B5348">
      <w:pPr>
        <w:rPr>
          <w:rStyle w:val="A10"/>
        </w:rPr>
        <w:sectPr w:rsidR="008B5348" w:rsidSect="001C2378">
          <w:footnotePr>
            <w:numFmt w:val="lowerRoman"/>
          </w:footnotePr>
          <w:pgSz w:w="16838" w:h="11906" w:orient="landscape"/>
          <w:pgMar w:top="720" w:right="720" w:bottom="720" w:left="1134" w:header="709" w:footer="284" w:gutter="0"/>
          <w:cols w:space="708"/>
          <w:titlePg/>
          <w:docGrid w:linePitch="360"/>
        </w:sectPr>
      </w:pPr>
    </w:p>
    <w:p w14:paraId="74B44571"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2D8FA5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9087981" w14:textId="77777777" w:rsidR="000A5F42" w:rsidRPr="000606CC" w:rsidRDefault="000A5F42" w:rsidP="000A5F42">
      <w:pPr>
        <w:pStyle w:val="NoSpacing"/>
        <w:rPr>
          <w:rStyle w:val="URI"/>
          <w:rFonts w:cstheme="minorHAnsi"/>
          <w:sz w:val="20"/>
          <w:szCs w:val="18"/>
        </w:rPr>
      </w:pPr>
    </w:p>
    <w:p w14:paraId="752A0F8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69A344D9" w14:textId="77777777" w:rsidR="000A5F42" w:rsidRPr="000606CC" w:rsidRDefault="000A5F42" w:rsidP="000A5F42">
      <w:pPr>
        <w:pStyle w:val="NoSpacing"/>
        <w:rPr>
          <w:rStyle w:val="Strong"/>
          <w:rFonts w:cstheme="minorHAnsi"/>
          <w:sz w:val="20"/>
          <w:szCs w:val="18"/>
        </w:rPr>
      </w:pPr>
    </w:p>
    <w:p w14:paraId="379534B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7213277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3DCFC48"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FC73517"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084C9285" w14:textId="77777777" w:rsidR="000A5F42" w:rsidRPr="000606CC" w:rsidRDefault="000A5F42" w:rsidP="000A5F42">
      <w:pPr>
        <w:pStyle w:val="NoSpacing"/>
        <w:rPr>
          <w:rStyle w:val="Strong"/>
          <w:rFonts w:cstheme="minorHAnsi"/>
          <w:sz w:val="20"/>
          <w:szCs w:val="18"/>
        </w:rPr>
      </w:pPr>
    </w:p>
    <w:p w14:paraId="7C9D9FA7" w14:textId="248987F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602B15E" w14:textId="77777777" w:rsidR="000A5F42" w:rsidRPr="000606CC" w:rsidRDefault="000A5F42" w:rsidP="000A5F42">
      <w:pPr>
        <w:pStyle w:val="NoSpacing"/>
        <w:rPr>
          <w:rStyle w:val="Strong"/>
          <w:rFonts w:cstheme="minorHAnsi"/>
          <w:sz w:val="20"/>
          <w:szCs w:val="18"/>
        </w:rPr>
      </w:pPr>
    </w:p>
    <w:p w14:paraId="705B4BF8"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797E6DB7" w14:textId="77777777" w:rsidR="000A5F42" w:rsidRPr="000606CC" w:rsidRDefault="000A5F42" w:rsidP="000A5F42">
      <w:pPr>
        <w:pStyle w:val="NoSpacing"/>
        <w:rPr>
          <w:rStyle w:val="Strong"/>
          <w:rFonts w:cstheme="minorHAnsi"/>
          <w:sz w:val="20"/>
          <w:szCs w:val="18"/>
        </w:rPr>
      </w:pPr>
    </w:p>
    <w:p w14:paraId="0243F2CE" w14:textId="38AD12E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3C67CEA" w14:textId="77777777" w:rsidR="000A5F42" w:rsidRPr="000606CC" w:rsidRDefault="000A5F42" w:rsidP="000A5F42">
      <w:pPr>
        <w:pStyle w:val="NoSpacing"/>
        <w:rPr>
          <w:rStyle w:val="Strong"/>
          <w:rFonts w:cstheme="minorHAnsi"/>
          <w:sz w:val="20"/>
          <w:szCs w:val="18"/>
        </w:rPr>
      </w:pPr>
    </w:p>
    <w:p w14:paraId="70B2D9B3" w14:textId="48752E8D"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8569DCF" w14:textId="47E2CFC2"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4DF0C738" w14:textId="77777777" w:rsidR="000A5F42" w:rsidRPr="000606CC" w:rsidRDefault="000A5F42" w:rsidP="000A5F42">
      <w:pPr>
        <w:pStyle w:val="NoSpacing"/>
        <w:pBdr>
          <w:bottom w:val="single" w:sz="6" w:space="1" w:color="auto"/>
        </w:pBdr>
        <w:rPr>
          <w:rStyle w:val="Strong"/>
          <w:rFonts w:cstheme="minorHAnsi"/>
          <w:sz w:val="12"/>
          <w:szCs w:val="18"/>
        </w:rPr>
      </w:pPr>
    </w:p>
    <w:p w14:paraId="291791F3" w14:textId="77777777" w:rsidR="000A5F42" w:rsidRPr="000606CC" w:rsidRDefault="000A5F42" w:rsidP="000A5F42">
      <w:pPr>
        <w:pStyle w:val="NoSpacing"/>
        <w:rPr>
          <w:rFonts w:cstheme="minorHAnsi"/>
          <w:sz w:val="20"/>
          <w:szCs w:val="18"/>
        </w:rPr>
      </w:pPr>
    </w:p>
    <w:p w14:paraId="0846F29E"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24D65AFC" w14:textId="77777777" w:rsidR="000A5F42" w:rsidRPr="000606CC" w:rsidRDefault="000A5F42" w:rsidP="000A5F42">
      <w:pPr>
        <w:pStyle w:val="NoSpacing"/>
        <w:rPr>
          <w:rFonts w:cstheme="minorHAnsi"/>
          <w:sz w:val="20"/>
          <w:szCs w:val="18"/>
        </w:rPr>
      </w:pPr>
    </w:p>
    <w:p w14:paraId="4E6D493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19FA53E" w14:textId="49F1A6A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D3170F">
        <w:rPr>
          <w:rFonts w:cstheme="minorHAnsi"/>
          <w:sz w:val="20"/>
          <w:szCs w:val="18"/>
        </w:rPr>
        <w:t>2</w:t>
      </w:r>
      <w:r w:rsidRPr="000606CC">
        <w:rPr>
          <w:rFonts w:cstheme="minorHAnsi"/>
          <w:sz w:val="20"/>
          <w:szCs w:val="18"/>
        </w:rPr>
        <w:t xml:space="preserve"> Commonwealth of Australia as represented by the Department of Health</w:t>
      </w:r>
    </w:p>
    <w:p w14:paraId="74930D91" w14:textId="1C936506"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87C6FE8" w14:textId="77777777" w:rsidR="000A5F42" w:rsidRPr="000606CC" w:rsidRDefault="000A5F42" w:rsidP="000A5F42">
      <w:pPr>
        <w:pStyle w:val="NoSpacing"/>
        <w:rPr>
          <w:rFonts w:cstheme="minorHAnsi"/>
          <w:sz w:val="20"/>
          <w:szCs w:val="18"/>
        </w:rPr>
      </w:pPr>
    </w:p>
    <w:p w14:paraId="68DDF76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6697912" w14:textId="13E17EC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3756800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0C7A7A3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51B04D0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386E6D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952D140" w14:textId="77777777" w:rsidR="000A5F42" w:rsidRPr="000606CC" w:rsidRDefault="000A5F42" w:rsidP="000A5F42">
      <w:pPr>
        <w:pStyle w:val="NoSpacing"/>
        <w:rPr>
          <w:rStyle w:val="Strong"/>
          <w:rFonts w:cstheme="minorHAnsi"/>
          <w:sz w:val="20"/>
          <w:szCs w:val="18"/>
        </w:rPr>
      </w:pPr>
    </w:p>
    <w:p w14:paraId="19324391"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856D7CF" w14:textId="77777777" w:rsidR="000A5F42" w:rsidRPr="000606CC" w:rsidRDefault="000A5F42" w:rsidP="000A5F42">
      <w:pPr>
        <w:pStyle w:val="NoSpacing"/>
        <w:rPr>
          <w:rStyle w:val="Strong"/>
          <w:rFonts w:cstheme="minorHAnsi"/>
          <w:sz w:val="20"/>
          <w:szCs w:val="18"/>
        </w:rPr>
      </w:pPr>
    </w:p>
    <w:p w14:paraId="76A1FAA2" w14:textId="760E76C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F192245" w14:textId="77777777" w:rsidR="000A5F42" w:rsidRPr="000606CC" w:rsidRDefault="000A5F42" w:rsidP="000A5F42">
      <w:pPr>
        <w:pStyle w:val="NoSpacing"/>
        <w:rPr>
          <w:rStyle w:val="URI"/>
          <w:rFonts w:cstheme="minorHAnsi"/>
          <w:sz w:val="20"/>
          <w:szCs w:val="18"/>
        </w:rPr>
      </w:pPr>
    </w:p>
    <w:p w14:paraId="42449000" w14:textId="7A09D4A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5B552F28" w14:textId="77777777" w:rsidR="001B37B8" w:rsidRPr="00E92237" w:rsidRDefault="001B37B8" w:rsidP="001B37B8">
      <w:pPr>
        <w:rPr>
          <w:rFonts w:cs="Myriad Pro"/>
          <w:color w:val="211D1E"/>
          <w:sz w:val="20"/>
          <w:szCs w:val="20"/>
        </w:rPr>
      </w:pPr>
    </w:p>
    <w:sectPr w:rsidR="001B37B8" w:rsidRPr="00E92237" w:rsidSect="002B75A9">
      <w:headerReference w:type="default" r:id="rId21"/>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B3AC9" w14:textId="77777777" w:rsidR="0091710A" w:rsidRDefault="0091710A" w:rsidP="00E54DBA">
      <w:r>
        <w:separator/>
      </w:r>
    </w:p>
    <w:p w14:paraId="170B0FA8" w14:textId="77777777" w:rsidR="0091710A" w:rsidRDefault="0091710A"/>
    <w:p w14:paraId="1E646352" w14:textId="77777777" w:rsidR="0091710A" w:rsidRDefault="0091710A" w:rsidP="008714B0"/>
  </w:endnote>
  <w:endnote w:type="continuationSeparator" w:id="0">
    <w:p w14:paraId="00485EE1" w14:textId="77777777" w:rsidR="0091710A" w:rsidRDefault="0091710A" w:rsidP="00E54DBA">
      <w:r>
        <w:continuationSeparator/>
      </w:r>
    </w:p>
    <w:p w14:paraId="736C87EC" w14:textId="77777777" w:rsidR="0091710A" w:rsidRDefault="0091710A"/>
    <w:p w14:paraId="25A74CB1" w14:textId="77777777" w:rsidR="0091710A" w:rsidRDefault="0091710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ConceptRom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88776" w14:textId="3A9642D6" w:rsidR="0091710A" w:rsidRPr="0042435E" w:rsidRDefault="0091710A"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7F513F">
      <w:rPr>
        <w:i/>
        <w:sz w:val="18"/>
      </w:rPr>
      <w:t>Commun</w:t>
    </w:r>
    <w:proofErr w:type="spellEnd"/>
    <w:r w:rsidRPr="007F513F">
      <w:rPr>
        <w:i/>
        <w:sz w:val="18"/>
      </w:rPr>
      <w:t xml:space="preserve"> Dis </w:t>
    </w:r>
    <w:proofErr w:type="spellStart"/>
    <w:r w:rsidRPr="007F513F">
      <w:rPr>
        <w:i/>
        <w:sz w:val="18"/>
      </w:rPr>
      <w:t>Intell</w:t>
    </w:r>
    <w:proofErr w:type="spellEnd"/>
    <w:r w:rsidRPr="007F513F">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sidR="003E2415">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3E2415">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3E2415">
      <w:rPr>
        <w:sz w:val="18"/>
      </w:rPr>
      <w:t>https://doi.org/10.33321/cdi.2022.46.5</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3E2415">
      <w:rPr>
        <w:sz w:val="18"/>
      </w:rPr>
      <w:t>16/02/2022</w:t>
    </w:r>
    <w:r w:rsidR="003E2415">
      <w:rPr>
        <w:sz w:val="18"/>
      </w:rPr>
      <w:tab/>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83B3B" w14:textId="694AE860" w:rsidR="0091710A" w:rsidRPr="00BB5378" w:rsidRDefault="0091710A"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7F513F">
      <w:rPr>
        <w:i/>
        <w:sz w:val="18"/>
      </w:rPr>
      <w:t>Commun</w:t>
    </w:r>
    <w:proofErr w:type="spellEnd"/>
    <w:r w:rsidRPr="007F513F">
      <w:rPr>
        <w:i/>
        <w:sz w:val="18"/>
      </w:rPr>
      <w:t xml:space="preserve"> Dis </w:t>
    </w:r>
    <w:proofErr w:type="spellStart"/>
    <w:r w:rsidRPr="007F513F">
      <w:rPr>
        <w:i/>
        <w:sz w:val="18"/>
      </w:rPr>
      <w:t>Intell</w:t>
    </w:r>
    <w:proofErr w:type="spellEnd"/>
    <w:r w:rsidRPr="007F513F">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sidR="003E2415">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3E2415">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3E2415">
      <w:rPr>
        <w:sz w:val="18"/>
      </w:rPr>
      <w:t>https://doi.org/10.33321/cdi.2022.46.5</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3E2415">
      <w:rPr>
        <w:sz w:val="18"/>
      </w:rPr>
      <w:t>16/02/2022</w:t>
    </w:r>
    <w:r w:rsidR="003E2415">
      <w:rPr>
        <w:sz w:val="18"/>
      </w:rPr>
      <w:tab/>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F0598" w14:textId="77777777" w:rsidR="0091710A" w:rsidRPr="00B91FB5" w:rsidRDefault="0091710A" w:rsidP="00B91FB5">
      <w:pPr>
        <w:spacing w:after="0" w:line="240" w:lineRule="auto"/>
        <w:rPr>
          <w:sz w:val="18"/>
          <w:szCs w:val="18"/>
        </w:rPr>
      </w:pPr>
      <w:r w:rsidRPr="00B91FB5">
        <w:rPr>
          <w:sz w:val="18"/>
          <w:szCs w:val="18"/>
        </w:rPr>
        <w:separator/>
      </w:r>
    </w:p>
  </w:footnote>
  <w:footnote w:type="continuationSeparator" w:id="0">
    <w:p w14:paraId="21E64333" w14:textId="77777777" w:rsidR="0091710A" w:rsidRDefault="0091710A" w:rsidP="00E54DBA">
      <w:r>
        <w:continuationSeparator/>
      </w:r>
    </w:p>
  </w:footnote>
  <w:footnote w:type="continuationNotice" w:id="1">
    <w:p w14:paraId="116F0347" w14:textId="77777777" w:rsidR="0091710A" w:rsidRPr="00224EFF" w:rsidRDefault="0091710A" w:rsidP="00224EFF">
      <w:pPr>
        <w:pStyle w:val="Footer"/>
      </w:pPr>
    </w:p>
  </w:footnote>
  <w:footnote w:id="2">
    <w:p w14:paraId="7788483D" w14:textId="1A339D81" w:rsidR="0091710A" w:rsidRPr="0005078B" w:rsidRDefault="0091710A" w:rsidP="0005078B">
      <w:pPr>
        <w:pStyle w:val="CDIfootnotes"/>
      </w:pPr>
      <w:r w:rsidRPr="0005078B">
        <w:rPr>
          <w:rStyle w:val="FootnoteReference"/>
          <w:vertAlign w:val="baseline"/>
        </w:rPr>
        <w:footnoteRef/>
      </w:r>
      <w:r w:rsidRPr="0005078B">
        <w:tab/>
        <w:t>Accessed in February 2020: https://www.abs.gov.au/ausstats/abs@.nsf/mf/6401.0.</w:t>
      </w:r>
    </w:p>
  </w:footnote>
  <w:footnote w:id="3">
    <w:p w14:paraId="45CF9C05" w14:textId="456AEF43" w:rsidR="0091710A" w:rsidRPr="0005078B" w:rsidRDefault="0091710A" w:rsidP="0005078B">
      <w:pPr>
        <w:pStyle w:val="CDIfootnotes"/>
      </w:pPr>
      <w:r w:rsidRPr="0005078B">
        <w:rPr>
          <w:rStyle w:val="FootnoteReference"/>
          <w:vertAlign w:val="baseline"/>
        </w:rPr>
        <w:footnoteRef/>
      </w:r>
      <w:r w:rsidRPr="0005078B">
        <w:tab/>
        <w:t>https://www.aihw.gov.au/reports/mothers-babies/australias-mothers-babies/contents/summary.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517B4" w14:textId="7D533BD8" w:rsidR="0091710A" w:rsidRPr="00A153B6" w:rsidRDefault="00D3170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1710A">
          <w:t>Original article</w:t>
        </w:r>
      </w:sdtContent>
    </w:sdt>
    <w:r w:rsidR="0091710A">
      <w:ptab w:relativeTo="margin" w:alignment="right" w:leader="none"/>
    </w:r>
    <w:r w:rsidR="0091710A"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A2B38" w14:textId="77777777" w:rsidR="0091710A" w:rsidRPr="000A5F42" w:rsidRDefault="0091710A" w:rsidP="000A5F42">
    <w:pPr>
      <w:pStyle w:val="Header"/>
      <w:jc w:val="center"/>
      <w:rPr>
        <w:b/>
      </w:rPr>
    </w:pPr>
    <w:r w:rsidRPr="00E810C5">
      <w:rPr>
        <w:rFonts w:cs="Myriad Pro"/>
        <w:noProof/>
        <w:color w:val="211D1E"/>
        <w:sz w:val="16"/>
      </w:rPr>
      <w:drawing>
        <wp:inline distT="0" distB="0" distL="0" distR="0" wp14:anchorId="18290EEB" wp14:editId="7A2E1500">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5618F"/>
    <w:multiLevelType w:val="hybridMultilevel"/>
    <w:tmpl w:val="F15E69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CF4EA5"/>
    <w:multiLevelType w:val="multilevel"/>
    <w:tmpl w:val="9182A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216333"/>
    <w:multiLevelType w:val="multilevel"/>
    <w:tmpl w:val="DFA2D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750E6A"/>
    <w:multiLevelType w:val="hybridMultilevel"/>
    <w:tmpl w:val="37120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E48292C"/>
    <w:multiLevelType w:val="hybridMultilevel"/>
    <w:tmpl w:val="791A5C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306EE5"/>
    <w:multiLevelType w:val="hybridMultilevel"/>
    <w:tmpl w:val="1E1A4DE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9"/>
  </w:num>
  <w:num w:numId="6">
    <w:abstractNumId w:val="10"/>
  </w:num>
  <w:num w:numId="7">
    <w:abstractNumId w:val="4"/>
  </w:num>
  <w:num w:numId="8">
    <w:abstractNumId w:val="1"/>
  </w:num>
  <w:num w:numId="9">
    <w:abstractNumId w:val="7"/>
  </w:num>
  <w:num w:numId="10">
    <w:abstractNumId w:val="1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noPunctuationKerning/>
  <w:characterSpacingControl w:val="doNotCompress"/>
  <w:hdrShapeDefaults>
    <o:shapedefaults v:ext="edit" spidmax="2252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9A"/>
    <w:rsid w:val="00000B5B"/>
    <w:rsid w:val="00001611"/>
    <w:rsid w:val="000104A8"/>
    <w:rsid w:val="00010E15"/>
    <w:rsid w:val="0001246E"/>
    <w:rsid w:val="000124B1"/>
    <w:rsid w:val="00016FE6"/>
    <w:rsid w:val="00031064"/>
    <w:rsid w:val="00031692"/>
    <w:rsid w:val="00032531"/>
    <w:rsid w:val="000325A0"/>
    <w:rsid w:val="000377E2"/>
    <w:rsid w:val="000471BF"/>
    <w:rsid w:val="00047B68"/>
    <w:rsid w:val="0005078B"/>
    <w:rsid w:val="00052600"/>
    <w:rsid w:val="0005643C"/>
    <w:rsid w:val="0006264A"/>
    <w:rsid w:val="00073D77"/>
    <w:rsid w:val="00081655"/>
    <w:rsid w:val="000864E0"/>
    <w:rsid w:val="000969B3"/>
    <w:rsid w:val="000A556D"/>
    <w:rsid w:val="000A5F42"/>
    <w:rsid w:val="000D4B4D"/>
    <w:rsid w:val="000F2BE7"/>
    <w:rsid w:val="00104EB6"/>
    <w:rsid w:val="00113D58"/>
    <w:rsid w:val="001200CB"/>
    <w:rsid w:val="001373B6"/>
    <w:rsid w:val="001378A3"/>
    <w:rsid w:val="0014037F"/>
    <w:rsid w:val="00155027"/>
    <w:rsid w:val="00155582"/>
    <w:rsid w:val="00161590"/>
    <w:rsid w:val="00171CC0"/>
    <w:rsid w:val="00175494"/>
    <w:rsid w:val="00175629"/>
    <w:rsid w:val="001830EC"/>
    <w:rsid w:val="00183534"/>
    <w:rsid w:val="001A0E02"/>
    <w:rsid w:val="001A4A96"/>
    <w:rsid w:val="001A5D05"/>
    <w:rsid w:val="001A796C"/>
    <w:rsid w:val="001B2614"/>
    <w:rsid w:val="001B37B8"/>
    <w:rsid w:val="001B552F"/>
    <w:rsid w:val="001B7907"/>
    <w:rsid w:val="001C0893"/>
    <w:rsid w:val="001C1303"/>
    <w:rsid w:val="001C2378"/>
    <w:rsid w:val="001C693F"/>
    <w:rsid w:val="001C70B2"/>
    <w:rsid w:val="001D37C7"/>
    <w:rsid w:val="001D6888"/>
    <w:rsid w:val="001F1603"/>
    <w:rsid w:val="00224EFF"/>
    <w:rsid w:val="002276DC"/>
    <w:rsid w:val="00227E00"/>
    <w:rsid w:val="00227EDF"/>
    <w:rsid w:val="002307CB"/>
    <w:rsid w:val="00231046"/>
    <w:rsid w:val="0023191C"/>
    <w:rsid w:val="00234F21"/>
    <w:rsid w:val="00242659"/>
    <w:rsid w:val="002428F7"/>
    <w:rsid w:val="0024315F"/>
    <w:rsid w:val="0024631C"/>
    <w:rsid w:val="00252C9A"/>
    <w:rsid w:val="00256309"/>
    <w:rsid w:val="00257484"/>
    <w:rsid w:val="00260636"/>
    <w:rsid w:val="00275C78"/>
    <w:rsid w:val="00280594"/>
    <w:rsid w:val="00281EE3"/>
    <w:rsid w:val="00284E4A"/>
    <w:rsid w:val="0029059C"/>
    <w:rsid w:val="002A3799"/>
    <w:rsid w:val="002A3BCC"/>
    <w:rsid w:val="002A4516"/>
    <w:rsid w:val="002A569F"/>
    <w:rsid w:val="002A7066"/>
    <w:rsid w:val="002B001E"/>
    <w:rsid w:val="002B09B7"/>
    <w:rsid w:val="002B75A9"/>
    <w:rsid w:val="002C21B0"/>
    <w:rsid w:val="002D70CB"/>
    <w:rsid w:val="002E2FB3"/>
    <w:rsid w:val="002F327B"/>
    <w:rsid w:val="00301626"/>
    <w:rsid w:val="003059EC"/>
    <w:rsid w:val="00316CCD"/>
    <w:rsid w:val="00324F7E"/>
    <w:rsid w:val="003323BC"/>
    <w:rsid w:val="00346D42"/>
    <w:rsid w:val="00346E11"/>
    <w:rsid w:val="003601C0"/>
    <w:rsid w:val="003635F5"/>
    <w:rsid w:val="003645D3"/>
    <w:rsid w:val="00367BEB"/>
    <w:rsid w:val="00372A88"/>
    <w:rsid w:val="00381A0F"/>
    <w:rsid w:val="003A1B3A"/>
    <w:rsid w:val="003A40F5"/>
    <w:rsid w:val="003B5B8C"/>
    <w:rsid w:val="003D79B1"/>
    <w:rsid w:val="003E2415"/>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3399"/>
    <w:rsid w:val="004C67C6"/>
    <w:rsid w:val="004D29DE"/>
    <w:rsid w:val="004F3406"/>
    <w:rsid w:val="00510EAC"/>
    <w:rsid w:val="00542A57"/>
    <w:rsid w:val="00565974"/>
    <w:rsid w:val="005732C0"/>
    <w:rsid w:val="0057336D"/>
    <w:rsid w:val="0057489A"/>
    <w:rsid w:val="00574ACF"/>
    <w:rsid w:val="00581588"/>
    <w:rsid w:val="0058540B"/>
    <w:rsid w:val="00587C87"/>
    <w:rsid w:val="00590B80"/>
    <w:rsid w:val="00595601"/>
    <w:rsid w:val="005A5F11"/>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27B3C"/>
    <w:rsid w:val="00631406"/>
    <w:rsid w:val="006324FF"/>
    <w:rsid w:val="006351D6"/>
    <w:rsid w:val="00636E0D"/>
    <w:rsid w:val="0064142F"/>
    <w:rsid w:val="00643BBD"/>
    <w:rsid w:val="00643CB4"/>
    <w:rsid w:val="00646638"/>
    <w:rsid w:val="00656427"/>
    <w:rsid w:val="00660255"/>
    <w:rsid w:val="00683B5F"/>
    <w:rsid w:val="006971F3"/>
    <w:rsid w:val="006A618B"/>
    <w:rsid w:val="006B21DA"/>
    <w:rsid w:val="006B2619"/>
    <w:rsid w:val="006C74A3"/>
    <w:rsid w:val="006D1381"/>
    <w:rsid w:val="006D31BC"/>
    <w:rsid w:val="006E3337"/>
    <w:rsid w:val="006E7943"/>
    <w:rsid w:val="006F24EA"/>
    <w:rsid w:val="006F5D76"/>
    <w:rsid w:val="00704CA9"/>
    <w:rsid w:val="0071048D"/>
    <w:rsid w:val="00710F86"/>
    <w:rsid w:val="007111A8"/>
    <w:rsid w:val="00731BC3"/>
    <w:rsid w:val="0073239F"/>
    <w:rsid w:val="00741192"/>
    <w:rsid w:val="00743A33"/>
    <w:rsid w:val="00746080"/>
    <w:rsid w:val="0075144A"/>
    <w:rsid w:val="00752654"/>
    <w:rsid w:val="0076480B"/>
    <w:rsid w:val="00786329"/>
    <w:rsid w:val="00792C7D"/>
    <w:rsid w:val="00794A4D"/>
    <w:rsid w:val="007A0A4E"/>
    <w:rsid w:val="007A5234"/>
    <w:rsid w:val="007B6962"/>
    <w:rsid w:val="007B7854"/>
    <w:rsid w:val="007C56A1"/>
    <w:rsid w:val="007C6454"/>
    <w:rsid w:val="007E01E0"/>
    <w:rsid w:val="007F0B93"/>
    <w:rsid w:val="007F2ECA"/>
    <w:rsid w:val="007F513F"/>
    <w:rsid w:val="008016CF"/>
    <w:rsid w:val="00811708"/>
    <w:rsid w:val="00816B90"/>
    <w:rsid w:val="00817799"/>
    <w:rsid w:val="00822DAB"/>
    <w:rsid w:val="00822F5F"/>
    <w:rsid w:val="00824FD3"/>
    <w:rsid w:val="00826589"/>
    <w:rsid w:val="00834BCC"/>
    <w:rsid w:val="00841FB0"/>
    <w:rsid w:val="00850D54"/>
    <w:rsid w:val="008557A2"/>
    <w:rsid w:val="008714B0"/>
    <w:rsid w:val="00876331"/>
    <w:rsid w:val="0088014B"/>
    <w:rsid w:val="00880726"/>
    <w:rsid w:val="0088707C"/>
    <w:rsid w:val="008A3544"/>
    <w:rsid w:val="008A5E5A"/>
    <w:rsid w:val="008B48B8"/>
    <w:rsid w:val="008B5348"/>
    <w:rsid w:val="008B58F8"/>
    <w:rsid w:val="008C0712"/>
    <w:rsid w:val="008C4520"/>
    <w:rsid w:val="008C5F09"/>
    <w:rsid w:val="008D45B2"/>
    <w:rsid w:val="008D470F"/>
    <w:rsid w:val="008E1F8F"/>
    <w:rsid w:val="008E4768"/>
    <w:rsid w:val="008E761E"/>
    <w:rsid w:val="008F62ED"/>
    <w:rsid w:val="008F77B3"/>
    <w:rsid w:val="009008F5"/>
    <w:rsid w:val="00904CC1"/>
    <w:rsid w:val="009066AF"/>
    <w:rsid w:val="00912050"/>
    <w:rsid w:val="00912E48"/>
    <w:rsid w:val="0091710A"/>
    <w:rsid w:val="0092746F"/>
    <w:rsid w:val="00935DC9"/>
    <w:rsid w:val="009446C0"/>
    <w:rsid w:val="0096082E"/>
    <w:rsid w:val="00961347"/>
    <w:rsid w:val="00967410"/>
    <w:rsid w:val="00967D73"/>
    <w:rsid w:val="0097640B"/>
    <w:rsid w:val="0098119A"/>
    <w:rsid w:val="00984AAF"/>
    <w:rsid w:val="00991B09"/>
    <w:rsid w:val="00993CB2"/>
    <w:rsid w:val="009A5166"/>
    <w:rsid w:val="009A76F8"/>
    <w:rsid w:val="009B2B83"/>
    <w:rsid w:val="009B3BF5"/>
    <w:rsid w:val="009C49F8"/>
    <w:rsid w:val="009D77CC"/>
    <w:rsid w:val="009E2423"/>
    <w:rsid w:val="009E55D7"/>
    <w:rsid w:val="009F4150"/>
    <w:rsid w:val="009F5665"/>
    <w:rsid w:val="009F5DAD"/>
    <w:rsid w:val="00A01BCA"/>
    <w:rsid w:val="00A01E77"/>
    <w:rsid w:val="00A10458"/>
    <w:rsid w:val="00A153B6"/>
    <w:rsid w:val="00A164D5"/>
    <w:rsid w:val="00A273C3"/>
    <w:rsid w:val="00A30C37"/>
    <w:rsid w:val="00A36C65"/>
    <w:rsid w:val="00A41BBE"/>
    <w:rsid w:val="00A42D18"/>
    <w:rsid w:val="00A443E3"/>
    <w:rsid w:val="00A45BDD"/>
    <w:rsid w:val="00A46A0A"/>
    <w:rsid w:val="00A55250"/>
    <w:rsid w:val="00A553F8"/>
    <w:rsid w:val="00A6708F"/>
    <w:rsid w:val="00A71BF6"/>
    <w:rsid w:val="00A72AF9"/>
    <w:rsid w:val="00A86F9A"/>
    <w:rsid w:val="00AA35E6"/>
    <w:rsid w:val="00AA4324"/>
    <w:rsid w:val="00AA50B6"/>
    <w:rsid w:val="00AB3472"/>
    <w:rsid w:val="00AD0762"/>
    <w:rsid w:val="00AE3DCF"/>
    <w:rsid w:val="00AE4452"/>
    <w:rsid w:val="00AE7C38"/>
    <w:rsid w:val="00AF2D17"/>
    <w:rsid w:val="00B01F99"/>
    <w:rsid w:val="00B02B37"/>
    <w:rsid w:val="00B05276"/>
    <w:rsid w:val="00B132DB"/>
    <w:rsid w:val="00B31427"/>
    <w:rsid w:val="00B3149A"/>
    <w:rsid w:val="00B33861"/>
    <w:rsid w:val="00B40DE2"/>
    <w:rsid w:val="00B42099"/>
    <w:rsid w:val="00B50210"/>
    <w:rsid w:val="00B53955"/>
    <w:rsid w:val="00B61A13"/>
    <w:rsid w:val="00B6408A"/>
    <w:rsid w:val="00B714B8"/>
    <w:rsid w:val="00B80752"/>
    <w:rsid w:val="00B82C2C"/>
    <w:rsid w:val="00B86CEA"/>
    <w:rsid w:val="00B8720B"/>
    <w:rsid w:val="00B876EF"/>
    <w:rsid w:val="00B91FB5"/>
    <w:rsid w:val="00B95302"/>
    <w:rsid w:val="00BA4697"/>
    <w:rsid w:val="00BB5378"/>
    <w:rsid w:val="00BC0BD3"/>
    <w:rsid w:val="00BD0107"/>
    <w:rsid w:val="00BE0C33"/>
    <w:rsid w:val="00BE262C"/>
    <w:rsid w:val="00BE6C3D"/>
    <w:rsid w:val="00C04443"/>
    <w:rsid w:val="00C07606"/>
    <w:rsid w:val="00C12542"/>
    <w:rsid w:val="00C24725"/>
    <w:rsid w:val="00C30BA9"/>
    <w:rsid w:val="00C3541E"/>
    <w:rsid w:val="00C36A8F"/>
    <w:rsid w:val="00C42834"/>
    <w:rsid w:val="00C42FFA"/>
    <w:rsid w:val="00C507D8"/>
    <w:rsid w:val="00C62EAC"/>
    <w:rsid w:val="00C63F9F"/>
    <w:rsid w:val="00C75640"/>
    <w:rsid w:val="00C7723C"/>
    <w:rsid w:val="00C77753"/>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1570C"/>
    <w:rsid w:val="00D25896"/>
    <w:rsid w:val="00D3170F"/>
    <w:rsid w:val="00D373A1"/>
    <w:rsid w:val="00D37C0F"/>
    <w:rsid w:val="00D45661"/>
    <w:rsid w:val="00D45943"/>
    <w:rsid w:val="00D47D22"/>
    <w:rsid w:val="00D51865"/>
    <w:rsid w:val="00D51D0C"/>
    <w:rsid w:val="00D74140"/>
    <w:rsid w:val="00DA6E56"/>
    <w:rsid w:val="00DB04A1"/>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86B30"/>
    <w:rsid w:val="00E92237"/>
    <w:rsid w:val="00E951EF"/>
    <w:rsid w:val="00EA3D54"/>
    <w:rsid w:val="00EA56D9"/>
    <w:rsid w:val="00EA5CE3"/>
    <w:rsid w:val="00EB51C1"/>
    <w:rsid w:val="00EB5AE1"/>
    <w:rsid w:val="00EB5E0B"/>
    <w:rsid w:val="00EC2171"/>
    <w:rsid w:val="00ED442D"/>
    <w:rsid w:val="00ED70C2"/>
    <w:rsid w:val="00EE0F1F"/>
    <w:rsid w:val="00EE18FF"/>
    <w:rsid w:val="00EE489F"/>
    <w:rsid w:val="00F0647F"/>
    <w:rsid w:val="00F10CE3"/>
    <w:rsid w:val="00F12006"/>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 w:val="00FF62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977B0EA"/>
  <w15:docId w15:val="{CF29FA57-2687-4448-A848-C105C210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uiPriority w:val="99"/>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C04443"/>
    <w:rPr>
      <w:color w:val="605E5C"/>
      <w:shd w:val="clear" w:color="auto" w:fill="E1DFDD"/>
    </w:rPr>
  </w:style>
  <w:style w:type="paragraph" w:customStyle="1" w:styleId="P">
    <w:name w:val="P"/>
    <w:basedOn w:val="Normal"/>
    <w:uiPriority w:val="99"/>
    <w:rsid w:val="001373B6"/>
    <w:pPr>
      <w:autoSpaceDE w:val="0"/>
      <w:autoSpaceDN w:val="0"/>
      <w:adjustRightInd w:val="0"/>
      <w:spacing w:after="240" w:line="288" w:lineRule="auto"/>
      <w:jc w:val="both"/>
      <w:textAlignment w:val="baseline"/>
    </w:pPr>
    <w:rPr>
      <w:rFonts w:ascii="MinionConceptRoman-Regular" w:hAnsi="MinionConceptRoman-Regular" w:cs="MinionConceptRoman-Regula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74</TotalTime>
  <Pages>23</Pages>
  <Words>8879</Words>
  <Characters>49353</Characters>
  <Application>Microsoft Office Word</Application>
  <DocSecurity>0</DocSecurity>
  <Lines>411</Lines>
  <Paragraphs>116</Paragraphs>
  <ScaleCrop>false</ScaleCrop>
  <HeadingPairs>
    <vt:vector size="2" baseType="variant">
      <vt:variant>
        <vt:lpstr>Title</vt:lpstr>
      </vt:variant>
      <vt:variant>
        <vt:i4>1</vt:i4>
      </vt:variant>
    </vt:vector>
  </HeadingPairs>
  <TitlesOfParts>
    <vt:vector size="1" baseType="lpstr">
      <vt:lpstr>Communicable Diseases Intelligence 2021 - The 2018 annual cost burden for children under five years of age hospitalised with respiratory syncytial virus in Australia</vt:lpstr>
    </vt:vector>
  </TitlesOfParts>
  <Company>Australian Government, Department of Health</Company>
  <LinksUpToDate>false</LinksUpToDate>
  <CharactersWithSpaces>58116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The 2018 annual cost burden for children under five years of age hospitalised with respiratory syncytial virus in Australia</dc:title>
  <dc:subject>Respiratory syncytial virus (RSV) is the principal cause of acute bronchiolitis and respiratory tract infections in young children however routine RSV surveillance in Australian children is limited and there has been uncertainty around the cost burden. This study reported that the 2018 annual national cost of RSV for Australian children aged 0-4y ranged from AUD$30MIL to AUD$62MIL, indicating a significant cost burden to Australia’s health care system.</dc:subject>
  <dc:creator>Natasha K Brusco; Annette Alafaci; Jane Tuckerman; Helena Frawley; Jeremy Pratt; Andrew J Daley; Angela K Todd; Yi-Mo Deng; Kanta Subbarao; Ian Barr; Nigel W Crawford</dc:creator>
  <cp:keywords>Respiratory syncytial virus; respiratory infection; cost burden; economic evaluation; paediatrics</cp:keywords>
  <dc:description>© Commonwealth of Australia CC BY-NC-ND ISSN: 2209-6051 (Online)</dc:description>
  <cp:lastModifiedBy>YOUSEFI, Kasra</cp:lastModifiedBy>
  <cp:revision>29</cp:revision>
  <cp:lastPrinted>2018-05-10T02:19:00Z</cp:lastPrinted>
  <dcterms:created xsi:type="dcterms:W3CDTF">2021-12-08T06:24:00Z</dcterms:created>
  <dcterms:modified xsi:type="dcterms:W3CDTF">2022-02-11T01:56:00Z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16/02/2022	</vt:lpwstr>
  </property>
  <property fmtid="{D5CDD505-2E9C-101B-9397-08002B2CF9AE}" pid="5" name="DOI">
    <vt:lpwstr>https://doi.org/10.33321/cdi.2022.46.5</vt:lpwstr>
  </property>
</Properties>
</file>