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79849" w14:textId="77777777" w:rsidR="00E22C1A" w:rsidRPr="00D761F9" w:rsidRDefault="00E22C1A" w:rsidP="00D761F9">
      <w:pPr>
        <w:pStyle w:val="Title"/>
      </w:pPr>
      <w:r w:rsidRPr="00D761F9">
        <w:t xml:space="preserve">Salmonellosis in Australia in 2020: possible impacts of COVID-19 related public health measures </w:t>
      </w:r>
    </w:p>
    <w:p w14:paraId="3789D973" w14:textId="77777777" w:rsidR="00E22C1A" w:rsidRDefault="00E22C1A" w:rsidP="003272F6">
      <w:r>
        <w:t xml:space="preserve">Barbara P F Davis, Janaki Amin, Neil Franklin, Paul J Beggs </w:t>
      </w:r>
    </w:p>
    <w:p w14:paraId="3E67DBB5" w14:textId="77777777" w:rsidR="00E22C1A" w:rsidRPr="003272F6" w:rsidRDefault="00E22C1A" w:rsidP="003272F6">
      <w:pPr>
        <w:pStyle w:val="Heading1"/>
      </w:pPr>
      <w:r w:rsidRPr="003272F6">
        <w:t xml:space="preserve">Abstract </w:t>
      </w:r>
    </w:p>
    <w:p w14:paraId="31647ACF" w14:textId="77777777" w:rsidR="00E22C1A" w:rsidRPr="003272F6" w:rsidRDefault="00E22C1A" w:rsidP="003272F6">
      <w:pPr>
        <w:pStyle w:val="Heading2"/>
      </w:pPr>
      <w:r w:rsidRPr="003272F6">
        <w:t xml:space="preserve">Background </w:t>
      </w:r>
    </w:p>
    <w:p w14:paraId="76C818AF" w14:textId="77777777" w:rsidR="00E22C1A" w:rsidRDefault="00E22C1A" w:rsidP="003272F6">
      <w:r>
        <w:t xml:space="preserve">More than seventy per cent of salmonellosis in Australia is thought to be due to contaminated food. Rates of salmonellosis vary across the Australian states and territories, with the highest rates in the Northern Territory. In 2020, to control coronavirus disease 2019 (COVID-19), Australia implemented public health measures including border closures, physical </w:t>
      </w:r>
      <w:proofErr w:type="gramStart"/>
      <w:r>
        <w:t>distancing</w:t>
      </w:r>
      <w:proofErr w:type="gramEnd"/>
      <w:r>
        <w:t xml:space="preserve"> and hygiene advice. This study analyses salmonellosis notification rates in 2020 and considers possible impacts of COVID-19 measures. </w:t>
      </w:r>
    </w:p>
    <w:p w14:paraId="7567E855" w14:textId="77777777" w:rsidR="00E22C1A" w:rsidRPr="003272F6" w:rsidRDefault="00E22C1A" w:rsidP="003272F6">
      <w:pPr>
        <w:pStyle w:val="Heading2"/>
      </w:pPr>
      <w:r w:rsidRPr="003272F6">
        <w:t xml:space="preserve">Methods </w:t>
      </w:r>
    </w:p>
    <w:p w14:paraId="2E490156" w14:textId="77777777" w:rsidR="00E22C1A" w:rsidRDefault="00E22C1A" w:rsidP="003272F6">
      <w:r>
        <w:t xml:space="preserve">Monthly and annual salmonellosis notifications per 100,000 population, for each of Australia’s eight states and territories for the years 2015 to 2020, were extracted from Australia’s publicly accessible National Notifiable Diseases Surveillance System. For each jurisdiction, the salmonellosis </w:t>
      </w:r>
      <w:proofErr w:type="gramStart"/>
      <w:r>
        <w:t>rate</w:t>
      </w:r>
      <w:proofErr w:type="gramEnd"/>
      <w:r>
        <w:t xml:space="preserve"> each month in 2020 was compared with the previous 5-year median rate for that calendar month. The possible impacts of COVID-19 public health measures on salmonellosis notifications in the respective states and territories were examined. </w:t>
      </w:r>
    </w:p>
    <w:p w14:paraId="41C50ED8" w14:textId="77777777" w:rsidR="00E22C1A" w:rsidRPr="003272F6" w:rsidRDefault="00E22C1A" w:rsidP="003272F6">
      <w:pPr>
        <w:pStyle w:val="Heading2"/>
      </w:pPr>
      <w:r w:rsidRPr="003272F6">
        <w:t xml:space="preserve">Results </w:t>
      </w:r>
    </w:p>
    <w:p w14:paraId="3FD73CB3" w14:textId="77777777" w:rsidR="00E22C1A" w:rsidRDefault="00E22C1A" w:rsidP="003272F6">
      <w:r>
        <w:t xml:space="preserve">The annual Australian salmonellosis notification rate was 27% lower in 2020 than the previous 5-year median. The reduction in salmonellosis rate varied throughout Australia. States and territories with more stringent, more </w:t>
      </w:r>
      <w:proofErr w:type="gramStart"/>
      <w:r>
        <w:t>frequent</w:t>
      </w:r>
      <w:proofErr w:type="gramEnd"/>
      <w:r>
        <w:t xml:space="preserve"> or longer COVID-19 public health measures had generally greater salmonellosis rate reductions. However, Tasmania had a 50% deeper reduction in salmonellosis rate than did the Northern Territory, despite similar restriction levels. </w:t>
      </w:r>
    </w:p>
    <w:p w14:paraId="3F407CC3" w14:textId="77777777" w:rsidR="00E22C1A" w:rsidRPr="003272F6" w:rsidRDefault="00E22C1A" w:rsidP="003272F6">
      <w:pPr>
        <w:pStyle w:val="Heading2"/>
      </w:pPr>
      <w:r w:rsidRPr="003272F6">
        <w:t xml:space="preserve">Conclusions </w:t>
      </w:r>
    </w:p>
    <w:p w14:paraId="27FF2799" w14:textId="77777777" w:rsidR="00E22C1A" w:rsidRDefault="00E22C1A" w:rsidP="003272F6">
      <w:r>
        <w:t xml:space="preserve">Salmonellosis notifications decreased in Australia during the global COVID-19 pandemic. The reduction in notifications corresponded with the implementation of public health measures. Persistence of high rates in the Northern Territory could indicate the overarching importance of demographic and environmental factors. </w:t>
      </w:r>
    </w:p>
    <w:p w14:paraId="029EDB7F" w14:textId="77777777" w:rsidR="00E22C1A" w:rsidRDefault="00E22C1A" w:rsidP="003272F6">
      <w:r>
        <w:t xml:space="preserve">Keywords: salmonellosis, rates, notifications, COVID-19, Australia, public health measures </w:t>
      </w:r>
    </w:p>
    <w:p w14:paraId="2357527B" w14:textId="77777777" w:rsidR="00E22C1A" w:rsidRPr="003272F6" w:rsidRDefault="00E22C1A" w:rsidP="003272F6">
      <w:pPr>
        <w:pStyle w:val="Heading1"/>
      </w:pPr>
      <w:r w:rsidRPr="003272F6">
        <w:t xml:space="preserve">Introduction </w:t>
      </w:r>
    </w:p>
    <w:p w14:paraId="68040D21" w14:textId="77777777" w:rsidR="00E22C1A" w:rsidRDefault="00E22C1A" w:rsidP="003272F6">
      <w:r>
        <w:t>Salmonellosis in humans is a predominantly foodborne disease with seasonal variation in rates of infection.</w:t>
      </w:r>
      <w:r>
        <w:rPr>
          <w:vertAlign w:val="superscript"/>
        </w:rPr>
        <w:t>1</w:t>
      </w:r>
      <w:r>
        <w:t xml:space="preserve"> Non-typhoidal </w:t>
      </w:r>
      <w:r w:rsidRPr="002A46FA">
        <w:rPr>
          <w:rStyle w:val="Emphasis"/>
          <w:b w:val="0"/>
          <w:bCs w:val="0"/>
        </w:rPr>
        <w:t>Salmonella</w:t>
      </w:r>
      <w:r>
        <w:t xml:space="preserve"> species consist of over 2500 serovars and are widely distributed in nature in soil, water, and animal hosts.</w:t>
      </w:r>
      <w:r>
        <w:rPr>
          <w:vertAlign w:val="superscript"/>
        </w:rPr>
        <w:t>2</w:t>
      </w:r>
      <w:r>
        <w:t xml:space="preserve"> More than 70% of salmonellosis in Australia is thought to be from contaminated food.</w:t>
      </w:r>
      <w:r>
        <w:rPr>
          <w:vertAlign w:val="superscript"/>
        </w:rPr>
        <w:t>3</w:t>
      </w:r>
      <w:r>
        <w:t xml:space="preserve"> Public health efforts to reduce foodborne salmonellosis focus on minimising contamination “during all stages of the food cycle from the farm to consumer”.</w:t>
      </w:r>
      <w:r>
        <w:rPr>
          <w:vertAlign w:val="superscript"/>
        </w:rPr>
        <w:t>4</w:t>
      </w:r>
      <w:r>
        <w:t xml:space="preserve"> Across Australia there are marked differences in salmonellosis notification rates between jurisdictions, with annual median rates in the Northern Territory (215.3 per 100,000 population per year in </w:t>
      </w:r>
      <w:r>
        <w:lastRenderedPageBreak/>
        <w:t xml:space="preserve">2015–2019) three times the national annual median of 66.6 per 100,000 population per year in 2015–2019 (Appendix A, Figure A.1a). </w:t>
      </w:r>
    </w:p>
    <w:p w14:paraId="7E7890AA" w14:textId="77777777" w:rsidR="00E22C1A" w:rsidRDefault="00E22C1A" w:rsidP="003272F6">
      <w:r>
        <w:t>In 2020, Australia experienced a series of public health challenges, including widespread bushfires and extensive smoke coverage across much of eastern Australia, and the coronavirus disease 2019 (COVID-19) pandemic. A preliminary analysis by Bright et al. found that notifications to June 2020 for most notifiable infectious diseases, including salmonellosis, had declined in Australia, most likely due to public health measures implemented to control COVID-19 including border closures, physical distancing and hygiene advice.</w:t>
      </w:r>
      <w:r>
        <w:rPr>
          <w:vertAlign w:val="superscript"/>
        </w:rPr>
        <w:t>5</w:t>
      </w:r>
      <w:r>
        <w:t xml:space="preserve"> Decreases in foodborne diseases in 2020 have also been reported in other countries including the United Kingdom and the United States of America.</w:t>
      </w:r>
      <w:r>
        <w:rPr>
          <w:vertAlign w:val="superscript"/>
        </w:rPr>
        <w:t xml:space="preserve">6,7 </w:t>
      </w:r>
    </w:p>
    <w:p w14:paraId="7252B640" w14:textId="77777777" w:rsidR="00E22C1A" w:rsidRDefault="00E22C1A" w:rsidP="003272F6">
      <w:r>
        <w:t xml:space="preserve">In this study we have examined salmonellosis rates in Australia and each of its eight states and territories in 2020 and have compared these rates to historical data. We have also explored the possible impacts of COVID-19 public health measures, including the impact of public health measures in high- and low-salmonellosis rate states/territories. </w:t>
      </w:r>
    </w:p>
    <w:p w14:paraId="6A26B60D" w14:textId="77777777" w:rsidR="00E22C1A" w:rsidRPr="003272F6" w:rsidRDefault="00E22C1A" w:rsidP="003272F6">
      <w:pPr>
        <w:pStyle w:val="Heading1"/>
      </w:pPr>
      <w:r w:rsidRPr="003272F6">
        <w:t xml:space="preserve">Methods </w:t>
      </w:r>
    </w:p>
    <w:p w14:paraId="6A22F3DA" w14:textId="77777777" w:rsidR="00E22C1A" w:rsidRPr="003272F6" w:rsidRDefault="00E22C1A" w:rsidP="003272F6">
      <w:pPr>
        <w:pStyle w:val="Heading2"/>
      </w:pPr>
      <w:r w:rsidRPr="003272F6">
        <w:t xml:space="preserve">Data </w:t>
      </w:r>
    </w:p>
    <w:p w14:paraId="59F1D7F2" w14:textId="77777777" w:rsidR="00E22C1A" w:rsidRPr="003272F6" w:rsidRDefault="00E22C1A" w:rsidP="003272F6">
      <w:pPr>
        <w:pStyle w:val="Heading3"/>
      </w:pPr>
      <w:r w:rsidRPr="003272F6">
        <w:t xml:space="preserve">Salmonellosis notifications </w:t>
      </w:r>
    </w:p>
    <w:p w14:paraId="2DF65261" w14:textId="77777777" w:rsidR="00E22C1A" w:rsidRDefault="00E22C1A" w:rsidP="003272F6">
      <w:r>
        <w:t>Salmonellosis is a notifiable disease in Australia.</w:t>
      </w:r>
      <w:r>
        <w:rPr>
          <w:vertAlign w:val="superscript"/>
        </w:rPr>
        <w:t>8</w:t>
      </w:r>
      <w:r>
        <w:t xml:space="preserve"> Monthly salmonellosis notification numbers and rates (per 100,000 population) for each state and territory, and for Australia as a whole, were extracted on 22 February 2021 from the National Notifiable Diseases Surveillance System (NNDSS) website database for the years 2015 to 2020.</w:t>
      </w:r>
      <w:r>
        <w:rPr>
          <w:vertAlign w:val="superscript"/>
        </w:rPr>
        <w:t>9</w:t>
      </w:r>
      <w:r>
        <w:t xml:space="preserve"> Annual salmonellosis notification rates for Australia were extracted on 8 March 2021 from the NNDSS for the years 2015 to 2020.</w:t>
      </w:r>
      <w:r>
        <w:rPr>
          <w:vertAlign w:val="superscript"/>
        </w:rPr>
        <w:t xml:space="preserve">9 </w:t>
      </w:r>
    </w:p>
    <w:p w14:paraId="5DC3298E" w14:textId="77777777" w:rsidR="00E22C1A" w:rsidRPr="003272F6" w:rsidRDefault="00E22C1A" w:rsidP="003272F6">
      <w:pPr>
        <w:pStyle w:val="Heading3"/>
      </w:pPr>
      <w:r w:rsidRPr="003272F6">
        <w:t xml:space="preserve">Australian and state/territory public health measures </w:t>
      </w:r>
    </w:p>
    <w:p w14:paraId="231E1005" w14:textId="77777777" w:rsidR="00E22C1A" w:rsidRDefault="00E22C1A" w:rsidP="003272F6">
      <w:r>
        <w:t xml:space="preserve">Australia-wide and jurisdictional COVID-19 public health measures were obtained from the Prime Minister’s media statements; from a Parliament Australia website report, </w:t>
      </w:r>
      <w:r w:rsidRPr="002A46FA">
        <w:rPr>
          <w:rStyle w:val="Emphasis"/>
          <w:b w:val="0"/>
          <w:bCs w:val="0"/>
        </w:rPr>
        <w:t>COVID-19: a chronology of state and territory announcements (up until June 2020)</w:t>
      </w:r>
      <w:r>
        <w:t>; and from state and territory government media announcements to the end of December 2020.</w:t>
      </w:r>
      <w:r>
        <w:rPr>
          <w:vertAlign w:val="superscript"/>
        </w:rPr>
        <w:t>10–21</w:t>
      </w:r>
      <w:r>
        <w:t xml:space="preserve"> In interpreting the impact of COVID-19 public health measures on salmonellosis notifications, public health measure “commencement” indicates the start of major public health measures such as closure of non-essential businesses. Public health measure “ending” or “easing” indicates the timing for re-opening of businesses and for permission granted to have greater numbers of people at gatherings. Border public health measures are not described in this study. </w:t>
      </w:r>
    </w:p>
    <w:p w14:paraId="535944B7" w14:textId="77777777" w:rsidR="00E22C1A" w:rsidRPr="003272F6" w:rsidRDefault="00E22C1A" w:rsidP="003272F6">
      <w:pPr>
        <w:pStyle w:val="Heading2"/>
      </w:pPr>
      <w:r w:rsidRPr="003272F6">
        <w:t xml:space="preserve">Analysis </w:t>
      </w:r>
    </w:p>
    <w:p w14:paraId="22AE0376" w14:textId="77777777" w:rsidR="00E22C1A" w:rsidRDefault="00E22C1A" w:rsidP="00246A15">
      <w:r>
        <w:t xml:space="preserve">Descriptive data analysis was conducted on the numbers and rates of salmonellosis notifications nationally and by state/territory. Each jurisdiction’s median, minimum, and maximum number of salmonellosis notifications per 100,000 was calculated for each calendar month for the years 2015 to 2019. The 2015–2019 median for each month was used as a better measure of the typical monthly value, because the mean would be more subject to skewing due to occasional salmonellosis outbreaks. For each state/territory, the percentage change in monthly salmonellosis rates from the five-year median to 2020 was calculated by subtracting the five-year median from the 2020 rate and then dividing by the five-year median and converting to a percentage. The annual percentage change for Australia in 2020 was calculated using the same method. The timing of commencement and easing of public health measures in 2020 was included in graphs of the salmonellosis five-year median and 2020 monthly rates for all states and territories. </w:t>
      </w:r>
    </w:p>
    <w:p w14:paraId="08C79DB0" w14:textId="4128FFC7" w:rsidR="00E22C1A" w:rsidRPr="00246A15" w:rsidRDefault="00E22C1A" w:rsidP="00246A15">
      <w:pPr>
        <w:pStyle w:val="Heading1"/>
      </w:pPr>
      <w:r w:rsidRPr="00246A15">
        <w:lastRenderedPageBreak/>
        <w:t xml:space="preserve">Results </w:t>
      </w:r>
    </w:p>
    <w:p w14:paraId="6CF917EA" w14:textId="77777777" w:rsidR="00E22C1A" w:rsidRDefault="00E22C1A" w:rsidP="00246A15">
      <w:r>
        <w:t xml:space="preserve">The five-year median number of annual salmonellosis notifications for 2015 to 2019 in Australia was 16,375 (range: 14,146–18,009 notifications per year). In 2020, there were 12,033 salmonellosis notifications in Australia, a 27% reduction on the five-year median and 15% lower than the 2015–2019 five-year minimum. </w:t>
      </w:r>
    </w:p>
    <w:p w14:paraId="2B1767F1" w14:textId="6BB47A58" w:rsidR="00E22C1A" w:rsidRDefault="00E22C1A" w:rsidP="00246A15">
      <w:r>
        <w:t xml:space="preserve">Figure 1 shows that for each year from 2015 to 2019, Australia’s highest monthly salmonellosis notification rate decreased from 9.7 per 100,000 in 2015 to 6.3 per 100,000 in 2019. In 2020, the peak monthly rate was 10.1 per 100,000 in February, the highest for any time in the period 2015 to 2020. For the remaining months in 2020, the rate was consistently below the 5-year medians and minima (Figure 2) and the minimum monthly rate of 1.8 per 100,000 was the lowest for the period 2015–2020. </w:t>
      </w:r>
    </w:p>
    <w:p w14:paraId="294C1CE0" w14:textId="77777777" w:rsidR="00263CF9" w:rsidRDefault="00263CF9" w:rsidP="00263CF9">
      <w:pPr>
        <w:pStyle w:val="NormalWeb"/>
        <w:rPr>
          <w:lang w:val="en-GB"/>
        </w:rPr>
      </w:pPr>
      <w:r>
        <w:rPr>
          <w:rStyle w:val="Strong"/>
          <w:lang w:val="en-GB"/>
        </w:rPr>
        <w:t xml:space="preserve">Figure 1: Australian monthly salmonellosis notifications per </w:t>
      </w:r>
      <w:proofErr w:type="gramStart"/>
      <w:r>
        <w:rPr>
          <w:rStyle w:val="Strong"/>
          <w:lang w:val="en-GB"/>
        </w:rPr>
        <w:t>100,000,</w:t>
      </w:r>
      <w:r w:rsidRPr="006121C4">
        <w:rPr>
          <w:rStyle w:val="Strong"/>
          <w:vertAlign w:val="superscript"/>
          <w:lang w:val="en-GB"/>
        </w:rPr>
        <w:t>a</w:t>
      </w:r>
      <w:proofErr w:type="gramEnd"/>
      <w:r>
        <w:rPr>
          <w:rStyle w:val="Strong"/>
          <w:lang w:val="en-GB"/>
        </w:rPr>
        <w:t xml:space="preserve"> 2015 to 2020</w:t>
      </w:r>
    </w:p>
    <w:p w14:paraId="67FC94BD" w14:textId="77777777" w:rsidR="00263CF9" w:rsidRDefault="00263CF9" w:rsidP="00263CF9">
      <w:pPr>
        <w:rPr>
          <w:rFonts w:eastAsia="Times New Roman"/>
          <w:lang w:val="en-GB"/>
        </w:rPr>
      </w:pPr>
      <w:r>
        <w:rPr>
          <w:rFonts w:eastAsia="Times New Roman"/>
          <w:noProof/>
          <w:lang w:val="en-GB"/>
        </w:rPr>
        <w:drawing>
          <wp:inline distT="0" distB="0" distL="0" distR="0" wp14:anchorId="24C03BAB" wp14:editId="4FFA299A">
            <wp:extent cx="6600282" cy="3527397"/>
            <wp:effectExtent l="0" t="0" r="0" b="0"/>
            <wp:docPr id="6" name="Picture 6" descr="Australian monthly Salmonella notifications per 100,000, 2015 to 2020. The rates shown on the graph indicate the maximum and minimum for each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monthly Salmonella notifications per 100,000, 2015 to 2020. The rates shown on the graph indicate the maximum and minimum for each yea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21153" cy="3538551"/>
                    </a:xfrm>
                    <a:prstGeom prst="rect">
                      <a:avLst/>
                    </a:prstGeom>
                  </pic:spPr>
                </pic:pic>
              </a:graphicData>
            </a:graphic>
          </wp:inline>
        </w:drawing>
      </w:r>
    </w:p>
    <w:p w14:paraId="05C67390" w14:textId="57120410" w:rsidR="00263CF9" w:rsidRDefault="00263CF9" w:rsidP="00263CF9">
      <w:pPr>
        <w:pStyle w:val="CDIfootnotes"/>
      </w:pPr>
      <w:proofErr w:type="spellStart"/>
      <w:r w:rsidRPr="00FB4A5E">
        <w:t>a</w:t>
      </w:r>
      <w:proofErr w:type="spellEnd"/>
      <w:r w:rsidRPr="00FB4A5E">
        <w:tab/>
      </w:r>
      <w:proofErr w:type="gramStart"/>
      <w:r w:rsidRPr="00FB4A5E">
        <w:t>The</w:t>
      </w:r>
      <w:proofErr w:type="gramEnd"/>
      <w:r w:rsidRPr="00FB4A5E">
        <w:t xml:space="preserve"> rates shown on the graph indicate the maximum and minimum for each year.</w:t>
      </w:r>
    </w:p>
    <w:p w14:paraId="3BFB4CD0" w14:textId="77777777" w:rsidR="00E22C1A" w:rsidRDefault="00E22C1A" w:rsidP="00246A15">
      <w:r>
        <w:t xml:space="preserve">The Northern Territory had the highest overall monthly salmonellosis rates for 2015–2019, peaking in April 2016 at 42.7 cases per 100,000 (Figure 3). The lowest monthly rate for all the years 2015 to 2020, of 0.7 notifications per 100,000, was recorded for the Australian Capital Territory in July and October 2020. This lowest rate is just 1.6% of the highest Northern Territory rate. The range bars showed wide variation in rates between jurisdictions. The largest range was almost 30 cases per 100,000 per month for February from 2015 to 2019 in the Australian Capital Territory. </w:t>
      </w:r>
    </w:p>
    <w:p w14:paraId="32BE8D3F" w14:textId="7A63017D" w:rsidR="00E22C1A" w:rsidRDefault="00E22C1A" w:rsidP="00246A15">
      <w:r>
        <w:t xml:space="preserve">Figure 3 shows that in February 2020 there was an increase in salmonellosis rates compared with the five-year median in six of the eight states and territories of Australia (Northern Territory, Queensland, Western Australia, New South Wales, </w:t>
      </w:r>
      <w:proofErr w:type="gramStart"/>
      <w:r>
        <w:t>Victoria</w:t>
      </w:r>
      <w:proofErr w:type="gramEnd"/>
      <w:r>
        <w:t xml:space="preserve"> and Tasmania). From March to December 2020, the monthly rates for all jurisdictions were consistently below the five-year median except in June and September for Western Australia and in December for Tasmania (Figure 3; Appendix A, Tables A.1 to A.3). The rates in South Australia, </w:t>
      </w:r>
      <w:proofErr w:type="gramStart"/>
      <w:r>
        <w:t>Victoria</w:t>
      </w:r>
      <w:proofErr w:type="gramEnd"/>
      <w:r>
        <w:t xml:space="preserve"> and New South Wales in 2020 showed prolonged low plateaus. Victoria had the greatest drop and longest plateau coinciding with its two COVID-19 lockdown periods (Appendix A, Box A.1), with rates from March to December 2020 being on average </w:t>
      </w:r>
      <w:r>
        <w:lastRenderedPageBreak/>
        <w:t xml:space="preserve">59.0% lower than the median for these months from the 2015–2019 period. The Australian Capital Territory and South Australia also showed large average decreases in rates in March to December 2020 compared to these months in the 2015-2019 period (52.8% and 51.3% respectively). </w:t>
      </w:r>
    </w:p>
    <w:p w14:paraId="1B83FE29" w14:textId="77777777" w:rsidR="0011018C" w:rsidRPr="00FF119C" w:rsidRDefault="0011018C" w:rsidP="0011018C">
      <w:pPr>
        <w:pStyle w:val="CDIFigures"/>
      </w:pPr>
      <w:r w:rsidRPr="00FF119C">
        <w:rPr>
          <w:rStyle w:val="Strong"/>
          <w:b/>
          <w:bCs w:val="0"/>
        </w:rPr>
        <w:t>Figure 2: Australian monthly salmonellosis notifications per 100,000 for 2020 and monthly medians for 2015 to 2019 with maxima and minima as range bars</w:t>
      </w:r>
    </w:p>
    <w:p w14:paraId="433D2367" w14:textId="5FF48A3C" w:rsidR="0011018C" w:rsidRPr="0011018C" w:rsidRDefault="0011018C" w:rsidP="00246A15">
      <w:pPr>
        <w:rPr>
          <w:rFonts w:eastAsia="Times New Roman"/>
          <w:lang w:val="en-GB"/>
        </w:rPr>
      </w:pPr>
      <w:r>
        <w:rPr>
          <w:rFonts w:eastAsia="Times New Roman"/>
          <w:noProof/>
          <w:lang w:val="en-GB"/>
        </w:rPr>
        <w:drawing>
          <wp:inline distT="0" distB="0" distL="0" distR="0" wp14:anchorId="5033E5C1" wp14:editId="4B1AC659">
            <wp:extent cx="6625424" cy="4715452"/>
            <wp:effectExtent l="0" t="0" r="4445" b="9525"/>
            <wp:docPr id="2" name="Picture 2" descr="Australian monthly Salmonella notifications per 100,000 for 2020 and monthly medians for 2015 to 2019 with maximums and minimums as range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monthly Salmonella notifications per 100,000 for 2020 and monthly medians for 2015 to 2019 with maximums and minimums as range bar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6753" cy="4723515"/>
                    </a:xfrm>
                    <a:prstGeom prst="rect">
                      <a:avLst/>
                    </a:prstGeom>
                  </pic:spPr>
                </pic:pic>
              </a:graphicData>
            </a:graphic>
          </wp:inline>
        </w:drawing>
      </w:r>
    </w:p>
    <w:p w14:paraId="533D80E1" w14:textId="77777777" w:rsidR="00E22C1A" w:rsidRDefault="00E22C1A" w:rsidP="00246A15">
      <w:r>
        <w:t xml:space="preserve">Appendix A, Tables A.1 to A.3 show both absolute and percent changes in 2020 from the 2015 to 2019 median salmonellosis rates. The smallest average monthly decreases occurred in Western Australia (12.0%), Queensland (13.2%), and the Northern Territory (21.8%). The Australian Capital Territory had the greatest percent monthly reductions of 83.3% and 75.0%. Victoria had the third greatest percent monthly reduction of 72.2%. Several jurisdictions had minimum monthly rates of around 1 per 100,000 population per month. </w:t>
      </w:r>
    </w:p>
    <w:p w14:paraId="79860D27" w14:textId="77777777" w:rsidR="00E22C1A" w:rsidRDefault="00E22C1A" w:rsidP="00246A15">
      <w:r>
        <w:t xml:space="preserve">Figure 3 shows salmonellosis notification rates in relation to commencement and easing of restrictions. For all jurisdictions, rates decreased below the five-year median at the time of public health measure commencement in March. However, at the time of public health measure easing in June (Table A.4), the notification rates did not decrease as steeply as the seasonal five-year decrease. In the case of Victoria, when public health measures recommenced in July, the rate decreased, in contrast to the five-year median which increased. </w:t>
      </w:r>
    </w:p>
    <w:p w14:paraId="45F6876D" w14:textId="77777777" w:rsidR="00A545FE" w:rsidRDefault="00A545FE" w:rsidP="00246A15">
      <w:pPr>
        <w:pStyle w:val="Heading1"/>
        <w:sectPr w:rsidR="00A545FE"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45FF4FCA" w14:textId="77777777" w:rsidR="00A545FE" w:rsidRDefault="00A545FE" w:rsidP="00A545FE">
      <w:pPr>
        <w:pStyle w:val="NormalWeb"/>
        <w:rPr>
          <w:lang w:val="en-GB"/>
        </w:rPr>
      </w:pPr>
      <w:r>
        <w:rPr>
          <w:rStyle w:val="Strong"/>
          <w:lang w:val="en-GB"/>
        </w:rPr>
        <w:lastRenderedPageBreak/>
        <w:t>Figure 3: Australian state and territory monthly salmonellosis notifications per 100,000 for 2020 and monthly medians for 2015 to 2019 with maxima and minima as range bars, and showing also COVID-19 public health measures (restrictions)</w:t>
      </w:r>
    </w:p>
    <w:p w14:paraId="6EA4D837" w14:textId="77777777" w:rsidR="00A545FE" w:rsidRDefault="00A545FE" w:rsidP="00A545FE">
      <w:pPr>
        <w:rPr>
          <w:rFonts w:eastAsia="Times New Roman"/>
          <w:lang w:val="en-GB"/>
        </w:rPr>
      </w:pPr>
      <w:r>
        <w:rPr>
          <w:rFonts w:eastAsia="Times New Roman"/>
          <w:noProof/>
          <w:lang w:val="en-GB"/>
        </w:rPr>
        <w:drawing>
          <wp:inline distT="0" distB="0" distL="0" distR="0" wp14:anchorId="45079C08" wp14:editId="5D381028">
            <wp:extent cx="9144019" cy="5754636"/>
            <wp:effectExtent l="0" t="0" r="0" b="0"/>
            <wp:docPr id="3" name="Picture 3" descr="Australian state and territory monthly Salmonella notifications per 100,000 for 2020 and monthly medians for 2015 to 2019 with maximums and minimums as range bars. Also included are COVID-19 restr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tate and territory monthly Salmonella notifications per 100,000 for 2020 and monthly medians for 2015 to 2019 with maximums and minimums as range bars. Also included are COVID-19 restriction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144019" cy="5754636"/>
                    </a:xfrm>
                    <a:prstGeom prst="rect">
                      <a:avLst/>
                    </a:prstGeom>
                  </pic:spPr>
                </pic:pic>
              </a:graphicData>
            </a:graphic>
          </wp:inline>
        </w:drawing>
      </w:r>
    </w:p>
    <w:p w14:paraId="70492AC0" w14:textId="050CB424" w:rsidR="00A545FE" w:rsidRPr="00A545FE" w:rsidRDefault="00A545FE" w:rsidP="00A545FE">
      <w:pPr>
        <w:sectPr w:rsidR="00A545FE" w:rsidRPr="00A545FE" w:rsidSect="00A545FE">
          <w:pgSz w:w="16838" w:h="11906" w:orient="landscape"/>
          <w:pgMar w:top="720" w:right="720" w:bottom="720" w:left="1134" w:header="709" w:footer="284" w:gutter="0"/>
          <w:cols w:space="708"/>
          <w:titlePg/>
          <w:docGrid w:linePitch="360"/>
        </w:sectPr>
      </w:pPr>
    </w:p>
    <w:p w14:paraId="26B39412" w14:textId="1DB628D5" w:rsidR="00E22C1A" w:rsidRPr="00246A15" w:rsidRDefault="00E22C1A" w:rsidP="00246A15">
      <w:pPr>
        <w:pStyle w:val="Heading1"/>
      </w:pPr>
      <w:r w:rsidRPr="00246A15">
        <w:lastRenderedPageBreak/>
        <w:t xml:space="preserve">Discussion </w:t>
      </w:r>
    </w:p>
    <w:p w14:paraId="5244369A" w14:textId="77777777" w:rsidR="00E22C1A" w:rsidRDefault="00E22C1A" w:rsidP="00246A15">
      <w:r>
        <w:t xml:space="preserve">This study showed that salmonellosis notifications decreased in Australia in 2020 during the global COVID-19 pandemic, coinciding with the implementation, across Australia, of public health measures on human movement and interaction. Monthly salmonellosis notification rates for the states and territories were consistently below their preceding five-year medians. Monthly salmonellosis rates fell in 2020 by varying amounts throughout Australia and appeared to be influenced by the level of public health measures. </w:t>
      </w:r>
    </w:p>
    <w:p w14:paraId="1DEF9767" w14:textId="77777777" w:rsidR="00E22C1A" w:rsidRDefault="00E22C1A" w:rsidP="00246A15">
      <w:r>
        <w:t xml:space="preserve">A reduction in total numbers of salmonellosis cases was observed from 2015 to 2019. A decrease in </w:t>
      </w:r>
      <w:r w:rsidRPr="002A46FA">
        <w:rPr>
          <w:rStyle w:val="Emphasis"/>
          <w:b w:val="0"/>
          <w:bCs w:val="0"/>
        </w:rPr>
        <w:t>Salmonella</w:t>
      </w:r>
      <w:r>
        <w:t xml:space="preserve"> Typhimurium in New South Wales since 2014 has been attributed in part to the New South Wales Food Authority Foodborne Illness Reduction Strategy.</w:t>
      </w:r>
      <w:r>
        <w:rPr>
          <w:vertAlign w:val="superscript"/>
        </w:rPr>
        <w:t>22</w:t>
      </w:r>
      <w:r>
        <w:t xml:space="preserve"> In addition, there has been a national focus on reducing salmonellosis cases through Australia’s Foodborne Illness Reduction Strategy.</w:t>
      </w:r>
      <w:r>
        <w:rPr>
          <w:vertAlign w:val="superscript"/>
        </w:rPr>
        <w:t>23</w:t>
      </w:r>
      <w:r>
        <w:t xml:space="preserve"> The peak in notifications of salmonellosis in Australia in February 2020 was due to a single large multi-jurisdictional outbreak.</w:t>
      </w:r>
      <w:r>
        <w:rPr>
          <w:vertAlign w:val="superscript"/>
        </w:rPr>
        <w:t xml:space="preserve">5 </w:t>
      </w:r>
    </w:p>
    <w:p w14:paraId="0B8FFBA6" w14:textId="77777777" w:rsidR="00E22C1A" w:rsidRDefault="00E22C1A" w:rsidP="00246A15">
      <w:r>
        <w:t>Our study identified that, in 2020, the largest percentage decreases in salmonellosis monthly rates were in Victoria, which had the longest most severe public health measures, and the Australian Capital Territory. A reduced number of restaurant meals and social gatherings where food was produced for large numbers of people likely contributed to a reduction in salmonellosis risk.</w:t>
      </w:r>
      <w:r>
        <w:rPr>
          <w:vertAlign w:val="superscript"/>
        </w:rPr>
        <w:t>5</w:t>
      </w:r>
      <w:r>
        <w:t xml:space="preserve"> Indeed, restaurants were the meal preparation location associated with by far the largest proportion (54.1%) of the 869 foodborne outbreaks in New South Wales between 2000 and 2017,</w:t>
      </w:r>
      <w:r>
        <w:rPr>
          <w:vertAlign w:val="superscript"/>
        </w:rPr>
        <w:t>4</w:t>
      </w:r>
      <w:r>
        <w:t xml:space="preserve"> as is the case nationally.</w:t>
      </w:r>
      <w:r>
        <w:rPr>
          <w:vertAlign w:val="superscript"/>
        </w:rPr>
        <w:t>24</w:t>
      </w:r>
      <w:r>
        <w:t xml:space="preserve"> As Bright et al. commented in their preliminary analysis of the first half of 2020: “While declines in notifications of salmonellosis reflected seasonal trends, physical distancing measures that saw the closure of dine-in services at food businesses also likely contributed to a reduction in case numbers.”</w:t>
      </w:r>
      <w:r>
        <w:rPr>
          <w:vertAlign w:val="superscript"/>
        </w:rPr>
        <w:t>5</w:t>
      </w:r>
      <w:r>
        <w:t xml:space="preserve"> Similarly, travel public health measures may have reduced the importation of </w:t>
      </w:r>
      <w:r w:rsidRPr="002A46FA">
        <w:rPr>
          <w:rStyle w:val="Emphasis"/>
          <w:b w:val="0"/>
          <w:bCs w:val="0"/>
        </w:rPr>
        <w:t>Salmonella</w:t>
      </w:r>
      <w:r>
        <w:t>.</w:t>
      </w:r>
      <w:r>
        <w:rPr>
          <w:vertAlign w:val="superscript"/>
        </w:rPr>
        <w:t xml:space="preserve">25 </w:t>
      </w:r>
    </w:p>
    <w:p w14:paraId="2DB5CFBF" w14:textId="77777777" w:rsidR="00E22C1A" w:rsidRDefault="00E22C1A" w:rsidP="00246A15">
      <w:r>
        <w:t>Other factors contributing to the fall in salmonellosis notifications throughout Australia in 2020 may be the Australian population’s increased attention to hand and surface hygiene.</w:t>
      </w:r>
      <w:r>
        <w:rPr>
          <w:vertAlign w:val="superscript"/>
        </w:rPr>
        <w:t>26</w:t>
      </w:r>
      <w:r>
        <w:t xml:space="preserve"> In addition to reducing cross-contamination of food-borne sources, hand hygiene could also reduce transmission of other environmental sources of </w:t>
      </w:r>
      <w:r w:rsidRPr="002A46FA">
        <w:rPr>
          <w:rStyle w:val="Emphasis"/>
          <w:b w:val="0"/>
          <w:bCs w:val="0"/>
        </w:rPr>
        <w:t>Salmonella</w:t>
      </w:r>
      <w:r>
        <w:t>.</w:t>
      </w:r>
      <w:r>
        <w:rPr>
          <w:vertAlign w:val="superscript"/>
        </w:rPr>
        <w:t>27</w:t>
      </w:r>
      <w:r>
        <w:t xml:space="preserve"> It is possible that food production safety on farms and processing and transport improved during the year of 2020 as part of general hygiene measures such as those introduced following COVID-19 outbreaks in abattoirs. But it is unlikely that changes in the overall methods of food production would have occurred. </w:t>
      </w:r>
    </w:p>
    <w:p w14:paraId="32EF8DF5" w14:textId="77777777" w:rsidR="00E22C1A" w:rsidRDefault="00E22C1A" w:rsidP="00246A15">
      <w:r>
        <w:t xml:space="preserve">Smaller decreases for monthly percentage changes in salmonellosis were observed in Western Australia, Queensland, and the Northern Territory than in Victoria, New South Wales, South Australia, the Australian Capital Territory and Tasmania. The geographic variation in annual percent change is shown in Appendix Figure A.1b. The smaller decreases for Western Australia, Queensland and the Northern Territory could reflect milder public health measures for Western Australia, </w:t>
      </w:r>
      <w:proofErr w:type="gramStart"/>
      <w:r>
        <w:t>Queensland</w:t>
      </w:r>
      <w:proofErr w:type="gramEnd"/>
      <w:r>
        <w:t xml:space="preserve"> and the Northern Territory. Victoria by comparison had a longer lockdown and South Australia and New South Wales also had additional public health measures. </w:t>
      </w:r>
    </w:p>
    <w:p w14:paraId="2B25B2FE" w14:textId="77777777" w:rsidR="00E22C1A" w:rsidRDefault="00E22C1A" w:rsidP="00246A15">
      <w:r>
        <w:t>However, Tasmania—which had similar public health measures to Western Australia, and strict border closure—experienced almost three times the rate reduction seen in Western Australia and almost 50% more than the reduction recorded in the Northern Territory. This difference between states could indicate the importance of environmental and demographic differences. For example, the Northern Territory’s tropical climate and higher proportion of young people and Indigenous (Aboriginal and Torres Strait Islander) people are all factors that have been associated with higher salmonellosis rates and which may have varied the impact of COVID-19 public health measures on salmonellosis rates.</w:t>
      </w:r>
      <w:r>
        <w:rPr>
          <w:vertAlign w:val="superscript"/>
        </w:rPr>
        <w:t>28,29</w:t>
      </w:r>
      <w:r>
        <w:t xml:space="preserve"> It could also suggest the importance of a non-foodborne origin of </w:t>
      </w:r>
      <w:r w:rsidRPr="002A46FA">
        <w:rPr>
          <w:rStyle w:val="Emphasis"/>
          <w:b w:val="0"/>
          <w:bCs w:val="0"/>
        </w:rPr>
        <w:t>Salmonella</w:t>
      </w:r>
      <w:r>
        <w:t xml:space="preserve"> in Western Australia, Queensland and the Northern Territory, for which the social distancing changes could have had less impact.</w:t>
      </w:r>
      <w:r>
        <w:rPr>
          <w:vertAlign w:val="superscript"/>
        </w:rPr>
        <w:t>30,31</w:t>
      </w:r>
      <w:r>
        <w:t xml:space="preserve"> However, Tasmania also has specific environmental </w:t>
      </w:r>
      <w:r w:rsidRPr="002A46FA">
        <w:rPr>
          <w:rStyle w:val="Emphasis"/>
          <w:b w:val="0"/>
          <w:bCs w:val="0"/>
        </w:rPr>
        <w:t>Salmonella</w:t>
      </w:r>
      <w:r>
        <w:t xml:space="preserve"> serotypes (e.g., </w:t>
      </w:r>
      <w:r w:rsidRPr="002A46FA">
        <w:rPr>
          <w:rStyle w:val="Emphasis"/>
          <w:b w:val="0"/>
          <w:bCs w:val="0"/>
        </w:rPr>
        <w:t>Salmonella</w:t>
      </w:r>
      <w:r>
        <w:t xml:space="preserve"> Mississippi), which account for a large portion of its salmonellosis notifications.</w:t>
      </w:r>
      <w:r>
        <w:rPr>
          <w:vertAlign w:val="superscript"/>
        </w:rPr>
        <w:t xml:space="preserve">27 </w:t>
      </w:r>
    </w:p>
    <w:p w14:paraId="60507C95" w14:textId="77777777" w:rsidR="00E22C1A" w:rsidRDefault="00E22C1A" w:rsidP="00246A15">
      <w:r>
        <w:lastRenderedPageBreak/>
        <w:t>Notifications are likely to under-represent salmonellosis, as not all people with infection are symptomatic; even when symptomatic, not all seek medical treatment or get tested. The latter consideration may have been exacerbated during 2020, due to fears about presenting to clinics being a COVID-19 infection risk. However, a large survey of health service use from January to June 2020 by the Australian Bureau of Statistics found no significant decrease in general practitioner service usage.</w:t>
      </w:r>
      <w:r>
        <w:rPr>
          <w:vertAlign w:val="superscript"/>
        </w:rPr>
        <w:t>32</w:t>
      </w:r>
      <w:r>
        <w:t xml:space="preserve"> Medicare Benefits Scheme data show service type changed, with a large drop in face to face attendance between March and June 2020 and a large increase in teleconference health care.</w:t>
      </w:r>
      <w:r>
        <w:rPr>
          <w:vertAlign w:val="superscript"/>
        </w:rPr>
        <w:t>33</w:t>
      </w:r>
      <w:r>
        <w:t xml:space="preserve"> In addition, Bright et al. considered the possibility that COVID-19 pathology requirements may have shifted laboratory testing priorities.</w:t>
      </w:r>
      <w:r>
        <w:rPr>
          <w:vertAlign w:val="superscript"/>
        </w:rPr>
        <w:t>5</w:t>
      </w:r>
      <w:r>
        <w:t xml:space="preserve"> A 37.4% decline occurred in testing numbers for the Medical Benefits Schedule subsidised test of culture for faeces for faecal pathogens between January and June 2020.</w:t>
      </w:r>
      <w:r>
        <w:rPr>
          <w:vertAlign w:val="superscript"/>
        </w:rPr>
        <w:t>5</w:t>
      </w:r>
      <w:r>
        <w:t xml:space="preserve"> While changes in laboratory testing priorities likely contributed to the decline in notified salmonellosis cases, they are unlikely to have fully accounted for the observed decrease. Additionally, a reason why this might not be an underestimation is that salmonellosis tends to peak in younger age groups,</w:t>
      </w:r>
      <w:r>
        <w:rPr>
          <w:vertAlign w:val="superscript"/>
        </w:rPr>
        <w:t>34</w:t>
      </w:r>
      <w:r>
        <w:t xml:space="preserve"> and caregivers would be expected to continue to access health services for children. </w:t>
      </w:r>
    </w:p>
    <w:p w14:paraId="0AC856D2" w14:textId="77777777" w:rsidR="00E22C1A" w:rsidRPr="00246A15" w:rsidRDefault="00E22C1A" w:rsidP="00246A15">
      <w:pPr>
        <w:pStyle w:val="Heading2"/>
      </w:pPr>
      <w:r w:rsidRPr="00246A15">
        <w:t xml:space="preserve">Limitations </w:t>
      </w:r>
    </w:p>
    <w:p w14:paraId="42B75EFA" w14:textId="77777777" w:rsidR="00E22C1A" w:rsidRDefault="00E22C1A" w:rsidP="00246A15">
      <w:r>
        <w:t xml:space="preserve">A limitation is that this study used publicly available monthly salmonellosis notification data. There is scope for more detailed investigations with finer resolution temporal (e.g., daily) and spatial (e.g., Health District) data to link the onset of the salmonellosis infections more accurately with the timing of public health measures. </w:t>
      </w:r>
    </w:p>
    <w:p w14:paraId="0FC36880" w14:textId="77777777" w:rsidR="00E22C1A" w:rsidRPr="00246A15" w:rsidRDefault="00E22C1A" w:rsidP="00246A15">
      <w:pPr>
        <w:pStyle w:val="Heading1"/>
      </w:pPr>
      <w:r w:rsidRPr="00246A15">
        <w:t xml:space="preserve">Conclusions </w:t>
      </w:r>
    </w:p>
    <w:p w14:paraId="70024F3A" w14:textId="3A71810E" w:rsidR="00E22C1A" w:rsidRPr="00066C2A" w:rsidRDefault="00E22C1A" w:rsidP="00066C2A">
      <w:r>
        <w:t xml:space="preserve">Two phenomena in Australian salmonellosis notifications were observed in 2020. The first was the highest monthly rate since 1991 in February which was associated with a food-related multijurisdictional outbreak. The second was the occurrence of large reductions in jurisdictional rates of salmonellosis across March to December. The second phenomenon, of markedly reduced notifications during COVID-19 public health measures, supports the importance of behavioural factors in the prevention of </w:t>
      </w:r>
      <w:r w:rsidRPr="002A46FA">
        <w:rPr>
          <w:rStyle w:val="Emphasis"/>
          <w:b w:val="0"/>
          <w:bCs w:val="0"/>
        </w:rPr>
        <w:t>Salmonella</w:t>
      </w:r>
      <w:r>
        <w:t xml:space="preserve"> infection. Wide-scale application of significant public health measures during COVID-19 appears to have had an impact in reducing infectious diseases including salmonellosis. It is recommended that public health advice continues to promote hand hygiene as this simple intervention has demonstrated to reduce </w:t>
      </w:r>
      <w:r w:rsidRPr="002A46FA">
        <w:rPr>
          <w:rStyle w:val="Emphasis"/>
          <w:b w:val="0"/>
          <w:bCs w:val="0"/>
        </w:rPr>
        <w:t>Salmonella</w:t>
      </w:r>
      <w:r>
        <w:t xml:space="preserve"> transmission. Persistence of high salmonellosis rates in northern states compared to southern states, however, suggests the importance of environmental factors and demographic factors in these areas. </w:t>
      </w:r>
    </w:p>
    <w:p w14:paraId="23A65E95" w14:textId="77777777" w:rsidR="00E22C1A" w:rsidRPr="00246A15" w:rsidRDefault="00E22C1A" w:rsidP="00246A15">
      <w:pPr>
        <w:pStyle w:val="Heading1"/>
      </w:pPr>
      <w:r w:rsidRPr="00246A15">
        <w:t xml:space="preserve">Disclosure statement </w:t>
      </w:r>
    </w:p>
    <w:p w14:paraId="40872D01" w14:textId="77777777" w:rsidR="00E22C1A" w:rsidRDefault="00E22C1A" w:rsidP="00246A15">
      <w:r>
        <w:t xml:space="preserve">The authors report no conflict of interest. </w:t>
      </w:r>
    </w:p>
    <w:p w14:paraId="53CB813D" w14:textId="77777777" w:rsidR="001B0AAD" w:rsidRDefault="001B0AAD">
      <w:pPr>
        <w:rPr>
          <w:rFonts w:asciiTheme="majorHAnsi" w:eastAsiaTheme="majorEastAsia" w:hAnsiTheme="majorHAnsi" w:cstheme="majorBidi"/>
          <w:b/>
          <w:bCs/>
          <w:sz w:val="32"/>
          <w:szCs w:val="28"/>
        </w:rPr>
      </w:pPr>
      <w:r>
        <w:br w:type="page"/>
      </w:r>
    </w:p>
    <w:p w14:paraId="1CD66604" w14:textId="742F4087" w:rsidR="00E22C1A" w:rsidRPr="00246A15" w:rsidRDefault="00E22C1A" w:rsidP="00246A15">
      <w:pPr>
        <w:pStyle w:val="Heading1"/>
      </w:pPr>
      <w:r w:rsidRPr="00246A15">
        <w:lastRenderedPageBreak/>
        <w:t xml:space="preserve">Author details </w:t>
      </w:r>
    </w:p>
    <w:p w14:paraId="68147B72" w14:textId="77F103E4" w:rsidR="00E22C1A" w:rsidRDefault="00E22C1A" w:rsidP="00246A15">
      <w:r>
        <w:t>Barbara PF Davis</w:t>
      </w:r>
      <w:r>
        <w:rPr>
          <w:vertAlign w:val="superscript"/>
        </w:rPr>
        <w:t xml:space="preserve">1 </w:t>
      </w:r>
      <w:r w:rsidR="001B0AAD">
        <w:rPr>
          <w:vertAlign w:val="superscript"/>
        </w:rPr>
        <w:br/>
      </w:r>
      <w:r>
        <w:t>Janaki Amin</w:t>
      </w:r>
      <w:r>
        <w:rPr>
          <w:vertAlign w:val="superscript"/>
        </w:rPr>
        <w:t xml:space="preserve">2 </w:t>
      </w:r>
      <w:r w:rsidR="001B0AAD">
        <w:rPr>
          <w:vertAlign w:val="superscript"/>
        </w:rPr>
        <w:br/>
      </w:r>
      <w:r>
        <w:t>Neil Franklin</w:t>
      </w:r>
      <w:r>
        <w:rPr>
          <w:vertAlign w:val="superscript"/>
        </w:rPr>
        <w:t xml:space="preserve">3,4 </w:t>
      </w:r>
      <w:r w:rsidR="001B0AAD">
        <w:rPr>
          <w:vertAlign w:val="superscript"/>
        </w:rPr>
        <w:br/>
      </w:r>
      <w:r>
        <w:t>Paul J Beggs</w:t>
      </w:r>
      <w:r>
        <w:rPr>
          <w:vertAlign w:val="superscript"/>
        </w:rPr>
        <w:t xml:space="preserve">5 </w:t>
      </w:r>
    </w:p>
    <w:p w14:paraId="74D0B601" w14:textId="77777777" w:rsidR="00E22C1A" w:rsidRPr="00246A15" w:rsidRDefault="00E22C1A" w:rsidP="00246A15">
      <w:pPr>
        <w:pStyle w:val="ListParagraph"/>
        <w:numPr>
          <w:ilvl w:val="0"/>
          <w:numId w:val="9"/>
        </w:numPr>
        <w:rPr>
          <w:rFonts w:eastAsia="Times New Roman"/>
        </w:rPr>
      </w:pPr>
      <w:r w:rsidRPr="00246A15">
        <w:rPr>
          <w:rFonts w:eastAsia="Times New Roman"/>
        </w:rPr>
        <w:t xml:space="preserve">Department of Earth and Environmental Sciences, Faculty of Science and Engineering, Macquarie University, Sydney, New South Wales, Australia. ORCID: 0000-0001-6144-0083. </w:t>
      </w:r>
    </w:p>
    <w:p w14:paraId="05E32C4B" w14:textId="77777777" w:rsidR="00E22C1A" w:rsidRPr="00246A15" w:rsidRDefault="00E22C1A" w:rsidP="00246A15">
      <w:pPr>
        <w:pStyle w:val="ListParagraph"/>
        <w:numPr>
          <w:ilvl w:val="0"/>
          <w:numId w:val="9"/>
        </w:numPr>
        <w:rPr>
          <w:rFonts w:eastAsia="Times New Roman"/>
        </w:rPr>
      </w:pPr>
      <w:r w:rsidRPr="00246A15">
        <w:rPr>
          <w:rFonts w:eastAsia="Times New Roman"/>
        </w:rPr>
        <w:t>Department of Health Systems and Populations, Faculty of Medicine, Health and Human Sciences, Macquarie University, Sydney, New South Wales, Australia. ORCID:0000-0003-2161-9366.</w:t>
      </w:r>
    </w:p>
    <w:p w14:paraId="7726EA52" w14:textId="77777777" w:rsidR="00E22C1A" w:rsidRPr="00246A15" w:rsidRDefault="00E22C1A" w:rsidP="00246A15">
      <w:pPr>
        <w:pStyle w:val="ListParagraph"/>
        <w:numPr>
          <w:ilvl w:val="0"/>
          <w:numId w:val="9"/>
        </w:numPr>
        <w:rPr>
          <w:rFonts w:eastAsia="Times New Roman"/>
        </w:rPr>
      </w:pPr>
      <w:r w:rsidRPr="00246A15">
        <w:rPr>
          <w:rFonts w:eastAsia="Times New Roman"/>
        </w:rPr>
        <w:t xml:space="preserve">National Centre for Epidemiology and Population Health, Research School of Population Health, The Australian National University, Canberra, Australian Capital Territory, Australia. </w:t>
      </w:r>
    </w:p>
    <w:p w14:paraId="2AF84B05" w14:textId="77777777" w:rsidR="00E22C1A" w:rsidRPr="00246A15" w:rsidRDefault="00E22C1A" w:rsidP="00246A15">
      <w:pPr>
        <w:pStyle w:val="ListParagraph"/>
        <w:numPr>
          <w:ilvl w:val="0"/>
          <w:numId w:val="9"/>
        </w:numPr>
        <w:rPr>
          <w:rFonts w:eastAsia="Times New Roman"/>
        </w:rPr>
      </w:pPr>
      <w:r w:rsidRPr="00246A15">
        <w:rPr>
          <w:rFonts w:eastAsia="Times New Roman"/>
        </w:rPr>
        <w:t xml:space="preserve">OzFoodNet, New South Wales Ministry of Health, Sydney, New South Wales, Australia. ORCID: 0000-0002-1529-9979. </w:t>
      </w:r>
    </w:p>
    <w:p w14:paraId="1262C2C8" w14:textId="77777777" w:rsidR="00E22C1A" w:rsidRPr="00246A15" w:rsidRDefault="00E22C1A" w:rsidP="00246A15">
      <w:pPr>
        <w:pStyle w:val="ListParagraph"/>
        <w:numPr>
          <w:ilvl w:val="0"/>
          <w:numId w:val="9"/>
        </w:numPr>
        <w:rPr>
          <w:rFonts w:eastAsia="Times New Roman"/>
        </w:rPr>
      </w:pPr>
      <w:r w:rsidRPr="00246A15">
        <w:rPr>
          <w:rFonts w:eastAsia="Times New Roman"/>
        </w:rPr>
        <w:t>Department of Earth and Environmental Sciences, Faculty of Science and Engineering, Macquarie University, Sydney, New South Wales, Australia. ORCID: 0000-0001-9949-1783.</w:t>
      </w:r>
    </w:p>
    <w:p w14:paraId="71D71C77" w14:textId="77777777" w:rsidR="00E22C1A" w:rsidRPr="00246A15" w:rsidRDefault="00E22C1A" w:rsidP="00246A15">
      <w:pPr>
        <w:pStyle w:val="Heading2"/>
      </w:pPr>
      <w:r w:rsidRPr="00246A15">
        <w:t xml:space="preserve">Corresponding author </w:t>
      </w:r>
    </w:p>
    <w:p w14:paraId="646BE8B4" w14:textId="77777777" w:rsidR="00E22C1A" w:rsidRDefault="00E22C1A" w:rsidP="00246A15">
      <w:pPr>
        <w:pStyle w:val="NoSpacing"/>
      </w:pPr>
      <w:r>
        <w:t xml:space="preserve">Barbara PF Davis </w:t>
      </w:r>
    </w:p>
    <w:p w14:paraId="1ACB3BC0" w14:textId="77777777" w:rsidR="00E22C1A" w:rsidRDefault="00E22C1A" w:rsidP="00246A15">
      <w:pPr>
        <w:pStyle w:val="NoSpacing"/>
      </w:pPr>
      <w:r>
        <w:t xml:space="preserve">Department of Earth and Environmental Sciences, Faculty of Science and Engineering, Macquarie University, Sydney, New South Wales, Australia. </w:t>
      </w:r>
    </w:p>
    <w:p w14:paraId="01BFFFFB" w14:textId="77777777" w:rsidR="00E22C1A" w:rsidRDefault="00E22C1A" w:rsidP="00246A15">
      <w:pPr>
        <w:pStyle w:val="NoSpacing"/>
      </w:pPr>
      <w:r>
        <w:t>Email: barbara.davis1@hdr.mq.edu.au</w:t>
      </w:r>
    </w:p>
    <w:p w14:paraId="3DCC01BF" w14:textId="77777777" w:rsidR="00E22C1A" w:rsidRPr="00246A15" w:rsidRDefault="00E22C1A" w:rsidP="00246A15">
      <w:pPr>
        <w:pStyle w:val="Heading1"/>
      </w:pPr>
      <w:r w:rsidRPr="00246A15">
        <w:t xml:space="preserve">References </w:t>
      </w:r>
    </w:p>
    <w:p w14:paraId="566BD3C1"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D’Souza RM, Becker NG, Hall G, Moodie KBA. Does ambient temperature affect foodborne disease? </w:t>
      </w:r>
      <w:r w:rsidRPr="002A46FA">
        <w:rPr>
          <w:rStyle w:val="Emphasis"/>
          <w:rFonts w:eastAsia="Times New Roman"/>
          <w:b w:val="0"/>
          <w:bCs w:val="0"/>
        </w:rPr>
        <w:t>Epidemiology</w:t>
      </w:r>
      <w:r w:rsidRPr="00246A15">
        <w:rPr>
          <w:rFonts w:eastAsia="Times New Roman"/>
        </w:rPr>
        <w:t xml:space="preserve">. 2004;15(1):86–92. </w:t>
      </w:r>
      <w:proofErr w:type="spellStart"/>
      <w:r w:rsidRPr="00246A15">
        <w:rPr>
          <w:rFonts w:eastAsia="Times New Roman"/>
        </w:rPr>
        <w:t>doi</w:t>
      </w:r>
      <w:proofErr w:type="spellEnd"/>
      <w:r w:rsidRPr="00246A15">
        <w:rPr>
          <w:rFonts w:eastAsia="Times New Roman"/>
        </w:rPr>
        <w:t xml:space="preserve">: https://doi.org/10.1097/01.ede.0000101021.03453.3e. </w:t>
      </w:r>
    </w:p>
    <w:p w14:paraId="01A77C04" w14:textId="77777777" w:rsidR="00E22C1A" w:rsidRPr="00246A15" w:rsidRDefault="00E22C1A" w:rsidP="00246A15">
      <w:pPr>
        <w:pStyle w:val="ListParagraph"/>
        <w:numPr>
          <w:ilvl w:val="0"/>
          <w:numId w:val="10"/>
        </w:numPr>
        <w:rPr>
          <w:rFonts w:eastAsia="Times New Roman"/>
        </w:rPr>
      </w:pPr>
      <w:proofErr w:type="spellStart"/>
      <w:r w:rsidRPr="00246A15">
        <w:rPr>
          <w:rFonts w:eastAsia="Times New Roman"/>
        </w:rPr>
        <w:t>Hellberg</w:t>
      </w:r>
      <w:proofErr w:type="spellEnd"/>
      <w:r w:rsidRPr="00246A15">
        <w:rPr>
          <w:rFonts w:eastAsia="Times New Roman"/>
        </w:rPr>
        <w:t xml:space="preserve"> RS, Chu E. Effects of climate change on the persistence and dispersal of foodborne bacterial pathogens in the outdoor environment: a review. </w:t>
      </w:r>
      <w:r w:rsidRPr="002A46FA">
        <w:rPr>
          <w:rStyle w:val="Emphasis"/>
          <w:rFonts w:eastAsia="Times New Roman"/>
          <w:b w:val="0"/>
          <w:bCs w:val="0"/>
        </w:rPr>
        <w:t>Crit Rev Microbiol</w:t>
      </w:r>
      <w:r w:rsidRPr="00246A15">
        <w:rPr>
          <w:rFonts w:eastAsia="Times New Roman"/>
        </w:rPr>
        <w:t xml:space="preserve">. 2016;42(4):548–72. </w:t>
      </w:r>
      <w:proofErr w:type="spellStart"/>
      <w:r w:rsidRPr="00246A15">
        <w:rPr>
          <w:rFonts w:eastAsia="Times New Roman"/>
        </w:rPr>
        <w:t>doi</w:t>
      </w:r>
      <w:proofErr w:type="spellEnd"/>
      <w:r w:rsidRPr="00246A15">
        <w:rPr>
          <w:rFonts w:eastAsia="Times New Roman"/>
        </w:rPr>
        <w:t xml:space="preserve">: https://doi.org/10.3109/1040841X.2014.972335. </w:t>
      </w:r>
    </w:p>
    <w:p w14:paraId="114D6452" w14:textId="77777777" w:rsidR="00E22C1A" w:rsidRPr="00246A15" w:rsidRDefault="00E22C1A" w:rsidP="00246A15">
      <w:pPr>
        <w:pStyle w:val="ListParagraph"/>
        <w:numPr>
          <w:ilvl w:val="0"/>
          <w:numId w:val="10"/>
        </w:numPr>
        <w:rPr>
          <w:rFonts w:eastAsia="Times New Roman"/>
        </w:rPr>
      </w:pPr>
      <w:proofErr w:type="spellStart"/>
      <w:r w:rsidRPr="00246A15">
        <w:rPr>
          <w:rFonts w:eastAsia="Times New Roman"/>
        </w:rPr>
        <w:t>Vally</w:t>
      </w:r>
      <w:proofErr w:type="spellEnd"/>
      <w:r w:rsidRPr="00246A15">
        <w:rPr>
          <w:rFonts w:eastAsia="Times New Roman"/>
        </w:rPr>
        <w:t xml:space="preserve"> H, Glass K, Ford L, Hall G, Kirk MD, Shadbolt C et al. Proportion of illness acquired by foodborne transmission for nine enteric pathogens in Australia: an expert elicitation. </w:t>
      </w:r>
      <w:r w:rsidRPr="002A46FA">
        <w:rPr>
          <w:rStyle w:val="Emphasis"/>
          <w:rFonts w:eastAsia="Times New Roman"/>
          <w:b w:val="0"/>
          <w:bCs w:val="0"/>
        </w:rPr>
        <w:t xml:space="preserve">Foodborne </w:t>
      </w:r>
      <w:proofErr w:type="spellStart"/>
      <w:r w:rsidRPr="002A46FA">
        <w:rPr>
          <w:rStyle w:val="Emphasis"/>
          <w:rFonts w:eastAsia="Times New Roman"/>
          <w:b w:val="0"/>
          <w:bCs w:val="0"/>
        </w:rPr>
        <w:t>Pathog</w:t>
      </w:r>
      <w:proofErr w:type="spellEnd"/>
      <w:r w:rsidRPr="002A46FA">
        <w:rPr>
          <w:rStyle w:val="Emphasis"/>
          <w:rFonts w:eastAsia="Times New Roman"/>
          <w:b w:val="0"/>
          <w:bCs w:val="0"/>
        </w:rPr>
        <w:t xml:space="preserve"> Dis</w:t>
      </w:r>
      <w:r w:rsidRPr="00246A15">
        <w:rPr>
          <w:rFonts w:eastAsia="Times New Roman"/>
        </w:rPr>
        <w:t xml:space="preserve">. 2014;11(9):727–33. </w:t>
      </w:r>
      <w:proofErr w:type="spellStart"/>
      <w:r w:rsidRPr="00246A15">
        <w:rPr>
          <w:rFonts w:eastAsia="Times New Roman"/>
        </w:rPr>
        <w:t>doi</w:t>
      </w:r>
      <w:proofErr w:type="spellEnd"/>
      <w:r w:rsidRPr="00246A15">
        <w:rPr>
          <w:rFonts w:eastAsia="Times New Roman"/>
        </w:rPr>
        <w:t xml:space="preserve">: https://doi.org/10.1089/fpd.2014.1746. </w:t>
      </w:r>
    </w:p>
    <w:p w14:paraId="610E607A"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Franklin N, Hope K, Glasgow K, Glass K. Describing the epidemiology of foodborne outbreaks in New South Wales from 2000 to 2017. </w:t>
      </w:r>
      <w:r w:rsidRPr="002A46FA">
        <w:rPr>
          <w:rStyle w:val="Emphasis"/>
          <w:rFonts w:eastAsia="Times New Roman"/>
          <w:b w:val="0"/>
          <w:bCs w:val="0"/>
        </w:rPr>
        <w:t xml:space="preserve">Foodborne </w:t>
      </w:r>
      <w:proofErr w:type="spellStart"/>
      <w:r w:rsidRPr="002A46FA">
        <w:rPr>
          <w:rStyle w:val="Emphasis"/>
          <w:rFonts w:eastAsia="Times New Roman"/>
          <w:b w:val="0"/>
          <w:bCs w:val="0"/>
        </w:rPr>
        <w:t>Pathog</w:t>
      </w:r>
      <w:proofErr w:type="spellEnd"/>
      <w:r w:rsidRPr="002A46FA">
        <w:rPr>
          <w:rStyle w:val="Emphasis"/>
          <w:rFonts w:eastAsia="Times New Roman"/>
          <w:b w:val="0"/>
          <w:bCs w:val="0"/>
        </w:rPr>
        <w:t xml:space="preserve"> Dis</w:t>
      </w:r>
      <w:r w:rsidRPr="00246A15">
        <w:rPr>
          <w:rFonts w:eastAsia="Times New Roman"/>
        </w:rPr>
        <w:t xml:space="preserve">. 2020;17(11):701–11. </w:t>
      </w:r>
      <w:proofErr w:type="spellStart"/>
      <w:r w:rsidRPr="00246A15">
        <w:rPr>
          <w:rFonts w:eastAsia="Times New Roman"/>
        </w:rPr>
        <w:t>doi</w:t>
      </w:r>
      <w:proofErr w:type="spellEnd"/>
      <w:r w:rsidRPr="00246A15">
        <w:rPr>
          <w:rFonts w:eastAsia="Times New Roman"/>
        </w:rPr>
        <w:t xml:space="preserve">: https://doi.org/10.1089/fpd.2020.2806. </w:t>
      </w:r>
    </w:p>
    <w:p w14:paraId="7F98009F"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Bright A, </w:t>
      </w:r>
      <w:proofErr w:type="spellStart"/>
      <w:r w:rsidRPr="00246A15">
        <w:rPr>
          <w:rFonts w:eastAsia="Times New Roman"/>
        </w:rPr>
        <w:t>Glynn-Robinson</w:t>
      </w:r>
      <w:proofErr w:type="spellEnd"/>
      <w:r w:rsidRPr="00246A15">
        <w:rPr>
          <w:rFonts w:eastAsia="Times New Roman"/>
        </w:rPr>
        <w:t xml:space="preserve"> A-J, Kane S, Wright R, Saul N. The effect of COVID-19 public health measures on nationally notifiable diseases in Australia: preliminary analysis. </w:t>
      </w:r>
      <w:proofErr w:type="spellStart"/>
      <w:r w:rsidRPr="002A46FA">
        <w:rPr>
          <w:rStyle w:val="Emphasis"/>
          <w:rFonts w:eastAsia="Times New Roman"/>
          <w:b w:val="0"/>
          <w:bCs w:val="0"/>
        </w:rPr>
        <w:t>Commun</w:t>
      </w:r>
      <w:proofErr w:type="spellEnd"/>
      <w:r w:rsidRPr="002A46FA">
        <w:rPr>
          <w:rStyle w:val="Emphasis"/>
          <w:rFonts w:eastAsia="Times New Roman"/>
          <w:b w:val="0"/>
          <w:bCs w:val="0"/>
        </w:rPr>
        <w:t xml:space="preserve"> Dis </w:t>
      </w:r>
      <w:proofErr w:type="spellStart"/>
      <w:r w:rsidRPr="002A46FA">
        <w:rPr>
          <w:rStyle w:val="Emphasis"/>
          <w:rFonts w:eastAsia="Times New Roman"/>
          <w:b w:val="0"/>
          <w:bCs w:val="0"/>
        </w:rPr>
        <w:t>Intell</w:t>
      </w:r>
      <w:proofErr w:type="spellEnd"/>
      <w:r w:rsidRPr="002A46FA">
        <w:rPr>
          <w:rStyle w:val="Emphasis"/>
          <w:rFonts w:eastAsia="Times New Roman"/>
          <w:b w:val="0"/>
          <w:bCs w:val="0"/>
        </w:rPr>
        <w:t xml:space="preserve"> (2018)</w:t>
      </w:r>
      <w:r w:rsidRPr="00246A15">
        <w:rPr>
          <w:rFonts w:eastAsia="Times New Roman"/>
        </w:rPr>
        <w:t xml:space="preserve">. 2020;44. </w:t>
      </w:r>
      <w:proofErr w:type="spellStart"/>
      <w:r w:rsidRPr="00246A15">
        <w:rPr>
          <w:rFonts w:eastAsia="Times New Roman"/>
        </w:rPr>
        <w:t>doi</w:t>
      </w:r>
      <w:proofErr w:type="spellEnd"/>
      <w:r w:rsidRPr="00246A15">
        <w:rPr>
          <w:rFonts w:eastAsia="Times New Roman"/>
        </w:rPr>
        <w:t xml:space="preserve">: https://doi.org/10.33321/cdi.2020.44.85. </w:t>
      </w:r>
    </w:p>
    <w:p w14:paraId="055CC342"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Betts R. How did COVID-19 cause food poisoning cases to plummet? [Internet.] Gloucestershire: Campden BRI; 29 January 2021. Available from: https://www.campdenbri.co.uk/blogs/covid-19-food-poisoning.php. </w:t>
      </w:r>
    </w:p>
    <w:p w14:paraId="52BB793E" w14:textId="77777777" w:rsidR="00E22C1A" w:rsidRPr="00246A15" w:rsidRDefault="00E22C1A" w:rsidP="00246A15">
      <w:pPr>
        <w:pStyle w:val="ListParagraph"/>
        <w:numPr>
          <w:ilvl w:val="0"/>
          <w:numId w:val="10"/>
        </w:numPr>
        <w:rPr>
          <w:rFonts w:eastAsia="Times New Roman"/>
        </w:rPr>
      </w:pPr>
      <w:r w:rsidRPr="00246A15">
        <w:rPr>
          <w:rFonts w:eastAsia="Times New Roman"/>
        </w:rPr>
        <w:t>Barkley D. The impact of COVID-19 on foodborne disease. [Internet.] Columbus: Ohio State University, CFI (</w:t>
      </w:r>
      <w:proofErr w:type="spellStart"/>
      <w:r w:rsidRPr="00246A15">
        <w:rPr>
          <w:rFonts w:eastAsia="Times New Roman"/>
        </w:rPr>
        <w:t>Center</w:t>
      </w:r>
      <w:proofErr w:type="spellEnd"/>
      <w:r w:rsidRPr="00246A15">
        <w:rPr>
          <w:rFonts w:eastAsia="Times New Roman"/>
        </w:rPr>
        <w:t xml:space="preserve"> for Foodborne Illness Research and Prevention); 26 March 2021. Available from: https://foodsafety.osu.edu/blog/march-26-2021-1046am/impact-covid-19-foodborne-disease. </w:t>
      </w:r>
    </w:p>
    <w:p w14:paraId="7D271730"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Australian Government Department of Health. Salmonellosis case definition. [Webpage.] Canberra: Australian Government Department of Health; 1 January 2016. Available from: </w:t>
      </w:r>
      <w:r w:rsidRPr="00246A15">
        <w:rPr>
          <w:rFonts w:eastAsia="Times New Roman"/>
        </w:rPr>
        <w:lastRenderedPageBreak/>
        <w:t xml:space="preserve">https://www1.health.gov.au/internet/main/publishing.nsf/Content/cda-surveil-nndss-casedefs-cd_salmon.htm. </w:t>
      </w:r>
    </w:p>
    <w:p w14:paraId="5FB17A35"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Australian Government Department of Health. Introduction to the National Notifiable Diseases Surveillance System. [Internet.] Canberra: Australian Government Department of Health; 9 June 2015. Available from: http://www1.health.gov.au/internet/main/publishing.nsf/Content/cda-surveil-nndss-nndssintro.htm. </w:t>
      </w:r>
    </w:p>
    <w:p w14:paraId="36AA2124"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Parliament of Australia. COVID-19: a chronology of state and territory government announcements (up until 30 June 2020). [Webpage.] Canberra: Parliament of Australia; 22 October 2020. Available from: https://www.aph.gov.au/About_Parliament/Parliamentary_Departments/Parliamentary_Library/pubs/rp/rp2021/Chronologies/COVID-19StateTerritoryGovernmentAnnouncements. </w:t>
      </w:r>
    </w:p>
    <w:p w14:paraId="37C62C68"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Premier of Victoria. News and updates from Dan Andrews and his team. Melbourne: Victorian Government, Office of the Premier; 2020–2021. Available from: https://www.premier.vic.gov.au/. </w:t>
      </w:r>
    </w:p>
    <w:p w14:paraId="48A272D0"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Tasmanian Government. Coronavirus disease (COVID-19). Important community updates. [Webpage.] Hobart: Tasmanian Government; 2020–2021. Available from: https://coronavirus.tas.gov.au/facts/important-community-updates. </w:t>
      </w:r>
    </w:p>
    <w:p w14:paraId="1B1B7805"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Australian Capital Territory Government. Open Government. Rachel Stephen-Smith MLA media releases. [Webpage.] Canberra: Australian Capital Territory Government; 2020–2021. Available from: https://www.cmtedd.act.gov.au/open_government/inform/act_government_media_releases/rachel-stephen-smith-mla-media-releases. </w:t>
      </w:r>
    </w:p>
    <w:p w14:paraId="07D82539"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Government of South Australia. Steven Marshall Premier of South Australia. Media releases. [Webpage.] Adelaide: Government of South Australia, Office of the Premier; 2020–2021. Available from: https://www.premier.sa.gov.au/news/media-releases. </w:t>
      </w:r>
    </w:p>
    <w:p w14:paraId="0A18A12D"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Government of Western Australia. Media Statements for portfolio: Premier. [Webpage.] Perth: Government of Western Australia, Office of the Premier; 2020–2021. Available from: https://www.mediastatements.wa.gov.au/Pages/Portfolios/Premier.aspx?QualitemContentRollupPage=1. </w:t>
      </w:r>
    </w:p>
    <w:p w14:paraId="6DEBE7ED"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Government of New South Wales Department of Health (NSW Health). 2020 media releases from NSW Health. [Webpage.] Sydney: NSW Health; 2020–2021. Available from: https://www.health.nsw.gov.au/news/Pages/2020-nsw-health.aspx. </w:t>
      </w:r>
    </w:p>
    <w:p w14:paraId="0E2D723A"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Queensland Health. Department of Health media releases. [Webpage.] Brisbane: Queensland Government, Queensland Health; 2020–2021. Available from: https://www.health.qld.gov.au/news-events/doh-media-releases. </w:t>
      </w:r>
    </w:p>
    <w:p w14:paraId="0083C9C1"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Northern Territory Government. Coronavirus (COVID-19). Updates. [Webpage.] Darwin: Northern Territory Government; 2020–2021. Available from: https://coronavirus.nt.gov.au/updates. </w:t>
      </w:r>
    </w:p>
    <w:p w14:paraId="5ADFAACF"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Prime Minister of Australia. Update on Coronavirus Measures. [Media statement.] Canberra: Australian Government Department of the Prime Minister and Cabinet; 22 March 2020. Available from: https://www.pm.gov.au/media/update-coronavirus-measures-220320. </w:t>
      </w:r>
    </w:p>
    <w:p w14:paraId="51A89BCB"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Prime Minister of Australia. Update on Coronavirus Measures. [Media statement.] Canberra: Australian Government Department of the Prime Minister and Cabinet; 20 March 2020. Available from: https://www.pm.gov.au/media/update-coronavirus-measures-0. </w:t>
      </w:r>
    </w:p>
    <w:p w14:paraId="4C6DA2D2"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Prime Minister of Australia. National Cabinet Statement. [Media statement.] Canberra: Australian Government Department of the Prime Minister and Cabinet; 29 March 2020. Available from: https://www.pm.gov.au/media/national-cabinet-statement. </w:t>
      </w:r>
    </w:p>
    <w:p w14:paraId="250C3798"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NSW Health, Communicable Diseases Branch. </w:t>
      </w:r>
      <w:r w:rsidRPr="002A46FA">
        <w:rPr>
          <w:rStyle w:val="Emphasis"/>
          <w:rFonts w:eastAsia="Times New Roman"/>
          <w:b w:val="0"/>
          <w:bCs w:val="0"/>
        </w:rPr>
        <w:t>OzFoodNet (Enhancing foodborne disease surveillance across Australia). NSW Annual Report 2018</w:t>
      </w:r>
      <w:r w:rsidRPr="00246A15">
        <w:rPr>
          <w:rFonts w:eastAsia="Times New Roman"/>
        </w:rPr>
        <w:t xml:space="preserve">. Sydney: NSW Health; April 2019. Available from: https://www.health.nsw.gov.au/Infectious/foodborne/Publications/nsw-ofn-annual-report-2018.pdf. </w:t>
      </w:r>
    </w:p>
    <w:p w14:paraId="60BD8BDF"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Australian Government Department of Health. </w:t>
      </w:r>
      <w:r w:rsidRPr="002A46FA">
        <w:rPr>
          <w:rStyle w:val="Emphasis"/>
          <w:rFonts w:eastAsia="Times New Roman"/>
          <w:b w:val="0"/>
          <w:bCs w:val="0"/>
        </w:rPr>
        <w:t xml:space="preserve">Australia’s Foodborne Illness Reduction Strategy 2018-2021+: A strategy to reduce foodborne illness in Australia, particularly related to Campylobacter </w:t>
      </w:r>
      <w:r w:rsidRPr="002A46FA">
        <w:rPr>
          <w:rStyle w:val="Emphasis"/>
          <w:rFonts w:eastAsia="Times New Roman"/>
          <w:b w:val="0"/>
          <w:bCs w:val="0"/>
        </w:rPr>
        <w:lastRenderedPageBreak/>
        <w:t>and Salmonella</w:t>
      </w:r>
      <w:r w:rsidRPr="00246A15">
        <w:rPr>
          <w:rFonts w:eastAsia="Times New Roman"/>
        </w:rPr>
        <w:t xml:space="preserve">. Canberra: Australian Government Department of Health, Food Regulation Secretariat; 29 June 2018. Available from: https://foodregulation.gov.au/internet/fr/publishing.nsf/Content/51D7B1FFFCAD05C5CA2582B900051DDD/$File/FORUM-AUS-FBI-RS-2018.pdf. </w:t>
      </w:r>
    </w:p>
    <w:p w14:paraId="62ABD90E" w14:textId="77777777" w:rsidR="00E22C1A" w:rsidRPr="00246A15" w:rsidRDefault="00E22C1A" w:rsidP="00246A15">
      <w:pPr>
        <w:pStyle w:val="ListParagraph"/>
        <w:numPr>
          <w:ilvl w:val="0"/>
          <w:numId w:val="10"/>
        </w:numPr>
        <w:rPr>
          <w:rFonts w:eastAsia="Times New Roman"/>
        </w:rPr>
      </w:pPr>
      <w:proofErr w:type="spellStart"/>
      <w:r w:rsidRPr="00246A15">
        <w:rPr>
          <w:rFonts w:eastAsia="Times New Roman"/>
        </w:rPr>
        <w:t>Astridge</w:t>
      </w:r>
      <w:proofErr w:type="spellEnd"/>
      <w:r w:rsidRPr="00246A15">
        <w:rPr>
          <w:rFonts w:eastAsia="Times New Roman"/>
        </w:rPr>
        <w:t xml:space="preserve"> KH, McPherson M, Kirk MD, </w:t>
      </w:r>
      <w:proofErr w:type="spellStart"/>
      <w:r w:rsidRPr="00246A15">
        <w:rPr>
          <w:rFonts w:eastAsia="Times New Roman"/>
        </w:rPr>
        <w:t>Knope</w:t>
      </w:r>
      <w:proofErr w:type="spellEnd"/>
      <w:r w:rsidRPr="00246A15">
        <w:rPr>
          <w:rFonts w:eastAsia="Times New Roman"/>
        </w:rPr>
        <w:t xml:space="preserve"> K, Gregory J, </w:t>
      </w:r>
      <w:proofErr w:type="spellStart"/>
      <w:r w:rsidRPr="00246A15">
        <w:rPr>
          <w:rFonts w:eastAsia="Times New Roman"/>
        </w:rPr>
        <w:t>Kardamanidis</w:t>
      </w:r>
      <w:proofErr w:type="spellEnd"/>
      <w:r w:rsidRPr="00246A15">
        <w:rPr>
          <w:rFonts w:eastAsia="Times New Roman"/>
        </w:rPr>
        <w:t xml:space="preserve"> K et al. Foodborne disease outbreaks in Australia 2001–2009. </w:t>
      </w:r>
      <w:r w:rsidRPr="002A46FA">
        <w:rPr>
          <w:rStyle w:val="Emphasis"/>
          <w:rFonts w:eastAsia="Times New Roman"/>
          <w:b w:val="0"/>
          <w:bCs w:val="0"/>
        </w:rPr>
        <w:t>Food Aust</w:t>
      </w:r>
      <w:r w:rsidRPr="00246A15">
        <w:rPr>
          <w:rFonts w:eastAsia="Times New Roman"/>
        </w:rPr>
        <w:t xml:space="preserve">. 2011;63(12):44–50. </w:t>
      </w:r>
    </w:p>
    <w:p w14:paraId="75B2CF44" w14:textId="77777777" w:rsidR="00E22C1A" w:rsidRPr="00246A15" w:rsidRDefault="00E22C1A" w:rsidP="00246A15">
      <w:pPr>
        <w:pStyle w:val="ListParagraph"/>
        <w:numPr>
          <w:ilvl w:val="0"/>
          <w:numId w:val="10"/>
        </w:numPr>
        <w:rPr>
          <w:rFonts w:eastAsia="Times New Roman"/>
        </w:rPr>
      </w:pPr>
      <w:proofErr w:type="spellStart"/>
      <w:r w:rsidRPr="00246A15">
        <w:rPr>
          <w:rFonts w:eastAsia="Times New Roman"/>
        </w:rPr>
        <w:t>Iveson</w:t>
      </w:r>
      <w:proofErr w:type="spellEnd"/>
      <w:r w:rsidRPr="00246A15">
        <w:rPr>
          <w:rFonts w:eastAsia="Times New Roman"/>
        </w:rPr>
        <w:t xml:space="preserve"> JB, Bradshaw SD, Smith DW. The movement of humans and the spread of </w:t>
      </w:r>
      <w:r w:rsidRPr="002A46FA">
        <w:rPr>
          <w:rStyle w:val="Emphasis"/>
          <w:rFonts w:eastAsia="Times New Roman"/>
          <w:b w:val="0"/>
          <w:bCs w:val="0"/>
        </w:rPr>
        <w:t>Salmonella</w:t>
      </w:r>
      <w:r w:rsidRPr="00246A15">
        <w:rPr>
          <w:rFonts w:eastAsia="Times New Roman"/>
        </w:rPr>
        <w:t xml:space="preserve"> into existing and pristine ecosystems. </w:t>
      </w:r>
      <w:r w:rsidRPr="002A46FA">
        <w:rPr>
          <w:rStyle w:val="Emphasis"/>
          <w:rFonts w:eastAsia="Times New Roman"/>
          <w:b w:val="0"/>
          <w:bCs w:val="0"/>
        </w:rPr>
        <w:t>Microbiol Aust</w:t>
      </w:r>
      <w:r w:rsidRPr="00246A15">
        <w:rPr>
          <w:rFonts w:eastAsia="Times New Roman"/>
        </w:rPr>
        <w:t xml:space="preserve">. 2017;38(4):201–3. </w:t>
      </w:r>
      <w:proofErr w:type="spellStart"/>
      <w:r w:rsidRPr="00246A15">
        <w:rPr>
          <w:rFonts w:eastAsia="Times New Roman"/>
        </w:rPr>
        <w:t>doi</w:t>
      </w:r>
      <w:proofErr w:type="spellEnd"/>
      <w:r w:rsidRPr="00246A15">
        <w:rPr>
          <w:rFonts w:eastAsia="Times New Roman"/>
        </w:rPr>
        <w:t xml:space="preserve">: https://doi.org/10.1071/MA17070. </w:t>
      </w:r>
    </w:p>
    <w:p w14:paraId="67C65418" w14:textId="77777777" w:rsidR="00E22C1A" w:rsidRPr="00246A15" w:rsidRDefault="00E22C1A" w:rsidP="00246A15">
      <w:pPr>
        <w:pStyle w:val="ListParagraph"/>
        <w:numPr>
          <w:ilvl w:val="0"/>
          <w:numId w:val="10"/>
        </w:numPr>
        <w:rPr>
          <w:rFonts w:eastAsia="Times New Roman"/>
        </w:rPr>
      </w:pPr>
      <w:proofErr w:type="spellStart"/>
      <w:r w:rsidRPr="00246A15">
        <w:rPr>
          <w:rFonts w:eastAsia="Times New Roman"/>
        </w:rPr>
        <w:t>MacIntyre</w:t>
      </w:r>
      <w:proofErr w:type="spellEnd"/>
      <w:r w:rsidRPr="00246A15">
        <w:rPr>
          <w:rFonts w:eastAsia="Times New Roman"/>
        </w:rPr>
        <w:t xml:space="preserve"> CR, Nguyen P-Y, </w:t>
      </w:r>
      <w:proofErr w:type="spellStart"/>
      <w:r w:rsidRPr="00246A15">
        <w:rPr>
          <w:rFonts w:eastAsia="Times New Roman"/>
        </w:rPr>
        <w:t>Chughtai</w:t>
      </w:r>
      <w:proofErr w:type="spellEnd"/>
      <w:r w:rsidRPr="00246A15">
        <w:rPr>
          <w:rFonts w:eastAsia="Times New Roman"/>
        </w:rPr>
        <w:t xml:space="preserve"> AA, Trent M, Gerber B, </w:t>
      </w:r>
      <w:proofErr w:type="spellStart"/>
      <w:r w:rsidRPr="00246A15">
        <w:rPr>
          <w:rFonts w:eastAsia="Times New Roman"/>
        </w:rPr>
        <w:t>Steinhofel</w:t>
      </w:r>
      <w:proofErr w:type="spellEnd"/>
      <w:r w:rsidRPr="00246A15">
        <w:rPr>
          <w:rFonts w:eastAsia="Times New Roman"/>
        </w:rPr>
        <w:t xml:space="preserve"> K et al. Mask use, risk-mitigation </w:t>
      </w:r>
      <w:proofErr w:type="gramStart"/>
      <w:r w:rsidRPr="00246A15">
        <w:rPr>
          <w:rFonts w:eastAsia="Times New Roman"/>
        </w:rPr>
        <w:t>behaviours</w:t>
      </w:r>
      <w:proofErr w:type="gramEnd"/>
      <w:r w:rsidRPr="00246A15">
        <w:rPr>
          <w:rFonts w:eastAsia="Times New Roman"/>
        </w:rPr>
        <w:t xml:space="preserve"> and pandemic fatigue during the COVID-19 pandemic in five cities in Australia, the UK and USA: a cross-sectional survey. </w:t>
      </w:r>
      <w:r w:rsidRPr="002A46FA">
        <w:rPr>
          <w:rStyle w:val="Emphasis"/>
          <w:rFonts w:eastAsia="Times New Roman"/>
          <w:b w:val="0"/>
          <w:bCs w:val="0"/>
        </w:rPr>
        <w:t>Int J Infect Dis</w:t>
      </w:r>
      <w:r w:rsidRPr="00246A15">
        <w:rPr>
          <w:rFonts w:eastAsia="Times New Roman"/>
        </w:rPr>
        <w:t xml:space="preserve">. </w:t>
      </w:r>
      <w:proofErr w:type="gramStart"/>
      <w:r w:rsidRPr="00246A15">
        <w:rPr>
          <w:rFonts w:eastAsia="Times New Roman"/>
        </w:rPr>
        <w:t>2021;106:199</w:t>
      </w:r>
      <w:proofErr w:type="gramEnd"/>
      <w:r w:rsidRPr="00246A15">
        <w:rPr>
          <w:rFonts w:eastAsia="Times New Roman"/>
        </w:rPr>
        <w:t xml:space="preserve">–207. </w:t>
      </w:r>
      <w:proofErr w:type="spellStart"/>
      <w:r w:rsidRPr="00246A15">
        <w:rPr>
          <w:rFonts w:eastAsia="Times New Roman"/>
        </w:rPr>
        <w:t>doi</w:t>
      </w:r>
      <w:proofErr w:type="spellEnd"/>
      <w:r w:rsidRPr="00246A15">
        <w:rPr>
          <w:rFonts w:eastAsia="Times New Roman"/>
        </w:rPr>
        <w:t xml:space="preserve">: https://doi.org/10.1016/j.ijid.2021.03.056. </w:t>
      </w:r>
    </w:p>
    <w:p w14:paraId="3E95083E" w14:textId="77777777" w:rsidR="00E22C1A" w:rsidRPr="00246A15" w:rsidRDefault="00E22C1A" w:rsidP="00246A15">
      <w:pPr>
        <w:pStyle w:val="ListParagraph"/>
        <w:numPr>
          <w:ilvl w:val="0"/>
          <w:numId w:val="10"/>
        </w:numPr>
        <w:rPr>
          <w:rFonts w:eastAsia="Times New Roman"/>
        </w:rPr>
      </w:pPr>
      <w:proofErr w:type="spellStart"/>
      <w:r w:rsidRPr="00246A15">
        <w:rPr>
          <w:rFonts w:eastAsia="Times New Roman"/>
        </w:rPr>
        <w:t>Ashbolt</w:t>
      </w:r>
      <w:proofErr w:type="spellEnd"/>
      <w:r w:rsidRPr="00246A15">
        <w:rPr>
          <w:rFonts w:eastAsia="Times New Roman"/>
        </w:rPr>
        <w:t xml:space="preserve"> R, Kirk MD. </w:t>
      </w:r>
      <w:r w:rsidRPr="002A46FA">
        <w:rPr>
          <w:rStyle w:val="Emphasis"/>
          <w:rFonts w:eastAsia="Times New Roman"/>
          <w:b w:val="0"/>
          <w:bCs w:val="0"/>
        </w:rPr>
        <w:t>Salmonella</w:t>
      </w:r>
      <w:r w:rsidRPr="00246A15">
        <w:rPr>
          <w:rFonts w:eastAsia="Times New Roman"/>
        </w:rPr>
        <w:t xml:space="preserve"> Mississippi infections in Tasmania: the role of native Australian animals and untreated drinking water. </w:t>
      </w:r>
      <w:r w:rsidRPr="002A46FA">
        <w:rPr>
          <w:rStyle w:val="Emphasis"/>
          <w:rFonts w:eastAsia="Times New Roman"/>
          <w:b w:val="0"/>
          <w:bCs w:val="0"/>
        </w:rPr>
        <w:t>Epidemiol Infect</w:t>
      </w:r>
      <w:r w:rsidRPr="00246A15">
        <w:rPr>
          <w:rFonts w:eastAsia="Times New Roman"/>
        </w:rPr>
        <w:t xml:space="preserve">. 2006;134(6):1257–65. </w:t>
      </w:r>
      <w:proofErr w:type="spellStart"/>
      <w:r w:rsidRPr="00246A15">
        <w:rPr>
          <w:rFonts w:eastAsia="Times New Roman"/>
        </w:rPr>
        <w:t>doi</w:t>
      </w:r>
      <w:proofErr w:type="spellEnd"/>
      <w:r w:rsidRPr="00246A15">
        <w:rPr>
          <w:rFonts w:eastAsia="Times New Roman"/>
        </w:rPr>
        <w:t xml:space="preserve">: https://doi.org/10.1017/S0950268806006224. </w:t>
      </w:r>
    </w:p>
    <w:p w14:paraId="7669FF19"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Gibney KB, Cheng AC, Hall R, </w:t>
      </w:r>
      <w:proofErr w:type="spellStart"/>
      <w:r w:rsidRPr="00246A15">
        <w:rPr>
          <w:rFonts w:eastAsia="Times New Roman"/>
        </w:rPr>
        <w:t>Leder</w:t>
      </w:r>
      <w:proofErr w:type="spellEnd"/>
      <w:r w:rsidRPr="00246A15">
        <w:rPr>
          <w:rFonts w:eastAsia="Times New Roman"/>
        </w:rPr>
        <w:t xml:space="preserve"> K. An overview of the epidemiology of notifiable infectious diseases in Australia, 1991–2011. </w:t>
      </w:r>
      <w:r w:rsidRPr="002A46FA">
        <w:rPr>
          <w:rStyle w:val="Emphasis"/>
          <w:rFonts w:eastAsia="Times New Roman"/>
          <w:b w:val="0"/>
          <w:bCs w:val="0"/>
        </w:rPr>
        <w:t>Epidemiol Infect</w:t>
      </w:r>
      <w:r w:rsidRPr="00246A15">
        <w:rPr>
          <w:rFonts w:eastAsia="Times New Roman"/>
        </w:rPr>
        <w:t xml:space="preserve">. 2016;144(15):3263–77. </w:t>
      </w:r>
      <w:proofErr w:type="spellStart"/>
      <w:r w:rsidRPr="00246A15">
        <w:rPr>
          <w:rFonts w:eastAsia="Times New Roman"/>
        </w:rPr>
        <w:t>doi</w:t>
      </w:r>
      <w:proofErr w:type="spellEnd"/>
      <w:r w:rsidRPr="00246A15">
        <w:rPr>
          <w:rFonts w:eastAsia="Times New Roman"/>
        </w:rPr>
        <w:t xml:space="preserve">: https://doi.org/10.1017/S0950268816001072. </w:t>
      </w:r>
    </w:p>
    <w:p w14:paraId="5B6C5459"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Hamilton NJ, Draper ADK, Baird R, Wilson A, Ford T, Francis JR. Invasive salmonellosis in paediatric patients in the Northern Territory, Australia, 2005–2015. </w:t>
      </w:r>
      <w:r w:rsidRPr="002A46FA">
        <w:rPr>
          <w:rStyle w:val="Emphasis"/>
          <w:rFonts w:eastAsia="Times New Roman"/>
          <w:b w:val="0"/>
          <w:bCs w:val="0"/>
        </w:rPr>
        <w:t xml:space="preserve">J </w:t>
      </w:r>
      <w:proofErr w:type="spellStart"/>
      <w:r w:rsidRPr="002A46FA">
        <w:rPr>
          <w:rStyle w:val="Emphasis"/>
          <w:rFonts w:eastAsia="Times New Roman"/>
          <w:b w:val="0"/>
          <w:bCs w:val="0"/>
        </w:rPr>
        <w:t>Paediatr</w:t>
      </w:r>
      <w:proofErr w:type="spellEnd"/>
      <w:r w:rsidRPr="002A46FA">
        <w:rPr>
          <w:rStyle w:val="Emphasis"/>
          <w:rFonts w:eastAsia="Times New Roman"/>
          <w:b w:val="0"/>
          <w:bCs w:val="0"/>
        </w:rPr>
        <w:t xml:space="preserve"> Child Health</w:t>
      </w:r>
      <w:r w:rsidRPr="00246A15">
        <w:rPr>
          <w:rFonts w:eastAsia="Times New Roman"/>
        </w:rPr>
        <w:t xml:space="preserve">. 2021;57(9):1397–401. </w:t>
      </w:r>
      <w:proofErr w:type="spellStart"/>
      <w:r w:rsidRPr="00246A15">
        <w:rPr>
          <w:rFonts w:eastAsia="Times New Roman"/>
        </w:rPr>
        <w:t>doi</w:t>
      </w:r>
      <w:proofErr w:type="spellEnd"/>
      <w:r w:rsidRPr="00246A15">
        <w:rPr>
          <w:rFonts w:eastAsia="Times New Roman"/>
        </w:rPr>
        <w:t xml:space="preserve">: https://doi.org/10.1111/jpc.15473. </w:t>
      </w:r>
    </w:p>
    <w:p w14:paraId="65ECB452"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Williams S, Patel M, Markey P, Muller R, Benedict S, Ross I et al. </w:t>
      </w:r>
      <w:r w:rsidRPr="002A46FA">
        <w:rPr>
          <w:rStyle w:val="Emphasis"/>
          <w:rFonts w:eastAsia="Times New Roman"/>
          <w:b w:val="0"/>
          <w:bCs w:val="0"/>
        </w:rPr>
        <w:t>Salmonella</w:t>
      </w:r>
      <w:r w:rsidRPr="00246A15">
        <w:rPr>
          <w:rFonts w:eastAsia="Times New Roman"/>
        </w:rPr>
        <w:t xml:space="preserve"> in the tropical household environment—everyday, everywhere. </w:t>
      </w:r>
      <w:r w:rsidRPr="002A46FA">
        <w:rPr>
          <w:rStyle w:val="Emphasis"/>
          <w:rFonts w:eastAsia="Times New Roman"/>
          <w:b w:val="0"/>
          <w:bCs w:val="0"/>
        </w:rPr>
        <w:t>J Infect</w:t>
      </w:r>
      <w:r w:rsidRPr="00246A15">
        <w:rPr>
          <w:rFonts w:eastAsia="Times New Roman"/>
        </w:rPr>
        <w:t xml:space="preserve">. 2015;71(6):642–8. </w:t>
      </w:r>
      <w:proofErr w:type="spellStart"/>
      <w:r w:rsidRPr="00246A15">
        <w:rPr>
          <w:rFonts w:eastAsia="Times New Roman"/>
        </w:rPr>
        <w:t>doi</w:t>
      </w:r>
      <w:proofErr w:type="spellEnd"/>
      <w:r w:rsidRPr="00246A15">
        <w:rPr>
          <w:rFonts w:eastAsia="Times New Roman"/>
        </w:rPr>
        <w:t xml:space="preserve">: https://doi.org/10.1016/j.jinf.2015.09.011. </w:t>
      </w:r>
    </w:p>
    <w:p w14:paraId="44CE8D66" w14:textId="77777777" w:rsidR="00E22C1A" w:rsidRPr="00246A15" w:rsidRDefault="00E22C1A" w:rsidP="00246A15">
      <w:pPr>
        <w:pStyle w:val="ListParagraph"/>
        <w:numPr>
          <w:ilvl w:val="0"/>
          <w:numId w:val="10"/>
        </w:numPr>
        <w:rPr>
          <w:rFonts w:eastAsia="Times New Roman"/>
        </w:rPr>
      </w:pPr>
      <w:proofErr w:type="spellStart"/>
      <w:r w:rsidRPr="00246A15">
        <w:rPr>
          <w:rFonts w:eastAsia="Times New Roman"/>
        </w:rPr>
        <w:t>Fearnley</w:t>
      </w:r>
      <w:proofErr w:type="spellEnd"/>
      <w:r w:rsidRPr="00246A15">
        <w:rPr>
          <w:rFonts w:eastAsia="Times New Roman"/>
        </w:rPr>
        <w:t xml:space="preserve"> EJ, Lal A, Bates J, Stafford R, Kirk MD, Glass K. </w:t>
      </w:r>
      <w:r w:rsidRPr="002A46FA">
        <w:rPr>
          <w:rStyle w:val="Emphasis"/>
          <w:rFonts w:eastAsia="Times New Roman"/>
          <w:b w:val="0"/>
          <w:bCs w:val="0"/>
        </w:rPr>
        <w:t>Salmonella</w:t>
      </w:r>
      <w:r w:rsidRPr="00246A15">
        <w:rPr>
          <w:rFonts w:eastAsia="Times New Roman"/>
        </w:rPr>
        <w:t xml:space="preserve"> source attribution in a subtropical state of Australia: capturing environmental reservoirs of infection. </w:t>
      </w:r>
      <w:r w:rsidRPr="002A46FA">
        <w:rPr>
          <w:rStyle w:val="Emphasis"/>
          <w:rFonts w:eastAsia="Times New Roman"/>
          <w:b w:val="0"/>
          <w:bCs w:val="0"/>
        </w:rPr>
        <w:t>Epidemiol Infect</w:t>
      </w:r>
      <w:r w:rsidRPr="00246A15">
        <w:rPr>
          <w:rFonts w:eastAsia="Times New Roman"/>
        </w:rPr>
        <w:t xml:space="preserve">. 2018;146(15):1903–8. </w:t>
      </w:r>
      <w:proofErr w:type="spellStart"/>
      <w:r w:rsidRPr="00246A15">
        <w:rPr>
          <w:rFonts w:eastAsia="Times New Roman"/>
        </w:rPr>
        <w:t>doi</w:t>
      </w:r>
      <w:proofErr w:type="spellEnd"/>
      <w:r w:rsidRPr="00246A15">
        <w:rPr>
          <w:rFonts w:eastAsia="Times New Roman"/>
        </w:rPr>
        <w:t xml:space="preserve">: https://doi.org/10.1017/S0950268818002224. </w:t>
      </w:r>
    </w:p>
    <w:p w14:paraId="43135334"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Australian Bureau of Statistics. Patient Experiences in Australia. Summary of Findings. (Reference period 2020–21 </w:t>
      </w:r>
      <w:proofErr w:type="spellStart"/>
      <w:r w:rsidRPr="00246A15">
        <w:rPr>
          <w:rFonts w:eastAsia="Times New Roman"/>
        </w:rPr>
        <w:t>finanical</w:t>
      </w:r>
      <w:proofErr w:type="spellEnd"/>
      <w:r w:rsidRPr="00246A15">
        <w:rPr>
          <w:rFonts w:eastAsia="Times New Roman"/>
        </w:rPr>
        <w:t xml:space="preserve"> year.) [Internet.] Canberra: Australian Bureau of Statistics; 17 November 2020. Available from: https://www.abs.gov.au/statistics/health/health-services/patient-experiences-australia-summary-findings/latest-release. </w:t>
      </w:r>
    </w:p>
    <w:p w14:paraId="576BC0DD"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Australian Institute of Health and Welfare (AIHW). Impacts of COVID-19 on Medicare Benefits Scheme and Pharmaceutical Benefits Scheme service use. [Internet.] Canberra: Australian Government, AIHW; 17 December 2020. Available from: https://www.aihw.gov.au/reports/health-care-quality-performance/covid-impacts-on-mbs-and-pbs/contents/impact-on-mbs-service-use. </w:t>
      </w:r>
    </w:p>
    <w:p w14:paraId="5BD2C95B"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Ford L, Glass K, Veitch M, Wardell R, Polkinghorne B, Dobbins T et al. Increasing incidence of </w:t>
      </w:r>
      <w:r w:rsidRPr="002A46FA">
        <w:rPr>
          <w:rStyle w:val="Emphasis"/>
          <w:rFonts w:eastAsia="Times New Roman"/>
          <w:b w:val="0"/>
          <w:bCs w:val="0"/>
        </w:rPr>
        <w:t>Salmonella</w:t>
      </w:r>
      <w:r w:rsidRPr="00246A15">
        <w:rPr>
          <w:rFonts w:eastAsia="Times New Roman"/>
        </w:rPr>
        <w:t xml:space="preserve"> in Australia, 2000-2013. </w:t>
      </w:r>
      <w:proofErr w:type="spellStart"/>
      <w:r w:rsidRPr="002A46FA">
        <w:rPr>
          <w:rStyle w:val="Emphasis"/>
          <w:rFonts w:eastAsia="Times New Roman"/>
          <w:b w:val="0"/>
          <w:bCs w:val="0"/>
        </w:rPr>
        <w:t>PLoS</w:t>
      </w:r>
      <w:proofErr w:type="spellEnd"/>
      <w:r w:rsidRPr="002A46FA">
        <w:rPr>
          <w:rStyle w:val="Emphasis"/>
          <w:rFonts w:eastAsia="Times New Roman"/>
          <w:b w:val="0"/>
          <w:bCs w:val="0"/>
        </w:rPr>
        <w:t xml:space="preserve"> One</w:t>
      </w:r>
      <w:r w:rsidRPr="00246A15">
        <w:rPr>
          <w:rFonts w:eastAsia="Times New Roman"/>
        </w:rPr>
        <w:t>. 2016;11(10</w:t>
      </w:r>
      <w:proofErr w:type="gramStart"/>
      <w:r w:rsidRPr="00246A15">
        <w:rPr>
          <w:rFonts w:eastAsia="Times New Roman"/>
        </w:rPr>
        <w:t>):e</w:t>
      </w:r>
      <w:proofErr w:type="gramEnd"/>
      <w:r w:rsidRPr="00246A15">
        <w:rPr>
          <w:rFonts w:eastAsia="Times New Roman"/>
        </w:rPr>
        <w:t xml:space="preserve">0163989. </w:t>
      </w:r>
      <w:proofErr w:type="spellStart"/>
      <w:r w:rsidRPr="00246A15">
        <w:rPr>
          <w:rFonts w:eastAsia="Times New Roman"/>
        </w:rPr>
        <w:t>doi</w:t>
      </w:r>
      <w:proofErr w:type="spellEnd"/>
      <w:r w:rsidRPr="00246A15">
        <w:rPr>
          <w:rFonts w:eastAsia="Times New Roman"/>
        </w:rPr>
        <w:t xml:space="preserve">: https://doi.org/10.1371/journal.pone.0163989. </w:t>
      </w:r>
    </w:p>
    <w:p w14:paraId="4083978D" w14:textId="77777777" w:rsidR="00E22C1A" w:rsidRPr="00246A15" w:rsidRDefault="00E22C1A" w:rsidP="00246A15">
      <w:pPr>
        <w:pStyle w:val="ListParagraph"/>
        <w:numPr>
          <w:ilvl w:val="0"/>
          <w:numId w:val="10"/>
        </w:numPr>
        <w:rPr>
          <w:rFonts w:eastAsia="Times New Roman"/>
        </w:rPr>
      </w:pPr>
      <w:r w:rsidRPr="00246A15">
        <w:rPr>
          <w:rFonts w:eastAsia="Times New Roman"/>
        </w:rPr>
        <w:t xml:space="preserve">Mannix L. The world’s longest COVID-19 lockdowns: how Victoria compares. [Newspaper article.] Melbourne: The Age; 7 September 2020. Available from: https://www.theage.com.au/national/victoria/the-world-s-longest-covid-19-lockdowns-how-victoria-compares-20200907-p55t7q.html. </w:t>
      </w:r>
    </w:p>
    <w:p w14:paraId="3D5E69AD" w14:textId="77777777" w:rsidR="007C0012" w:rsidRDefault="007C0012">
      <w:pPr>
        <w:rPr>
          <w:rFonts w:asciiTheme="majorHAnsi" w:eastAsiaTheme="majorEastAsia" w:hAnsiTheme="majorHAnsi" w:cstheme="majorBidi"/>
          <w:b/>
          <w:bCs/>
          <w:sz w:val="32"/>
          <w:szCs w:val="28"/>
        </w:rPr>
      </w:pPr>
      <w:r>
        <w:br w:type="page"/>
      </w:r>
    </w:p>
    <w:p w14:paraId="1359E0DB" w14:textId="7D22DBFD" w:rsidR="00E22C1A" w:rsidRPr="00246A15" w:rsidRDefault="00E22C1A" w:rsidP="00246A15">
      <w:pPr>
        <w:pStyle w:val="Heading1"/>
      </w:pPr>
      <w:r w:rsidRPr="00246A15">
        <w:lastRenderedPageBreak/>
        <w:t xml:space="preserve">Appendix A </w:t>
      </w:r>
    </w:p>
    <w:p w14:paraId="782328E3" w14:textId="4BA3DAA9" w:rsidR="007C0012" w:rsidRDefault="00E22C1A" w:rsidP="00246A15">
      <w:pPr>
        <w:rPr>
          <w:rFonts w:eastAsia="Times New Roman"/>
          <w:b/>
          <w:bCs/>
        </w:rPr>
      </w:pPr>
      <w:r w:rsidRPr="007C0012">
        <w:rPr>
          <w:rFonts w:eastAsia="Times New Roman"/>
          <w:b/>
          <w:bCs/>
        </w:rPr>
        <w:t xml:space="preserve">Box A.1. Federal and state/territory government COVID-19 public health measures and advice </w:t>
      </w:r>
    </w:p>
    <w:p w14:paraId="7A13E2DC" w14:textId="017A3DB3" w:rsidR="00E22C1A" w:rsidRDefault="007C0012" w:rsidP="00246A15">
      <w:pPr>
        <w:rPr>
          <w:rFonts w:eastAsia="Times New Roman"/>
          <w:b/>
          <w:bCs/>
        </w:rPr>
      </w:pPr>
      <w:r w:rsidRPr="007C0012">
        <w:rPr>
          <w:rFonts w:eastAsia="Times New Roman"/>
          <w:b/>
          <w:bCs/>
          <w:noProof/>
        </w:rPr>
        <mc:AlternateContent>
          <mc:Choice Requires="wps">
            <w:drawing>
              <wp:inline distT="0" distB="0" distL="0" distR="0" wp14:anchorId="787FB429" wp14:editId="6C948C08">
                <wp:extent cx="6601570" cy="1404620"/>
                <wp:effectExtent l="0" t="0" r="27940"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1570" cy="1404620"/>
                        </a:xfrm>
                        <a:prstGeom prst="rect">
                          <a:avLst/>
                        </a:prstGeom>
                        <a:solidFill>
                          <a:schemeClr val="accent6">
                            <a:lumMod val="20000"/>
                            <a:lumOff val="80000"/>
                          </a:schemeClr>
                        </a:solidFill>
                        <a:ln w="3175">
                          <a:solidFill>
                            <a:schemeClr val="accent6">
                              <a:lumMod val="60000"/>
                              <a:lumOff val="40000"/>
                            </a:schemeClr>
                          </a:solidFill>
                          <a:miter lim="800000"/>
                          <a:headEnd/>
                          <a:tailEnd/>
                        </a:ln>
                      </wps:spPr>
                      <wps:txbx>
                        <w:txbxContent>
                          <w:p w14:paraId="16724AD5" w14:textId="77777777" w:rsidR="007C0012" w:rsidRDefault="007C0012" w:rsidP="007C0012">
                            <w:r>
                              <w:t>On 20 March 2020, the Federal government closed international borders to non- Australians.</w:t>
                            </w:r>
                            <w:r>
                              <w:rPr>
                                <w:vertAlign w:val="superscript"/>
                              </w:rPr>
                              <w:t>20</w:t>
                            </w:r>
                            <w:r>
                              <w:t xml:space="preserve"> On 22 March 2020, National Cabinet advised closure of non-essential businesses and reduced size of gatherings at home and for events such as weddings.</w:t>
                            </w:r>
                            <w:r>
                              <w:rPr>
                                <w:vertAlign w:val="superscript"/>
                              </w:rPr>
                              <w:t>19</w:t>
                            </w:r>
                            <w:r>
                              <w:t xml:space="preserve"> On 29 March 2020, the National Cabinet’s guidance was to stay at home unless for shopping, medical or exercise or work and limited indoor gatherings to two people.</w:t>
                            </w:r>
                            <w:r>
                              <w:rPr>
                                <w:vertAlign w:val="superscript"/>
                              </w:rPr>
                              <w:t xml:space="preserve">21 </w:t>
                            </w:r>
                          </w:p>
                          <w:p w14:paraId="59DA784E" w14:textId="01DFCAF8" w:rsidR="007C0012" w:rsidRDefault="007C0012" w:rsidP="007C0012">
                            <w:r>
                              <w:t>State/territory governments supported National Cabinet advice and implemented public health measures of their own such as lockdowns of specific areas, mask wearing on public transport and in enclosed spaces and interstate border public health measures. State/territory governments relaxed these public health measures when COVID-19 case numbers fell. The timing for these interventions varied across Australia. In all states/territories except Victoria, public health measures were reduced incrementally from June 2020. In Melbourne, Victoria, a second lockdown was put in place from 8 July 2020 until September 2020.</w:t>
                            </w:r>
                            <w:r>
                              <w:rPr>
                                <w:vertAlign w:val="superscript"/>
                              </w:rPr>
                              <w:t>35</w:t>
                            </w:r>
                            <w:r>
                              <w:t xml:space="preserve"> By September, Melbourne had experienced four cumulative months of tight public health measures in total. General public health advice issued by state/territory government health departments included 1. handwashing, 2. mask wearing, and 3. physical distancing.</w:t>
                            </w:r>
                          </w:p>
                        </w:txbxContent>
                      </wps:txbx>
                      <wps:bodyPr rot="0" vert="horz" wrap="square" lIns="91440" tIns="45720" rIns="91440" bIns="45720" anchor="t" anchorCtr="0">
                        <a:spAutoFit/>
                      </wps:bodyPr>
                    </wps:wsp>
                  </a:graphicData>
                </a:graphic>
              </wp:inline>
            </w:drawing>
          </mc:Choice>
          <mc:Fallback>
            <w:pict>
              <v:shapetype w14:anchorId="787FB429" id="_x0000_t202" coordsize="21600,21600" o:spt="202" path="m,l,21600r21600,l21600,xe">
                <v:stroke joinstyle="miter"/>
                <v:path gradientshapeok="t" o:connecttype="rect"/>
              </v:shapetype>
              <v:shape id="Text Box 2" o:spid="_x0000_s1026" type="#_x0000_t202" style="width:519.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NOTAIAAMMEAAAOAAAAZHJzL2Uyb0RvYy54bWysVNtu2zAMfR+wfxD0vtjOcumMOEWXLsOA&#10;7gK0+wBGlmNhuk1SYndfX0p2snQD+jDsRZBI6fCQh9TquleSHLnzwuiKFpOcEq6ZqYXeV/T7w/bN&#10;FSU+gK5BGs0r+sg9vV6/frXqbMmnpjWy5o4giPZlZyvahmDLLPOs5Qr8xFiu0dkYpyDg0e2z2kGH&#10;6Epm0zxfZJ1xtXWGce/Rejs46TrhNw1n4WvTeB6IrChyC2l1ad3FNVuvoNw7sK1gIw34BxYKhMag&#10;Z6hbCEAOTvwFpQRzxpsmTJhRmWkawXjKAbMp8j+yuW/B8pQLFsfbc5n8/4NlX47fHBF1RafFkhIN&#10;CkV64H0g701PprE+nfUlXru3eDH0aEadU67e3hn2wxNtNi3oPb9xznQthxr5FfFldvF0wPERZNd9&#10;NjWGgUMwCahvnIrFw3IQREedHs/aRCoMjYtFXsyX6GLoK2b5bDFN6mVQnp5b58NHbhSJm4o6FD/B&#10;w/HOh0gHytOVGM0bKeqtkDIdYsPxjXTkCNgqwBjXYZGey4NCvoMdWy4fmwbN2FqD+epkxhCpdSNS&#10;CvgsiNSkq+jbYjlPwM9852cvE1icIkF5SWB2Mr9MQImA0yaFqmiiPKYSNfug6zQLAYQc9ggl9Shi&#10;1G1QMPS7fmyKnakfUU5nhqnCXwA3rXG/KOlwoirqfx7AcUrkJ40t8a6YzeIIpsNsvkT9iLv07C49&#10;oBlCVTRQMmw3IY1tEsveYOtsRRI19tjAZOSKk5JKP051HMXLc7r1++9ZPwEAAP//AwBQSwMEFAAG&#10;AAgAAAAhAIadY8bfAAAABgEAAA8AAABkcnMvZG93bnJldi54bWxMj8FOwzAQRO9I/IO1SL1U1G4q&#10;CoQ4FVSq6AEhUXLg6MRLEtVeR7Gbpn9fl0u5rDSa0czbbDVawwbsfetIwnwmgCFVTrdUSyi+N/dP&#10;wHxQpJVxhBJO6GGV395kKtXuSF847ELNYgn5VEloQuhSzn3VoFV+5jqk6P263qoQZV9z3atjLLeG&#10;J0IsuVUtxYVGdbhusNrvDlbC++e+KN6Gn4+tKB+3Jz9OjX2YSjm5G19fgAUcwzUMF/yIDnlkKt2B&#10;tGdGQnwk/N2LJxbPS2ClhCSZJ8DzjP/Hz88AAAD//wMAUEsBAi0AFAAGAAgAAAAhALaDOJL+AAAA&#10;4QEAABMAAAAAAAAAAAAAAAAAAAAAAFtDb250ZW50X1R5cGVzXS54bWxQSwECLQAUAAYACAAAACEA&#10;OP0h/9YAAACUAQAACwAAAAAAAAAAAAAAAAAvAQAAX3JlbHMvLnJlbHNQSwECLQAUAAYACAAAACEA&#10;ixHjTkwCAADDBAAADgAAAAAAAAAAAAAAAAAuAgAAZHJzL2Uyb0RvYy54bWxQSwECLQAUAAYACAAA&#10;ACEAhp1jxt8AAAAGAQAADwAAAAAAAAAAAAAAAACmBAAAZHJzL2Rvd25yZXYueG1sUEsFBgAAAAAE&#10;AAQA8wAAALIFAAAAAA==&#10;" fillcolor="#fde9d9 [665]" strokecolor="#fabf8f [1945]" strokeweight=".25pt">
                <v:textbox style="mso-fit-shape-to-text:t">
                  <w:txbxContent>
                    <w:p w14:paraId="16724AD5" w14:textId="77777777" w:rsidR="007C0012" w:rsidRDefault="007C0012" w:rsidP="007C0012">
                      <w:r>
                        <w:t>On 20 March 2020, the Federal government closed international borders to non- Australians.</w:t>
                      </w:r>
                      <w:r>
                        <w:rPr>
                          <w:vertAlign w:val="superscript"/>
                        </w:rPr>
                        <w:t>20</w:t>
                      </w:r>
                      <w:r>
                        <w:t xml:space="preserve"> On 22 March 2020, National Cabinet advised closure of non-essential businesses and reduced size of gatherings at home and for events such as weddings.</w:t>
                      </w:r>
                      <w:r>
                        <w:rPr>
                          <w:vertAlign w:val="superscript"/>
                        </w:rPr>
                        <w:t>19</w:t>
                      </w:r>
                      <w:r>
                        <w:t xml:space="preserve"> On 29 March 2020, the National Cabinet’s guidance was to stay at home unless for shopping, medical or exercise or work and limited indoor gatherings to two people.</w:t>
                      </w:r>
                      <w:r>
                        <w:rPr>
                          <w:vertAlign w:val="superscript"/>
                        </w:rPr>
                        <w:t xml:space="preserve">21 </w:t>
                      </w:r>
                    </w:p>
                    <w:p w14:paraId="59DA784E" w14:textId="01DFCAF8" w:rsidR="007C0012" w:rsidRDefault="007C0012" w:rsidP="007C0012">
                      <w:r>
                        <w:t>State/territory governments supported National Cabinet advice and implemented public health measures of their own such as lockdowns of specific areas, mask wearing on public transport and in enclosed spaces and interstate border public health measures. State/territory governments relaxed these public health measures when COVID-19 case numbers fell. The timing for these interventions varied across Australia. In all states/territories except Victoria, public health measures were reduced incrementally from June 2020. In Melbourne, Victoria, a second lockdown was put in place from 8 July 2020 until September 2020.</w:t>
                      </w:r>
                      <w:r>
                        <w:rPr>
                          <w:vertAlign w:val="superscript"/>
                        </w:rPr>
                        <w:t>35</w:t>
                      </w:r>
                      <w:r>
                        <w:t xml:space="preserve"> By September, Melbourne had experienced four cumulative months of tight public health measures in total. General public health advice issued by state/territory government health departments included 1. handwashing, 2. mask wearing, and 3. physical distancing.</w:t>
                      </w:r>
                    </w:p>
                  </w:txbxContent>
                </v:textbox>
                <w10:anchorlock/>
              </v:shape>
            </w:pict>
          </mc:Fallback>
        </mc:AlternateContent>
      </w:r>
    </w:p>
    <w:p w14:paraId="63F28BDB" w14:textId="77777777" w:rsidR="00877F1D" w:rsidRDefault="00877F1D" w:rsidP="00246A15">
      <w:pPr>
        <w:rPr>
          <w:rFonts w:eastAsia="Times New Roman"/>
          <w:b/>
          <w:bCs/>
        </w:rPr>
        <w:sectPr w:rsidR="00877F1D" w:rsidSect="00A30C37">
          <w:pgSz w:w="11906" w:h="16838"/>
          <w:pgMar w:top="720" w:right="720" w:bottom="1134" w:left="720" w:header="709" w:footer="284" w:gutter="0"/>
          <w:cols w:space="708"/>
          <w:titlePg/>
          <w:docGrid w:linePitch="360"/>
        </w:sectPr>
      </w:pPr>
    </w:p>
    <w:p w14:paraId="235FDC4D" w14:textId="0C383915" w:rsidR="0091460C" w:rsidRDefault="0091460C" w:rsidP="00246A15">
      <w:pPr>
        <w:rPr>
          <w:rFonts w:eastAsia="Times New Roman"/>
          <w:b/>
          <w:bCs/>
        </w:rPr>
      </w:pPr>
      <w:r w:rsidRPr="007C0012">
        <w:rPr>
          <w:rFonts w:eastAsia="Times New Roman"/>
          <w:b/>
          <w:bCs/>
        </w:rPr>
        <w:lastRenderedPageBreak/>
        <w:t>Table A.1: Monthly rate (cases per 100,000) in 2020 compared to the 2015 to 2019 median, for the Australian Capital Territory, New South Wales, and the Northern Territory</w:t>
      </w:r>
    </w:p>
    <w:tbl>
      <w:tblPr>
        <w:tblStyle w:val="CDI-StandardTable"/>
        <w:tblW w:w="0" w:type="auto"/>
        <w:tblLook w:val="04A0" w:firstRow="1" w:lastRow="0" w:firstColumn="1" w:lastColumn="0" w:noHBand="0" w:noVBand="1"/>
        <w:tblDescription w:val="Appendix Table A.1. Salmonellosis monthly rate (cases per 100,000) in 2020, for the Australian Capital Territory, New South Wales, and the Northern Territory, compared to the 2015 to 2019 median for each jurisdiction."/>
      </w:tblPr>
      <w:tblGrid>
        <w:gridCol w:w="1843"/>
        <w:gridCol w:w="1134"/>
        <w:gridCol w:w="789"/>
        <w:gridCol w:w="1122"/>
        <w:gridCol w:w="1122"/>
        <w:gridCol w:w="1121"/>
        <w:gridCol w:w="1122"/>
        <w:gridCol w:w="1122"/>
        <w:gridCol w:w="1122"/>
        <w:gridCol w:w="1121"/>
        <w:gridCol w:w="1122"/>
        <w:gridCol w:w="1122"/>
        <w:gridCol w:w="1122"/>
      </w:tblGrid>
      <w:tr w:rsidR="00877F1D" w:rsidRPr="00FF119C" w14:paraId="299F329F" w14:textId="77777777" w:rsidTr="00877F1D">
        <w:trPr>
          <w:cnfStyle w:val="100000000000" w:firstRow="1" w:lastRow="0" w:firstColumn="0" w:lastColumn="0" w:oddVBand="0" w:evenVBand="0" w:oddHBand="0" w:evenHBand="0" w:firstRowFirstColumn="0" w:firstRowLastColumn="0" w:lastRowFirstColumn="0" w:lastRowLastColumn="0"/>
          <w:tblHeader/>
        </w:trPr>
        <w:tc>
          <w:tcPr>
            <w:tcW w:w="1843" w:type="dxa"/>
            <w:tcBorders>
              <w:bottom w:val="single" w:sz="2" w:space="0" w:color="FFFFFF" w:themeColor="background1"/>
              <w:right w:val="single" w:sz="2" w:space="0" w:color="FFFFFF" w:themeColor="background1"/>
            </w:tcBorders>
            <w:hideMark/>
          </w:tcPr>
          <w:p w14:paraId="3869CE69" w14:textId="77777777" w:rsidR="00877F1D" w:rsidRPr="00FF119C" w:rsidRDefault="00877F1D" w:rsidP="00DE7B71">
            <w:pPr>
              <w:rPr>
                <w:color w:val="FFFFFF" w:themeColor="background1"/>
                <w:sz w:val="18"/>
                <w:szCs w:val="18"/>
                <w:lang w:val="en-GB"/>
              </w:rPr>
            </w:pPr>
          </w:p>
        </w:tc>
        <w:tc>
          <w:tcPr>
            <w:tcW w:w="4167" w:type="dxa"/>
            <w:gridSpan w:val="4"/>
            <w:tcBorders>
              <w:left w:val="single" w:sz="2" w:space="0" w:color="FFFFFF" w:themeColor="background1"/>
              <w:bottom w:val="single" w:sz="2" w:space="0" w:color="FFFFFF" w:themeColor="background1"/>
              <w:right w:val="single" w:sz="2" w:space="0" w:color="FFFFFF" w:themeColor="background1"/>
            </w:tcBorders>
            <w:hideMark/>
          </w:tcPr>
          <w:p w14:paraId="4E205E59"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Australian Capital Territory</w:t>
            </w:r>
          </w:p>
        </w:tc>
        <w:tc>
          <w:tcPr>
            <w:tcW w:w="4487" w:type="dxa"/>
            <w:gridSpan w:val="4"/>
            <w:tcBorders>
              <w:left w:val="single" w:sz="2" w:space="0" w:color="FFFFFF" w:themeColor="background1"/>
              <w:bottom w:val="single" w:sz="2" w:space="0" w:color="FFFFFF" w:themeColor="background1"/>
              <w:right w:val="single" w:sz="2" w:space="0" w:color="FFFFFF" w:themeColor="background1"/>
            </w:tcBorders>
            <w:hideMark/>
          </w:tcPr>
          <w:p w14:paraId="4AD04BC1"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New South Wales</w:t>
            </w:r>
          </w:p>
        </w:tc>
        <w:tc>
          <w:tcPr>
            <w:tcW w:w="4487" w:type="dxa"/>
            <w:gridSpan w:val="4"/>
            <w:tcBorders>
              <w:left w:val="single" w:sz="2" w:space="0" w:color="FFFFFF" w:themeColor="background1"/>
              <w:bottom w:val="single" w:sz="2" w:space="0" w:color="FFFFFF" w:themeColor="background1"/>
            </w:tcBorders>
            <w:hideMark/>
          </w:tcPr>
          <w:p w14:paraId="33F719A2"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Northern Territory</w:t>
            </w:r>
          </w:p>
        </w:tc>
      </w:tr>
      <w:tr w:rsidR="00877F1D" w:rsidRPr="00FF119C" w14:paraId="6F8615BA" w14:textId="77777777" w:rsidTr="00877F1D">
        <w:trPr>
          <w:cnfStyle w:val="100000000000" w:firstRow="1" w:lastRow="0" w:firstColumn="0" w:lastColumn="0" w:oddVBand="0" w:evenVBand="0" w:oddHBand="0" w:evenHBand="0" w:firstRowFirstColumn="0" w:firstRowLastColumn="0" w:lastRowFirstColumn="0" w:lastRowLastColumn="0"/>
          <w:tblHeader/>
        </w:trPr>
        <w:tc>
          <w:tcPr>
            <w:tcW w:w="1843" w:type="dxa"/>
            <w:tcBorders>
              <w:top w:val="single" w:sz="2" w:space="0" w:color="FFFFFF" w:themeColor="background1"/>
              <w:right w:val="single" w:sz="2" w:space="0" w:color="FFFFFF" w:themeColor="background1"/>
            </w:tcBorders>
            <w:hideMark/>
          </w:tcPr>
          <w:p w14:paraId="5B65BE46" w14:textId="77777777" w:rsidR="00877F1D" w:rsidRPr="00FF119C" w:rsidRDefault="00877F1D" w:rsidP="00DE7B71">
            <w:pPr>
              <w:pStyle w:val="NormalWeb"/>
              <w:rPr>
                <w:color w:val="FFFFFF" w:themeColor="background1"/>
                <w:sz w:val="18"/>
                <w:szCs w:val="18"/>
              </w:rPr>
            </w:pPr>
            <w:r w:rsidRPr="00FF119C">
              <w:rPr>
                <w:color w:val="FFFFFF" w:themeColor="background1"/>
                <w:sz w:val="18"/>
                <w:szCs w:val="18"/>
              </w:rPr>
              <w:t>Month</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69416C54"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2015–2019</w:t>
            </w:r>
          </w:p>
        </w:tc>
        <w:tc>
          <w:tcPr>
            <w:tcW w:w="789" w:type="dxa"/>
            <w:tcBorders>
              <w:top w:val="single" w:sz="2" w:space="0" w:color="FFFFFF" w:themeColor="background1"/>
              <w:left w:val="single" w:sz="2" w:space="0" w:color="FFFFFF" w:themeColor="background1"/>
              <w:right w:val="single" w:sz="2" w:space="0" w:color="FFFFFF" w:themeColor="background1"/>
            </w:tcBorders>
            <w:hideMark/>
          </w:tcPr>
          <w:p w14:paraId="0DE5B7BF"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2020</w:t>
            </w:r>
          </w:p>
        </w:tc>
        <w:tc>
          <w:tcPr>
            <w:tcW w:w="1122" w:type="dxa"/>
            <w:tcBorders>
              <w:top w:val="single" w:sz="2" w:space="0" w:color="FFFFFF" w:themeColor="background1"/>
              <w:left w:val="single" w:sz="2" w:space="0" w:color="FFFFFF" w:themeColor="background1"/>
              <w:right w:val="single" w:sz="2" w:space="0" w:color="FFFFFF" w:themeColor="background1"/>
            </w:tcBorders>
            <w:hideMark/>
          </w:tcPr>
          <w:p w14:paraId="40C6DD13"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1122" w:type="dxa"/>
            <w:tcBorders>
              <w:top w:val="single" w:sz="2" w:space="0" w:color="FFFFFF" w:themeColor="background1"/>
              <w:left w:val="single" w:sz="2" w:space="0" w:color="FFFFFF" w:themeColor="background1"/>
              <w:right w:val="single" w:sz="2" w:space="0" w:color="FFFFFF" w:themeColor="background1"/>
            </w:tcBorders>
            <w:hideMark/>
          </w:tcPr>
          <w:p w14:paraId="281BEEB5"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 change</w:t>
            </w:r>
          </w:p>
        </w:tc>
        <w:tc>
          <w:tcPr>
            <w:tcW w:w="1121" w:type="dxa"/>
            <w:tcBorders>
              <w:top w:val="single" w:sz="2" w:space="0" w:color="FFFFFF" w:themeColor="background1"/>
              <w:left w:val="single" w:sz="2" w:space="0" w:color="FFFFFF" w:themeColor="background1"/>
              <w:right w:val="single" w:sz="2" w:space="0" w:color="FFFFFF" w:themeColor="background1"/>
            </w:tcBorders>
            <w:hideMark/>
          </w:tcPr>
          <w:p w14:paraId="52A15032"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2015–2019</w:t>
            </w:r>
          </w:p>
        </w:tc>
        <w:tc>
          <w:tcPr>
            <w:tcW w:w="1122" w:type="dxa"/>
            <w:tcBorders>
              <w:top w:val="single" w:sz="2" w:space="0" w:color="FFFFFF" w:themeColor="background1"/>
              <w:left w:val="single" w:sz="2" w:space="0" w:color="FFFFFF" w:themeColor="background1"/>
              <w:right w:val="single" w:sz="2" w:space="0" w:color="FFFFFF" w:themeColor="background1"/>
            </w:tcBorders>
            <w:hideMark/>
          </w:tcPr>
          <w:p w14:paraId="118E8215"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2020</w:t>
            </w:r>
          </w:p>
        </w:tc>
        <w:tc>
          <w:tcPr>
            <w:tcW w:w="1122" w:type="dxa"/>
            <w:tcBorders>
              <w:top w:val="single" w:sz="2" w:space="0" w:color="FFFFFF" w:themeColor="background1"/>
              <w:left w:val="single" w:sz="2" w:space="0" w:color="FFFFFF" w:themeColor="background1"/>
              <w:right w:val="single" w:sz="2" w:space="0" w:color="FFFFFF" w:themeColor="background1"/>
            </w:tcBorders>
            <w:hideMark/>
          </w:tcPr>
          <w:p w14:paraId="23211308"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1122" w:type="dxa"/>
            <w:tcBorders>
              <w:top w:val="single" w:sz="2" w:space="0" w:color="FFFFFF" w:themeColor="background1"/>
              <w:left w:val="single" w:sz="2" w:space="0" w:color="FFFFFF" w:themeColor="background1"/>
              <w:right w:val="single" w:sz="2" w:space="0" w:color="FFFFFF" w:themeColor="background1"/>
            </w:tcBorders>
            <w:hideMark/>
          </w:tcPr>
          <w:p w14:paraId="46E3E49C"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 change</w:t>
            </w:r>
          </w:p>
        </w:tc>
        <w:tc>
          <w:tcPr>
            <w:tcW w:w="1121" w:type="dxa"/>
            <w:tcBorders>
              <w:top w:val="single" w:sz="2" w:space="0" w:color="FFFFFF" w:themeColor="background1"/>
              <w:left w:val="single" w:sz="2" w:space="0" w:color="FFFFFF" w:themeColor="background1"/>
              <w:right w:val="single" w:sz="2" w:space="0" w:color="FFFFFF" w:themeColor="background1"/>
            </w:tcBorders>
            <w:hideMark/>
          </w:tcPr>
          <w:p w14:paraId="2FC6122F"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2015–2019</w:t>
            </w:r>
          </w:p>
        </w:tc>
        <w:tc>
          <w:tcPr>
            <w:tcW w:w="1122" w:type="dxa"/>
            <w:tcBorders>
              <w:top w:val="single" w:sz="2" w:space="0" w:color="FFFFFF" w:themeColor="background1"/>
              <w:left w:val="single" w:sz="2" w:space="0" w:color="FFFFFF" w:themeColor="background1"/>
              <w:right w:val="single" w:sz="2" w:space="0" w:color="FFFFFF" w:themeColor="background1"/>
            </w:tcBorders>
            <w:hideMark/>
          </w:tcPr>
          <w:p w14:paraId="5CB462EC"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2020</w:t>
            </w:r>
          </w:p>
        </w:tc>
        <w:tc>
          <w:tcPr>
            <w:tcW w:w="1122" w:type="dxa"/>
            <w:tcBorders>
              <w:top w:val="single" w:sz="2" w:space="0" w:color="FFFFFF" w:themeColor="background1"/>
              <w:left w:val="single" w:sz="2" w:space="0" w:color="FFFFFF" w:themeColor="background1"/>
              <w:right w:val="single" w:sz="2" w:space="0" w:color="FFFFFF" w:themeColor="background1"/>
            </w:tcBorders>
            <w:hideMark/>
          </w:tcPr>
          <w:p w14:paraId="0F43ED60"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1122" w:type="dxa"/>
            <w:tcBorders>
              <w:top w:val="single" w:sz="2" w:space="0" w:color="FFFFFF" w:themeColor="background1"/>
              <w:left w:val="single" w:sz="2" w:space="0" w:color="FFFFFF" w:themeColor="background1"/>
            </w:tcBorders>
            <w:hideMark/>
          </w:tcPr>
          <w:p w14:paraId="3BF63618" w14:textId="77777777" w:rsidR="00877F1D" w:rsidRPr="00FF119C" w:rsidRDefault="00877F1D" w:rsidP="00DE7B71">
            <w:pPr>
              <w:pStyle w:val="NormalWeb"/>
              <w:jc w:val="center"/>
              <w:rPr>
                <w:color w:val="FFFFFF" w:themeColor="background1"/>
                <w:sz w:val="18"/>
                <w:szCs w:val="18"/>
              </w:rPr>
            </w:pPr>
            <w:r w:rsidRPr="00FF119C">
              <w:rPr>
                <w:color w:val="FFFFFF" w:themeColor="background1"/>
                <w:sz w:val="18"/>
                <w:szCs w:val="18"/>
              </w:rPr>
              <w:t>% change</w:t>
            </w:r>
          </w:p>
        </w:tc>
      </w:tr>
      <w:tr w:rsidR="00877F1D" w:rsidRPr="00FF119C" w14:paraId="049F3E62" w14:textId="77777777" w:rsidTr="00877F1D">
        <w:tblPrEx>
          <w:tblCellMar>
            <w:top w:w="57" w:type="dxa"/>
            <w:left w:w="57" w:type="dxa"/>
            <w:bottom w:w="57" w:type="dxa"/>
            <w:right w:w="57" w:type="dxa"/>
          </w:tblCellMar>
        </w:tblPrEx>
        <w:tc>
          <w:tcPr>
            <w:tcW w:w="1843" w:type="dxa"/>
            <w:hideMark/>
          </w:tcPr>
          <w:p w14:paraId="05FC66B4" w14:textId="77777777" w:rsidR="00877F1D" w:rsidRPr="00FF119C" w:rsidRDefault="00877F1D" w:rsidP="00DE7B71">
            <w:pPr>
              <w:pStyle w:val="NormalWeb"/>
              <w:rPr>
                <w:sz w:val="18"/>
                <w:szCs w:val="18"/>
              </w:rPr>
            </w:pPr>
            <w:r w:rsidRPr="00FF119C">
              <w:rPr>
                <w:sz w:val="18"/>
                <w:szCs w:val="18"/>
              </w:rPr>
              <w:t>Jan</w:t>
            </w:r>
          </w:p>
        </w:tc>
        <w:tc>
          <w:tcPr>
            <w:tcW w:w="1134" w:type="dxa"/>
            <w:hideMark/>
          </w:tcPr>
          <w:p w14:paraId="3EFCAAAF" w14:textId="77777777" w:rsidR="00877F1D" w:rsidRPr="00FF119C" w:rsidRDefault="00877F1D" w:rsidP="00DE7B71">
            <w:pPr>
              <w:pStyle w:val="NormalWeb"/>
              <w:jc w:val="center"/>
              <w:rPr>
                <w:sz w:val="18"/>
                <w:szCs w:val="18"/>
              </w:rPr>
            </w:pPr>
            <w:r w:rsidRPr="00FF119C">
              <w:rPr>
                <w:sz w:val="18"/>
                <w:szCs w:val="18"/>
              </w:rPr>
              <w:t>6.7</w:t>
            </w:r>
          </w:p>
        </w:tc>
        <w:tc>
          <w:tcPr>
            <w:tcW w:w="789" w:type="dxa"/>
            <w:hideMark/>
          </w:tcPr>
          <w:p w14:paraId="7E2CC440" w14:textId="77777777" w:rsidR="00877F1D" w:rsidRPr="00FF119C" w:rsidRDefault="00877F1D" w:rsidP="00DE7B71">
            <w:pPr>
              <w:pStyle w:val="NormalWeb"/>
              <w:jc w:val="center"/>
              <w:rPr>
                <w:sz w:val="18"/>
                <w:szCs w:val="18"/>
              </w:rPr>
            </w:pPr>
            <w:r w:rsidRPr="00FF119C">
              <w:rPr>
                <w:sz w:val="18"/>
                <w:szCs w:val="18"/>
              </w:rPr>
              <w:t>3.8</w:t>
            </w:r>
          </w:p>
        </w:tc>
        <w:tc>
          <w:tcPr>
            <w:tcW w:w="1122" w:type="dxa"/>
            <w:hideMark/>
          </w:tcPr>
          <w:p w14:paraId="1671D2CC" w14:textId="77777777" w:rsidR="00877F1D" w:rsidRPr="00FF119C" w:rsidRDefault="00877F1D" w:rsidP="00DE7B71">
            <w:pPr>
              <w:pStyle w:val="NormalWeb"/>
              <w:jc w:val="center"/>
              <w:rPr>
                <w:sz w:val="18"/>
                <w:szCs w:val="18"/>
              </w:rPr>
            </w:pPr>
            <w:r w:rsidRPr="00FF119C">
              <w:rPr>
                <w:sz w:val="18"/>
                <w:szCs w:val="18"/>
              </w:rPr>
              <w:t>-2.9</w:t>
            </w:r>
          </w:p>
        </w:tc>
        <w:tc>
          <w:tcPr>
            <w:tcW w:w="1122" w:type="dxa"/>
            <w:hideMark/>
          </w:tcPr>
          <w:p w14:paraId="27B0A637" w14:textId="77777777" w:rsidR="00877F1D" w:rsidRPr="00FF119C" w:rsidRDefault="00877F1D" w:rsidP="00DE7B71">
            <w:pPr>
              <w:pStyle w:val="NormalWeb"/>
              <w:jc w:val="center"/>
              <w:rPr>
                <w:sz w:val="18"/>
                <w:szCs w:val="18"/>
              </w:rPr>
            </w:pPr>
            <w:r w:rsidRPr="00FF119C">
              <w:rPr>
                <w:sz w:val="18"/>
                <w:szCs w:val="18"/>
              </w:rPr>
              <w:t>-43.3</w:t>
            </w:r>
          </w:p>
        </w:tc>
        <w:tc>
          <w:tcPr>
            <w:tcW w:w="1121" w:type="dxa"/>
            <w:hideMark/>
          </w:tcPr>
          <w:p w14:paraId="3EE5581C" w14:textId="77777777" w:rsidR="00877F1D" w:rsidRPr="00FF119C" w:rsidRDefault="00877F1D" w:rsidP="00DE7B71">
            <w:pPr>
              <w:pStyle w:val="NormalWeb"/>
              <w:jc w:val="center"/>
              <w:rPr>
                <w:sz w:val="18"/>
                <w:szCs w:val="18"/>
              </w:rPr>
            </w:pPr>
            <w:r w:rsidRPr="00FF119C">
              <w:rPr>
                <w:sz w:val="18"/>
                <w:szCs w:val="18"/>
              </w:rPr>
              <w:t>6.7</w:t>
            </w:r>
          </w:p>
        </w:tc>
        <w:tc>
          <w:tcPr>
            <w:tcW w:w="1122" w:type="dxa"/>
            <w:hideMark/>
          </w:tcPr>
          <w:p w14:paraId="7F71F2A0" w14:textId="77777777" w:rsidR="00877F1D" w:rsidRPr="00FF119C" w:rsidRDefault="00877F1D" w:rsidP="00DE7B71">
            <w:pPr>
              <w:pStyle w:val="NormalWeb"/>
              <w:jc w:val="center"/>
              <w:rPr>
                <w:sz w:val="18"/>
                <w:szCs w:val="18"/>
              </w:rPr>
            </w:pPr>
            <w:r w:rsidRPr="00FF119C">
              <w:rPr>
                <w:sz w:val="18"/>
                <w:szCs w:val="18"/>
              </w:rPr>
              <w:t>5.2</w:t>
            </w:r>
          </w:p>
        </w:tc>
        <w:tc>
          <w:tcPr>
            <w:tcW w:w="1122" w:type="dxa"/>
            <w:hideMark/>
          </w:tcPr>
          <w:p w14:paraId="5175D6C4" w14:textId="77777777" w:rsidR="00877F1D" w:rsidRPr="00FF119C" w:rsidRDefault="00877F1D" w:rsidP="00DE7B71">
            <w:pPr>
              <w:pStyle w:val="NormalWeb"/>
              <w:jc w:val="center"/>
              <w:rPr>
                <w:sz w:val="18"/>
                <w:szCs w:val="18"/>
              </w:rPr>
            </w:pPr>
            <w:r w:rsidRPr="00FF119C">
              <w:rPr>
                <w:sz w:val="18"/>
                <w:szCs w:val="18"/>
              </w:rPr>
              <w:t>-1.5</w:t>
            </w:r>
          </w:p>
        </w:tc>
        <w:tc>
          <w:tcPr>
            <w:tcW w:w="1122" w:type="dxa"/>
            <w:hideMark/>
          </w:tcPr>
          <w:p w14:paraId="30BCF3BF" w14:textId="77777777" w:rsidR="00877F1D" w:rsidRPr="00FF119C" w:rsidRDefault="00877F1D" w:rsidP="00DE7B71">
            <w:pPr>
              <w:pStyle w:val="NormalWeb"/>
              <w:jc w:val="center"/>
              <w:rPr>
                <w:sz w:val="18"/>
                <w:szCs w:val="18"/>
              </w:rPr>
            </w:pPr>
            <w:r w:rsidRPr="00FF119C">
              <w:rPr>
                <w:sz w:val="18"/>
                <w:szCs w:val="18"/>
              </w:rPr>
              <w:t>-22.4</w:t>
            </w:r>
          </w:p>
        </w:tc>
        <w:tc>
          <w:tcPr>
            <w:tcW w:w="1121" w:type="dxa"/>
            <w:hideMark/>
          </w:tcPr>
          <w:p w14:paraId="5BDFB85B" w14:textId="77777777" w:rsidR="00877F1D" w:rsidRPr="00FF119C" w:rsidRDefault="00877F1D" w:rsidP="00DE7B71">
            <w:pPr>
              <w:pStyle w:val="NormalWeb"/>
              <w:jc w:val="center"/>
              <w:rPr>
                <w:sz w:val="18"/>
                <w:szCs w:val="18"/>
              </w:rPr>
            </w:pPr>
            <w:r w:rsidRPr="00FF119C">
              <w:rPr>
                <w:sz w:val="18"/>
                <w:szCs w:val="18"/>
              </w:rPr>
              <w:t>18.6</w:t>
            </w:r>
          </w:p>
        </w:tc>
        <w:tc>
          <w:tcPr>
            <w:tcW w:w="1122" w:type="dxa"/>
            <w:hideMark/>
          </w:tcPr>
          <w:p w14:paraId="30B07053" w14:textId="77777777" w:rsidR="00877F1D" w:rsidRPr="00FF119C" w:rsidRDefault="00877F1D" w:rsidP="00DE7B71">
            <w:pPr>
              <w:pStyle w:val="NormalWeb"/>
              <w:jc w:val="center"/>
              <w:rPr>
                <w:sz w:val="18"/>
                <w:szCs w:val="18"/>
              </w:rPr>
            </w:pPr>
            <w:r w:rsidRPr="00FF119C">
              <w:rPr>
                <w:sz w:val="18"/>
                <w:szCs w:val="18"/>
              </w:rPr>
              <w:t>17.9</w:t>
            </w:r>
          </w:p>
        </w:tc>
        <w:tc>
          <w:tcPr>
            <w:tcW w:w="1122" w:type="dxa"/>
            <w:hideMark/>
          </w:tcPr>
          <w:p w14:paraId="7BD1DDE4" w14:textId="77777777" w:rsidR="00877F1D" w:rsidRPr="00FF119C" w:rsidRDefault="00877F1D" w:rsidP="00DE7B71">
            <w:pPr>
              <w:pStyle w:val="NormalWeb"/>
              <w:jc w:val="center"/>
              <w:rPr>
                <w:sz w:val="18"/>
                <w:szCs w:val="18"/>
              </w:rPr>
            </w:pPr>
            <w:r w:rsidRPr="00FF119C">
              <w:rPr>
                <w:sz w:val="18"/>
                <w:szCs w:val="18"/>
              </w:rPr>
              <w:t>-0.7</w:t>
            </w:r>
          </w:p>
        </w:tc>
        <w:tc>
          <w:tcPr>
            <w:tcW w:w="1122" w:type="dxa"/>
            <w:hideMark/>
          </w:tcPr>
          <w:p w14:paraId="3D3A6771" w14:textId="77777777" w:rsidR="00877F1D" w:rsidRPr="00FF119C" w:rsidRDefault="00877F1D" w:rsidP="00DE7B71">
            <w:pPr>
              <w:pStyle w:val="NormalWeb"/>
              <w:jc w:val="center"/>
              <w:rPr>
                <w:sz w:val="18"/>
                <w:szCs w:val="18"/>
              </w:rPr>
            </w:pPr>
            <w:r w:rsidRPr="00FF119C">
              <w:rPr>
                <w:sz w:val="18"/>
                <w:szCs w:val="18"/>
              </w:rPr>
              <w:t>-3.8</w:t>
            </w:r>
          </w:p>
        </w:tc>
      </w:tr>
      <w:tr w:rsidR="00877F1D" w:rsidRPr="00FF119C" w14:paraId="3C059CFD" w14:textId="77777777" w:rsidTr="00877F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843" w:type="dxa"/>
            <w:hideMark/>
          </w:tcPr>
          <w:p w14:paraId="6C28F164" w14:textId="77777777" w:rsidR="00877F1D" w:rsidRPr="00FF119C" w:rsidRDefault="00877F1D" w:rsidP="00DE7B71">
            <w:pPr>
              <w:pStyle w:val="NormalWeb"/>
              <w:rPr>
                <w:sz w:val="18"/>
                <w:szCs w:val="18"/>
              </w:rPr>
            </w:pPr>
            <w:r w:rsidRPr="00FF119C">
              <w:rPr>
                <w:sz w:val="18"/>
                <w:szCs w:val="18"/>
              </w:rPr>
              <w:t>Feb</w:t>
            </w:r>
          </w:p>
        </w:tc>
        <w:tc>
          <w:tcPr>
            <w:tcW w:w="1134" w:type="dxa"/>
            <w:hideMark/>
          </w:tcPr>
          <w:p w14:paraId="79C18794" w14:textId="77777777" w:rsidR="00877F1D" w:rsidRPr="00FF119C" w:rsidRDefault="00877F1D" w:rsidP="00DE7B71">
            <w:pPr>
              <w:pStyle w:val="NormalWeb"/>
              <w:jc w:val="center"/>
              <w:rPr>
                <w:sz w:val="18"/>
                <w:szCs w:val="18"/>
              </w:rPr>
            </w:pPr>
            <w:r w:rsidRPr="00FF119C">
              <w:rPr>
                <w:sz w:val="18"/>
                <w:szCs w:val="18"/>
              </w:rPr>
              <w:t>7.8</w:t>
            </w:r>
          </w:p>
        </w:tc>
        <w:tc>
          <w:tcPr>
            <w:tcW w:w="789" w:type="dxa"/>
            <w:hideMark/>
          </w:tcPr>
          <w:p w14:paraId="107B3B85" w14:textId="77777777" w:rsidR="00877F1D" w:rsidRPr="00FF119C" w:rsidRDefault="00877F1D" w:rsidP="00DE7B71">
            <w:pPr>
              <w:pStyle w:val="NormalWeb"/>
              <w:jc w:val="center"/>
              <w:rPr>
                <w:sz w:val="18"/>
                <w:szCs w:val="18"/>
              </w:rPr>
            </w:pPr>
            <w:r w:rsidRPr="00FF119C">
              <w:rPr>
                <w:sz w:val="18"/>
                <w:szCs w:val="18"/>
              </w:rPr>
              <w:t>6.3</w:t>
            </w:r>
          </w:p>
        </w:tc>
        <w:tc>
          <w:tcPr>
            <w:tcW w:w="1122" w:type="dxa"/>
            <w:hideMark/>
          </w:tcPr>
          <w:p w14:paraId="62A70F71" w14:textId="77777777" w:rsidR="00877F1D" w:rsidRPr="00FF119C" w:rsidRDefault="00877F1D" w:rsidP="00DE7B71">
            <w:pPr>
              <w:pStyle w:val="NormalWeb"/>
              <w:jc w:val="center"/>
              <w:rPr>
                <w:sz w:val="18"/>
                <w:szCs w:val="18"/>
              </w:rPr>
            </w:pPr>
            <w:r w:rsidRPr="00FF119C">
              <w:rPr>
                <w:sz w:val="18"/>
                <w:szCs w:val="18"/>
              </w:rPr>
              <w:t>-1.5</w:t>
            </w:r>
          </w:p>
        </w:tc>
        <w:tc>
          <w:tcPr>
            <w:tcW w:w="1122" w:type="dxa"/>
            <w:hideMark/>
          </w:tcPr>
          <w:p w14:paraId="3E084FBF" w14:textId="77777777" w:rsidR="00877F1D" w:rsidRPr="00FF119C" w:rsidRDefault="00877F1D" w:rsidP="00DE7B71">
            <w:pPr>
              <w:pStyle w:val="NormalWeb"/>
              <w:jc w:val="center"/>
              <w:rPr>
                <w:sz w:val="18"/>
                <w:szCs w:val="18"/>
              </w:rPr>
            </w:pPr>
            <w:r w:rsidRPr="00FF119C">
              <w:rPr>
                <w:sz w:val="18"/>
                <w:szCs w:val="18"/>
              </w:rPr>
              <w:t>-19.2</w:t>
            </w:r>
          </w:p>
        </w:tc>
        <w:tc>
          <w:tcPr>
            <w:tcW w:w="1121" w:type="dxa"/>
            <w:hideMark/>
          </w:tcPr>
          <w:p w14:paraId="5FE8293A" w14:textId="77777777" w:rsidR="00877F1D" w:rsidRPr="00FF119C" w:rsidRDefault="00877F1D" w:rsidP="00DE7B71">
            <w:pPr>
              <w:pStyle w:val="NormalWeb"/>
              <w:jc w:val="center"/>
              <w:rPr>
                <w:sz w:val="18"/>
                <w:szCs w:val="18"/>
              </w:rPr>
            </w:pPr>
            <w:r w:rsidRPr="00FF119C">
              <w:rPr>
                <w:sz w:val="18"/>
                <w:szCs w:val="18"/>
              </w:rPr>
              <w:t>6.1</w:t>
            </w:r>
          </w:p>
        </w:tc>
        <w:tc>
          <w:tcPr>
            <w:tcW w:w="1122" w:type="dxa"/>
            <w:hideMark/>
          </w:tcPr>
          <w:p w14:paraId="688283EA" w14:textId="77777777" w:rsidR="00877F1D" w:rsidRPr="00FF119C" w:rsidRDefault="00877F1D" w:rsidP="00DE7B71">
            <w:pPr>
              <w:pStyle w:val="NormalWeb"/>
              <w:jc w:val="center"/>
              <w:rPr>
                <w:sz w:val="18"/>
                <w:szCs w:val="18"/>
              </w:rPr>
            </w:pPr>
            <w:r w:rsidRPr="00FF119C">
              <w:rPr>
                <w:sz w:val="18"/>
                <w:szCs w:val="18"/>
              </w:rPr>
              <w:t>8.1</w:t>
            </w:r>
          </w:p>
        </w:tc>
        <w:tc>
          <w:tcPr>
            <w:tcW w:w="1122" w:type="dxa"/>
            <w:hideMark/>
          </w:tcPr>
          <w:p w14:paraId="720B8CC9" w14:textId="77777777" w:rsidR="00877F1D" w:rsidRPr="00FF119C" w:rsidRDefault="00877F1D" w:rsidP="00DE7B71">
            <w:pPr>
              <w:pStyle w:val="NormalWeb"/>
              <w:jc w:val="center"/>
              <w:rPr>
                <w:sz w:val="18"/>
                <w:szCs w:val="18"/>
              </w:rPr>
            </w:pPr>
            <w:r w:rsidRPr="00FF119C">
              <w:rPr>
                <w:sz w:val="18"/>
                <w:szCs w:val="18"/>
              </w:rPr>
              <w:t>2.0</w:t>
            </w:r>
          </w:p>
        </w:tc>
        <w:tc>
          <w:tcPr>
            <w:tcW w:w="1122" w:type="dxa"/>
            <w:hideMark/>
          </w:tcPr>
          <w:p w14:paraId="4024E09F" w14:textId="77777777" w:rsidR="00877F1D" w:rsidRPr="00FF119C" w:rsidRDefault="00877F1D" w:rsidP="00DE7B71">
            <w:pPr>
              <w:pStyle w:val="NormalWeb"/>
              <w:jc w:val="center"/>
              <w:rPr>
                <w:sz w:val="18"/>
                <w:szCs w:val="18"/>
              </w:rPr>
            </w:pPr>
            <w:r w:rsidRPr="00FF119C">
              <w:rPr>
                <w:sz w:val="18"/>
                <w:szCs w:val="18"/>
              </w:rPr>
              <w:t>32.8</w:t>
            </w:r>
          </w:p>
        </w:tc>
        <w:tc>
          <w:tcPr>
            <w:tcW w:w="1121" w:type="dxa"/>
            <w:hideMark/>
          </w:tcPr>
          <w:p w14:paraId="61CA194A" w14:textId="77777777" w:rsidR="00877F1D" w:rsidRPr="00FF119C" w:rsidRDefault="00877F1D" w:rsidP="00DE7B71">
            <w:pPr>
              <w:pStyle w:val="NormalWeb"/>
              <w:jc w:val="center"/>
              <w:rPr>
                <w:sz w:val="18"/>
                <w:szCs w:val="18"/>
              </w:rPr>
            </w:pPr>
            <w:r w:rsidRPr="00FF119C">
              <w:rPr>
                <w:sz w:val="18"/>
                <w:szCs w:val="18"/>
              </w:rPr>
              <w:t>16.6</w:t>
            </w:r>
          </w:p>
        </w:tc>
        <w:tc>
          <w:tcPr>
            <w:tcW w:w="1122" w:type="dxa"/>
            <w:hideMark/>
          </w:tcPr>
          <w:p w14:paraId="21390A72" w14:textId="77777777" w:rsidR="00877F1D" w:rsidRPr="00FF119C" w:rsidRDefault="00877F1D" w:rsidP="00DE7B71">
            <w:pPr>
              <w:pStyle w:val="NormalWeb"/>
              <w:jc w:val="center"/>
              <w:rPr>
                <w:sz w:val="18"/>
                <w:szCs w:val="18"/>
              </w:rPr>
            </w:pPr>
            <w:r w:rsidRPr="00FF119C">
              <w:rPr>
                <w:sz w:val="18"/>
                <w:szCs w:val="18"/>
              </w:rPr>
              <w:t>21.9</w:t>
            </w:r>
          </w:p>
        </w:tc>
        <w:tc>
          <w:tcPr>
            <w:tcW w:w="1122" w:type="dxa"/>
            <w:hideMark/>
          </w:tcPr>
          <w:p w14:paraId="245273BC" w14:textId="77777777" w:rsidR="00877F1D" w:rsidRPr="00FF119C" w:rsidRDefault="00877F1D" w:rsidP="00DE7B71">
            <w:pPr>
              <w:pStyle w:val="NormalWeb"/>
              <w:jc w:val="center"/>
              <w:rPr>
                <w:sz w:val="18"/>
                <w:szCs w:val="18"/>
              </w:rPr>
            </w:pPr>
            <w:r w:rsidRPr="00FF119C">
              <w:rPr>
                <w:sz w:val="18"/>
                <w:szCs w:val="18"/>
              </w:rPr>
              <w:t>5.3</w:t>
            </w:r>
          </w:p>
        </w:tc>
        <w:tc>
          <w:tcPr>
            <w:tcW w:w="1122" w:type="dxa"/>
            <w:hideMark/>
          </w:tcPr>
          <w:p w14:paraId="0A2EAF3E" w14:textId="77777777" w:rsidR="00877F1D" w:rsidRPr="00FF119C" w:rsidRDefault="00877F1D" w:rsidP="00DE7B71">
            <w:pPr>
              <w:pStyle w:val="NormalWeb"/>
              <w:jc w:val="center"/>
              <w:rPr>
                <w:sz w:val="18"/>
                <w:szCs w:val="18"/>
              </w:rPr>
            </w:pPr>
            <w:r w:rsidRPr="00FF119C">
              <w:rPr>
                <w:sz w:val="18"/>
                <w:szCs w:val="18"/>
              </w:rPr>
              <w:t>31.9</w:t>
            </w:r>
          </w:p>
        </w:tc>
      </w:tr>
      <w:tr w:rsidR="00877F1D" w:rsidRPr="00FF119C" w14:paraId="3F8500EA" w14:textId="77777777" w:rsidTr="00877F1D">
        <w:tblPrEx>
          <w:tblCellMar>
            <w:top w:w="57" w:type="dxa"/>
            <w:left w:w="57" w:type="dxa"/>
            <w:bottom w:w="57" w:type="dxa"/>
            <w:right w:w="57" w:type="dxa"/>
          </w:tblCellMar>
        </w:tblPrEx>
        <w:tc>
          <w:tcPr>
            <w:tcW w:w="1843" w:type="dxa"/>
            <w:hideMark/>
          </w:tcPr>
          <w:p w14:paraId="3E6469FB" w14:textId="77777777" w:rsidR="00877F1D" w:rsidRPr="00FF119C" w:rsidRDefault="00877F1D" w:rsidP="00DE7B71">
            <w:pPr>
              <w:pStyle w:val="NormalWeb"/>
              <w:rPr>
                <w:sz w:val="18"/>
                <w:szCs w:val="18"/>
              </w:rPr>
            </w:pPr>
            <w:r w:rsidRPr="00FF119C">
              <w:rPr>
                <w:sz w:val="18"/>
                <w:szCs w:val="18"/>
              </w:rPr>
              <w:t>Mar</w:t>
            </w:r>
          </w:p>
        </w:tc>
        <w:tc>
          <w:tcPr>
            <w:tcW w:w="1134" w:type="dxa"/>
            <w:hideMark/>
          </w:tcPr>
          <w:p w14:paraId="2D429462" w14:textId="77777777" w:rsidR="00877F1D" w:rsidRPr="00FF119C" w:rsidRDefault="00877F1D" w:rsidP="00DE7B71">
            <w:pPr>
              <w:pStyle w:val="NormalWeb"/>
              <w:jc w:val="center"/>
              <w:rPr>
                <w:sz w:val="18"/>
                <w:szCs w:val="18"/>
              </w:rPr>
            </w:pPr>
            <w:r w:rsidRPr="00FF119C">
              <w:rPr>
                <w:sz w:val="18"/>
                <w:szCs w:val="18"/>
              </w:rPr>
              <w:t>5.5</w:t>
            </w:r>
          </w:p>
        </w:tc>
        <w:tc>
          <w:tcPr>
            <w:tcW w:w="789" w:type="dxa"/>
            <w:hideMark/>
          </w:tcPr>
          <w:p w14:paraId="6E43310A" w14:textId="77777777" w:rsidR="00877F1D" w:rsidRPr="00FF119C" w:rsidRDefault="00877F1D" w:rsidP="00DE7B71">
            <w:pPr>
              <w:pStyle w:val="NormalWeb"/>
              <w:jc w:val="center"/>
              <w:rPr>
                <w:sz w:val="18"/>
                <w:szCs w:val="18"/>
              </w:rPr>
            </w:pPr>
            <w:r w:rsidRPr="00FF119C">
              <w:rPr>
                <w:sz w:val="18"/>
                <w:szCs w:val="18"/>
              </w:rPr>
              <w:t>3.1</w:t>
            </w:r>
          </w:p>
        </w:tc>
        <w:tc>
          <w:tcPr>
            <w:tcW w:w="1122" w:type="dxa"/>
            <w:hideMark/>
          </w:tcPr>
          <w:p w14:paraId="22BD4ABD" w14:textId="77777777" w:rsidR="00877F1D" w:rsidRPr="00FF119C" w:rsidRDefault="00877F1D" w:rsidP="00DE7B71">
            <w:pPr>
              <w:pStyle w:val="NormalWeb"/>
              <w:jc w:val="center"/>
              <w:rPr>
                <w:sz w:val="18"/>
                <w:szCs w:val="18"/>
              </w:rPr>
            </w:pPr>
            <w:r w:rsidRPr="00FF119C">
              <w:rPr>
                <w:sz w:val="18"/>
                <w:szCs w:val="18"/>
              </w:rPr>
              <w:t>-2.4</w:t>
            </w:r>
          </w:p>
        </w:tc>
        <w:tc>
          <w:tcPr>
            <w:tcW w:w="1122" w:type="dxa"/>
            <w:hideMark/>
          </w:tcPr>
          <w:p w14:paraId="52E9031C" w14:textId="77777777" w:rsidR="00877F1D" w:rsidRPr="00FF119C" w:rsidRDefault="00877F1D" w:rsidP="00DE7B71">
            <w:pPr>
              <w:pStyle w:val="NormalWeb"/>
              <w:jc w:val="center"/>
              <w:rPr>
                <w:sz w:val="18"/>
                <w:szCs w:val="18"/>
              </w:rPr>
            </w:pPr>
            <w:r w:rsidRPr="00FF119C">
              <w:rPr>
                <w:sz w:val="18"/>
                <w:szCs w:val="18"/>
              </w:rPr>
              <w:t>-43.6</w:t>
            </w:r>
          </w:p>
        </w:tc>
        <w:tc>
          <w:tcPr>
            <w:tcW w:w="1121" w:type="dxa"/>
            <w:hideMark/>
          </w:tcPr>
          <w:p w14:paraId="502929D4" w14:textId="77777777" w:rsidR="00877F1D" w:rsidRPr="00FF119C" w:rsidRDefault="00877F1D" w:rsidP="00DE7B71">
            <w:pPr>
              <w:pStyle w:val="NormalWeb"/>
              <w:jc w:val="center"/>
              <w:rPr>
                <w:sz w:val="18"/>
                <w:szCs w:val="18"/>
              </w:rPr>
            </w:pPr>
            <w:r w:rsidRPr="00FF119C">
              <w:rPr>
                <w:sz w:val="18"/>
                <w:szCs w:val="18"/>
              </w:rPr>
              <w:t>5.7</w:t>
            </w:r>
          </w:p>
        </w:tc>
        <w:tc>
          <w:tcPr>
            <w:tcW w:w="1122" w:type="dxa"/>
            <w:hideMark/>
          </w:tcPr>
          <w:p w14:paraId="56368FFE" w14:textId="77777777" w:rsidR="00877F1D" w:rsidRPr="00FF119C" w:rsidRDefault="00877F1D" w:rsidP="00DE7B71">
            <w:pPr>
              <w:pStyle w:val="NormalWeb"/>
              <w:jc w:val="center"/>
              <w:rPr>
                <w:sz w:val="18"/>
                <w:szCs w:val="18"/>
              </w:rPr>
            </w:pPr>
            <w:r w:rsidRPr="00FF119C">
              <w:rPr>
                <w:sz w:val="18"/>
                <w:szCs w:val="18"/>
              </w:rPr>
              <w:t>4.1</w:t>
            </w:r>
          </w:p>
        </w:tc>
        <w:tc>
          <w:tcPr>
            <w:tcW w:w="1122" w:type="dxa"/>
            <w:hideMark/>
          </w:tcPr>
          <w:p w14:paraId="063EE549" w14:textId="77777777" w:rsidR="00877F1D" w:rsidRPr="00FF119C" w:rsidRDefault="00877F1D" w:rsidP="00DE7B71">
            <w:pPr>
              <w:pStyle w:val="NormalWeb"/>
              <w:jc w:val="center"/>
              <w:rPr>
                <w:sz w:val="18"/>
                <w:szCs w:val="18"/>
              </w:rPr>
            </w:pPr>
            <w:r w:rsidRPr="00FF119C">
              <w:rPr>
                <w:sz w:val="18"/>
                <w:szCs w:val="18"/>
              </w:rPr>
              <w:t>-1.6</w:t>
            </w:r>
          </w:p>
        </w:tc>
        <w:tc>
          <w:tcPr>
            <w:tcW w:w="1122" w:type="dxa"/>
            <w:hideMark/>
          </w:tcPr>
          <w:p w14:paraId="35EEC51D" w14:textId="77777777" w:rsidR="00877F1D" w:rsidRPr="00FF119C" w:rsidRDefault="00877F1D" w:rsidP="00DE7B71">
            <w:pPr>
              <w:pStyle w:val="NormalWeb"/>
              <w:jc w:val="center"/>
              <w:rPr>
                <w:sz w:val="18"/>
                <w:szCs w:val="18"/>
              </w:rPr>
            </w:pPr>
            <w:r w:rsidRPr="00FF119C">
              <w:rPr>
                <w:sz w:val="18"/>
                <w:szCs w:val="18"/>
              </w:rPr>
              <w:t>-28.1</w:t>
            </w:r>
          </w:p>
        </w:tc>
        <w:tc>
          <w:tcPr>
            <w:tcW w:w="1121" w:type="dxa"/>
            <w:hideMark/>
          </w:tcPr>
          <w:p w14:paraId="240CA7BA" w14:textId="77777777" w:rsidR="00877F1D" w:rsidRPr="00FF119C" w:rsidRDefault="00877F1D" w:rsidP="00DE7B71">
            <w:pPr>
              <w:pStyle w:val="NormalWeb"/>
              <w:jc w:val="center"/>
              <w:rPr>
                <w:sz w:val="18"/>
                <w:szCs w:val="18"/>
              </w:rPr>
            </w:pPr>
            <w:r w:rsidRPr="00FF119C">
              <w:rPr>
                <w:sz w:val="18"/>
                <w:szCs w:val="18"/>
              </w:rPr>
              <w:t>22.3</w:t>
            </w:r>
          </w:p>
        </w:tc>
        <w:tc>
          <w:tcPr>
            <w:tcW w:w="1122" w:type="dxa"/>
            <w:hideMark/>
          </w:tcPr>
          <w:p w14:paraId="148B5B45" w14:textId="77777777" w:rsidR="00877F1D" w:rsidRPr="00FF119C" w:rsidRDefault="00877F1D" w:rsidP="00DE7B71">
            <w:pPr>
              <w:pStyle w:val="NormalWeb"/>
              <w:jc w:val="center"/>
              <w:rPr>
                <w:sz w:val="18"/>
                <w:szCs w:val="18"/>
              </w:rPr>
            </w:pPr>
            <w:r w:rsidRPr="00FF119C">
              <w:rPr>
                <w:sz w:val="18"/>
                <w:szCs w:val="18"/>
              </w:rPr>
              <w:t>17.1</w:t>
            </w:r>
          </w:p>
        </w:tc>
        <w:tc>
          <w:tcPr>
            <w:tcW w:w="1122" w:type="dxa"/>
            <w:hideMark/>
          </w:tcPr>
          <w:p w14:paraId="41393198" w14:textId="77777777" w:rsidR="00877F1D" w:rsidRPr="00FF119C" w:rsidRDefault="00877F1D" w:rsidP="00DE7B71">
            <w:pPr>
              <w:pStyle w:val="NormalWeb"/>
              <w:jc w:val="center"/>
              <w:rPr>
                <w:sz w:val="18"/>
                <w:szCs w:val="18"/>
              </w:rPr>
            </w:pPr>
            <w:r w:rsidRPr="00FF119C">
              <w:rPr>
                <w:sz w:val="18"/>
                <w:szCs w:val="18"/>
              </w:rPr>
              <w:t>-5.2</w:t>
            </w:r>
          </w:p>
        </w:tc>
        <w:tc>
          <w:tcPr>
            <w:tcW w:w="1122" w:type="dxa"/>
            <w:hideMark/>
          </w:tcPr>
          <w:p w14:paraId="4A3071A7" w14:textId="77777777" w:rsidR="00877F1D" w:rsidRPr="00FF119C" w:rsidRDefault="00877F1D" w:rsidP="00DE7B71">
            <w:pPr>
              <w:pStyle w:val="NormalWeb"/>
              <w:jc w:val="center"/>
              <w:rPr>
                <w:sz w:val="18"/>
                <w:szCs w:val="18"/>
              </w:rPr>
            </w:pPr>
            <w:r w:rsidRPr="00FF119C">
              <w:rPr>
                <w:sz w:val="18"/>
                <w:szCs w:val="18"/>
              </w:rPr>
              <w:t>-23.3</w:t>
            </w:r>
          </w:p>
        </w:tc>
      </w:tr>
      <w:tr w:rsidR="00877F1D" w:rsidRPr="00FF119C" w14:paraId="7A1A7E38" w14:textId="77777777" w:rsidTr="00877F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843" w:type="dxa"/>
            <w:hideMark/>
          </w:tcPr>
          <w:p w14:paraId="6C80E467" w14:textId="77777777" w:rsidR="00877F1D" w:rsidRPr="00FF119C" w:rsidRDefault="00877F1D" w:rsidP="00DE7B71">
            <w:pPr>
              <w:pStyle w:val="NormalWeb"/>
              <w:rPr>
                <w:sz w:val="18"/>
                <w:szCs w:val="18"/>
              </w:rPr>
            </w:pPr>
            <w:r w:rsidRPr="00FF119C">
              <w:rPr>
                <w:sz w:val="18"/>
                <w:szCs w:val="18"/>
              </w:rPr>
              <w:t>Apr</w:t>
            </w:r>
          </w:p>
        </w:tc>
        <w:tc>
          <w:tcPr>
            <w:tcW w:w="1134" w:type="dxa"/>
            <w:hideMark/>
          </w:tcPr>
          <w:p w14:paraId="27C723A1" w14:textId="77777777" w:rsidR="00877F1D" w:rsidRPr="00FF119C" w:rsidRDefault="00877F1D" w:rsidP="00DE7B71">
            <w:pPr>
              <w:pStyle w:val="NormalWeb"/>
              <w:jc w:val="center"/>
              <w:rPr>
                <w:sz w:val="18"/>
                <w:szCs w:val="18"/>
              </w:rPr>
            </w:pPr>
            <w:r w:rsidRPr="00FF119C">
              <w:rPr>
                <w:sz w:val="18"/>
                <w:szCs w:val="18"/>
              </w:rPr>
              <w:t>3.5</w:t>
            </w:r>
          </w:p>
        </w:tc>
        <w:tc>
          <w:tcPr>
            <w:tcW w:w="789" w:type="dxa"/>
            <w:hideMark/>
          </w:tcPr>
          <w:p w14:paraId="1DAE93A8" w14:textId="77777777" w:rsidR="00877F1D" w:rsidRPr="00FF119C" w:rsidRDefault="00877F1D" w:rsidP="00DE7B71">
            <w:pPr>
              <w:pStyle w:val="NormalWeb"/>
              <w:jc w:val="center"/>
              <w:rPr>
                <w:sz w:val="18"/>
                <w:szCs w:val="18"/>
              </w:rPr>
            </w:pPr>
            <w:r w:rsidRPr="00FF119C">
              <w:rPr>
                <w:sz w:val="18"/>
                <w:szCs w:val="18"/>
              </w:rPr>
              <w:t>1.6</w:t>
            </w:r>
          </w:p>
        </w:tc>
        <w:tc>
          <w:tcPr>
            <w:tcW w:w="1122" w:type="dxa"/>
            <w:hideMark/>
          </w:tcPr>
          <w:p w14:paraId="4D636866" w14:textId="77777777" w:rsidR="00877F1D" w:rsidRPr="00FF119C" w:rsidRDefault="00877F1D" w:rsidP="00DE7B71">
            <w:pPr>
              <w:pStyle w:val="NormalWeb"/>
              <w:jc w:val="center"/>
              <w:rPr>
                <w:sz w:val="18"/>
                <w:szCs w:val="18"/>
              </w:rPr>
            </w:pPr>
            <w:r w:rsidRPr="00FF119C">
              <w:rPr>
                <w:sz w:val="18"/>
                <w:szCs w:val="18"/>
              </w:rPr>
              <w:t>-1.9</w:t>
            </w:r>
          </w:p>
        </w:tc>
        <w:tc>
          <w:tcPr>
            <w:tcW w:w="1122" w:type="dxa"/>
            <w:hideMark/>
          </w:tcPr>
          <w:p w14:paraId="79A8FF1F" w14:textId="77777777" w:rsidR="00877F1D" w:rsidRPr="00FF119C" w:rsidRDefault="00877F1D" w:rsidP="00DE7B71">
            <w:pPr>
              <w:pStyle w:val="NormalWeb"/>
              <w:jc w:val="center"/>
              <w:rPr>
                <w:sz w:val="18"/>
                <w:szCs w:val="18"/>
              </w:rPr>
            </w:pPr>
            <w:r w:rsidRPr="00FF119C">
              <w:rPr>
                <w:sz w:val="18"/>
                <w:szCs w:val="18"/>
              </w:rPr>
              <w:t>-54.3</w:t>
            </w:r>
          </w:p>
        </w:tc>
        <w:tc>
          <w:tcPr>
            <w:tcW w:w="1121" w:type="dxa"/>
            <w:hideMark/>
          </w:tcPr>
          <w:p w14:paraId="635041F2" w14:textId="77777777" w:rsidR="00877F1D" w:rsidRPr="00FF119C" w:rsidRDefault="00877F1D" w:rsidP="00DE7B71">
            <w:pPr>
              <w:pStyle w:val="NormalWeb"/>
              <w:jc w:val="center"/>
              <w:rPr>
                <w:sz w:val="18"/>
                <w:szCs w:val="18"/>
              </w:rPr>
            </w:pPr>
            <w:r w:rsidRPr="00FF119C">
              <w:rPr>
                <w:sz w:val="18"/>
                <w:szCs w:val="18"/>
              </w:rPr>
              <w:t>4.5</w:t>
            </w:r>
          </w:p>
        </w:tc>
        <w:tc>
          <w:tcPr>
            <w:tcW w:w="1122" w:type="dxa"/>
            <w:hideMark/>
          </w:tcPr>
          <w:p w14:paraId="18FEBA28" w14:textId="77777777" w:rsidR="00877F1D" w:rsidRPr="00FF119C" w:rsidRDefault="00877F1D" w:rsidP="00DE7B71">
            <w:pPr>
              <w:pStyle w:val="NormalWeb"/>
              <w:jc w:val="center"/>
              <w:rPr>
                <w:sz w:val="18"/>
                <w:szCs w:val="18"/>
              </w:rPr>
            </w:pPr>
            <w:r w:rsidRPr="00FF119C">
              <w:rPr>
                <w:sz w:val="18"/>
                <w:szCs w:val="18"/>
              </w:rPr>
              <w:t>2.3</w:t>
            </w:r>
          </w:p>
        </w:tc>
        <w:tc>
          <w:tcPr>
            <w:tcW w:w="1122" w:type="dxa"/>
            <w:hideMark/>
          </w:tcPr>
          <w:p w14:paraId="7F3850D1" w14:textId="77777777" w:rsidR="00877F1D" w:rsidRPr="00FF119C" w:rsidRDefault="00877F1D" w:rsidP="00DE7B71">
            <w:pPr>
              <w:pStyle w:val="NormalWeb"/>
              <w:jc w:val="center"/>
              <w:rPr>
                <w:sz w:val="18"/>
                <w:szCs w:val="18"/>
              </w:rPr>
            </w:pPr>
            <w:r w:rsidRPr="00FF119C">
              <w:rPr>
                <w:sz w:val="18"/>
                <w:szCs w:val="18"/>
              </w:rPr>
              <w:t>-2.2</w:t>
            </w:r>
          </w:p>
        </w:tc>
        <w:tc>
          <w:tcPr>
            <w:tcW w:w="1122" w:type="dxa"/>
            <w:hideMark/>
          </w:tcPr>
          <w:p w14:paraId="2E815C49" w14:textId="77777777" w:rsidR="00877F1D" w:rsidRPr="00FF119C" w:rsidRDefault="00877F1D" w:rsidP="00DE7B71">
            <w:pPr>
              <w:pStyle w:val="NormalWeb"/>
              <w:jc w:val="center"/>
              <w:rPr>
                <w:sz w:val="18"/>
                <w:szCs w:val="18"/>
              </w:rPr>
            </w:pPr>
            <w:r w:rsidRPr="00FF119C">
              <w:rPr>
                <w:sz w:val="18"/>
                <w:szCs w:val="18"/>
              </w:rPr>
              <w:t>-48.9</w:t>
            </w:r>
          </w:p>
        </w:tc>
        <w:tc>
          <w:tcPr>
            <w:tcW w:w="1121" w:type="dxa"/>
            <w:hideMark/>
          </w:tcPr>
          <w:p w14:paraId="33BE27D3" w14:textId="77777777" w:rsidR="00877F1D" w:rsidRPr="00FF119C" w:rsidRDefault="00877F1D" w:rsidP="00DE7B71">
            <w:pPr>
              <w:pStyle w:val="NormalWeb"/>
              <w:jc w:val="center"/>
              <w:rPr>
                <w:sz w:val="18"/>
                <w:szCs w:val="18"/>
              </w:rPr>
            </w:pPr>
            <w:r w:rsidRPr="00FF119C">
              <w:rPr>
                <w:sz w:val="18"/>
                <w:szCs w:val="18"/>
              </w:rPr>
              <w:t>20.4</w:t>
            </w:r>
          </w:p>
        </w:tc>
        <w:tc>
          <w:tcPr>
            <w:tcW w:w="1122" w:type="dxa"/>
            <w:hideMark/>
          </w:tcPr>
          <w:p w14:paraId="210A922F" w14:textId="77777777" w:rsidR="00877F1D" w:rsidRPr="00FF119C" w:rsidRDefault="00877F1D" w:rsidP="00DE7B71">
            <w:pPr>
              <w:pStyle w:val="NormalWeb"/>
              <w:jc w:val="center"/>
              <w:rPr>
                <w:sz w:val="18"/>
                <w:szCs w:val="18"/>
              </w:rPr>
            </w:pPr>
            <w:r w:rsidRPr="00FF119C">
              <w:rPr>
                <w:sz w:val="18"/>
                <w:szCs w:val="18"/>
              </w:rPr>
              <w:t>15.4</w:t>
            </w:r>
          </w:p>
        </w:tc>
        <w:tc>
          <w:tcPr>
            <w:tcW w:w="1122" w:type="dxa"/>
            <w:hideMark/>
          </w:tcPr>
          <w:p w14:paraId="2D96E852" w14:textId="77777777" w:rsidR="00877F1D" w:rsidRPr="00FF119C" w:rsidRDefault="00877F1D" w:rsidP="00DE7B71">
            <w:pPr>
              <w:pStyle w:val="NormalWeb"/>
              <w:jc w:val="center"/>
              <w:rPr>
                <w:sz w:val="18"/>
                <w:szCs w:val="18"/>
              </w:rPr>
            </w:pPr>
            <w:r w:rsidRPr="00FF119C">
              <w:rPr>
                <w:sz w:val="18"/>
                <w:szCs w:val="18"/>
              </w:rPr>
              <w:t>-5.0</w:t>
            </w:r>
          </w:p>
        </w:tc>
        <w:tc>
          <w:tcPr>
            <w:tcW w:w="1122" w:type="dxa"/>
            <w:hideMark/>
          </w:tcPr>
          <w:p w14:paraId="115B6410" w14:textId="77777777" w:rsidR="00877F1D" w:rsidRPr="00FF119C" w:rsidRDefault="00877F1D" w:rsidP="00DE7B71">
            <w:pPr>
              <w:pStyle w:val="NormalWeb"/>
              <w:jc w:val="center"/>
              <w:rPr>
                <w:sz w:val="18"/>
                <w:szCs w:val="18"/>
              </w:rPr>
            </w:pPr>
            <w:r w:rsidRPr="00FF119C">
              <w:rPr>
                <w:sz w:val="18"/>
                <w:szCs w:val="18"/>
              </w:rPr>
              <w:t>-24.5</w:t>
            </w:r>
          </w:p>
        </w:tc>
      </w:tr>
      <w:tr w:rsidR="00877F1D" w:rsidRPr="00FF119C" w14:paraId="2C54A1D0" w14:textId="77777777" w:rsidTr="00877F1D">
        <w:tblPrEx>
          <w:tblCellMar>
            <w:top w:w="57" w:type="dxa"/>
            <w:left w:w="57" w:type="dxa"/>
            <w:bottom w:w="57" w:type="dxa"/>
            <w:right w:w="57" w:type="dxa"/>
          </w:tblCellMar>
        </w:tblPrEx>
        <w:tc>
          <w:tcPr>
            <w:tcW w:w="1843" w:type="dxa"/>
            <w:hideMark/>
          </w:tcPr>
          <w:p w14:paraId="65692453" w14:textId="77777777" w:rsidR="00877F1D" w:rsidRPr="00FF119C" w:rsidRDefault="00877F1D" w:rsidP="00DE7B71">
            <w:pPr>
              <w:pStyle w:val="NormalWeb"/>
              <w:rPr>
                <w:sz w:val="18"/>
                <w:szCs w:val="18"/>
              </w:rPr>
            </w:pPr>
            <w:r w:rsidRPr="00FF119C">
              <w:rPr>
                <w:sz w:val="18"/>
                <w:szCs w:val="18"/>
              </w:rPr>
              <w:t>May</w:t>
            </w:r>
          </w:p>
        </w:tc>
        <w:tc>
          <w:tcPr>
            <w:tcW w:w="1134" w:type="dxa"/>
            <w:hideMark/>
          </w:tcPr>
          <w:p w14:paraId="0DA37945" w14:textId="77777777" w:rsidR="00877F1D" w:rsidRPr="00FF119C" w:rsidRDefault="00877F1D" w:rsidP="00DE7B71">
            <w:pPr>
              <w:pStyle w:val="NormalWeb"/>
              <w:jc w:val="center"/>
              <w:rPr>
                <w:sz w:val="18"/>
                <w:szCs w:val="18"/>
              </w:rPr>
            </w:pPr>
            <w:r w:rsidRPr="00FF119C">
              <w:rPr>
                <w:sz w:val="18"/>
                <w:szCs w:val="18"/>
              </w:rPr>
              <w:t>2.6</w:t>
            </w:r>
          </w:p>
        </w:tc>
        <w:tc>
          <w:tcPr>
            <w:tcW w:w="789" w:type="dxa"/>
            <w:hideMark/>
          </w:tcPr>
          <w:p w14:paraId="536FFBDF" w14:textId="77777777" w:rsidR="00877F1D" w:rsidRPr="00FF119C" w:rsidRDefault="00877F1D" w:rsidP="00DE7B71">
            <w:pPr>
              <w:pStyle w:val="NormalWeb"/>
              <w:jc w:val="center"/>
              <w:rPr>
                <w:sz w:val="18"/>
                <w:szCs w:val="18"/>
              </w:rPr>
            </w:pPr>
            <w:r w:rsidRPr="00FF119C">
              <w:rPr>
                <w:sz w:val="18"/>
                <w:szCs w:val="18"/>
              </w:rPr>
              <w:t>2.3</w:t>
            </w:r>
          </w:p>
        </w:tc>
        <w:tc>
          <w:tcPr>
            <w:tcW w:w="1122" w:type="dxa"/>
            <w:hideMark/>
          </w:tcPr>
          <w:p w14:paraId="0A1E6F82" w14:textId="77777777" w:rsidR="00877F1D" w:rsidRPr="00FF119C" w:rsidRDefault="00877F1D" w:rsidP="00DE7B71">
            <w:pPr>
              <w:pStyle w:val="NormalWeb"/>
              <w:jc w:val="center"/>
              <w:rPr>
                <w:sz w:val="18"/>
                <w:szCs w:val="18"/>
              </w:rPr>
            </w:pPr>
            <w:r w:rsidRPr="00FF119C">
              <w:rPr>
                <w:sz w:val="18"/>
                <w:szCs w:val="18"/>
              </w:rPr>
              <w:t>-0.3</w:t>
            </w:r>
          </w:p>
        </w:tc>
        <w:tc>
          <w:tcPr>
            <w:tcW w:w="1122" w:type="dxa"/>
            <w:hideMark/>
          </w:tcPr>
          <w:p w14:paraId="4CA88B5E" w14:textId="77777777" w:rsidR="00877F1D" w:rsidRPr="00FF119C" w:rsidRDefault="00877F1D" w:rsidP="00DE7B71">
            <w:pPr>
              <w:pStyle w:val="NormalWeb"/>
              <w:jc w:val="center"/>
              <w:rPr>
                <w:sz w:val="18"/>
                <w:szCs w:val="18"/>
              </w:rPr>
            </w:pPr>
            <w:r w:rsidRPr="00FF119C">
              <w:rPr>
                <w:sz w:val="18"/>
                <w:szCs w:val="18"/>
              </w:rPr>
              <w:t>-11.5</w:t>
            </w:r>
          </w:p>
        </w:tc>
        <w:tc>
          <w:tcPr>
            <w:tcW w:w="1121" w:type="dxa"/>
            <w:hideMark/>
          </w:tcPr>
          <w:p w14:paraId="78F77760" w14:textId="77777777" w:rsidR="00877F1D" w:rsidRPr="00FF119C" w:rsidRDefault="00877F1D" w:rsidP="00DE7B71">
            <w:pPr>
              <w:pStyle w:val="NormalWeb"/>
              <w:jc w:val="center"/>
              <w:rPr>
                <w:sz w:val="18"/>
                <w:szCs w:val="18"/>
              </w:rPr>
            </w:pPr>
            <w:r w:rsidRPr="00FF119C">
              <w:rPr>
                <w:sz w:val="18"/>
                <w:szCs w:val="18"/>
              </w:rPr>
              <w:t>3.7</w:t>
            </w:r>
          </w:p>
        </w:tc>
        <w:tc>
          <w:tcPr>
            <w:tcW w:w="1122" w:type="dxa"/>
            <w:hideMark/>
          </w:tcPr>
          <w:p w14:paraId="48ABA319" w14:textId="77777777" w:rsidR="00877F1D" w:rsidRPr="00FF119C" w:rsidRDefault="00877F1D" w:rsidP="00DE7B71">
            <w:pPr>
              <w:pStyle w:val="NormalWeb"/>
              <w:jc w:val="center"/>
              <w:rPr>
                <w:sz w:val="18"/>
                <w:szCs w:val="18"/>
              </w:rPr>
            </w:pPr>
            <w:r w:rsidRPr="00FF119C">
              <w:rPr>
                <w:sz w:val="18"/>
                <w:szCs w:val="18"/>
              </w:rPr>
              <w:t>2.5</w:t>
            </w:r>
          </w:p>
        </w:tc>
        <w:tc>
          <w:tcPr>
            <w:tcW w:w="1122" w:type="dxa"/>
            <w:hideMark/>
          </w:tcPr>
          <w:p w14:paraId="7B9CCE6B" w14:textId="77777777" w:rsidR="00877F1D" w:rsidRPr="00FF119C" w:rsidRDefault="00877F1D" w:rsidP="00DE7B71">
            <w:pPr>
              <w:pStyle w:val="NormalWeb"/>
              <w:jc w:val="center"/>
              <w:rPr>
                <w:sz w:val="18"/>
                <w:szCs w:val="18"/>
              </w:rPr>
            </w:pPr>
            <w:r w:rsidRPr="00FF119C">
              <w:rPr>
                <w:sz w:val="18"/>
                <w:szCs w:val="18"/>
              </w:rPr>
              <w:t>-1.2</w:t>
            </w:r>
          </w:p>
        </w:tc>
        <w:tc>
          <w:tcPr>
            <w:tcW w:w="1122" w:type="dxa"/>
            <w:hideMark/>
          </w:tcPr>
          <w:p w14:paraId="49A7E4FE" w14:textId="77777777" w:rsidR="00877F1D" w:rsidRPr="00FF119C" w:rsidRDefault="00877F1D" w:rsidP="00DE7B71">
            <w:pPr>
              <w:pStyle w:val="NormalWeb"/>
              <w:jc w:val="center"/>
              <w:rPr>
                <w:sz w:val="18"/>
                <w:szCs w:val="18"/>
              </w:rPr>
            </w:pPr>
            <w:r w:rsidRPr="00FF119C">
              <w:rPr>
                <w:sz w:val="18"/>
                <w:szCs w:val="18"/>
              </w:rPr>
              <w:t>-32.4</w:t>
            </w:r>
          </w:p>
        </w:tc>
        <w:tc>
          <w:tcPr>
            <w:tcW w:w="1121" w:type="dxa"/>
            <w:hideMark/>
          </w:tcPr>
          <w:p w14:paraId="4908C382" w14:textId="77777777" w:rsidR="00877F1D" w:rsidRPr="00FF119C" w:rsidRDefault="00877F1D" w:rsidP="00DE7B71">
            <w:pPr>
              <w:pStyle w:val="NormalWeb"/>
              <w:jc w:val="center"/>
              <w:rPr>
                <w:sz w:val="18"/>
                <w:szCs w:val="18"/>
              </w:rPr>
            </w:pPr>
            <w:r w:rsidRPr="00FF119C">
              <w:rPr>
                <w:sz w:val="18"/>
                <w:szCs w:val="18"/>
              </w:rPr>
              <w:t>21.9</w:t>
            </w:r>
          </w:p>
        </w:tc>
        <w:tc>
          <w:tcPr>
            <w:tcW w:w="1122" w:type="dxa"/>
            <w:hideMark/>
          </w:tcPr>
          <w:p w14:paraId="704126E5" w14:textId="77777777" w:rsidR="00877F1D" w:rsidRPr="00FF119C" w:rsidRDefault="00877F1D" w:rsidP="00DE7B71">
            <w:pPr>
              <w:pStyle w:val="NormalWeb"/>
              <w:jc w:val="center"/>
              <w:rPr>
                <w:sz w:val="18"/>
                <w:szCs w:val="18"/>
              </w:rPr>
            </w:pPr>
            <w:r w:rsidRPr="00FF119C">
              <w:rPr>
                <w:sz w:val="18"/>
                <w:szCs w:val="18"/>
              </w:rPr>
              <w:t>12.6</w:t>
            </w:r>
          </w:p>
        </w:tc>
        <w:tc>
          <w:tcPr>
            <w:tcW w:w="1122" w:type="dxa"/>
            <w:hideMark/>
          </w:tcPr>
          <w:p w14:paraId="0E7E02C6" w14:textId="77777777" w:rsidR="00877F1D" w:rsidRPr="00FF119C" w:rsidRDefault="00877F1D" w:rsidP="00DE7B71">
            <w:pPr>
              <w:pStyle w:val="NormalWeb"/>
              <w:jc w:val="center"/>
              <w:rPr>
                <w:sz w:val="18"/>
                <w:szCs w:val="18"/>
              </w:rPr>
            </w:pPr>
            <w:r w:rsidRPr="00FF119C">
              <w:rPr>
                <w:sz w:val="18"/>
                <w:szCs w:val="18"/>
              </w:rPr>
              <w:t>-9.3</w:t>
            </w:r>
          </w:p>
        </w:tc>
        <w:tc>
          <w:tcPr>
            <w:tcW w:w="1122" w:type="dxa"/>
            <w:hideMark/>
          </w:tcPr>
          <w:p w14:paraId="133D28D8" w14:textId="77777777" w:rsidR="00877F1D" w:rsidRPr="00FF119C" w:rsidRDefault="00877F1D" w:rsidP="00DE7B71">
            <w:pPr>
              <w:pStyle w:val="NormalWeb"/>
              <w:jc w:val="center"/>
              <w:rPr>
                <w:sz w:val="18"/>
                <w:szCs w:val="18"/>
              </w:rPr>
            </w:pPr>
            <w:r w:rsidRPr="00FF119C">
              <w:rPr>
                <w:sz w:val="18"/>
                <w:szCs w:val="18"/>
              </w:rPr>
              <w:t>-42.5</w:t>
            </w:r>
          </w:p>
        </w:tc>
      </w:tr>
      <w:tr w:rsidR="00877F1D" w:rsidRPr="00FF119C" w14:paraId="0D61BEA4" w14:textId="77777777" w:rsidTr="00877F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843" w:type="dxa"/>
            <w:hideMark/>
          </w:tcPr>
          <w:p w14:paraId="45D07D02" w14:textId="77777777" w:rsidR="00877F1D" w:rsidRPr="00FF119C" w:rsidRDefault="00877F1D" w:rsidP="00DE7B71">
            <w:pPr>
              <w:pStyle w:val="NormalWeb"/>
              <w:rPr>
                <w:sz w:val="18"/>
                <w:szCs w:val="18"/>
              </w:rPr>
            </w:pPr>
            <w:r w:rsidRPr="00FF119C">
              <w:rPr>
                <w:sz w:val="18"/>
                <w:szCs w:val="18"/>
              </w:rPr>
              <w:t>Jun</w:t>
            </w:r>
          </w:p>
        </w:tc>
        <w:tc>
          <w:tcPr>
            <w:tcW w:w="1134" w:type="dxa"/>
            <w:hideMark/>
          </w:tcPr>
          <w:p w14:paraId="6A588466" w14:textId="77777777" w:rsidR="00877F1D" w:rsidRPr="00FF119C" w:rsidRDefault="00877F1D" w:rsidP="00DE7B71">
            <w:pPr>
              <w:pStyle w:val="NormalWeb"/>
              <w:jc w:val="center"/>
              <w:rPr>
                <w:sz w:val="18"/>
                <w:szCs w:val="18"/>
              </w:rPr>
            </w:pPr>
            <w:r w:rsidRPr="00FF119C">
              <w:rPr>
                <w:sz w:val="18"/>
                <w:szCs w:val="18"/>
              </w:rPr>
              <w:t>2.9</w:t>
            </w:r>
          </w:p>
        </w:tc>
        <w:tc>
          <w:tcPr>
            <w:tcW w:w="789" w:type="dxa"/>
            <w:hideMark/>
          </w:tcPr>
          <w:p w14:paraId="60DC329E" w14:textId="77777777" w:rsidR="00877F1D" w:rsidRPr="00FF119C" w:rsidRDefault="00877F1D" w:rsidP="00DE7B71">
            <w:pPr>
              <w:pStyle w:val="NormalWeb"/>
              <w:jc w:val="center"/>
              <w:rPr>
                <w:sz w:val="18"/>
                <w:szCs w:val="18"/>
              </w:rPr>
            </w:pPr>
            <w:r w:rsidRPr="00FF119C">
              <w:rPr>
                <w:sz w:val="18"/>
                <w:szCs w:val="18"/>
              </w:rPr>
              <w:t>1.2</w:t>
            </w:r>
          </w:p>
        </w:tc>
        <w:tc>
          <w:tcPr>
            <w:tcW w:w="1122" w:type="dxa"/>
            <w:hideMark/>
          </w:tcPr>
          <w:p w14:paraId="7A8EB102" w14:textId="77777777" w:rsidR="00877F1D" w:rsidRPr="00FF119C" w:rsidRDefault="00877F1D" w:rsidP="00DE7B71">
            <w:pPr>
              <w:pStyle w:val="NormalWeb"/>
              <w:jc w:val="center"/>
              <w:rPr>
                <w:sz w:val="18"/>
                <w:szCs w:val="18"/>
              </w:rPr>
            </w:pPr>
            <w:r w:rsidRPr="00FF119C">
              <w:rPr>
                <w:sz w:val="18"/>
                <w:szCs w:val="18"/>
              </w:rPr>
              <w:t>-1.7</w:t>
            </w:r>
          </w:p>
        </w:tc>
        <w:tc>
          <w:tcPr>
            <w:tcW w:w="1122" w:type="dxa"/>
            <w:hideMark/>
          </w:tcPr>
          <w:p w14:paraId="4F29A338" w14:textId="77777777" w:rsidR="00877F1D" w:rsidRPr="00FF119C" w:rsidRDefault="00877F1D" w:rsidP="00DE7B71">
            <w:pPr>
              <w:pStyle w:val="NormalWeb"/>
              <w:jc w:val="center"/>
              <w:rPr>
                <w:sz w:val="18"/>
                <w:szCs w:val="18"/>
              </w:rPr>
            </w:pPr>
            <w:r w:rsidRPr="00FF119C">
              <w:rPr>
                <w:sz w:val="18"/>
                <w:szCs w:val="18"/>
              </w:rPr>
              <w:t>-58.6</w:t>
            </w:r>
          </w:p>
        </w:tc>
        <w:tc>
          <w:tcPr>
            <w:tcW w:w="1121" w:type="dxa"/>
            <w:hideMark/>
          </w:tcPr>
          <w:p w14:paraId="0B67812D" w14:textId="77777777" w:rsidR="00877F1D" w:rsidRPr="00FF119C" w:rsidRDefault="00877F1D" w:rsidP="00DE7B71">
            <w:pPr>
              <w:pStyle w:val="NormalWeb"/>
              <w:jc w:val="center"/>
              <w:rPr>
                <w:sz w:val="18"/>
                <w:szCs w:val="18"/>
              </w:rPr>
            </w:pPr>
            <w:r w:rsidRPr="00FF119C">
              <w:rPr>
                <w:sz w:val="18"/>
                <w:szCs w:val="18"/>
              </w:rPr>
              <w:t>2.6</w:t>
            </w:r>
          </w:p>
        </w:tc>
        <w:tc>
          <w:tcPr>
            <w:tcW w:w="1122" w:type="dxa"/>
            <w:hideMark/>
          </w:tcPr>
          <w:p w14:paraId="1CD3490E" w14:textId="77777777" w:rsidR="00877F1D" w:rsidRPr="00FF119C" w:rsidRDefault="00877F1D" w:rsidP="00DE7B71">
            <w:pPr>
              <w:pStyle w:val="NormalWeb"/>
              <w:jc w:val="center"/>
              <w:rPr>
                <w:sz w:val="18"/>
                <w:szCs w:val="18"/>
              </w:rPr>
            </w:pPr>
            <w:r w:rsidRPr="00FF119C">
              <w:rPr>
                <w:sz w:val="18"/>
                <w:szCs w:val="18"/>
              </w:rPr>
              <w:t>1.9</w:t>
            </w:r>
          </w:p>
        </w:tc>
        <w:tc>
          <w:tcPr>
            <w:tcW w:w="1122" w:type="dxa"/>
            <w:hideMark/>
          </w:tcPr>
          <w:p w14:paraId="70A67048" w14:textId="77777777" w:rsidR="00877F1D" w:rsidRPr="00FF119C" w:rsidRDefault="00877F1D" w:rsidP="00DE7B71">
            <w:pPr>
              <w:pStyle w:val="NormalWeb"/>
              <w:jc w:val="center"/>
              <w:rPr>
                <w:sz w:val="18"/>
                <w:szCs w:val="18"/>
              </w:rPr>
            </w:pPr>
            <w:r w:rsidRPr="00FF119C">
              <w:rPr>
                <w:sz w:val="18"/>
                <w:szCs w:val="18"/>
              </w:rPr>
              <w:t>-0.7</w:t>
            </w:r>
          </w:p>
        </w:tc>
        <w:tc>
          <w:tcPr>
            <w:tcW w:w="1122" w:type="dxa"/>
            <w:hideMark/>
          </w:tcPr>
          <w:p w14:paraId="3C2E5DF6" w14:textId="77777777" w:rsidR="00877F1D" w:rsidRPr="00FF119C" w:rsidRDefault="00877F1D" w:rsidP="00DE7B71">
            <w:pPr>
              <w:pStyle w:val="NormalWeb"/>
              <w:jc w:val="center"/>
              <w:rPr>
                <w:sz w:val="18"/>
                <w:szCs w:val="18"/>
              </w:rPr>
            </w:pPr>
            <w:r w:rsidRPr="00FF119C">
              <w:rPr>
                <w:sz w:val="18"/>
                <w:szCs w:val="18"/>
              </w:rPr>
              <w:t>-26.9</w:t>
            </w:r>
          </w:p>
        </w:tc>
        <w:tc>
          <w:tcPr>
            <w:tcW w:w="1121" w:type="dxa"/>
            <w:hideMark/>
          </w:tcPr>
          <w:p w14:paraId="59D77E1B" w14:textId="77777777" w:rsidR="00877F1D" w:rsidRPr="00FF119C" w:rsidRDefault="00877F1D" w:rsidP="00DE7B71">
            <w:pPr>
              <w:pStyle w:val="NormalWeb"/>
              <w:jc w:val="center"/>
              <w:rPr>
                <w:sz w:val="18"/>
                <w:szCs w:val="18"/>
              </w:rPr>
            </w:pPr>
            <w:r w:rsidRPr="00FF119C">
              <w:rPr>
                <w:sz w:val="18"/>
                <w:szCs w:val="18"/>
              </w:rPr>
              <w:t>24.8</w:t>
            </w:r>
          </w:p>
        </w:tc>
        <w:tc>
          <w:tcPr>
            <w:tcW w:w="1122" w:type="dxa"/>
            <w:hideMark/>
          </w:tcPr>
          <w:p w14:paraId="3B0DC68C" w14:textId="77777777" w:rsidR="00877F1D" w:rsidRPr="00FF119C" w:rsidRDefault="00877F1D" w:rsidP="00DE7B71">
            <w:pPr>
              <w:pStyle w:val="NormalWeb"/>
              <w:jc w:val="center"/>
              <w:rPr>
                <w:sz w:val="18"/>
                <w:szCs w:val="18"/>
              </w:rPr>
            </w:pPr>
            <w:r w:rsidRPr="00FF119C">
              <w:rPr>
                <w:sz w:val="18"/>
                <w:szCs w:val="18"/>
              </w:rPr>
              <w:t>13.4</w:t>
            </w:r>
          </w:p>
        </w:tc>
        <w:tc>
          <w:tcPr>
            <w:tcW w:w="1122" w:type="dxa"/>
            <w:hideMark/>
          </w:tcPr>
          <w:p w14:paraId="1A86C28D" w14:textId="77777777" w:rsidR="00877F1D" w:rsidRPr="00FF119C" w:rsidRDefault="00877F1D" w:rsidP="00DE7B71">
            <w:pPr>
              <w:pStyle w:val="NormalWeb"/>
              <w:jc w:val="center"/>
              <w:rPr>
                <w:sz w:val="18"/>
                <w:szCs w:val="18"/>
              </w:rPr>
            </w:pPr>
            <w:r w:rsidRPr="00FF119C">
              <w:rPr>
                <w:sz w:val="18"/>
                <w:szCs w:val="18"/>
              </w:rPr>
              <w:t>-11.4</w:t>
            </w:r>
          </w:p>
        </w:tc>
        <w:tc>
          <w:tcPr>
            <w:tcW w:w="1122" w:type="dxa"/>
            <w:hideMark/>
          </w:tcPr>
          <w:p w14:paraId="3EE25EF5" w14:textId="77777777" w:rsidR="00877F1D" w:rsidRPr="00FF119C" w:rsidRDefault="00877F1D" w:rsidP="00DE7B71">
            <w:pPr>
              <w:pStyle w:val="NormalWeb"/>
              <w:jc w:val="center"/>
              <w:rPr>
                <w:sz w:val="18"/>
                <w:szCs w:val="18"/>
              </w:rPr>
            </w:pPr>
            <w:r w:rsidRPr="00FF119C">
              <w:rPr>
                <w:sz w:val="18"/>
                <w:szCs w:val="18"/>
              </w:rPr>
              <w:t>-46.0</w:t>
            </w:r>
          </w:p>
        </w:tc>
      </w:tr>
      <w:tr w:rsidR="00877F1D" w:rsidRPr="00FF119C" w14:paraId="37D40018" w14:textId="77777777" w:rsidTr="00877F1D">
        <w:tblPrEx>
          <w:tblCellMar>
            <w:top w:w="57" w:type="dxa"/>
            <w:left w:w="57" w:type="dxa"/>
            <w:bottom w:w="57" w:type="dxa"/>
            <w:right w:w="57" w:type="dxa"/>
          </w:tblCellMar>
        </w:tblPrEx>
        <w:tc>
          <w:tcPr>
            <w:tcW w:w="1843" w:type="dxa"/>
            <w:hideMark/>
          </w:tcPr>
          <w:p w14:paraId="79DB40B0" w14:textId="77777777" w:rsidR="00877F1D" w:rsidRPr="00FF119C" w:rsidRDefault="00877F1D" w:rsidP="00DE7B71">
            <w:pPr>
              <w:pStyle w:val="NormalWeb"/>
              <w:rPr>
                <w:sz w:val="18"/>
                <w:szCs w:val="18"/>
              </w:rPr>
            </w:pPr>
            <w:r w:rsidRPr="00FF119C">
              <w:rPr>
                <w:sz w:val="18"/>
                <w:szCs w:val="18"/>
              </w:rPr>
              <w:t>Jul</w:t>
            </w:r>
          </w:p>
        </w:tc>
        <w:tc>
          <w:tcPr>
            <w:tcW w:w="1134" w:type="dxa"/>
            <w:hideMark/>
          </w:tcPr>
          <w:p w14:paraId="6B4D9918" w14:textId="77777777" w:rsidR="00877F1D" w:rsidRPr="00FF119C" w:rsidRDefault="00877F1D" w:rsidP="00DE7B71">
            <w:pPr>
              <w:pStyle w:val="NormalWeb"/>
              <w:jc w:val="center"/>
              <w:rPr>
                <w:sz w:val="18"/>
                <w:szCs w:val="18"/>
              </w:rPr>
            </w:pPr>
            <w:r w:rsidRPr="00FF119C">
              <w:rPr>
                <w:sz w:val="18"/>
                <w:szCs w:val="18"/>
              </w:rPr>
              <w:t>2.8</w:t>
            </w:r>
          </w:p>
        </w:tc>
        <w:tc>
          <w:tcPr>
            <w:tcW w:w="789" w:type="dxa"/>
            <w:hideMark/>
          </w:tcPr>
          <w:p w14:paraId="1AF722FC" w14:textId="77777777" w:rsidR="00877F1D" w:rsidRPr="00FF119C" w:rsidRDefault="00877F1D" w:rsidP="00DE7B71">
            <w:pPr>
              <w:pStyle w:val="NormalWeb"/>
              <w:jc w:val="center"/>
              <w:rPr>
                <w:sz w:val="18"/>
                <w:szCs w:val="18"/>
              </w:rPr>
            </w:pPr>
            <w:r w:rsidRPr="00FF119C">
              <w:rPr>
                <w:sz w:val="18"/>
                <w:szCs w:val="18"/>
              </w:rPr>
              <w:t>0.7</w:t>
            </w:r>
          </w:p>
        </w:tc>
        <w:tc>
          <w:tcPr>
            <w:tcW w:w="1122" w:type="dxa"/>
            <w:hideMark/>
          </w:tcPr>
          <w:p w14:paraId="1605DB5E" w14:textId="77777777" w:rsidR="00877F1D" w:rsidRPr="00FF119C" w:rsidRDefault="00877F1D" w:rsidP="00DE7B71">
            <w:pPr>
              <w:pStyle w:val="NormalWeb"/>
              <w:jc w:val="center"/>
              <w:rPr>
                <w:sz w:val="18"/>
                <w:szCs w:val="18"/>
              </w:rPr>
            </w:pPr>
            <w:r w:rsidRPr="00FF119C">
              <w:rPr>
                <w:sz w:val="18"/>
                <w:szCs w:val="18"/>
              </w:rPr>
              <w:t>-2.1</w:t>
            </w:r>
          </w:p>
        </w:tc>
        <w:tc>
          <w:tcPr>
            <w:tcW w:w="1122" w:type="dxa"/>
            <w:hideMark/>
          </w:tcPr>
          <w:p w14:paraId="79BD5300" w14:textId="77777777" w:rsidR="00877F1D" w:rsidRPr="00FF119C" w:rsidRDefault="00877F1D" w:rsidP="00DE7B71">
            <w:pPr>
              <w:pStyle w:val="NormalWeb"/>
              <w:jc w:val="center"/>
              <w:rPr>
                <w:sz w:val="18"/>
                <w:szCs w:val="18"/>
              </w:rPr>
            </w:pPr>
            <w:r w:rsidRPr="00FF119C">
              <w:rPr>
                <w:sz w:val="18"/>
                <w:szCs w:val="18"/>
              </w:rPr>
              <w:t>-75.0</w:t>
            </w:r>
          </w:p>
        </w:tc>
        <w:tc>
          <w:tcPr>
            <w:tcW w:w="1121" w:type="dxa"/>
            <w:hideMark/>
          </w:tcPr>
          <w:p w14:paraId="6F262D7E" w14:textId="77777777" w:rsidR="00877F1D" w:rsidRPr="00FF119C" w:rsidRDefault="00877F1D" w:rsidP="00DE7B71">
            <w:pPr>
              <w:pStyle w:val="NormalWeb"/>
              <w:jc w:val="center"/>
              <w:rPr>
                <w:sz w:val="18"/>
                <w:szCs w:val="18"/>
              </w:rPr>
            </w:pPr>
            <w:r w:rsidRPr="00FF119C">
              <w:rPr>
                <w:sz w:val="18"/>
                <w:szCs w:val="18"/>
              </w:rPr>
              <w:t>2.7</w:t>
            </w:r>
          </w:p>
        </w:tc>
        <w:tc>
          <w:tcPr>
            <w:tcW w:w="1122" w:type="dxa"/>
            <w:hideMark/>
          </w:tcPr>
          <w:p w14:paraId="26AC3CC7" w14:textId="77777777" w:rsidR="00877F1D" w:rsidRPr="00FF119C" w:rsidRDefault="00877F1D" w:rsidP="00DE7B71">
            <w:pPr>
              <w:pStyle w:val="NormalWeb"/>
              <w:jc w:val="center"/>
              <w:rPr>
                <w:sz w:val="18"/>
                <w:szCs w:val="18"/>
              </w:rPr>
            </w:pPr>
            <w:r w:rsidRPr="00FF119C">
              <w:rPr>
                <w:sz w:val="18"/>
                <w:szCs w:val="18"/>
              </w:rPr>
              <w:t>1.4</w:t>
            </w:r>
          </w:p>
        </w:tc>
        <w:tc>
          <w:tcPr>
            <w:tcW w:w="1122" w:type="dxa"/>
            <w:hideMark/>
          </w:tcPr>
          <w:p w14:paraId="38A45777" w14:textId="77777777" w:rsidR="00877F1D" w:rsidRPr="00FF119C" w:rsidRDefault="00877F1D" w:rsidP="00DE7B71">
            <w:pPr>
              <w:pStyle w:val="NormalWeb"/>
              <w:jc w:val="center"/>
              <w:rPr>
                <w:sz w:val="18"/>
                <w:szCs w:val="18"/>
              </w:rPr>
            </w:pPr>
            <w:r w:rsidRPr="00FF119C">
              <w:rPr>
                <w:sz w:val="18"/>
                <w:szCs w:val="18"/>
              </w:rPr>
              <w:t>-1.3</w:t>
            </w:r>
          </w:p>
        </w:tc>
        <w:tc>
          <w:tcPr>
            <w:tcW w:w="1122" w:type="dxa"/>
            <w:hideMark/>
          </w:tcPr>
          <w:p w14:paraId="13BC3A6A" w14:textId="77777777" w:rsidR="00877F1D" w:rsidRPr="00FF119C" w:rsidRDefault="00877F1D" w:rsidP="00DE7B71">
            <w:pPr>
              <w:pStyle w:val="NormalWeb"/>
              <w:jc w:val="center"/>
              <w:rPr>
                <w:sz w:val="18"/>
                <w:szCs w:val="18"/>
              </w:rPr>
            </w:pPr>
            <w:r w:rsidRPr="00FF119C">
              <w:rPr>
                <w:sz w:val="18"/>
                <w:szCs w:val="18"/>
              </w:rPr>
              <w:t>-48.2</w:t>
            </w:r>
          </w:p>
        </w:tc>
        <w:tc>
          <w:tcPr>
            <w:tcW w:w="1121" w:type="dxa"/>
            <w:hideMark/>
          </w:tcPr>
          <w:p w14:paraId="3719A13E" w14:textId="77777777" w:rsidR="00877F1D" w:rsidRPr="00FF119C" w:rsidRDefault="00877F1D" w:rsidP="00DE7B71">
            <w:pPr>
              <w:pStyle w:val="NormalWeb"/>
              <w:jc w:val="center"/>
              <w:rPr>
                <w:sz w:val="18"/>
                <w:szCs w:val="18"/>
              </w:rPr>
            </w:pPr>
            <w:r w:rsidRPr="00FF119C">
              <w:rPr>
                <w:sz w:val="18"/>
                <w:szCs w:val="18"/>
              </w:rPr>
              <w:t>12.5</w:t>
            </w:r>
          </w:p>
        </w:tc>
        <w:tc>
          <w:tcPr>
            <w:tcW w:w="1122" w:type="dxa"/>
            <w:hideMark/>
          </w:tcPr>
          <w:p w14:paraId="6D4B8BDB" w14:textId="77777777" w:rsidR="00877F1D" w:rsidRPr="00FF119C" w:rsidRDefault="00877F1D" w:rsidP="00DE7B71">
            <w:pPr>
              <w:pStyle w:val="NormalWeb"/>
              <w:jc w:val="center"/>
              <w:rPr>
                <w:sz w:val="18"/>
                <w:szCs w:val="18"/>
              </w:rPr>
            </w:pPr>
            <w:r w:rsidRPr="00FF119C">
              <w:rPr>
                <w:sz w:val="18"/>
                <w:szCs w:val="18"/>
              </w:rPr>
              <w:t>11.4</w:t>
            </w:r>
          </w:p>
        </w:tc>
        <w:tc>
          <w:tcPr>
            <w:tcW w:w="1122" w:type="dxa"/>
            <w:hideMark/>
          </w:tcPr>
          <w:p w14:paraId="06414394" w14:textId="77777777" w:rsidR="00877F1D" w:rsidRPr="00FF119C" w:rsidRDefault="00877F1D" w:rsidP="00DE7B71">
            <w:pPr>
              <w:pStyle w:val="NormalWeb"/>
              <w:jc w:val="center"/>
              <w:rPr>
                <w:sz w:val="18"/>
                <w:szCs w:val="18"/>
              </w:rPr>
            </w:pPr>
            <w:r w:rsidRPr="00FF119C">
              <w:rPr>
                <w:sz w:val="18"/>
                <w:szCs w:val="18"/>
              </w:rPr>
              <w:t>-1.1</w:t>
            </w:r>
          </w:p>
        </w:tc>
        <w:tc>
          <w:tcPr>
            <w:tcW w:w="1122" w:type="dxa"/>
            <w:hideMark/>
          </w:tcPr>
          <w:p w14:paraId="10CA315A" w14:textId="77777777" w:rsidR="00877F1D" w:rsidRPr="00FF119C" w:rsidRDefault="00877F1D" w:rsidP="00DE7B71">
            <w:pPr>
              <w:pStyle w:val="NormalWeb"/>
              <w:jc w:val="center"/>
              <w:rPr>
                <w:sz w:val="18"/>
                <w:szCs w:val="18"/>
              </w:rPr>
            </w:pPr>
            <w:r w:rsidRPr="00FF119C">
              <w:rPr>
                <w:sz w:val="18"/>
                <w:szCs w:val="18"/>
              </w:rPr>
              <w:t>-8.8</w:t>
            </w:r>
          </w:p>
        </w:tc>
      </w:tr>
      <w:tr w:rsidR="00877F1D" w:rsidRPr="00FF119C" w14:paraId="2D4F469E" w14:textId="77777777" w:rsidTr="00877F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843" w:type="dxa"/>
            <w:hideMark/>
          </w:tcPr>
          <w:p w14:paraId="5B146D9C" w14:textId="77777777" w:rsidR="00877F1D" w:rsidRPr="00FF119C" w:rsidRDefault="00877F1D" w:rsidP="00DE7B71">
            <w:pPr>
              <w:pStyle w:val="NormalWeb"/>
              <w:rPr>
                <w:sz w:val="18"/>
                <w:szCs w:val="18"/>
              </w:rPr>
            </w:pPr>
            <w:r w:rsidRPr="00FF119C">
              <w:rPr>
                <w:sz w:val="18"/>
                <w:szCs w:val="18"/>
              </w:rPr>
              <w:t>Aug</w:t>
            </w:r>
          </w:p>
        </w:tc>
        <w:tc>
          <w:tcPr>
            <w:tcW w:w="1134" w:type="dxa"/>
            <w:hideMark/>
          </w:tcPr>
          <w:p w14:paraId="39BDF228" w14:textId="77777777" w:rsidR="00877F1D" w:rsidRPr="00FF119C" w:rsidRDefault="00877F1D" w:rsidP="00DE7B71">
            <w:pPr>
              <w:pStyle w:val="NormalWeb"/>
              <w:jc w:val="center"/>
              <w:rPr>
                <w:sz w:val="18"/>
                <w:szCs w:val="18"/>
              </w:rPr>
            </w:pPr>
            <w:r w:rsidRPr="00FF119C">
              <w:rPr>
                <w:sz w:val="18"/>
                <w:szCs w:val="18"/>
              </w:rPr>
              <w:t>3.9</w:t>
            </w:r>
          </w:p>
        </w:tc>
        <w:tc>
          <w:tcPr>
            <w:tcW w:w="789" w:type="dxa"/>
            <w:hideMark/>
          </w:tcPr>
          <w:p w14:paraId="46FFC55E" w14:textId="77777777" w:rsidR="00877F1D" w:rsidRPr="00FF119C" w:rsidRDefault="00877F1D" w:rsidP="00DE7B71">
            <w:pPr>
              <w:pStyle w:val="NormalWeb"/>
              <w:jc w:val="center"/>
              <w:rPr>
                <w:sz w:val="18"/>
                <w:szCs w:val="18"/>
              </w:rPr>
            </w:pPr>
            <w:r w:rsidRPr="00FF119C">
              <w:rPr>
                <w:sz w:val="18"/>
                <w:szCs w:val="18"/>
              </w:rPr>
              <w:t>2.1</w:t>
            </w:r>
          </w:p>
        </w:tc>
        <w:tc>
          <w:tcPr>
            <w:tcW w:w="1122" w:type="dxa"/>
            <w:hideMark/>
          </w:tcPr>
          <w:p w14:paraId="5D438302" w14:textId="77777777" w:rsidR="00877F1D" w:rsidRPr="00FF119C" w:rsidRDefault="00877F1D" w:rsidP="00DE7B71">
            <w:pPr>
              <w:pStyle w:val="NormalWeb"/>
              <w:jc w:val="center"/>
              <w:rPr>
                <w:sz w:val="18"/>
                <w:szCs w:val="18"/>
              </w:rPr>
            </w:pPr>
            <w:r w:rsidRPr="00FF119C">
              <w:rPr>
                <w:sz w:val="18"/>
                <w:szCs w:val="18"/>
              </w:rPr>
              <w:t>-1.8</w:t>
            </w:r>
          </w:p>
        </w:tc>
        <w:tc>
          <w:tcPr>
            <w:tcW w:w="1122" w:type="dxa"/>
            <w:hideMark/>
          </w:tcPr>
          <w:p w14:paraId="0205D818" w14:textId="77777777" w:rsidR="00877F1D" w:rsidRPr="00FF119C" w:rsidRDefault="00877F1D" w:rsidP="00DE7B71">
            <w:pPr>
              <w:pStyle w:val="NormalWeb"/>
              <w:jc w:val="center"/>
              <w:rPr>
                <w:sz w:val="18"/>
                <w:szCs w:val="18"/>
              </w:rPr>
            </w:pPr>
            <w:r w:rsidRPr="00FF119C">
              <w:rPr>
                <w:sz w:val="18"/>
                <w:szCs w:val="18"/>
              </w:rPr>
              <w:t>-46.2</w:t>
            </w:r>
          </w:p>
        </w:tc>
        <w:tc>
          <w:tcPr>
            <w:tcW w:w="1121" w:type="dxa"/>
            <w:hideMark/>
          </w:tcPr>
          <w:p w14:paraId="353FC791" w14:textId="77777777" w:rsidR="00877F1D" w:rsidRPr="00FF119C" w:rsidRDefault="00877F1D" w:rsidP="00DE7B71">
            <w:pPr>
              <w:pStyle w:val="NormalWeb"/>
              <w:jc w:val="center"/>
              <w:rPr>
                <w:sz w:val="18"/>
                <w:szCs w:val="18"/>
              </w:rPr>
            </w:pPr>
            <w:r w:rsidRPr="00FF119C">
              <w:rPr>
                <w:sz w:val="18"/>
                <w:szCs w:val="18"/>
              </w:rPr>
              <w:t>2.4</w:t>
            </w:r>
          </w:p>
        </w:tc>
        <w:tc>
          <w:tcPr>
            <w:tcW w:w="1122" w:type="dxa"/>
            <w:hideMark/>
          </w:tcPr>
          <w:p w14:paraId="6AD7DE04" w14:textId="77777777" w:rsidR="00877F1D" w:rsidRPr="00FF119C" w:rsidRDefault="00877F1D" w:rsidP="00DE7B71">
            <w:pPr>
              <w:pStyle w:val="NormalWeb"/>
              <w:jc w:val="center"/>
              <w:rPr>
                <w:sz w:val="18"/>
                <w:szCs w:val="18"/>
              </w:rPr>
            </w:pPr>
            <w:r w:rsidRPr="00FF119C">
              <w:rPr>
                <w:sz w:val="18"/>
                <w:szCs w:val="18"/>
              </w:rPr>
              <w:t>1.2</w:t>
            </w:r>
          </w:p>
        </w:tc>
        <w:tc>
          <w:tcPr>
            <w:tcW w:w="1122" w:type="dxa"/>
            <w:hideMark/>
          </w:tcPr>
          <w:p w14:paraId="766D3636" w14:textId="77777777" w:rsidR="00877F1D" w:rsidRPr="00FF119C" w:rsidRDefault="00877F1D" w:rsidP="00DE7B71">
            <w:pPr>
              <w:pStyle w:val="NormalWeb"/>
              <w:jc w:val="center"/>
              <w:rPr>
                <w:sz w:val="18"/>
                <w:szCs w:val="18"/>
              </w:rPr>
            </w:pPr>
            <w:r w:rsidRPr="00FF119C">
              <w:rPr>
                <w:sz w:val="18"/>
                <w:szCs w:val="18"/>
              </w:rPr>
              <w:t>-1.2</w:t>
            </w:r>
          </w:p>
        </w:tc>
        <w:tc>
          <w:tcPr>
            <w:tcW w:w="1122" w:type="dxa"/>
            <w:hideMark/>
          </w:tcPr>
          <w:p w14:paraId="56C5B212" w14:textId="77777777" w:rsidR="00877F1D" w:rsidRPr="00FF119C" w:rsidRDefault="00877F1D" w:rsidP="00DE7B71">
            <w:pPr>
              <w:pStyle w:val="NormalWeb"/>
              <w:jc w:val="center"/>
              <w:rPr>
                <w:sz w:val="18"/>
                <w:szCs w:val="18"/>
              </w:rPr>
            </w:pPr>
            <w:r w:rsidRPr="00FF119C">
              <w:rPr>
                <w:sz w:val="18"/>
                <w:szCs w:val="18"/>
              </w:rPr>
              <w:t>-50.0</w:t>
            </w:r>
          </w:p>
        </w:tc>
        <w:tc>
          <w:tcPr>
            <w:tcW w:w="1121" w:type="dxa"/>
            <w:hideMark/>
          </w:tcPr>
          <w:p w14:paraId="794D5180" w14:textId="77777777" w:rsidR="00877F1D" w:rsidRPr="00FF119C" w:rsidRDefault="00877F1D" w:rsidP="00DE7B71">
            <w:pPr>
              <w:pStyle w:val="NormalWeb"/>
              <w:jc w:val="center"/>
              <w:rPr>
                <w:sz w:val="18"/>
                <w:szCs w:val="18"/>
              </w:rPr>
            </w:pPr>
            <w:r w:rsidRPr="00FF119C">
              <w:rPr>
                <w:sz w:val="18"/>
                <w:szCs w:val="18"/>
              </w:rPr>
              <w:t>12.5</w:t>
            </w:r>
          </w:p>
        </w:tc>
        <w:tc>
          <w:tcPr>
            <w:tcW w:w="1122" w:type="dxa"/>
            <w:hideMark/>
          </w:tcPr>
          <w:p w14:paraId="263C8A19" w14:textId="77777777" w:rsidR="00877F1D" w:rsidRPr="00FF119C" w:rsidRDefault="00877F1D" w:rsidP="00DE7B71">
            <w:pPr>
              <w:pStyle w:val="NormalWeb"/>
              <w:jc w:val="center"/>
              <w:rPr>
                <w:sz w:val="18"/>
                <w:szCs w:val="18"/>
              </w:rPr>
            </w:pPr>
            <w:r w:rsidRPr="00FF119C">
              <w:rPr>
                <w:sz w:val="18"/>
                <w:szCs w:val="18"/>
              </w:rPr>
              <w:t>7.7</w:t>
            </w:r>
          </w:p>
        </w:tc>
        <w:tc>
          <w:tcPr>
            <w:tcW w:w="1122" w:type="dxa"/>
            <w:hideMark/>
          </w:tcPr>
          <w:p w14:paraId="7B8A9873" w14:textId="77777777" w:rsidR="00877F1D" w:rsidRPr="00FF119C" w:rsidRDefault="00877F1D" w:rsidP="00DE7B71">
            <w:pPr>
              <w:pStyle w:val="NormalWeb"/>
              <w:jc w:val="center"/>
              <w:rPr>
                <w:sz w:val="18"/>
                <w:szCs w:val="18"/>
              </w:rPr>
            </w:pPr>
            <w:r w:rsidRPr="00FF119C">
              <w:rPr>
                <w:sz w:val="18"/>
                <w:szCs w:val="18"/>
              </w:rPr>
              <w:t>-4.8</w:t>
            </w:r>
          </w:p>
        </w:tc>
        <w:tc>
          <w:tcPr>
            <w:tcW w:w="1122" w:type="dxa"/>
            <w:hideMark/>
          </w:tcPr>
          <w:p w14:paraId="0F077CE6" w14:textId="77777777" w:rsidR="00877F1D" w:rsidRPr="00FF119C" w:rsidRDefault="00877F1D" w:rsidP="00DE7B71">
            <w:pPr>
              <w:pStyle w:val="NormalWeb"/>
              <w:jc w:val="center"/>
              <w:rPr>
                <w:sz w:val="18"/>
                <w:szCs w:val="18"/>
              </w:rPr>
            </w:pPr>
            <w:r w:rsidRPr="00FF119C">
              <w:rPr>
                <w:sz w:val="18"/>
                <w:szCs w:val="18"/>
              </w:rPr>
              <w:t>-38.4</w:t>
            </w:r>
          </w:p>
        </w:tc>
      </w:tr>
      <w:tr w:rsidR="00877F1D" w:rsidRPr="00FF119C" w14:paraId="14053344" w14:textId="77777777" w:rsidTr="00877F1D">
        <w:tblPrEx>
          <w:tblCellMar>
            <w:top w:w="57" w:type="dxa"/>
            <w:left w:w="57" w:type="dxa"/>
            <w:bottom w:w="57" w:type="dxa"/>
            <w:right w:w="57" w:type="dxa"/>
          </w:tblCellMar>
        </w:tblPrEx>
        <w:tc>
          <w:tcPr>
            <w:tcW w:w="1843" w:type="dxa"/>
            <w:hideMark/>
          </w:tcPr>
          <w:p w14:paraId="5554E4AD" w14:textId="77777777" w:rsidR="00877F1D" w:rsidRPr="00FF119C" w:rsidRDefault="00877F1D" w:rsidP="00DE7B71">
            <w:pPr>
              <w:pStyle w:val="NormalWeb"/>
              <w:rPr>
                <w:sz w:val="18"/>
                <w:szCs w:val="18"/>
              </w:rPr>
            </w:pPr>
            <w:r w:rsidRPr="00FF119C">
              <w:rPr>
                <w:sz w:val="18"/>
                <w:szCs w:val="18"/>
              </w:rPr>
              <w:t>Sep</w:t>
            </w:r>
          </w:p>
        </w:tc>
        <w:tc>
          <w:tcPr>
            <w:tcW w:w="1134" w:type="dxa"/>
            <w:hideMark/>
          </w:tcPr>
          <w:p w14:paraId="34D5B36A" w14:textId="77777777" w:rsidR="00877F1D" w:rsidRPr="00FF119C" w:rsidRDefault="00877F1D" w:rsidP="00DE7B71">
            <w:pPr>
              <w:pStyle w:val="NormalWeb"/>
              <w:jc w:val="center"/>
              <w:rPr>
                <w:sz w:val="18"/>
                <w:szCs w:val="18"/>
              </w:rPr>
            </w:pPr>
            <w:r w:rsidRPr="00FF119C">
              <w:rPr>
                <w:sz w:val="18"/>
                <w:szCs w:val="18"/>
              </w:rPr>
              <w:t>3.8</w:t>
            </w:r>
          </w:p>
        </w:tc>
        <w:tc>
          <w:tcPr>
            <w:tcW w:w="789" w:type="dxa"/>
            <w:hideMark/>
          </w:tcPr>
          <w:p w14:paraId="0550B8F0" w14:textId="77777777" w:rsidR="00877F1D" w:rsidRPr="00FF119C" w:rsidRDefault="00877F1D" w:rsidP="00DE7B71">
            <w:pPr>
              <w:pStyle w:val="NormalWeb"/>
              <w:jc w:val="center"/>
              <w:rPr>
                <w:sz w:val="18"/>
                <w:szCs w:val="18"/>
              </w:rPr>
            </w:pPr>
            <w:r w:rsidRPr="00FF119C">
              <w:rPr>
                <w:sz w:val="18"/>
                <w:szCs w:val="18"/>
              </w:rPr>
              <w:t>1.4</w:t>
            </w:r>
          </w:p>
        </w:tc>
        <w:tc>
          <w:tcPr>
            <w:tcW w:w="1122" w:type="dxa"/>
            <w:hideMark/>
          </w:tcPr>
          <w:p w14:paraId="04D370FC" w14:textId="77777777" w:rsidR="00877F1D" w:rsidRPr="00FF119C" w:rsidRDefault="00877F1D" w:rsidP="00DE7B71">
            <w:pPr>
              <w:pStyle w:val="NormalWeb"/>
              <w:jc w:val="center"/>
              <w:rPr>
                <w:sz w:val="18"/>
                <w:szCs w:val="18"/>
              </w:rPr>
            </w:pPr>
            <w:r w:rsidRPr="00FF119C">
              <w:rPr>
                <w:sz w:val="18"/>
                <w:szCs w:val="18"/>
              </w:rPr>
              <w:t>-2.4</w:t>
            </w:r>
          </w:p>
        </w:tc>
        <w:tc>
          <w:tcPr>
            <w:tcW w:w="1122" w:type="dxa"/>
            <w:hideMark/>
          </w:tcPr>
          <w:p w14:paraId="3EA223F3" w14:textId="77777777" w:rsidR="00877F1D" w:rsidRPr="00FF119C" w:rsidRDefault="00877F1D" w:rsidP="00DE7B71">
            <w:pPr>
              <w:pStyle w:val="NormalWeb"/>
              <w:jc w:val="center"/>
              <w:rPr>
                <w:sz w:val="18"/>
                <w:szCs w:val="18"/>
              </w:rPr>
            </w:pPr>
            <w:r w:rsidRPr="00FF119C">
              <w:rPr>
                <w:sz w:val="18"/>
                <w:szCs w:val="18"/>
              </w:rPr>
              <w:t>-63.2</w:t>
            </w:r>
          </w:p>
        </w:tc>
        <w:tc>
          <w:tcPr>
            <w:tcW w:w="1121" w:type="dxa"/>
            <w:hideMark/>
          </w:tcPr>
          <w:p w14:paraId="6D4A0827" w14:textId="77777777" w:rsidR="00877F1D" w:rsidRPr="00FF119C" w:rsidRDefault="00877F1D" w:rsidP="00DE7B71">
            <w:pPr>
              <w:pStyle w:val="NormalWeb"/>
              <w:jc w:val="center"/>
              <w:rPr>
                <w:sz w:val="18"/>
                <w:szCs w:val="18"/>
              </w:rPr>
            </w:pPr>
            <w:r w:rsidRPr="00FF119C">
              <w:rPr>
                <w:sz w:val="18"/>
                <w:szCs w:val="18"/>
              </w:rPr>
              <w:t>2.5</w:t>
            </w:r>
          </w:p>
        </w:tc>
        <w:tc>
          <w:tcPr>
            <w:tcW w:w="1122" w:type="dxa"/>
            <w:hideMark/>
          </w:tcPr>
          <w:p w14:paraId="4C27A911" w14:textId="77777777" w:rsidR="00877F1D" w:rsidRPr="00FF119C" w:rsidRDefault="00877F1D" w:rsidP="00DE7B71">
            <w:pPr>
              <w:pStyle w:val="NormalWeb"/>
              <w:jc w:val="center"/>
              <w:rPr>
                <w:sz w:val="18"/>
                <w:szCs w:val="18"/>
              </w:rPr>
            </w:pPr>
            <w:r w:rsidRPr="00FF119C">
              <w:rPr>
                <w:sz w:val="18"/>
                <w:szCs w:val="18"/>
              </w:rPr>
              <w:t>1.5</w:t>
            </w:r>
          </w:p>
        </w:tc>
        <w:tc>
          <w:tcPr>
            <w:tcW w:w="1122" w:type="dxa"/>
            <w:hideMark/>
          </w:tcPr>
          <w:p w14:paraId="288DD668" w14:textId="77777777" w:rsidR="00877F1D" w:rsidRPr="00FF119C" w:rsidRDefault="00877F1D" w:rsidP="00DE7B71">
            <w:pPr>
              <w:pStyle w:val="NormalWeb"/>
              <w:jc w:val="center"/>
              <w:rPr>
                <w:sz w:val="18"/>
                <w:szCs w:val="18"/>
              </w:rPr>
            </w:pPr>
            <w:r w:rsidRPr="00FF119C">
              <w:rPr>
                <w:sz w:val="18"/>
                <w:szCs w:val="18"/>
              </w:rPr>
              <w:t>-1.0</w:t>
            </w:r>
          </w:p>
        </w:tc>
        <w:tc>
          <w:tcPr>
            <w:tcW w:w="1122" w:type="dxa"/>
            <w:hideMark/>
          </w:tcPr>
          <w:p w14:paraId="64671677" w14:textId="77777777" w:rsidR="00877F1D" w:rsidRPr="00FF119C" w:rsidRDefault="00877F1D" w:rsidP="00DE7B71">
            <w:pPr>
              <w:pStyle w:val="NormalWeb"/>
              <w:jc w:val="center"/>
              <w:rPr>
                <w:sz w:val="18"/>
                <w:szCs w:val="18"/>
              </w:rPr>
            </w:pPr>
            <w:r w:rsidRPr="00FF119C">
              <w:rPr>
                <w:sz w:val="18"/>
                <w:szCs w:val="18"/>
              </w:rPr>
              <w:t>-40.0</w:t>
            </w:r>
          </w:p>
        </w:tc>
        <w:tc>
          <w:tcPr>
            <w:tcW w:w="1121" w:type="dxa"/>
            <w:hideMark/>
          </w:tcPr>
          <w:p w14:paraId="61D5C665" w14:textId="77777777" w:rsidR="00877F1D" w:rsidRPr="00FF119C" w:rsidRDefault="00877F1D" w:rsidP="00DE7B71">
            <w:pPr>
              <w:pStyle w:val="NormalWeb"/>
              <w:jc w:val="center"/>
              <w:rPr>
                <w:sz w:val="18"/>
                <w:szCs w:val="18"/>
              </w:rPr>
            </w:pPr>
            <w:r w:rsidRPr="00FF119C">
              <w:rPr>
                <w:sz w:val="18"/>
                <w:szCs w:val="18"/>
              </w:rPr>
              <w:t>12.6</w:t>
            </w:r>
          </w:p>
        </w:tc>
        <w:tc>
          <w:tcPr>
            <w:tcW w:w="1122" w:type="dxa"/>
            <w:hideMark/>
          </w:tcPr>
          <w:p w14:paraId="6128F17F" w14:textId="77777777" w:rsidR="00877F1D" w:rsidRPr="00FF119C" w:rsidRDefault="00877F1D" w:rsidP="00DE7B71">
            <w:pPr>
              <w:pStyle w:val="NormalWeb"/>
              <w:jc w:val="center"/>
              <w:rPr>
                <w:sz w:val="18"/>
                <w:szCs w:val="18"/>
              </w:rPr>
            </w:pPr>
            <w:r w:rsidRPr="00FF119C">
              <w:rPr>
                <w:sz w:val="18"/>
                <w:szCs w:val="18"/>
              </w:rPr>
              <w:t>9.3</w:t>
            </w:r>
          </w:p>
        </w:tc>
        <w:tc>
          <w:tcPr>
            <w:tcW w:w="1122" w:type="dxa"/>
            <w:hideMark/>
          </w:tcPr>
          <w:p w14:paraId="7AC5890C" w14:textId="77777777" w:rsidR="00877F1D" w:rsidRPr="00FF119C" w:rsidRDefault="00877F1D" w:rsidP="00DE7B71">
            <w:pPr>
              <w:pStyle w:val="NormalWeb"/>
              <w:jc w:val="center"/>
              <w:rPr>
                <w:sz w:val="18"/>
                <w:szCs w:val="18"/>
              </w:rPr>
            </w:pPr>
            <w:r w:rsidRPr="00FF119C">
              <w:rPr>
                <w:sz w:val="18"/>
                <w:szCs w:val="18"/>
              </w:rPr>
              <w:t>-3.3</w:t>
            </w:r>
          </w:p>
        </w:tc>
        <w:tc>
          <w:tcPr>
            <w:tcW w:w="1122" w:type="dxa"/>
            <w:hideMark/>
          </w:tcPr>
          <w:p w14:paraId="0727917E" w14:textId="77777777" w:rsidR="00877F1D" w:rsidRPr="00FF119C" w:rsidRDefault="00877F1D" w:rsidP="00DE7B71">
            <w:pPr>
              <w:pStyle w:val="NormalWeb"/>
              <w:jc w:val="center"/>
              <w:rPr>
                <w:sz w:val="18"/>
                <w:szCs w:val="18"/>
              </w:rPr>
            </w:pPr>
            <w:r w:rsidRPr="00FF119C">
              <w:rPr>
                <w:sz w:val="18"/>
                <w:szCs w:val="18"/>
              </w:rPr>
              <w:t>-26.2</w:t>
            </w:r>
          </w:p>
        </w:tc>
      </w:tr>
      <w:tr w:rsidR="00877F1D" w:rsidRPr="00FF119C" w14:paraId="2F3F06E8" w14:textId="77777777" w:rsidTr="00877F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843" w:type="dxa"/>
            <w:hideMark/>
          </w:tcPr>
          <w:p w14:paraId="268C7CCA" w14:textId="77777777" w:rsidR="00877F1D" w:rsidRPr="00FF119C" w:rsidRDefault="00877F1D" w:rsidP="00DE7B71">
            <w:pPr>
              <w:pStyle w:val="NormalWeb"/>
              <w:rPr>
                <w:sz w:val="18"/>
                <w:szCs w:val="18"/>
              </w:rPr>
            </w:pPr>
            <w:r w:rsidRPr="00FF119C">
              <w:rPr>
                <w:sz w:val="18"/>
                <w:szCs w:val="18"/>
              </w:rPr>
              <w:t>Oct</w:t>
            </w:r>
          </w:p>
        </w:tc>
        <w:tc>
          <w:tcPr>
            <w:tcW w:w="1134" w:type="dxa"/>
            <w:hideMark/>
          </w:tcPr>
          <w:p w14:paraId="769C16FD" w14:textId="77777777" w:rsidR="00877F1D" w:rsidRPr="00FF119C" w:rsidRDefault="00877F1D" w:rsidP="00DE7B71">
            <w:pPr>
              <w:pStyle w:val="NormalWeb"/>
              <w:jc w:val="center"/>
              <w:rPr>
                <w:sz w:val="18"/>
                <w:szCs w:val="18"/>
              </w:rPr>
            </w:pPr>
            <w:r w:rsidRPr="00FF119C">
              <w:rPr>
                <w:sz w:val="18"/>
                <w:szCs w:val="18"/>
              </w:rPr>
              <w:t>4.2</w:t>
            </w:r>
          </w:p>
        </w:tc>
        <w:tc>
          <w:tcPr>
            <w:tcW w:w="789" w:type="dxa"/>
            <w:hideMark/>
          </w:tcPr>
          <w:p w14:paraId="5D2ADE4C" w14:textId="77777777" w:rsidR="00877F1D" w:rsidRPr="00FF119C" w:rsidRDefault="00877F1D" w:rsidP="00DE7B71">
            <w:pPr>
              <w:pStyle w:val="NormalWeb"/>
              <w:jc w:val="center"/>
              <w:rPr>
                <w:sz w:val="18"/>
                <w:szCs w:val="18"/>
              </w:rPr>
            </w:pPr>
            <w:r w:rsidRPr="00FF119C">
              <w:rPr>
                <w:sz w:val="18"/>
                <w:szCs w:val="18"/>
              </w:rPr>
              <w:t>0.7</w:t>
            </w:r>
          </w:p>
        </w:tc>
        <w:tc>
          <w:tcPr>
            <w:tcW w:w="1122" w:type="dxa"/>
            <w:hideMark/>
          </w:tcPr>
          <w:p w14:paraId="509EE326" w14:textId="77777777" w:rsidR="00877F1D" w:rsidRPr="00FF119C" w:rsidRDefault="00877F1D" w:rsidP="00DE7B71">
            <w:pPr>
              <w:pStyle w:val="NormalWeb"/>
              <w:jc w:val="center"/>
              <w:rPr>
                <w:sz w:val="18"/>
                <w:szCs w:val="18"/>
              </w:rPr>
            </w:pPr>
            <w:r w:rsidRPr="00FF119C">
              <w:rPr>
                <w:sz w:val="18"/>
                <w:szCs w:val="18"/>
              </w:rPr>
              <w:t>-3.5</w:t>
            </w:r>
          </w:p>
        </w:tc>
        <w:tc>
          <w:tcPr>
            <w:tcW w:w="1122" w:type="dxa"/>
            <w:hideMark/>
          </w:tcPr>
          <w:p w14:paraId="7A7D04F7" w14:textId="77777777" w:rsidR="00877F1D" w:rsidRPr="00FF119C" w:rsidRDefault="00877F1D" w:rsidP="00DE7B71">
            <w:pPr>
              <w:pStyle w:val="NormalWeb"/>
              <w:jc w:val="center"/>
              <w:rPr>
                <w:sz w:val="18"/>
                <w:szCs w:val="18"/>
              </w:rPr>
            </w:pPr>
            <w:r w:rsidRPr="00FF119C">
              <w:rPr>
                <w:sz w:val="18"/>
                <w:szCs w:val="18"/>
              </w:rPr>
              <w:t>-83.3</w:t>
            </w:r>
          </w:p>
        </w:tc>
        <w:tc>
          <w:tcPr>
            <w:tcW w:w="1121" w:type="dxa"/>
            <w:hideMark/>
          </w:tcPr>
          <w:p w14:paraId="2934619B" w14:textId="77777777" w:rsidR="00877F1D" w:rsidRPr="00FF119C" w:rsidRDefault="00877F1D" w:rsidP="00DE7B71">
            <w:pPr>
              <w:pStyle w:val="NormalWeb"/>
              <w:jc w:val="center"/>
              <w:rPr>
                <w:sz w:val="18"/>
                <w:szCs w:val="18"/>
              </w:rPr>
            </w:pPr>
            <w:r w:rsidRPr="00FF119C">
              <w:rPr>
                <w:sz w:val="18"/>
                <w:szCs w:val="18"/>
              </w:rPr>
              <w:t>3.5</w:t>
            </w:r>
          </w:p>
        </w:tc>
        <w:tc>
          <w:tcPr>
            <w:tcW w:w="1122" w:type="dxa"/>
            <w:hideMark/>
          </w:tcPr>
          <w:p w14:paraId="5991441C" w14:textId="77777777" w:rsidR="00877F1D" w:rsidRPr="00FF119C" w:rsidRDefault="00877F1D" w:rsidP="00DE7B71">
            <w:pPr>
              <w:pStyle w:val="NormalWeb"/>
              <w:jc w:val="center"/>
              <w:rPr>
                <w:sz w:val="18"/>
                <w:szCs w:val="18"/>
              </w:rPr>
            </w:pPr>
            <w:r w:rsidRPr="00FF119C">
              <w:rPr>
                <w:sz w:val="18"/>
                <w:szCs w:val="18"/>
              </w:rPr>
              <w:t>1.8</w:t>
            </w:r>
          </w:p>
        </w:tc>
        <w:tc>
          <w:tcPr>
            <w:tcW w:w="1122" w:type="dxa"/>
            <w:hideMark/>
          </w:tcPr>
          <w:p w14:paraId="34EEC6FB" w14:textId="77777777" w:rsidR="00877F1D" w:rsidRPr="00FF119C" w:rsidRDefault="00877F1D" w:rsidP="00DE7B71">
            <w:pPr>
              <w:pStyle w:val="NormalWeb"/>
              <w:jc w:val="center"/>
              <w:rPr>
                <w:sz w:val="18"/>
                <w:szCs w:val="18"/>
              </w:rPr>
            </w:pPr>
            <w:r w:rsidRPr="00FF119C">
              <w:rPr>
                <w:sz w:val="18"/>
                <w:szCs w:val="18"/>
              </w:rPr>
              <w:t>-1.7</w:t>
            </w:r>
          </w:p>
        </w:tc>
        <w:tc>
          <w:tcPr>
            <w:tcW w:w="1122" w:type="dxa"/>
            <w:hideMark/>
          </w:tcPr>
          <w:p w14:paraId="475458BC" w14:textId="77777777" w:rsidR="00877F1D" w:rsidRPr="00FF119C" w:rsidRDefault="00877F1D" w:rsidP="00DE7B71">
            <w:pPr>
              <w:pStyle w:val="NormalWeb"/>
              <w:jc w:val="center"/>
              <w:rPr>
                <w:sz w:val="18"/>
                <w:szCs w:val="18"/>
              </w:rPr>
            </w:pPr>
            <w:r w:rsidRPr="00FF119C">
              <w:rPr>
                <w:sz w:val="18"/>
                <w:szCs w:val="18"/>
              </w:rPr>
              <w:t>-48.6</w:t>
            </w:r>
          </w:p>
        </w:tc>
        <w:tc>
          <w:tcPr>
            <w:tcW w:w="1121" w:type="dxa"/>
            <w:hideMark/>
          </w:tcPr>
          <w:p w14:paraId="09DCFE11" w14:textId="77777777" w:rsidR="00877F1D" w:rsidRPr="00FF119C" w:rsidRDefault="00877F1D" w:rsidP="00DE7B71">
            <w:pPr>
              <w:pStyle w:val="NormalWeb"/>
              <w:jc w:val="center"/>
              <w:rPr>
                <w:sz w:val="18"/>
                <w:szCs w:val="18"/>
              </w:rPr>
            </w:pPr>
            <w:r w:rsidRPr="00FF119C">
              <w:rPr>
                <w:sz w:val="18"/>
                <w:szCs w:val="18"/>
              </w:rPr>
              <w:t>16.7</w:t>
            </w:r>
          </w:p>
        </w:tc>
        <w:tc>
          <w:tcPr>
            <w:tcW w:w="1122" w:type="dxa"/>
            <w:hideMark/>
          </w:tcPr>
          <w:p w14:paraId="7E0B7683" w14:textId="77777777" w:rsidR="00877F1D" w:rsidRPr="00FF119C" w:rsidRDefault="00877F1D" w:rsidP="00DE7B71">
            <w:pPr>
              <w:pStyle w:val="NormalWeb"/>
              <w:jc w:val="center"/>
              <w:rPr>
                <w:sz w:val="18"/>
                <w:szCs w:val="18"/>
              </w:rPr>
            </w:pPr>
            <w:r w:rsidRPr="00FF119C">
              <w:rPr>
                <w:sz w:val="18"/>
                <w:szCs w:val="18"/>
              </w:rPr>
              <w:t>13.8</w:t>
            </w:r>
          </w:p>
        </w:tc>
        <w:tc>
          <w:tcPr>
            <w:tcW w:w="1122" w:type="dxa"/>
            <w:hideMark/>
          </w:tcPr>
          <w:p w14:paraId="18CE8377" w14:textId="77777777" w:rsidR="00877F1D" w:rsidRPr="00FF119C" w:rsidRDefault="00877F1D" w:rsidP="00DE7B71">
            <w:pPr>
              <w:pStyle w:val="NormalWeb"/>
              <w:jc w:val="center"/>
              <w:rPr>
                <w:sz w:val="18"/>
                <w:szCs w:val="18"/>
              </w:rPr>
            </w:pPr>
            <w:r w:rsidRPr="00FF119C">
              <w:rPr>
                <w:sz w:val="18"/>
                <w:szCs w:val="18"/>
              </w:rPr>
              <w:t>-2.9</w:t>
            </w:r>
          </w:p>
        </w:tc>
        <w:tc>
          <w:tcPr>
            <w:tcW w:w="1122" w:type="dxa"/>
            <w:hideMark/>
          </w:tcPr>
          <w:p w14:paraId="45963A15" w14:textId="77777777" w:rsidR="00877F1D" w:rsidRPr="00FF119C" w:rsidRDefault="00877F1D" w:rsidP="00DE7B71">
            <w:pPr>
              <w:pStyle w:val="NormalWeb"/>
              <w:jc w:val="center"/>
              <w:rPr>
                <w:sz w:val="18"/>
                <w:szCs w:val="18"/>
              </w:rPr>
            </w:pPr>
            <w:r w:rsidRPr="00FF119C">
              <w:rPr>
                <w:sz w:val="18"/>
                <w:szCs w:val="18"/>
              </w:rPr>
              <w:t>-17.4</w:t>
            </w:r>
          </w:p>
        </w:tc>
      </w:tr>
      <w:tr w:rsidR="00877F1D" w:rsidRPr="00FF119C" w14:paraId="770AA2FE" w14:textId="77777777" w:rsidTr="00877F1D">
        <w:tblPrEx>
          <w:tblCellMar>
            <w:top w:w="57" w:type="dxa"/>
            <w:left w:w="57" w:type="dxa"/>
            <w:bottom w:w="57" w:type="dxa"/>
            <w:right w:w="57" w:type="dxa"/>
          </w:tblCellMar>
        </w:tblPrEx>
        <w:tc>
          <w:tcPr>
            <w:tcW w:w="1843" w:type="dxa"/>
            <w:hideMark/>
          </w:tcPr>
          <w:p w14:paraId="1FF8AC81" w14:textId="77777777" w:rsidR="00877F1D" w:rsidRPr="00FF119C" w:rsidRDefault="00877F1D" w:rsidP="00DE7B71">
            <w:pPr>
              <w:pStyle w:val="NormalWeb"/>
              <w:rPr>
                <w:sz w:val="18"/>
                <w:szCs w:val="18"/>
              </w:rPr>
            </w:pPr>
            <w:r w:rsidRPr="00FF119C">
              <w:rPr>
                <w:sz w:val="18"/>
                <w:szCs w:val="18"/>
              </w:rPr>
              <w:t>Nov</w:t>
            </w:r>
          </w:p>
        </w:tc>
        <w:tc>
          <w:tcPr>
            <w:tcW w:w="1134" w:type="dxa"/>
            <w:hideMark/>
          </w:tcPr>
          <w:p w14:paraId="21FE8983" w14:textId="77777777" w:rsidR="00877F1D" w:rsidRPr="00FF119C" w:rsidRDefault="00877F1D" w:rsidP="00DE7B71">
            <w:pPr>
              <w:pStyle w:val="NormalWeb"/>
              <w:jc w:val="center"/>
              <w:rPr>
                <w:sz w:val="18"/>
                <w:szCs w:val="18"/>
              </w:rPr>
            </w:pPr>
            <w:r w:rsidRPr="00FF119C">
              <w:rPr>
                <w:sz w:val="18"/>
                <w:szCs w:val="18"/>
              </w:rPr>
              <w:t>3.8</w:t>
            </w:r>
          </w:p>
        </w:tc>
        <w:tc>
          <w:tcPr>
            <w:tcW w:w="789" w:type="dxa"/>
            <w:hideMark/>
          </w:tcPr>
          <w:p w14:paraId="3CEE265B" w14:textId="77777777" w:rsidR="00877F1D" w:rsidRPr="00FF119C" w:rsidRDefault="00877F1D" w:rsidP="00DE7B71">
            <w:pPr>
              <w:pStyle w:val="NormalWeb"/>
              <w:jc w:val="center"/>
              <w:rPr>
                <w:sz w:val="18"/>
                <w:szCs w:val="18"/>
              </w:rPr>
            </w:pPr>
            <w:r w:rsidRPr="00FF119C">
              <w:rPr>
                <w:sz w:val="18"/>
                <w:szCs w:val="18"/>
              </w:rPr>
              <w:t>1.6</w:t>
            </w:r>
          </w:p>
        </w:tc>
        <w:tc>
          <w:tcPr>
            <w:tcW w:w="1122" w:type="dxa"/>
            <w:hideMark/>
          </w:tcPr>
          <w:p w14:paraId="17423AA4" w14:textId="77777777" w:rsidR="00877F1D" w:rsidRPr="00FF119C" w:rsidRDefault="00877F1D" w:rsidP="00DE7B71">
            <w:pPr>
              <w:pStyle w:val="NormalWeb"/>
              <w:jc w:val="center"/>
              <w:rPr>
                <w:sz w:val="18"/>
                <w:szCs w:val="18"/>
              </w:rPr>
            </w:pPr>
            <w:r w:rsidRPr="00FF119C">
              <w:rPr>
                <w:sz w:val="18"/>
                <w:szCs w:val="18"/>
              </w:rPr>
              <w:t>-2.2</w:t>
            </w:r>
          </w:p>
        </w:tc>
        <w:tc>
          <w:tcPr>
            <w:tcW w:w="1122" w:type="dxa"/>
            <w:hideMark/>
          </w:tcPr>
          <w:p w14:paraId="62D0674A" w14:textId="77777777" w:rsidR="00877F1D" w:rsidRPr="00FF119C" w:rsidRDefault="00877F1D" w:rsidP="00DE7B71">
            <w:pPr>
              <w:pStyle w:val="NormalWeb"/>
              <w:jc w:val="center"/>
              <w:rPr>
                <w:sz w:val="18"/>
                <w:szCs w:val="18"/>
              </w:rPr>
            </w:pPr>
            <w:r w:rsidRPr="00FF119C">
              <w:rPr>
                <w:sz w:val="18"/>
                <w:szCs w:val="18"/>
              </w:rPr>
              <w:t>-57.9</w:t>
            </w:r>
          </w:p>
        </w:tc>
        <w:tc>
          <w:tcPr>
            <w:tcW w:w="1121" w:type="dxa"/>
            <w:hideMark/>
          </w:tcPr>
          <w:p w14:paraId="7017672F" w14:textId="77777777" w:rsidR="00877F1D" w:rsidRPr="00FF119C" w:rsidRDefault="00877F1D" w:rsidP="00DE7B71">
            <w:pPr>
              <w:pStyle w:val="NormalWeb"/>
              <w:jc w:val="center"/>
              <w:rPr>
                <w:sz w:val="18"/>
                <w:szCs w:val="18"/>
              </w:rPr>
            </w:pPr>
            <w:r w:rsidRPr="00FF119C">
              <w:rPr>
                <w:sz w:val="18"/>
                <w:szCs w:val="18"/>
              </w:rPr>
              <w:t>3.3</w:t>
            </w:r>
          </w:p>
        </w:tc>
        <w:tc>
          <w:tcPr>
            <w:tcW w:w="1122" w:type="dxa"/>
            <w:hideMark/>
          </w:tcPr>
          <w:p w14:paraId="4CDE6617" w14:textId="77777777" w:rsidR="00877F1D" w:rsidRPr="00FF119C" w:rsidRDefault="00877F1D" w:rsidP="00DE7B71">
            <w:pPr>
              <w:pStyle w:val="NormalWeb"/>
              <w:jc w:val="center"/>
              <w:rPr>
                <w:sz w:val="18"/>
                <w:szCs w:val="18"/>
              </w:rPr>
            </w:pPr>
            <w:r w:rsidRPr="00FF119C">
              <w:rPr>
                <w:sz w:val="18"/>
                <w:szCs w:val="18"/>
              </w:rPr>
              <w:t>2.1</w:t>
            </w:r>
          </w:p>
        </w:tc>
        <w:tc>
          <w:tcPr>
            <w:tcW w:w="1122" w:type="dxa"/>
            <w:hideMark/>
          </w:tcPr>
          <w:p w14:paraId="0AFF6F7A" w14:textId="77777777" w:rsidR="00877F1D" w:rsidRPr="00FF119C" w:rsidRDefault="00877F1D" w:rsidP="00DE7B71">
            <w:pPr>
              <w:pStyle w:val="NormalWeb"/>
              <w:jc w:val="center"/>
              <w:rPr>
                <w:sz w:val="18"/>
                <w:szCs w:val="18"/>
              </w:rPr>
            </w:pPr>
            <w:r w:rsidRPr="00FF119C">
              <w:rPr>
                <w:sz w:val="18"/>
                <w:szCs w:val="18"/>
              </w:rPr>
              <w:t>-1.2</w:t>
            </w:r>
          </w:p>
        </w:tc>
        <w:tc>
          <w:tcPr>
            <w:tcW w:w="1122" w:type="dxa"/>
            <w:hideMark/>
          </w:tcPr>
          <w:p w14:paraId="04645D1C" w14:textId="77777777" w:rsidR="00877F1D" w:rsidRPr="00FF119C" w:rsidRDefault="00877F1D" w:rsidP="00DE7B71">
            <w:pPr>
              <w:pStyle w:val="NormalWeb"/>
              <w:jc w:val="center"/>
              <w:rPr>
                <w:sz w:val="18"/>
                <w:szCs w:val="18"/>
              </w:rPr>
            </w:pPr>
            <w:r w:rsidRPr="00FF119C">
              <w:rPr>
                <w:sz w:val="18"/>
                <w:szCs w:val="18"/>
              </w:rPr>
              <w:t>-36.4</w:t>
            </w:r>
          </w:p>
        </w:tc>
        <w:tc>
          <w:tcPr>
            <w:tcW w:w="1121" w:type="dxa"/>
            <w:hideMark/>
          </w:tcPr>
          <w:p w14:paraId="1954C115" w14:textId="77777777" w:rsidR="00877F1D" w:rsidRPr="00FF119C" w:rsidRDefault="00877F1D" w:rsidP="00DE7B71">
            <w:pPr>
              <w:pStyle w:val="NormalWeb"/>
              <w:jc w:val="center"/>
              <w:rPr>
                <w:sz w:val="18"/>
                <w:szCs w:val="18"/>
              </w:rPr>
            </w:pPr>
            <w:r w:rsidRPr="00FF119C">
              <w:rPr>
                <w:sz w:val="18"/>
                <w:szCs w:val="18"/>
              </w:rPr>
              <w:t>18.3</w:t>
            </w:r>
          </w:p>
        </w:tc>
        <w:tc>
          <w:tcPr>
            <w:tcW w:w="1122" w:type="dxa"/>
            <w:hideMark/>
          </w:tcPr>
          <w:p w14:paraId="63800829" w14:textId="77777777" w:rsidR="00877F1D" w:rsidRPr="00FF119C" w:rsidRDefault="00877F1D" w:rsidP="00DE7B71">
            <w:pPr>
              <w:pStyle w:val="NormalWeb"/>
              <w:jc w:val="center"/>
              <w:rPr>
                <w:sz w:val="18"/>
                <w:szCs w:val="18"/>
              </w:rPr>
            </w:pPr>
            <w:r w:rsidRPr="00FF119C">
              <w:rPr>
                <w:sz w:val="18"/>
                <w:szCs w:val="18"/>
              </w:rPr>
              <w:t>9.8</w:t>
            </w:r>
          </w:p>
        </w:tc>
        <w:tc>
          <w:tcPr>
            <w:tcW w:w="1122" w:type="dxa"/>
            <w:hideMark/>
          </w:tcPr>
          <w:p w14:paraId="41C5FC50" w14:textId="77777777" w:rsidR="00877F1D" w:rsidRPr="00FF119C" w:rsidRDefault="00877F1D" w:rsidP="00DE7B71">
            <w:pPr>
              <w:pStyle w:val="NormalWeb"/>
              <w:jc w:val="center"/>
              <w:rPr>
                <w:sz w:val="18"/>
                <w:szCs w:val="18"/>
              </w:rPr>
            </w:pPr>
            <w:r w:rsidRPr="00FF119C">
              <w:rPr>
                <w:sz w:val="18"/>
                <w:szCs w:val="18"/>
              </w:rPr>
              <w:t>-8.5</w:t>
            </w:r>
          </w:p>
        </w:tc>
        <w:tc>
          <w:tcPr>
            <w:tcW w:w="1122" w:type="dxa"/>
            <w:hideMark/>
          </w:tcPr>
          <w:p w14:paraId="636D66B9" w14:textId="77777777" w:rsidR="00877F1D" w:rsidRPr="00FF119C" w:rsidRDefault="00877F1D" w:rsidP="00DE7B71">
            <w:pPr>
              <w:pStyle w:val="NormalWeb"/>
              <w:jc w:val="center"/>
              <w:rPr>
                <w:sz w:val="18"/>
                <w:szCs w:val="18"/>
              </w:rPr>
            </w:pPr>
            <w:r w:rsidRPr="00FF119C">
              <w:rPr>
                <w:sz w:val="18"/>
                <w:szCs w:val="18"/>
              </w:rPr>
              <w:t>-46.5</w:t>
            </w:r>
          </w:p>
        </w:tc>
      </w:tr>
      <w:tr w:rsidR="00877F1D" w:rsidRPr="00FF119C" w14:paraId="7497E923" w14:textId="77777777" w:rsidTr="00877F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843" w:type="dxa"/>
            <w:hideMark/>
          </w:tcPr>
          <w:p w14:paraId="6E1BD7AB" w14:textId="77777777" w:rsidR="00877F1D" w:rsidRPr="00FF119C" w:rsidRDefault="00877F1D" w:rsidP="00DE7B71">
            <w:pPr>
              <w:pStyle w:val="NormalWeb"/>
              <w:rPr>
                <w:sz w:val="18"/>
                <w:szCs w:val="18"/>
              </w:rPr>
            </w:pPr>
            <w:r w:rsidRPr="00FF119C">
              <w:rPr>
                <w:sz w:val="18"/>
                <w:szCs w:val="18"/>
              </w:rPr>
              <w:t>Dec</w:t>
            </w:r>
          </w:p>
        </w:tc>
        <w:tc>
          <w:tcPr>
            <w:tcW w:w="1134" w:type="dxa"/>
            <w:hideMark/>
          </w:tcPr>
          <w:p w14:paraId="3D2D9C74" w14:textId="77777777" w:rsidR="00877F1D" w:rsidRPr="00FF119C" w:rsidRDefault="00877F1D" w:rsidP="00DE7B71">
            <w:pPr>
              <w:pStyle w:val="NormalWeb"/>
              <w:jc w:val="center"/>
              <w:rPr>
                <w:sz w:val="18"/>
                <w:szCs w:val="18"/>
              </w:rPr>
            </w:pPr>
            <w:r w:rsidRPr="00FF119C">
              <w:rPr>
                <w:sz w:val="18"/>
                <w:szCs w:val="18"/>
              </w:rPr>
              <w:t>4.7</w:t>
            </w:r>
          </w:p>
        </w:tc>
        <w:tc>
          <w:tcPr>
            <w:tcW w:w="789" w:type="dxa"/>
            <w:hideMark/>
          </w:tcPr>
          <w:p w14:paraId="19D7E62F" w14:textId="77777777" w:rsidR="00877F1D" w:rsidRPr="00FF119C" w:rsidRDefault="00877F1D" w:rsidP="00DE7B71">
            <w:pPr>
              <w:pStyle w:val="NormalWeb"/>
              <w:jc w:val="center"/>
              <w:rPr>
                <w:sz w:val="18"/>
                <w:szCs w:val="18"/>
              </w:rPr>
            </w:pPr>
            <w:r w:rsidRPr="00FF119C">
              <w:rPr>
                <w:sz w:val="18"/>
                <w:szCs w:val="18"/>
              </w:rPr>
              <w:t>3.1</w:t>
            </w:r>
          </w:p>
        </w:tc>
        <w:tc>
          <w:tcPr>
            <w:tcW w:w="1122" w:type="dxa"/>
            <w:hideMark/>
          </w:tcPr>
          <w:p w14:paraId="0AA65CF6" w14:textId="77777777" w:rsidR="00877F1D" w:rsidRPr="00FF119C" w:rsidRDefault="00877F1D" w:rsidP="00DE7B71">
            <w:pPr>
              <w:pStyle w:val="NormalWeb"/>
              <w:jc w:val="center"/>
              <w:rPr>
                <w:sz w:val="18"/>
                <w:szCs w:val="18"/>
              </w:rPr>
            </w:pPr>
            <w:r w:rsidRPr="00FF119C">
              <w:rPr>
                <w:sz w:val="18"/>
                <w:szCs w:val="18"/>
              </w:rPr>
              <w:t>-1.6</w:t>
            </w:r>
          </w:p>
        </w:tc>
        <w:tc>
          <w:tcPr>
            <w:tcW w:w="1122" w:type="dxa"/>
            <w:hideMark/>
          </w:tcPr>
          <w:p w14:paraId="2B491293" w14:textId="77777777" w:rsidR="00877F1D" w:rsidRPr="00FF119C" w:rsidRDefault="00877F1D" w:rsidP="00DE7B71">
            <w:pPr>
              <w:pStyle w:val="NormalWeb"/>
              <w:jc w:val="center"/>
              <w:rPr>
                <w:sz w:val="18"/>
                <w:szCs w:val="18"/>
              </w:rPr>
            </w:pPr>
            <w:r w:rsidRPr="00FF119C">
              <w:rPr>
                <w:sz w:val="18"/>
                <w:szCs w:val="18"/>
              </w:rPr>
              <w:t>-34.0</w:t>
            </w:r>
          </w:p>
        </w:tc>
        <w:tc>
          <w:tcPr>
            <w:tcW w:w="1121" w:type="dxa"/>
            <w:hideMark/>
          </w:tcPr>
          <w:p w14:paraId="2D5A56A3" w14:textId="77777777" w:rsidR="00877F1D" w:rsidRPr="00FF119C" w:rsidRDefault="00877F1D" w:rsidP="00DE7B71">
            <w:pPr>
              <w:pStyle w:val="NormalWeb"/>
              <w:jc w:val="center"/>
              <w:rPr>
                <w:sz w:val="18"/>
                <w:szCs w:val="18"/>
              </w:rPr>
            </w:pPr>
            <w:r w:rsidRPr="00FF119C">
              <w:rPr>
                <w:sz w:val="18"/>
                <w:szCs w:val="18"/>
              </w:rPr>
              <w:t>4.4</w:t>
            </w:r>
          </w:p>
        </w:tc>
        <w:tc>
          <w:tcPr>
            <w:tcW w:w="1122" w:type="dxa"/>
            <w:hideMark/>
          </w:tcPr>
          <w:p w14:paraId="7DBA7EC2" w14:textId="77777777" w:rsidR="00877F1D" w:rsidRPr="00FF119C" w:rsidRDefault="00877F1D" w:rsidP="00DE7B71">
            <w:pPr>
              <w:pStyle w:val="NormalWeb"/>
              <w:jc w:val="center"/>
              <w:rPr>
                <w:sz w:val="18"/>
                <w:szCs w:val="18"/>
              </w:rPr>
            </w:pPr>
            <w:r w:rsidRPr="00FF119C">
              <w:rPr>
                <w:sz w:val="18"/>
                <w:szCs w:val="18"/>
              </w:rPr>
              <w:t>4.1</w:t>
            </w:r>
          </w:p>
        </w:tc>
        <w:tc>
          <w:tcPr>
            <w:tcW w:w="1122" w:type="dxa"/>
            <w:hideMark/>
          </w:tcPr>
          <w:p w14:paraId="769DC69E" w14:textId="77777777" w:rsidR="00877F1D" w:rsidRPr="00FF119C" w:rsidRDefault="00877F1D" w:rsidP="00DE7B71">
            <w:pPr>
              <w:pStyle w:val="NormalWeb"/>
              <w:jc w:val="center"/>
              <w:rPr>
                <w:sz w:val="18"/>
                <w:szCs w:val="18"/>
              </w:rPr>
            </w:pPr>
            <w:r w:rsidRPr="00FF119C">
              <w:rPr>
                <w:sz w:val="18"/>
                <w:szCs w:val="18"/>
              </w:rPr>
              <w:t>-0.3</w:t>
            </w:r>
          </w:p>
        </w:tc>
        <w:tc>
          <w:tcPr>
            <w:tcW w:w="1122" w:type="dxa"/>
            <w:hideMark/>
          </w:tcPr>
          <w:p w14:paraId="1DD99C34" w14:textId="77777777" w:rsidR="00877F1D" w:rsidRPr="00FF119C" w:rsidRDefault="00877F1D" w:rsidP="00DE7B71">
            <w:pPr>
              <w:pStyle w:val="NormalWeb"/>
              <w:jc w:val="center"/>
              <w:rPr>
                <w:sz w:val="18"/>
                <w:szCs w:val="18"/>
              </w:rPr>
            </w:pPr>
            <w:r w:rsidRPr="00FF119C">
              <w:rPr>
                <w:sz w:val="18"/>
                <w:szCs w:val="18"/>
              </w:rPr>
              <w:t>-6.8</w:t>
            </w:r>
          </w:p>
        </w:tc>
        <w:tc>
          <w:tcPr>
            <w:tcW w:w="1121" w:type="dxa"/>
            <w:hideMark/>
          </w:tcPr>
          <w:p w14:paraId="404A33A8" w14:textId="77777777" w:rsidR="00877F1D" w:rsidRPr="00FF119C" w:rsidRDefault="00877F1D" w:rsidP="00DE7B71">
            <w:pPr>
              <w:pStyle w:val="NormalWeb"/>
              <w:jc w:val="center"/>
              <w:rPr>
                <w:sz w:val="18"/>
                <w:szCs w:val="18"/>
              </w:rPr>
            </w:pPr>
            <w:r w:rsidRPr="00FF119C">
              <w:rPr>
                <w:sz w:val="18"/>
                <w:szCs w:val="18"/>
              </w:rPr>
              <w:t>18.4</w:t>
            </w:r>
          </w:p>
        </w:tc>
        <w:tc>
          <w:tcPr>
            <w:tcW w:w="1122" w:type="dxa"/>
            <w:hideMark/>
          </w:tcPr>
          <w:p w14:paraId="79AC99C8" w14:textId="77777777" w:rsidR="00877F1D" w:rsidRPr="00FF119C" w:rsidRDefault="00877F1D" w:rsidP="00DE7B71">
            <w:pPr>
              <w:pStyle w:val="NormalWeb"/>
              <w:jc w:val="center"/>
              <w:rPr>
                <w:sz w:val="18"/>
                <w:szCs w:val="18"/>
              </w:rPr>
            </w:pPr>
            <w:r w:rsidRPr="00FF119C">
              <w:rPr>
                <w:sz w:val="18"/>
                <w:szCs w:val="18"/>
              </w:rPr>
              <w:t>15.4</w:t>
            </w:r>
          </w:p>
        </w:tc>
        <w:tc>
          <w:tcPr>
            <w:tcW w:w="1122" w:type="dxa"/>
            <w:hideMark/>
          </w:tcPr>
          <w:p w14:paraId="6D94811E" w14:textId="77777777" w:rsidR="00877F1D" w:rsidRPr="00FF119C" w:rsidRDefault="00877F1D" w:rsidP="00DE7B71">
            <w:pPr>
              <w:pStyle w:val="NormalWeb"/>
              <w:jc w:val="center"/>
              <w:rPr>
                <w:sz w:val="18"/>
                <w:szCs w:val="18"/>
              </w:rPr>
            </w:pPr>
            <w:r w:rsidRPr="00FF119C">
              <w:rPr>
                <w:sz w:val="18"/>
                <w:szCs w:val="18"/>
              </w:rPr>
              <w:t>-3.0</w:t>
            </w:r>
          </w:p>
        </w:tc>
        <w:tc>
          <w:tcPr>
            <w:tcW w:w="1122" w:type="dxa"/>
            <w:hideMark/>
          </w:tcPr>
          <w:p w14:paraId="752A58A7" w14:textId="77777777" w:rsidR="00877F1D" w:rsidRPr="00FF119C" w:rsidRDefault="00877F1D" w:rsidP="00DE7B71">
            <w:pPr>
              <w:pStyle w:val="NormalWeb"/>
              <w:jc w:val="center"/>
              <w:rPr>
                <w:sz w:val="18"/>
                <w:szCs w:val="18"/>
              </w:rPr>
            </w:pPr>
            <w:r w:rsidRPr="00FF119C">
              <w:rPr>
                <w:sz w:val="18"/>
                <w:szCs w:val="18"/>
              </w:rPr>
              <w:t>-16.3</w:t>
            </w:r>
          </w:p>
        </w:tc>
      </w:tr>
      <w:tr w:rsidR="00877F1D" w:rsidRPr="00FF119C" w14:paraId="5E9FF24A" w14:textId="77777777" w:rsidTr="00877F1D">
        <w:tblPrEx>
          <w:tblCellMar>
            <w:top w:w="57" w:type="dxa"/>
            <w:left w:w="57" w:type="dxa"/>
            <w:bottom w:w="57" w:type="dxa"/>
            <w:right w:w="57" w:type="dxa"/>
          </w:tblCellMar>
        </w:tblPrEx>
        <w:tc>
          <w:tcPr>
            <w:tcW w:w="1843" w:type="dxa"/>
            <w:hideMark/>
          </w:tcPr>
          <w:p w14:paraId="02D7E844" w14:textId="77777777" w:rsidR="00877F1D" w:rsidRPr="00FF119C" w:rsidRDefault="00877F1D" w:rsidP="00DE7B71">
            <w:pPr>
              <w:pStyle w:val="NormalWeb"/>
              <w:rPr>
                <w:sz w:val="18"/>
                <w:szCs w:val="18"/>
              </w:rPr>
            </w:pPr>
            <w:r w:rsidRPr="00FF119C">
              <w:rPr>
                <w:sz w:val="18"/>
                <w:szCs w:val="18"/>
                <w:lang w:val="en-US"/>
              </w:rPr>
              <w:t>Average (Jan–Dec)</w:t>
            </w:r>
          </w:p>
        </w:tc>
        <w:tc>
          <w:tcPr>
            <w:tcW w:w="1134" w:type="dxa"/>
            <w:hideMark/>
          </w:tcPr>
          <w:p w14:paraId="2FF6389E" w14:textId="77777777" w:rsidR="00877F1D" w:rsidRPr="00FF119C" w:rsidRDefault="00877F1D" w:rsidP="00DE7B71">
            <w:pPr>
              <w:pStyle w:val="NormalWeb"/>
              <w:jc w:val="center"/>
              <w:rPr>
                <w:sz w:val="18"/>
                <w:szCs w:val="18"/>
              </w:rPr>
            </w:pPr>
            <w:r w:rsidRPr="00FF119C">
              <w:rPr>
                <w:sz w:val="18"/>
                <w:szCs w:val="18"/>
              </w:rPr>
              <w:t>4.4</w:t>
            </w:r>
          </w:p>
        </w:tc>
        <w:tc>
          <w:tcPr>
            <w:tcW w:w="789" w:type="dxa"/>
            <w:hideMark/>
          </w:tcPr>
          <w:p w14:paraId="13E6DCEC" w14:textId="77777777" w:rsidR="00877F1D" w:rsidRPr="00FF119C" w:rsidRDefault="00877F1D" w:rsidP="00DE7B71">
            <w:pPr>
              <w:pStyle w:val="NormalWeb"/>
              <w:jc w:val="center"/>
              <w:rPr>
                <w:sz w:val="18"/>
                <w:szCs w:val="18"/>
              </w:rPr>
            </w:pPr>
            <w:r w:rsidRPr="00FF119C">
              <w:rPr>
                <w:sz w:val="18"/>
                <w:szCs w:val="18"/>
              </w:rPr>
              <w:t>2.3</w:t>
            </w:r>
          </w:p>
        </w:tc>
        <w:tc>
          <w:tcPr>
            <w:tcW w:w="1122" w:type="dxa"/>
            <w:hideMark/>
          </w:tcPr>
          <w:p w14:paraId="1AB5F3D9" w14:textId="77777777" w:rsidR="00877F1D" w:rsidRPr="00FF119C" w:rsidRDefault="00877F1D" w:rsidP="00DE7B71">
            <w:pPr>
              <w:pStyle w:val="NormalWeb"/>
              <w:jc w:val="center"/>
              <w:rPr>
                <w:sz w:val="18"/>
                <w:szCs w:val="18"/>
              </w:rPr>
            </w:pPr>
            <w:r w:rsidRPr="00FF119C">
              <w:rPr>
                <w:sz w:val="18"/>
                <w:szCs w:val="18"/>
              </w:rPr>
              <w:t>-2.0</w:t>
            </w:r>
          </w:p>
        </w:tc>
        <w:tc>
          <w:tcPr>
            <w:tcW w:w="1122" w:type="dxa"/>
            <w:hideMark/>
          </w:tcPr>
          <w:p w14:paraId="51588274" w14:textId="77777777" w:rsidR="00877F1D" w:rsidRPr="00FF119C" w:rsidRDefault="00877F1D" w:rsidP="00DE7B71">
            <w:pPr>
              <w:pStyle w:val="NormalWeb"/>
              <w:jc w:val="center"/>
              <w:rPr>
                <w:sz w:val="18"/>
                <w:szCs w:val="18"/>
              </w:rPr>
            </w:pPr>
            <w:r w:rsidRPr="00FF119C">
              <w:rPr>
                <w:sz w:val="18"/>
                <w:szCs w:val="18"/>
              </w:rPr>
              <w:t>-49.2</w:t>
            </w:r>
          </w:p>
        </w:tc>
        <w:tc>
          <w:tcPr>
            <w:tcW w:w="1121" w:type="dxa"/>
            <w:hideMark/>
          </w:tcPr>
          <w:p w14:paraId="4B9185F0" w14:textId="77777777" w:rsidR="00877F1D" w:rsidRPr="00FF119C" w:rsidRDefault="00877F1D" w:rsidP="00DE7B71">
            <w:pPr>
              <w:pStyle w:val="NormalWeb"/>
              <w:jc w:val="center"/>
              <w:rPr>
                <w:sz w:val="18"/>
                <w:szCs w:val="18"/>
              </w:rPr>
            </w:pPr>
            <w:r w:rsidRPr="00FF119C">
              <w:rPr>
                <w:sz w:val="18"/>
                <w:szCs w:val="18"/>
              </w:rPr>
              <w:t>4.0</w:t>
            </w:r>
          </w:p>
        </w:tc>
        <w:tc>
          <w:tcPr>
            <w:tcW w:w="1122" w:type="dxa"/>
            <w:hideMark/>
          </w:tcPr>
          <w:p w14:paraId="28CC3450" w14:textId="77777777" w:rsidR="00877F1D" w:rsidRPr="00FF119C" w:rsidRDefault="00877F1D" w:rsidP="00DE7B71">
            <w:pPr>
              <w:pStyle w:val="NormalWeb"/>
              <w:jc w:val="center"/>
              <w:rPr>
                <w:sz w:val="18"/>
                <w:szCs w:val="18"/>
              </w:rPr>
            </w:pPr>
            <w:r w:rsidRPr="00FF119C">
              <w:rPr>
                <w:sz w:val="18"/>
                <w:szCs w:val="18"/>
              </w:rPr>
              <w:t>3.0</w:t>
            </w:r>
          </w:p>
        </w:tc>
        <w:tc>
          <w:tcPr>
            <w:tcW w:w="1122" w:type="dxa"/>
            <w:hideMark/>
          </w:tcPr>
          <w:p w14:paraId="3CFF98A9" w14:textId="77777777" w:rsidR="00877F1D" w:rsidRPr="00FF119C" w:rsidRDefault="00877F1D" w:rsidP="00DE7B71">
            <w:pPr>
              <w:pStyle w:val="NormalWeb"/>
              <w:jc w:val="center"/>
              <w:rPr>
                <w:sz w:val="18"/>
                <w:szCs w:val="18"/>
              </w:rPr>
            </w:pPr>
            <w:r w:rsidRPr="00FF119C">
              <w:rPr>
                <w:sz w:val="18"/>
                <w:szCs w:val="18"/>
              </w:rPr>
              <w:t>-1.0</w:t>
            </w:r>
          </w:p>
        </w:tc>
        <w:tc>
          <w:tcPr>
            <w:tcW w:w="1122" w:type="dxa"/>
            <w:hideMark/>
          </w:tcPr>
          <w:p w14:paraId="34905CB1" w14:textId="77777777" w:rsidR="00877F1D" w:rsidRPr="00FF119C" w:rsidRDefault="00877F1D" w:rsidP="00DE7B71">
            <w:pPr>
              <w:pStyle w:val="NormalWeb"/>
              <w:jc w:val="center"/>
              <w:rPr>
                <w:sz w:val="18"/>
                <w:szCs w:val="18"/>
              </w:rPr>
            </w:pPr>
            <w:r w:rsidRPr="00FF119C">
              <w:rPr>
                <w:sz w:val="18"/>
                <w:szCs w:val="18"/>
              </w:rPr>
              <w:t>-29.7</w:t>
            </w:r>
          </w:p>
        </w:tc>
        <w:tc>
          <w:tcPr>
            <w:tcW w:w="1121" w:type="dxa"/>
            <w:hideMark/>
          </w:tcPr>
          <w:p w14:paraId="2140CF37" w14:textId="77777777" w:rsidR="00877F1D" w:rsidRPr="00FF119C" w:rsidRDefault="00877F1D" w:rsidP="00DE7B71">
            <w:pPr>
              <w:pStyle w:val="NormalWeb"/>
              <w:jc w:val="center"/>
              <w:rPr>
                <w:sz w:val="18"/>
                <w:szCs w:val="18"/>
              </w:rPr>
            </w:pPr>
            <w:r w:rsidRPr="00FF119C">
              <w:rPr>
                <w:sz w:val="18"/>
                <w:szCs w:val="18"/>
              </w:rPr>
              <w:t>18.0</w:t>
            </w:r>
          </w:p>
        </w:tc>
        <w:tc>
          <w:tcPr>
            <w:tcW w:w="1122" w:type="dxa"/>
            <w:hideMark/>
          </w:tcPr>
          <w:p w14:paraId="4E5A2D72" w14:textId="77777777" w:rsidR="00877F1D" w:rsidRPr="00FF119C" w:rsidRDefault="00877F1D" w:rsidP="00DE7B71">
            <w:pPr>
              <w:pStyle w:val="NormalWeb"/>
              <w:jc w:val="center"/>
              <w:rPr>
                <w:sz w:val="18"/>
                <w:szCs w:val="18"/>
              </w:rPr>
            </w:pPr>
            <w:r w:rsidRPr="00FF119C">
              <w:rPr>
                <w:sz w:val="18"/>
                <w:szCs w:val="18"/>
              </w:rPr>
              <w:t>13.8</w:t>
            </w:r>
          </w:p>
        </w:tc>
        <w:tc>
          <w:tcPr>
            <w:tcW w:w="1122" w:type="dxa"/>
            <w:hideMark/>
          </w:tcPr>
          <w:p w14:paraId="748E5EA7" w14:textId="77777777" w:rsidR="00877F1D" w:rsidRPr="00FF119C" w:rsidRDefault="00877F1D" w:rsidP="00DE7B71">
            <w:pPr>
              <w:pStyle w:val="NormalWeb"/>
              <w:jc w:val="center"/>
              <w:rPr>
                <w:sz w:val="18"/>
                <w:szCs w:val="18"/>
              </w:rPr>
            </w:pPr>
            <w:r w:rsidRPr="00FF119C">
              <w:rPr>
                <w:sz w:val="18"/>
                <w:szCs w:val="18"/>
              </w:rPr>
              <w:t>-4.2</w:t>
            </w:r>
          </w:p>
        </w:tc>
        <w:tc>
          <w:tcPr>
            <w:tcW w:w="1122" w:type="dxa"/>
            <w:hideMark/>
          </w:tcPr>
          <w:p w14:paraId="14D2309F" w14:textId="77777777" w:rsidR="00877F1D" w:rsidRPr="00FF119C" w:rsidRDefault="00877F1D" w:rsidP="00DE7B71">
            <w:pPr>
              <w:pStyle w:val="NormalWeb"/>
              <w:jc w:val="center"/>
              <w:rPr>
                <w:sz w:val="18"/>
                <w:szCs w:val="18"/>
              </w:rPr>
            </w:pPr>
            <w:r w:rsidRPr="00FF119C">
              <w:rPr>
                <w:sz w:val="18"/>
                <w:szCs w:val="18"/>
              </w:rPr>
              <w:t>-21.8</w:t>
            </w:r>
          </w:p>
        </w:tc>
      </w:tr>
      <w:tr w:rsidR="00877F1D" w:rsidRPr="00FF119C" w14:paraId="2D3704B7" w14:textId="77777777" w:rsidTr="00877F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843" w:type="dxa"/>
            <w:hideMark/>
          </w:tcPr>
          <w:p w14:paraId="391EF95E" w14:textId="77777777" w:rsidR="00877F1D" w:rsidRPr="00FF119C" w:rsidRDefault="00877F1D" w:rsidP="00DE7B71">
            <w:pPr>
              <w:pStyle w:val="NormalWeb"/>
              <w:rPr>
                <w:sz w:val="18"/>
                <w:szCs w:val="18"/>
              </w:rPr>
            </w:pPr>
            <w:r w:rsidRPr="00FF119C">
              <w:rPr>
                <w:sz w:val="18"/>
                <w:szCs w:val="18"/>
              </w:rPr>
              <w:t>Average (Mar–Dec)</w:t>
            </w:r>
          </w:p>
        </w:tc>
        <w:tc>
          <w:tcPr>
            <w:tcW w:w="1134" w:type="dxa"/>
            <w:hideMark/>
          </w:tcPr>
          <w:p w14:paraId="745167FB" w14:textId="77777777" w:rsidR="00877F1D" w:rsidRPr="00FF119C" w:rsidRDefault="00877F1D" w:rsidP="00DE7B71">
            <w:pPr>
              <w:pStyle w:val="NormalWeb"/>
              <w:jc w:val="center"/>
              <w:rPr>
                <w:sz w:val="18"/>
                <w:szCs w:val="18"/>
              </w:rPr>
            </w:pPr>
            <w:r w:rsidRPr="00FF119C">
              <w:rPr>
                <w:sz w:val="18"/>
                <w:szCs w:val="18"/>
              </w:rPr>
              <w:t>3.8</w:t>
            </w:r>
          </w:p>
        </w:tc>
        <w:tc>
          <w:tcPr>
            <w:tcW w:w="789" w:type="dxa"/>
            <w:hideMark/>
          </w:tcPr>
          <w:p w14:paraId="720F0A68" w14:textId="77777777" w:rsidR="00877F1D" w:rsidRPr="00FF119C" w:rsidRDefault="00877F1D" w:rsidP="00DE7B71">
            <w:pPr>
              <w:pStyle w:val="NormalWeb"/>
              <w:jc w:val="center"/>
              <w:rPr>
                <w:sz w:val="18"/>
                <w:szCs w:val="18"/>
              </w:rPr>
            </w:pPr>
            <w:r w:rsidRPr="00FF119C">
              <w:rPr>
                <w:sz w:val="18"/>
                <w:szCs w:val="18"/>
              </w:rPr>
              <w:t>1.8</w:t>
            </w:r>
          </w:p>
        </w:tc>
        <w:tc>
          <w:tcPr>
            <w:tcW w:w="1122" w:type="dxa"/>
            <w:hideMark/>
          </w:tcPr>
          <w:p w14:paraId="460F2C4B" w14:textId="77777777" w:rsidR="00877F1D" w:rsidRPr="00FF119C" w:rsidRDefault="00877F1D" w:rsidP="00DE7B71">
            <w:pPr>
              <w:pStyle w:val="NormalWeb"/>
              <w:jc w:val="center"/>
              <w:rPr>
                <w:sz w:val="18"/>
                <w:szCs w:val="18"/>
              </w:rPr>
            </w:pPr>
            <w:r w:rsidRPr="00FF119C">
              <w:rPr>
                <w:sz w:val="18"/>
                <w:szCs w:val="18"/>
              </w:rPr>
              <w:t>-2.0</w:t>
            </w:r>
          </w:p>
        </w:tc>
        <w:tc>
          <w:tcPr>
            <w:tcW w:w="1122" w:type="dxa"/>
            <w:hideMark/>
          </w:tcPr>
          <w:p w14:paraId="4F232478" w14:textId="77777777" w:rsidR="00877F1D" w:rsidRPr="00FF119C" w:rsidRDefault="00877F1D" w:rsidP="00DE7B71">
            <w:pPr>
              <w:pStyle w:val="NormalWeb"/>
              <w:jc w:val="center"/>
              <w:rPr>
                <w:sz w:val="18"/>
                <w:szCs w:val="18"/>
              </w:rPr>
            </w:pPr>
            <w:r w:rsidRPr="00FF119C">
              <w:rPr>
                <w:sz w:val="18"/>
                <w:szCs w:val="18"/>
              </w:rPr>
              <w:t>-52.8</w:t>
            </w:r>
          </w:p>
        </w:tc>
        <w:tc>
          <w:tcPr>
            <w:tcW w:w="1121" w:type="dxa"/>
            <w:hideMark/>
          </w:tcPr>
          <w:p w14:paraId="123AE6AA" w14:textId="77777777" w:rsidR="00877F1D" w:rsidRPr="00FF119C" w:rsidRDefault="00877F1D" w:rsidP="00DE7B71">
            <w:pPr>
              <w:pStyle w:val="NormalWeb"/>
              <w:jc w:val="center"/>
              <w:rPr>
                <w:sz w:val="18"/>
                <w:szCs w:val="18"/>
              </w:rPr>
            </w:pPr>
            <w:r w:rsidRPr="00FF119C">
              <w:rPr>
                <w:sz w:val="18"/>
                <w:szCs w:val="18"/>
              </w:rPr>
              <w:t>3.5</w:t>
            </w:r>
          </w:p>
        </w:tc>
        <w:tc>
          <w:tcPr>
            <w:tcW w:w="1122" w:type="dxa"/>
            <w:hideMark/>
          </w:tcPr>
          <w:p w14:paraId="78AFBDC7" w14:textId="77777777" w:rsidR="00877F1D" w:rsidRPr="00FF119C" w:rsidRDefault="00877F1D" w:rsidP="00DE7B71">
            <w:pPr>
              <w:pStyle w:val="NormalWeb"/>
              <w:jc w:val="center"/>
              <w:rPr>
                <w:sz w:val="18"/>
                <w:szCs w:val="18"/>
              </w:rPr>
            </w:pPr>
            <w:r w:rsidRPr="00FF119C">
              <w:rPr>
                <w:sz w:val="18"/>
                <w:szCs w:val="18"/>
              </w:rPr>
              <w:t>2.3</w:t>
            </w:r>
          </w:p>
        </w:tc>
        <w:tc>
          <w:tcPr>
            <w:tcW w:w="1122" w:type="dxa"/>
            <w:hideMark/>
          </w:tcPr>
          <w:p w14:paraId="09107A13" w14:textId="77777777" w:rsidR="00877F1D" w:rsidRPr="00FF119C" w:rsidRDefault="00877F1D" w:rsidP="00DE7B71">
            <w:pPr>
              <w:pStyle w:val="NormalWeb"/>
              <w:jc w:val="center"/>
              <w:rPr>
                <w:sz w:val="18"/>
                <w:szCs w:val="18"/>
              </w:rPr>
            </w:pPr>
            <w:r w:rsidRPr="00FF119C">
              <w:rPr>
                <w:sz w:val="18"/>
                <w:szCs w:val="18"/>
              </w:rPr>
              <w:t>-1.2</w:t>
            </w:r>
          </w:p>
        </w:tc>
        <w:tc>
          <w:tcPr>
            <w:tcW w:w="1122" w:type="dxa"/>
            <w:hideMark/>
          </w:tcPr>
          <w:p w14:paraId="5827EB44" w14:textId="77777777" w:rsidR="00877F1D" w:rsidRPr="00FF119C" w:rsidRDefault="00877F1D" w:rsidP="00DE7B71">
            <w:pPr>
              <w:pStyle w:val="NormalWeb"/>
              <w:jc w:val="center"/>
              <w:rPr>
                <w:sz w:val="18"/>
                <w:szCs w:val="18"/>
              </w:rPr>
            </w:pPr>
            <w:r w:rsidRPr="00FF119C">
              <w:rPr>
                <w:sz w:val="18"/>
                <w:szCs w:val="18"/>
              </w:rPr>
              <w:t>-36.6</w:t>
            </w:r>
          </w:p>
        </w:tc>
        <w:tc>
          <w:tcPr>
            <w:tcW w:w="1121" w:type="dxa"/>
            <w:hideMark/>
          </w:tcPr>
          <w:p w14:paraId="0E796AAB" w14:textId="77777777" w:rsidR="00877F1D" w:rsidRPr="00FF119C" w:rsidRDefault="00877F1D" w:rsidP="00DE7B71">
            <w:pPr>
              <w:pStyle w:val="NormalWeb"/>
              <w:jc w:val="center"/>
              <w:rPr>
                <w:sz w:val="18"/>
                <w:szCs w:val="18"/>
              </w:rPr>
            </w:pPr>
            <w:r w:rsidRPr="00FF119C">
              <w:rPr>
                <w:sz w:val="18"/>
                <w:szCs w:val="18"/>
              </w:rPr>
              <w:t>18.0</w:t>
            </w:r>
          </w:p>
        </w:tc>
        <w:tc>
          <w:tcPr>
            <w:tcW w:w="1122" w:type="dxa"/>
            <w:hideMark/>
          </w:tcPr>
          <w:p w14:paraId="62FDE93A" w14:textId="77777777" w:rsidR="00877F1D" w:rsidRPr="00FF119C" w:rsidRDefault="00877F1D" w:rsidP="00DE7B71">
            <w:pPr>
              <w:pStyle w:val="NormalWeb"/>
              <w:jc w:val="center"/>
              <w:rPr>
                <w:sz w:val="18"/>
                <w:szCs w:val="18"/>
              </w:rPr>
            </w:pPr>
            <w:r w:rsidRPr="00FF119C">
              <w:rPr>
                <w:sz w:val="18"/>
                <w:szCs w:val="18"/>
              </w:rPr>
              <w:t>12.6</w:t>
            </w:r>
          </w:p>
        </w:tc>
        <w:tc>
          <w:tcPr>
            <w:tcW w:w="1122" w:type="dxa"/>
            <w:hideMark/>
          </w:tcPr>
          <w:p w14:paraId="41E93E5F" w14:textId="77777777" w:rsidR="00877F1D" w:rsidRPr="00FF119C" w:rsidRDefault="00877F1D" w:rsidP="00DE7B71">
            <w:pPr>
              <w:pStyle w:val="NormalWeb"/>
              <w:jc w:val="center"/>
              <w:rPr>
                <w:sz w:val="18"/>
                <w:szCs w:val="18"/>
              </w:rPr>
            </w:pPr>
            <w:r w:rsidRPr="00FF119C">
              <w:rPr>
                <w:sz w:val="18"/>
                <w:szCs w:val="18"/>
              </w:rPr>
              <w:t>-5.5</w:t>
            </w:r>
          </w:p>
        </w:tc>
        <w:tc>
          <w:tcPr>
            <w:tcW w:w="1122" w:type="dxa"/>
            <w:hideMark/>
          </w:tcPr>
          <w:p w14:paraId="2C0A965C" w14:textId="77777777" w:rsidR="00877F1D" w:rsidRPr="00FF119C" w:rsidRDefault="00877F1D" w:rsidP="00DE7B71">
            <w:pPr>
              <w:pStyle w:val="NormalWeb"/>
              <w:jc w:val="center"/>
              <w:rPr>
                <w:sz w:val="18"/>
                <w:szCs w:val="18"/>
              </w:rPr>
            </w:pPr>
            <w:r w:rsidRPr="00FF119C">
              <w:rPr>
                <w:sz w:val="18"/>
                <w:szCs w:val="18"/>
              </w:rPr>
              <w:t>-29.0</w:t>
            </w:r>
          </w:p>
        </w:tc>
      </w:tr>
    </w:tbl>
    <w:p w14:paraId="153B65C3" w14:textId="77777777" w:rsidR="005C2F48" w:rsidRDefault="005C2F48" w:rsidP="00246A15">
      <w:pPr>
        <w:rPr>
          <w:rFonts w:eastAsia="Times New Roman"/>
          <w:b/>
          <w:bCs/>
        </w:rPr>
      </w:pPr>
    </w:p>
    <w:p w14:paraId="12B73C4A" w14:textId="77777777" w:rsidR="005C2F48" w:rsidRDefault="005C2F48">
      <w:pPr>
        <w:rPr>
          <w:rFonts w:eastAsia="Times New Roman"/>
          <w:b/>
          <w:bCs/>
        </w:rPr>
      </w:pPr>
      <w:r>
        <w:rPr>
          <w:rFonts w:eastAsia="Times New Roman"/>
          <w:b/>
          <w:bCs/>
        </w:rPr>
        <w:br w:type="page"/>
      </w:r>
    </w:p>
    <w:p w14:paraId="67F2FFB1" w14:textId="22BB9E5E" w:rsidR="00E22C1A" w:rsidRDefault="00E22C1A" w:rsidP="00246A15">
      <w:pPr>
        <w:rPr>
          <w:rFonts w:eastAsia="Times New Roman"/>
          <w:b/>
          <w:bCs/>
        </w:rPr>
      </w:pPr>
      <w:r w:rsidRPr="007C0012">
        <w:rPr>
          <w:rFonts w:eastAsia="Times New Roman"/>
          <w:b/>
          <w:bCs/>
        </w:rPr>
        <w:lastRenderedPageBreak/>
        <w:t xml:space="preserve">Table A.2: Monthly rate (cases per 100,000) in 2020 compared to the 2015 to 2019 median, for Queensland, South Australia, and Tasmania </w:t>
      </w:r>
    </w:p>
    <w:tbl>
      <w:tblPr>
        <w:tblStyle w:val="CDI-StandardTable"/>
        <w:tblW w:w="0" w:type="auto"/>
        <w:tblLook w:val="04A0" w:firstRow="1" w:lastRow="0" w:firstColumn="1" w:lastColumn="0" w:noHBand="0" w:noVBand="1"/>
        <w:tblDescription w:val="Appendix Table A.2. Salmonellosis monthly rate (cases per 100,000) in 2020, for Queensland, South Australia, and Tasmania, compared to the 2015 to 2019 median for each jurisdiction"/>
      </w:tblPr>
      <w:tblGrid>
        <w:gridCol w:w="1532"/>
        <w:gridCol w:w="1162"/>
        <w:gridCol w:w="708"/>
        <w:gridCol w:w="1560"/>
        <w:gridCol w:w="992"/>
        <w:gridCol w:w="1134"/>
        <w:gridCol w:w="605"/>
        <w:gridCol w:w="1559"/>
        <w:gridCol w:w="992"/>
        <w:gridCol w:w="1134"/>
        <w:gridCol w:w="709"/>
        <w:gridCol w:w="1701"/>
        <w:gridCol w:w="1190"/>
      </w:tblGrid>
      <w:tr w:rsidR="005C2F48" w:rsidRPr="00FF119C" w14:paraId="59D03A71" w14:textId="77777777" w:rsidTr="005C2F48">
        <w:trPr>
          <w:cnfStyle w:val="100000000000" w:firstRow="1" w:lastRow="0" w:firstColumn="0" w:lastColumn="0" w:oddVBand="0" w:evenVBand="0" w:oddHBand="0" w:evenHBand="0" w:firstRowFirstColumn="0" w:firstRowLastColumn="0" w:lastRowFirstColumn="0" w:lastRowLastColumn="0"/>
          <w:tblHeader/>
        </w:trPr>
        <w:tc>
          <w:tcPr>
            <w:tcW w:w="1532" w:type="dxa"/>
            <w:tcBorders>
              <w:bottom w:val="single" w:sz="2" w:space="0" w:color="FFFFFF" w:themeColor="background1"/>
              <w:right w:val="single" w:sz="2" w:space="0" w:color="FFFFFF" w:themeColor="background1"/>
            </w:tcBorders>
            <w:hideMark/>
          </w:tcPr>
          <w:p w14:paraId="034386D5" w14:textId="77777777" w:rsidR="005C2F48" w:rsidRPr="00FF119C" w:rsidRDefault="005C2F48" w:rsidP="00DE7B71">
            <w:pPr>
              <w:rPr>
                <w:color w:val="FFFFFF" w:themeColor="background1"/>
                <w:sz w:val="18"/>
                <w:szCs w:val="18"/>
                <w:lang w:val="en-GB"/>
              </w:rPr>
            </w:pPr>
          </w:p>
        </w:tc>
        <w:tc>
          <w:tcPr>
            <w:tcW w:w="4422" w:type="dxa"/>
            <w:gridSpan w:val="4"/>
            <w:tcBorders>
              <w:left w:val="single" w:sz="2" w:space="0" w:color="FFFFFF" w:themeColor="background1"/>
              <w:bottom w:val="single" w:sz="2" w:space="0" w:color="FFFFFF" w:themeColor="background1"/>
              <w:right w:val="single" w:sz="2" w:space="0" w:color="FFFFFF" w:themeColor="background1"/>
            </w:tcBorders>
            <w:hideMark/>
          </w:tcPr>
          <w:p w14:paraId="50983A6C"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Queensland</w:t>
            </w:r>
          </w:p>
        </w:tc>
        <w:tc>
          <w:tcPr>
            <w:tcW w:w="4290" w:type="dxa"/>
            <w:gridSpan w:val="4"/>
            <w:tcBorders>
              <w:left w:val="single" w:sz="2" w:space="0" w:color="FFFFFF" w:themeColor="background1"/>
              <w:bottom w:val="single" w:sz="2" w:space="0" w:color="FFFFFF" w:themeColor="background1"/>
              <w:right w:val="single" w:sz="2" w:space="0" w:color="FFFFFF" w:themeColor="background1"/>
            </w:tcBorders>
            <w:hideMark/>
          </w:tcPr>
          <w:p w14:paraId="7B061F0B"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South Australia</w:t>
            </w:r>
          </w:p>
        </w:tc>
        <w:tc>
          <w:tcPr>
            <w:tcW w:w="4734" w:type="dxa"/>
            <w:gridSpan w:val="4"/>
            <w:tcBorders>
              <w:left w:val="single" w:sz="2" w:space="0" w:color="FFFFFF" w:themeColor="background1"/>
              <w:bottom w:val="single" w:sz="2" w:space="0" w:color="FFFFFF" w:themeColor="background1"/>
            </w:tcBorders>
            <w:hideMark/>
          </w:tcPr>
          <w:p w14:paraId="34E1E9B9"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Tasmania</w:t>
            </w:r>
          </w:p>
        </w:tc>
      </w:tr>
      <w:tr w:rsidR="005C2F48" w:rsidRPr="00FF119C" w14:paraId="68D22F88" w14:textId="77777777" w:rsidTr="005C2F48">
        <w:trPr>
          <w:cnfStyle w:val="100000000000" w:firstRow="1" w:lastRow="0" w:firstColumn="0" w:lastColumn="0" w:oddVBand="0" w:evenVBand="0" w:oddHBand="0" w:evenHBand="0" w:firstRowFirstColumn="0" w:firstRowLastColumn="0" w:lastRowFirstColumn="0" w:lastRowLastColumn="0"/>
          <w:tblHeader/>
        </w:trPr>
        <w:tc>
          <w:tcPr>
            <w:tcW w:w="1532" w:type="dxa"/>
            <w:tcBorders>
              <w:top w:val="single" w:sz="2" w:space="0" w:color="FFFFFF" w:themeColor="background1"/>
              <w:right w:val="single" w:sz="2" w:space="0" w:color="FFFFFF" w:themeColor="background1"/>
            </w:tcBorders>
            <w:hideMark/>
          </w:tcPr>
          <w:p w14:paraId="245EF1E5" w14:textId="77777777" w:rsidR="005C2F48" w:rsidRPr="00FF119C" w:rsidRDefault="005C2F48" w:rsidP="00DE7B71">
            <w:pPr>
              <w:pStyle w:val="NormalWeb"/>
              <w:rPr>
                <w:color w:val="FFFFFF" w:themeColor="background1"/>
                <w:sz w:val="18"/>
                <w:szCs w:val="18"/>
              </w:rPr>
            </w:pPr>
            <w:r w:rsidRPr="00FF119C">
              <w:rPr>
                <w:color w:val="FFFFFF" w:themeColor="background1"/>
                <w:sz w:val="18"/>
                <w:szCs w:val="18"/>
              </w:rPr>
              <w:t>Month</w:t>
            </w:r>
          </w:p>
        </w:tc>
        <w:tc>
          <w:tcPr>
            <w:tcW w:w="1162" w:type="dxa"/>
            <w:tcBorders>
              <w:top w:val="single" w:sz="2" w:space="0" w:color="FFFFFF" w:themeColor="background1"/>
              <w:left w:val="single" w:sz="2" w:space="0" w:color="FFFFFF" w:themeColor="background1"/>
              <w:right w:val="single" w:sz="2" w:space="0" w:color="FFFFFF" w:themeColor="background1"/>
            </w:tcBorders>
            <w:hideMark/>
          </w:tcPr>
          <w:p w14:paraId="6972A6CB"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2015–2019</w:t>
            </w:r>
          </w:p>
        </w:tc>
        <w:tc>
          <w:tcPr>
            <w:tcW w:w="708" w:type="dxa"/>
            <w:tcBorders>
              <w:top w:val="single" w:sz="2" w:space="0" w:color="FFFFFF" w:themeColor="background1"/>
              <w:left w:val="single" w:sz="2" w:space="0" w:color="FFFFFF" w:themeColor="background1"/>
              <w:right w:val="single" w:sz="2" w:space="0" w:color="FFFFFF" w:themeColor="background1"/>
            </w:tcBorders>
            <w:hideMark/>
          </w:tcPr>
          <w:p w14:paraId="6E75BA52"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2020</w:t>
            </w:r>
          </w:p>
        </w:tc>
        <w:tc>
          <w:tcPr>
            <w:tcW w:w="1560" w:type="dxa"/>
            <w:tcBorders>
              <w:top w:val="single" w:sz="2" w:space="0" w:color="FFFFFF" w:themeColor="background1"/>
              <w:left w:val="single" w:sz="2" w:space="0" w:color="FFFFFF" w:themeColor="background1"/>
              <w:right w:val="single" w:sz="2" w:space="0" w:color="FFFFFF" w:themeColor="background1"/>
            </w:tcBorders>
            <w:hideMark/>
          </w:tcPr>
          <w:p w14:paraId="3579D04E"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1D390533"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 change</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2F89263B"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2015–2019</w:t>
            </w:r>
          </w:p>
        </w:tc>
        <w:tc>
          <w:tcPr>
            <w:tcW w:w="605" w:type="dxa"/>
            <w:tcBorders>
              <w:top w:val="single" w:sz="2" w:space="0" w:color="FFFFFF" w:themeColor="background1"/>
              <w:left w:val="single" w:sz="2" w:space="0" w:color="FFFFFF" w:themeColor="background1"/>
              <w:right w:val="single" w:sz="2" w:space="0" w:color="FFFFFF" w:themeColor="background1"/>
            </w:tcBorders>
            <w:hideMark/>
          </w:tcPr>
          <w:p w14:paraId="3B8C81D2"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2020</w:t>
            </w:r>
          </w:p>
        </w:tc>
        <w:tc>
          <w:tcPr>
            <w:tcW w:w="1559" w:type="dxa"/>
            <w:tcBorders>
              <w:top w:val="single" w:sz="2" w:space="0" w:color="FFFFFF" w:themeColor="background1"/>
              <w:left w:val="single" w:sz="2" w:space="0" w:color="FFFFFF" w:themeColor="background1"/>
              <w:right w:val="single" w:sz="2" w:space="0" w:color="FFFFFF" w:themeColor="background1"/>
            </w:tcBorders>
            <w:hideMark/>
          </w:tcPr>
          <w:p w14:paraId="185D2DB5"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49AF391E"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 change</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622F0EDC"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2015–2019</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4259FB64"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2020</w:t>
            </w:r>
          </w:p>
        </w:tc>
        <w:tc>
          <w:tcPr>
            <w:tcW w:w="1701" w:type="dxa"/>
            <w:tcBorders>
              <w:top w:val="single" w:sz="2" w:space="0" w:color="FFFFFF" w:themeColor="background1"/>
              <w:left w:val="single" w:sz="2" w:space="0" w:color="FFFFFF" w:themeColor="background1"/>
              <w:right w:val="single" w:sz="2" w:space="0" w:color="FFFFFF" w:themeColor="background1"/>
            </w:tcBorders>
            <w:hideMark/>
          </w:tcPr>
          <w:p w14:paraId="110E13A2"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1190" w:type="dxa"/>
            <w:tcBorders>
              <w:top w:val="single" w:sz="2" w:space="0" w:color="FFFFFF" w:themeColor="background1"/>
              <w:left w:val="single" w:sz="2" w:space="0" w:color="FFFFFF" w:themeColor="background1"/>
            </w:tcBorders>
            <w:hideMark/>
          </w:tcPr>
          <w:p w14:paraId="6413DB55" w14:textId="77777777" w:rsidR="005C2F48" w:rsidRPr="00FF119C" w:rsidRDefault="005C2F48" w:rsidP="00DE7B71">
            <w:pPr>
              <w:pStyle w:val="NormalWeb"/>
              <w:jc w:val="center"/>
              <w:rPr>
                <w:color w:val="FFFFFF" w:themeColor="background1"/>
                <w:sz w:val="18"/>
                <w:szCs w:val="18"/>
              </w:rPr>
            </w:pPr>
            <w:r w:rsidRPr="00FF119C">
              <w:rPr>
                <w:color w:val="FFFFFF" w:themeColor="background1"/>
                <w:sz w:val="18"/>
                <w:szCs w:val="18"/>
              </w:rPr>
              <w:t>% change</w:t>
            </w:r>
          </w:p>
        </w:tc>
      </w:tr>
      <w:tr w:rsidR="005C2F48" w:rsidRPr="00FF119C" w14:paraId="4F866861" w14:textId="77777777" w:rsidTr="005C2F48">
        <w:tblPrEx>
          <w:tblCellMar>
            <w:top w:w="57" w:type="dxa"/>
            <w:left w:w="57" w:type="dxa"/>
            <w:bottom w:w="57" w:type="dxa"/>
            <w:right w:w="57" w:type="dxa"/>
          </w:tblCellMar>
        </w:tblPrEx>
        <w:tc>
          <w:tcPr>
            <w:tcW w:w="1532" w:type="dxa"/>
            <w:hideMark/>
          </w:tcPr>
          <w:p w14:paraId="62766492" w14:textId="77777777" w:rsidR="005C2F48" w:rsidRPr="00FF119C" w:rsidRDefault="005C2F48" w:rsidP="00DE7B71">
            <w:pPr>
              <w:pStyle w:val="NormalWeb"/>
              <w:rPr>
                <w:sz w:val="18"/>
                <w:szCs w:val="18"/>
              </w:rPr>
            </w:pPr>
            <w:r w:rsidRPr="00FF119C">
              <w:rPr>
                <w:sz w:val="18"/>
                <w:szCs w:val="18"/>
              </w:rPr>
              <w:t>Jan</w:t>
            </w:r>
          </w:p>
        </w:tc>
        <w:tc>
          <w:tcPr>
            <w:tcW w:w="1162" w:type="dxa"/>
            <w:hideMark/>
          </w:tcPr>
          <w:p w14:paraId="72FD3204" w14:textId="77777777" w:rsidR="005C2F48" w:rsidRPr="00FF119C" w:rsidRDefault="005C2F48" w:rsidP="00DE7B71">
            <w:pPr>
              <w:pStyle w:val="NormalWeb"/>
              <w:jc w:val="center"/>
              <w:rPr>
                <w:sz w:val="18"/>
                <w:szCs w:val="18"/>
              </w:rPr>
            </w:pPr>
            <w:r w:rsidRPr="00FF119C">
              <w:rPr>
                <w:sz w:val="18"/>
                <w:szCs w:val="18"/>
              </w:rPr>
              <w:t>11.6</w:t>
            </w:r>
          </w:p>
        </w:tc>
        <w:tc>
          <w:tcPr>
            <w:tcW w:w="708" w:type="dxa"/>
            <w:hideMark/>
          </w:tcPr>
          <w:p w14:paraId="7674C2C1" w14:textId="77777777" w:rsidR="005C2F48" w:rsidRPr="00FF119C" w:rsidRDefault="005C2F48" w:rsidP="00DE7B71">
            <w:pPr>
              <w:pStyle w:val="NormalWeb"/>
              <w:jc w:val="center"/>
              <w:rPr>
                <w:sz w:val="18"/>
                <w:szCs w:val="18"/>
              </w:rPr>
            </w:pPr>
            <w:r w:rsidRPr="00FF119C">
              <w:rPr>
                <w:sz w:val="18"/>
                <w:szCs w:val="18"/>
              </w:rPr>
              <w:t>11.9</w:t>
            </w:r>
          </w:p>
        </w:tc>
        <w:tc>
          <w:tcPr>
            <w:tcW w:w="1560" w:type="dxa"/>
            <w:hideMark/>
          </w:tcPr>
          <w:p w14:paraId="78605754" w14:textId="77777777" w:rsidR="005C2F48" w:rsidRPr="00FF119C" w:rsidRDefault="005C2F48" w:rsidP="00DE7B71">
            <w:pPr>
              <w:pStyle w:val="NormalWeb"/>
              <w:jc w:val="center"/>
              <w:rPr>
                <w:sz w:val="18"/>
                <w:szCs w:val="18"/>
              </w:rPr>
            </w:pPr>
            <w:r w:rsidRPr="00FF119C">
              <w:rPr>
                <w:sz w:val="18"/>
                <w:szCs w:val="18"/>
              </w:rPr>
              <w:t>0.3</w:t>
            </w:r>
          </w:p>
        </w:tc>
        <w:tc>
          <w:tcPr>
            <w:tcW w:w="992" w:type="dxa"/>
            <w:hideMark/>
          </w:tcPr>
          <w:p w14:paraId="23031D0A" w14:textId="77777777" w:rsidR="005C2F48" w:rsidRPr="00FF119C" w:rsidRDefault="005C2F48" w:rsidP="00DE7B71">
            <w:pPr>
              <w:pStyle w:val="NormalWeb"/>
              <w:jc w:val="center"/>
              <w:rPr>
                <w:sz w:val="18"/>
                <w:szCs w:val="18"/>
              </w:rPr>
            </w:pPr>
            <w:r w:rsidRPr="00FF119C">
              <w:rPr>
                <w:sz w:val="18"/>
                <w:szCs w:val="18"/>
              </w:rPr>
              <w:t>2.6</w:t>
            </w:r>
          </w:p>
        </w:tc>
        <w:tc>
          <w:tcPr>
            <w:tcW w:w="1134" w:type="dxa"/>
            <w:hideMark/>
          </w:tcPr>
          <w:p w14:paraId="497DD549" w14:textId="77777777" w:rsidR="005C2F48" w:rsidRPr="00FF119C" w:rsidRDefault="005C2F48" w:rsidP="00DE7B71">
            <w:pPr>
              <w:pStyle w:val="NormalWeb"/>
              <w:jc w:val="center"/>
              <w:rPr>
                <w:sz w:val="18"/>
                <w:szCs w:val="18"/>
              </w:rPr>
            </w:pPr>
            <w:r w:rsidRPr="00FF119C">
              <w:rPr>
                <w:sz w:val="18"/>
                <w:szCs w:val="18"/>
              </w:rPr>
              <w:t>9.5</w:t>
            </w:r>
          </w:p>
        </w:tc>
        <w:tc>
          <w:tcPr>
            <w:tcW w:w="605" w:type="dxa"/>
            <w:hideMark/>
          </w:tcPr>
          <w:p w14:paraId="7B6C2463" w14:textId="77777777" w:rsidR="005C2F48" w:rsidRPr="00FF119C" w:rsidRDefault="005C2F48" w:rsidP="00DE7B71">
            <w:pPr>
              <w:pStyle w:val="NormalWeb"/>
              <w:jc w:val="center"/>
              <w:rPr>
                <w:sz w:val="18"/>
                <w:szCs w:val="18"/>
              </w:rPr>
            </w:pPr>
            <w:r w:rsidRPr="00FF119C">
              <w:rPr>
                <w:sz w:val="18"/>
                <w:szCs w:val="18"/>
              </w:rPr>
              <w:t>5.4</w:t>
            </w:r>
          </w:p>
        </w:tc>
        <w:tc>
          <w:tcPr>
            <w:tcW w:w="1559" w:type="dxa"/>
            <w:hideMark/>
          </w:tcPr>
          <w:p w14:paraId="7EBCE61E" w14:textId="77777777" w:rsidR="005C2F48" w:rsidRPr="00FF119C" w:rsidRDefault="005C2F48" w:rsidP="00DE7B71">
            <w:pPr>
              <w:pStyle w:val="NormalWeb"/>
              <w:jc w:val="center"/>
              <w:rPr>
                <w:sz w:val="18"/>
                <w:szCs w:val="18"/>
              </w:rPr>
            </w:pPr>
            <w:r w:rsidRPr="00FF119C">
              <w:rPr>
                <w:sz w:val="18"/>
                <w:szCs w:val="18"/>
              </w:rPr>
              <w:t>-4.1</w:t>
            </w:r>
          </w:p>
        </w:tc>
        <w:tc>
          <w:tcPr>
            <w:tcW w:w="992" w:type="dxa"/>
            <w:hideMark/>
          </w:tcPr>
          <w:p w14:paraId="2FD50C5A" w14:textId="77777777" w:rsidR="005C2F48" w:rsidRPr="00FF119C" w:rsidRDefault="005C2F48" w:rsidP="00DE7B71">
            <w:pPr>
              <w:pStyle w:val="NormalWeb"/>
              <w:jc w:val="center"/>
              <w:rPr>
                <w:sz w:val="18"/>
                <w:szCs w:val="18"/>
              </w:rPr>
            </w:pPr>
            <w:r w:rsidRPr="00FF119C">
              <w:rPr>
                <w:sz w:val="18"/>
                <w:szCs w:val="18"/>
              </w:rPr>
              <w:t>-43.2</w:t>
            </w:r>
          </w:p>
        </w:tc>
        <w:tc>
          <w:tcPr>
            <w:tcW w:w="1134" w:type="dxa"/>
            <w:hideMark/>
          </w:tcPr>
          <w:p w14:paraId="1B47B17D" w14:textId="77777777" w:rsidR="005C2F48" w:rsidRPr="00FF119C" w:rsidRDefault="005C2F48" w:rsidP="00DE7B71">
            <w:pPr>
              <w:pStyle w:val="NormalWeb"/>
              <w:jc w:val="center"/>
              <w:rPr>
                <w:sz w:val="18"/>
                <w:szCs w:val="18"/>
              </w:rPr>
            </w:pPr>
            <w:r w:rsidRPr="00FF119C">
              <w:rPr>
                <w:sz w:val="18"/>
                <w:szCs w:val="18"/>
              </w:rPr>
              <w:t>6.7</w:t>
            </w:r>
          </w:p>
        </w:tc>
        <w:tc>
          <w:tcPr>
            <w:tcW w:w="709" w:type="dxa"/>
            <w:hideMark/>
          </w:tcPr>
          <w:p w14:paraId="2870C541" w14:textId="77777777" w:rsidR="005C2F48" w:rsidRPr="00FF119C" w:rsidRDefault="005C2F48" w:rsidP="00DE7B71">
            <w:pPr>
              <w:pStyle w:val="NormalWeb"/>
              <w:jc w:val="center"/>
              <w:rPr>
                <w:sz w:val="18"/>
                <w:szCs w:val="18"/>
              </w:rPr>
            </w:pPr>
            <w:r w:rsidRPr="00FF119C">
              <w:rPr>
                <w:sz w:val="18"/>
                <w:szCs w:val="18"/>
              </w:rPr>
              <w:t>2.8</w:t>
            </w:r>
          </w:p>
        </w:tc>
        <w:tc>
          <w:tcPr>
            <w:tcW w:w="1701" w:type="dxa"/>
            <w:hideMark/>
          </w:tcPr>
          <w:p w14:paraId="094C14FA" w14:textId="77777777" w:rsidR="005C2F48" w:rsidRPr="00FF119C" w:rsidRDefault="005C2F48" w:rsidP="00DE7B71">
            <w:pPr>
              <w:pStyle w:val="NormalWeb"/>
              <w:jc w:val="center"/>
              <w:rPr>
                <w:sz w:val="18"/>
                <w:szCs w:val="18"/>
              </w:rPr>
            </w:pPr>
            <w:r w:rsidRPr="00FF119C">
              <w:rPr>
                <w:sz w:val="18"/>
                <w:szCs w:val="18"/>
              </w:rPr>
              <w:t>-3.9</w:t>
            </w:r>
          </w:p>
        </w:tc>
        <w:tc>
          <w:tcPr>
            <w:tcW w:w="1190" w:type="dxa"/>
            <w:hideMark/>
          </w:tcPr>
          <w:p w14:paraId="46CD5D70" w14:textId="77777777" w:rsidR="005C2F48" w:rsidRPr="00FF119C" w:rsidRDefault="005C2F48" w:rsidP="00DE7B71">
            <w:pPr>
              <w:pStyle w:val="NormalWeb"/>
              <w:jc w:val="center"/>
              <w:rPr>
                <w:sz w:val="18"/>
                <w:szCs w:val="18"/>
              </w:rPr>
            </w:pPr>
            <w:r w:rsidRPr="00FF119C">
              <w:rPr>
                <w:sz w:val="18"/>
                <w:szCs w:val="18"/>
              </w:rPr>
              <w:t>-58.2</w:t>
            </w:r>
          </w:p>
        </w:tc>
      </w:tr>
      <w:tr w:rsidR="005C2F48" w:rsidRPr="00FF119C" w14:paraId="33A2B248" w14:textId="77777777" w:rsidTr="005C2F4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32" w:type="dxa"/>
            <w:hideMark/>
          </w:tcPr>
          <w:p w14:paraId="725F3125" w14:textId="77777777" w:rsidR="005C2F48" w:rsidRPr="00FF119C" w:rsidRDefault="005C2F48" w:rsidP="00DE7B71">
            <w:pPr>
              <w:pStyle w:val="NormalWeb"/>
              <w:rPr>
                <w:sz w:val="18"/>
                <w:szCs w:val="18"/>
              </w:rPr>
            </w:pPr>
            <w:r w:rsidRPr="00FF119C">
              <w:rPr>
                <w:sz w:val="18"/>
                <w:szCs w:val="18"/>
              </w:rPr>
              <w:t>Feb</w:t>
            </w:r>
          </w:p>
        </w:tc>
        <w:tc>
          <w:tcPr>
            <w:tcW w:w="1162" w:type="dxa"/>
            <w:hideMark/>
          </w:tcPr>
          <w:p w14:paraId="48ED4576" w14:textId="77777777" w:rsidR="005C2F48" w:rsidRPr="00FF119C" w:rsidRDefault="005C2F48" w:rsidP="00DE7B71">
            <w:pPr>
              <w:pStyle w:val="NormalWeb"/>
              <w:jc w:val="center"/>
              <w:rPr>
                <w:sz w:val="18"/>
                <w:szCs w:val="18"/>
              </w:rPr>
            </w:pPr>
            <w:r w:rsidRPr="00FF119C">
              <w:rPr>
                <w:sz w:val="18"/>
                <w:szCs w:val="18"/>
              </w:rPr>
              <w:t>10.4</w:t>
            </w:r>
          </w:p>
        </w:tc>
        <w:tc>
          <w:tcPr>
            <w:tcW w:w="708" w:type="dxa"/>
            <w:hideMark/>
          </w:tcPr>
          <w:p w14:paraId="518EA4CB" w14:textId="77777777" w:rsidR="005C2F48" w:rsidRPr="00FF119C" w:rsidRDefault="005C2F48" w:rsidP="00DE7B71">
            <w:pPr>
              <w:pStyle w:val="NormalWeb"/>
              <w:jc w:val="center"/>
              <w:rPr>
                <w:sz w:val="18"/>
                <w:szCs w:val="18"/>
              </w:rPr>
            </w:pPr>
            <w:r w:rsidRPr="00FF119C">
              <w:rPr>
                <w:sz w:val="18"/>
                <w:szCs w:val="18"/>
              </w:rPr>
              <w:t>21.4</w:t>
            </w:r>
          </w:p>
        </w:tc>
        <w:tc>
          <w:tcPr>
            <w:tcW w:w="1560" w:type="dxa"/>
            <w:hideMark/>
          </w:tcPr>
          <w:p w14:paraId="6854F349" w14:textId="77777777" w:rsidR="005C2F48" w:rsidRPr="00FF119C" w:rsidRDefault="005C2F48" w:rsidP="00DE7B71">
            <w:pPr>
              <w:pStyle w:val="NormalWeb"/>
              <w:jc w:val="center"/>
              <w:rPr>
                <w:sz w:val="18"/>
                <w:szCs w:val="18"/>
              </w:rPr>
            </w:pPr>
            <w:r w:rsidRPr="00FF119C">
              <w:rPr>
                <w:sz w:val="18"/>
                <w:szCs w:val="18"/>
              </w:rPr>
              <w:t>11.0</w:t>
            </w:r>
          </w:p>
        </w:tc>
        <w:tc>
          <w:tcPr>
            <w:tcW w:w="992" w:type="dxa"/>
            <w:hideMark/>
          </w:tcPr>
          <w:p w14:paraId="1E0614CF" w14:textId="77777777" w:rsidR="005C2F48" w:rsidRPr="00FF119C" w:rsidRDefault="005C2F48" w:rsidP="00DE7B71">
            <w:pPr>
              <w:pStyle w:val="NormalWeb"/>
              <w:jc w:val="center"/>
              <w:rPr>
                <w:sz w:val="18"/>
                <w:szCs w:val="18"/>
              </w:rPr>
            </w:pPr>
            <w:r w:rsidRPr="00FF119C">
              <w:rPr>
                <w:sz w:val="18"/>
                <w:szCs w:val="18"/>
              </w:rPr>
              <w:t>105.8</w:t>
            </w:r>
          </w:p>
        </w:tc>
        <w:tc>
          <w:tcPr>
            <w:tcW w:w="1134" w:type="dxa"/>
            <w:hideMark/>
          </w:tcPr>
          <w:p w14:paraId="6A590224" w14:textId="77777777" w:rsidR="005C2F48" w:rsidRPr="00FF119C" w:rsidRDefault="005C2F48" w:rsidP="00DE7B71">
            <w:pPr>
              <w:pStyle w:val="NormalWeb"/>
              <w:jc w:val="center"/>
              <w:rPr>
                <w:sz w:val="18"/>
                <w:szCs w:val="18"/>
              </w:rPr>
            </w:pPr>
            <w:r w:rsidRPr="00FF119C">
              <w:rPr>
                <w:sz w:val="18"/>
                <w:szCs w:val="18"/>
              </w:rPr>
              <w:t>8.3</w:t>
            </w:r>
          </w:p>
        </w:tc>
        <w:tc>
          <w:tcPr>
            <w:tcW w:w="605" w:type="dxa"/>
            <w:hideMark/>
          </w:tcPr>
          <w:p w14:paraId="73B42113" w14:textId="77777777" w:rsidR="005C2F48" w:rsidRPr="00FF119C" w:rsidRDefault="005C2F48" w:rsidP="00DE7B71">
            <w:pPr>
              <w:pStyle w:val="NormalWeb"/>
              <w:jc w:val="center"/>
              <w:rPr>
                <w:sz w:val="18"/>
                <w:szCs w:val="18"/>
              </w:rPr>
            </w:pPr>
            <w:r w:rsidRPr="00FF119C">
              <w:rPr>
                <w:sz w:val="18"/>
                <w:szCs w:val="18"/>
              </w:rPr>
              <w:t>6.3</w:t>
            </w:r>
          </w:p>
        </w:tc>
        <w:tc>
          <w:tcPr>
            <w:tcW w:w="1559" w:type="dxa"/>
            <w:hideMark/>
          </w:tcPr>
          <w:p w14:paraId="6065DBB9" w14:textId="77777777" w:rsidR="005C2F48" w:rsidRPr="00FF119C" w:rsidRDefault="005C2F48" w:rsidP="00DE7B71">
            <w:pPr>
              <w:pStyle w:val="NormalWeb"/>
              <w:jc w:val="center"/>
              <w:rPr>
                <w:sz w:val="18"/>
                <w:szCs w:val="18"/>
              </w:rPr>
            </w:pPr>
            <w:r w:rsidRPr="00FF119C">
              <w:rPr>
                <w:sz w:val="18"/>
                <w:szCs w:val="18"/>
              </w:rPr>
              <w:t>-2.0</w:t>
            </w:r>
          </w:p>
        </w:tc>
        <w:tc>
          <w:tcPr>
            <w:tcW w:w="992" w:type="dxa"/>
            <w:hideMark/>
          </w:tcPr>
          <w:p w14:paraId="3EAB31EE" w14:textId="77777777" w:rsidR="005C2F48" w:rsidRPr="00FF119C" w:rsidRDefault="005C2F48" w:rsidP="00DE7B71">
            <w:pPr>
              <w:pStyle w:val="NormalWeb"/>
              <w:jc w:val="center"/>
              <w:rPr>
                <w:sz w:val="18"/>
                <w:szCs w:val="18"/>
              </w:rPr>
            </w:pPr>
            <w:r w:rsidRPr="00FF119C">
              <w:rPr>
                <w:sz w:val="18"/>
                <w:szCs w:val="18"/>
              </w:rPr>
              <w:t>-24.1</w:t>
            </w:r>
          </w:p>
        </w:tc>
        <w:tc>
          <w:tcPr>
            <w:tcW w:w="1134" w:type="dxa"/>
            <w:hideMark/>
          </w:tcPr>
          <w:p w14:paraId="48A75C9D" w14:textId="77777777" w:rsidR="005C2F48" w:rsidRPr="00FF119C" w:rsidRDefault="005C2F48" w:rsidP="00DE7B71">
            <w:pPr>
              <w:pStyle w:val="NormalWeb"/>
              <w:jc w:val="center"/>
              <w:rPr>
                <w:sz w:val="18"/>
                <w:szCs w:val="18"/>
              </w:rPr>
            </w:pPr>
            <w:r w:rsidRPr="00FF119C">
              <w:rPr>
                <w:sz w:val="18"/>
                <w:szCs w:val="18"/>
              </w:rPr>
              <w:t>6.5</w:t>
            </w:r>
          </w:p>
        </w:tc>
        <w:tc>
          <w:tcPr>
            <w:tcW w:w="709" w:type="dxa"/>
            <w:hideMark/>
          </w:tcPr>
          <w:p w14:paraId="5798D51D" w14:textId="77777777" w:rsidR="005C2F48" w:rsidRPr="00FF119C" w:rsidRDefault="005C2F48" w:rsidP="00DE7B71">
            <w:pPr>
              <w:pStyle w:val="NormalWeb"/>
              <w:jc w:val="center"/>
              <w:rPr>
                <w:sz w:val="18"/>
                <w:szCs w:val="18"/>
              </w:rPr>
            </w:pPr>
            <w:r w:rsidRPr="00FF119C">
              <w:rPr>
                <w:sz w:val="18"/>
                <w:szCs w:val="18"/>
              </w:rPr>
              <w:t>7.5</w:t>
            </w:r>
          </w:p>
        </w:tc>
        <w:tc>
          <w:tcPr>
            <w:tcW w:w="1701" w:type="dxa"/>
            <w:hideMark/>
          </w:tcPr>
          <w:p w14:paraId="1D34B0D3" w14:textId="77777777" w:rsidR="005C2F48" w:rsidRPr="00FF119C" w:rsidRDefault="005C2F48" w:rsidP="00DE7B71">
            <w:pPr>
              <w:pStyle w:val="NormalWeb"/>
              <w:jc w:val="center"/>
              <w:rPr>
                <w:sz w:val="18"/>
                <w:szCs w:val="18"/>
              </w:rPr>
            </w:pPr>
            <w:r w:rsidRPr="00FF119C">
              <w:rPr>
                <w:sz w:val="18"/>
                <w:szCs w:val="18"/>
              </w:rPr>
              <w:t>1.0</w:t>
            </w:r>
          </w:p>
        </w:tc>
        <w:tc>
          <w:tcPr>
            <w:tcW w:w="1190" w:type="dxa"/>
            <w:hideMark/>
          </w:tcPr>
          <w:p w14:paraId="097048BA" w14:textId="77777777" w:rsidR="005C2F48" w:rsidRPr="00FF119C" w:rsidRDefault="005C2F48" w:rsidP="00DE7B71">
            <w:pPr>
              <w:pStyle w:val="NormalWeb"/>
              <w:jc w:val="center"/>
              <w:rPr>
                <w:sz w:val="18"/>
                <w:szCs w:val="18"/>
              </w:rPr>
            </w:pPr>
            <w:r w:rsidRPr="00FF119C">
              <w:rPr>
                <w:sz w:val="18"/>
                <w:szCs w:val="18"/>
              </w:rPr>
              <w:t>15.4</w:t>
            </w:r>
          </w:p>
        </w:tc>
      </w:tr>
      <w:tr w:rsidR="005C2F48" w:rsidRPr="00FF119C" w14:paraId="24DCE34E" w14:textId="77777777" w:rsidTr="005C2F48">
        <w:tblPrEx>
          <w:tblCellMar>
            <w:top w:w="57" w:type="dxa"/>
            <w:left w:w="57" w:type="dxa"/>
            <w:bottom w:w="57" w:type="dxa"/>
            <w:right w:w="57" w:type="dxa"/>
          </w:tblCellMar>
        </w:tblPrEx>
        <w:tc>
          <w:tcPr>
            <w:tcW w:w="1532" w:type="dxa"/>
            <w:hideMark/>
          </w:tcPr>
          <w:p w14:paraId="039E3C2B" w14:textId="77777777" w:rsidR="005C2F48" w:rsidRPr="00FF119C" w:rsidRDefault="005C2F48" w:rsidP="00DE7B71">
            <w:pPr>
              <w:pStyle w:val="NormalWeb"/>
              <w:rPr>
                <w:sz w:val="18"/>
                <w:szCs w:val="18"/>
              </w:rPr>
            </w:pPr>
            <w:r w:rsidRPr="00FF119C">
              <w:rPr>
                <w:sz w:val="18"/>
                <w:szCs w:val="18"/>
              </w:rPr>
              <w:t>Mar</w:t>
            </w:r>
          </w:p>
        </w:tc>
        <w:tc>
          <w:tcPr>
            <w:tcW w:w="1162" w:type="dxa"/>
            <w:hideMark/>
          </w:tcPr>
          <w:p w14:paraId="6876E016" w14:textId="77777777" w:rsidR="005C2F48" w:rsidRPr="00FF119C" w:rsidRDefault="005C2F48" w:rsidP="00DE7B71">
            <w:pPr>
              <w:pStyle w:val="NormalWeb"/>
              <w:jc w:val="center"/>
              <w:rPr>
                <w:sz w:val="18"/>
                <w:szCs w:val="18"/>
              </w:rPr>
            </w:pPr>
            <w:r w:rsidRPr="00FF119C">
              <w:rPr>
                <w:sz w:val="18"/>
                <w:szCs w:val="18"/>
              </w:rPr>
              <w:t>12.6</w:t>
            </w:r>
          </w:p>
        </w:tc>
        <w:tc>
          <w:tcPr>
            <w:tcW w:w="708" w:type="dxa"/>
            <w:hideMark/>
          </w:tcPr>
          <w:p w14:paraId="337F9B1D" w14:textId="77777777" w:rsidR="005C2F48" w:rsidRPr="00FF119C" w:rsidRDefault="005C2F48" w:rsidP="00DE7B71">
            <w:pPr>
              <w:pStyle w:val="NormalWeb"/>
              <w:jc w:val="center"/>
              <w:rPr>
                <w:sz w:val="18"/>
                <w:szCs w:val="18"/>
              </w:rPr>
            </w:pPr>
            <w:r w:rsidRPr="00FF119C">
              <w:rPr>
                <w:sz w:val="18"/>
                <w:szCs w:val="18"/>
              </w:rPr>
              <w:t>9.6</w:t>
            </w:r>
          </w:p>
        </w:tc>
        <w:tc>
          <w:tcPr>
            <w:tcW w:w="1560" w:type="dxa"/>
            <w:hideMark/>
          </w:tcPr>
          <w:p w14:paraId="416E6953" w14:textId="77777777" w:rsidR="005C2F48" w:rsidRPr="00FF119C" w:rsidRDefault="005C2F48" w:rsidP="00DE7B71">
            <w:pPr>
              <w:pStyle w:val="NormalWeb"/>
              <w:jc w:val="center"/>
              <w:rPr>
                <w:sz w:val="18"/>
                <w:szCs w:val="18"/>
              </w:rPr>
            </w:pPr>
            <w:r w:rsidRPr="00FF119C">
              <w:rPr>
                <w:sz w:val="18"/>
                <w:szCs w:val="18"/>
              </w:rPr>
              <w:t>-3.0</w:t>
            </w:r>
          </w:p>
        </w:tc>
        <w:tc>
          <w:tcPr>
            <w:tcW w:w="992" w:type="dxa"/>
            <w:hideMark/>
          </w:tcPr>
          <w:p w14:paraId="43CB5B0F" w14:textId="77777777" w:rsidR="005C2F48" w:rsidRPr="00FF119C" w:rsidRDefault="005C2F48" w:rsidP="00DE7B71">
            <w:pPr>
              <w:pStyle w:val="NormalWeb"/>
              <w:jc w:val="center"/>
              <w:rPr>
                <w:sz w:val="18"/>
                <w:szCs w:val="18"/>
              </w:rPr>
            </w:pPr>
            <w:r w:rsidRPr="00FF119C">
              <w:rPr>
                <w:sz w:val="18"/>
                <w:szCs w:val="18"/>
              </w:rPr>
              <w:t>-23.8</w:t>
            </w:r>
          </w:p>
        </w:tc>
        <w:tc>
          <w:tcPr>
            <w:tcW w:w="1134" w:type="dxa"/>
            <w:hideMark/>
          </w:tcPr>
          <w:p w14:paraId="6B713A58" w14:textId="77777777" w:rsidR="005C2F48" w:rsidRPr="00FF119C" w:rsidRDefault="005C2F48" w:rsidP="00DE7B71">
            <w:pPr>
              <w:pStyle w:val="NormalWeb"/>
              <w:jc w:val="center"/>
              <w:rPr>
                <w:sz w:val="18"/>
                <w:szCs w:val="18"/>
              </w:rPr>
            </w:pPr>
            <w:r w:rsidRPr="00FF119C">
              <w:rPr>
                <w:sz w:val="18"/>
                <w:szCs w:val="18"/>
              </w:rPr>
              <w:t>8.2</w:t>
            </w:r>
          </w:p>
        </w:tc>
        <w:tc>
          <w:tcPr>
            <w:tcW w:w="605" w:type="dxa"/>
            <w:hideMark/>
          </w:tcPr>
          <w:p w14:paraId="71D83162" w14:textId="77777777" w:rsidR="005C2F48" w:rsidRPr="00FF119C" w:rsidRDefault="005C2F48" w:rsidP="00DE7B71">
            <w:pPr>
              <w:pStyle w:val="NormalWeb"/>
              <w:jc w:val="center"/>
              <w:rPr>
                <w:sz w:val="18"/>
                <w:szCs w:val="18"/>
              </w:rPr>
            </w:pPr>
            <w:r w:rsidRPr="00FF119C">
              <w:rPr>
                <w:sz w:val="18"/>
                <w:szCs w:val="18"/>
              </w:rPr>
              <w:t>4.5</w:t>
            </w:r>
          </w:p>
        </w:tc>
        <w:tc>
          <w:tcPr>
            <w:tcW w:w="1559" w:type="dxa"/>
            <w:hideMark/>
          </w:tcPr>
          <w:p w14:paraId="0DEB80B4" w14:textId="77777777" w:rsidR="005C2F48" w:rsidRPr="00FF119C" w:rsidRDefault="005C2F48" w:rsidP="00DE7B71">
            <w:pPr>
              <w:pStyle w:val="NormalWeb"/>
              <w:jc w:val="center"/>
              <w:rPr>
                <w:sz w:val="18"/>
                <w:szCs w:val="18"/>
              </w:rPr>
            </w:pPr>
            <w:r w:rsidRPr="00FF119C">
              <w:rPr>
                <w:sz w:val="18"/>
                <w:szCs w:val="18"/>
              </w:rPr>
              <w:t>-3.7</w:t>
            </w:r>
          </w:p>
        </w:tc>
        <w:tc>
          <w:tcPr>
            <w:tcW w:w="992" w:type="dxa"/>
            <w:hideMark/>
          </w:tcPr>
          <w:p w14:paraId="1EB535DC" w14:textId="77777777" w:rsidR="005C2F48" w:rsidRPr="00FF119C" w:rsidRDefault="005C2F48" w:rsidP="00DE7B71">
            <w:pPr>
              <w:pStyle w:val="NormalWeb"/>
              <w:jc w:val="center"/>
              <w:rPr>
                <w:sz w:val="18"/>
                <w:szCs w:val="18"/>
              </w:rPr>
            </w:pPr>
            <w:r w:rsidRPr="00FF119C">
              <w:rPr>
                <w:sz w:val="18"/>
                <w:szCs w:val="18"/>
              </w:rPr>
              <w:t>-45.1</w:t>
            </w:r>
          </w:p>
        </w:tc>
        <w:tc>
          <w:tcPr>
            <w:tcW w:w="1134" w:type="dxa"/>
            <w:hideMark/>
          </w:tcPr>
          <w:p w14:paraId="28E002CE" w14:textId="77777777" w:rsidR="005C2F48" w:rsidRPr="00FF119C" w:rsidRDefault="005C2F48" w:rsidP="00DE7B71">
            <w:pPr>
              <w:pStyle w:val="NormalWeb"/>
              <w:jc w:val="center"/>
              <w:rPr>
                <w:sz w:val="18"/>
                <w:szCs w:val="18"/>
              </w:rPr>
            </w:pPr>
            <w:r w:rsidRPr="00FF119C">
              <w:rPr>
                <w:sz w:val="18"/>
                <w:szCs w:val="18"/>
              </w:rPr>
              <w:t>7.3</w:t>
            </w:r>
          </w:p>
        </w:tc>
        <w:tc>
          <w:tcPr>
            <w:tcW w:w="709" w:type="dxa"/>
            <w:hideMark/>
          </w:tcPr>
          <w:p w14:paraId="34D8500F" w14:textId="77777777" w:rsidR="005C2F48" w:rsidRPr="00FF119C" w:rsidRDefault="005C2F48" w:rsidP="00DE7B71">
            <w:pPr>
              <w:pStyle w:val="NormalWeb"/>
              <w:jc w:val="center"/>
              <w:rPr>
                <w:sz w:val="18"/>
                <w:szCs w:val="18"/>
              </w:rPr>
            </w:pPr>
            <w:r w:rsidRPr="00FF119C">
              <w:rPr>
                <w:sz w:val="18"/>
                <w:szCs w:val="18"/>
              </w:rPr>
              <w:t>5.6</w:t>
            </w:r>
          </w:p>
        </w:tc>
        <w:tc>
          <w:tcPr>
            <w:tcW w:w="1701" w:type="dxa"/>
            <w:hideMark/>
          </w:tcPr>
          <w:p w14:paraId="69842444" w14:textId="77777777" w:rsidR="005C2F48" w:rsidRPr="00FF119C" w:rsidRDefault="005C2F48" w:rsidP="00DE7B71">
            <w:pPr>
              <w:pStyle w:val="NormalWeb"/>
              <w:jc w:val="center"/>
              <w:rPr>
                <w:sz w:val="18"/>
                <w:szCs w:val="18"/>
              </w:rPr>
            </w:pPr>
            <w:r w:rsidRPr="00FF119C">
              <w:rPr>
                <w:sz w:val="18"/>
                <w:szCs w:val="18"/>
              </w:rPr>
              <w:t>-1.7</w:t>
            </w:r>
          </w:p>
        </w:tc>
        <w:tc>
          <w:tcPr>
            <w:tcW w:w="1190" w:type="dxa"/>
            <w:hideMark/>
          </w:tcPr>
          <w:p w14:paraId="0D703639" w14:textId="77777777" w:rsidR="005C2F48" w:rsidRPr="00FF119C" w:rsidRDefault="005C2F48" w:rsidP="00DE7B71">
            <w:pPr>
              <w:pStyle w:val="NormalWeb"/>
              <w:jc w:val="center"/>
              <w:rPr>
                <w:sz w:val="18"/>
                <w:szCs w:val="18"/>
              </w:rPr>
            </w:pPr>
            <w:r w:rsidRPr="00FF119C">
              <w:rPr>
                <w:sz w:val="18"/>
                <w:szCs w:val="18"/>
              </w:rPr>
              <w:t>-23.3</w:t>
            </w:r>
          </w:p>
        </w:tc>
      </w:tr>
      <w:tr w:rsidR="005C2F48" w:rsidRPr="00FF119C" w14:paraId="7C434E7A" w14:textId="77777777" w:rsidTr="005C2F4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32" w:type="dxa"/>
            <w:hideMark/>
          </w:tcPr>
          <w:p w14:paraId="4908DC76" w14:textId="77777777" w:rsidR="005C2F48" w:rsidRPr="00FF119C" w:rsidRDefault="005C2F48" w:rsidP="00DE7B71">
            <w:pPr>
              <w:pStyle w:val="NormalWeb"/>
              <w:rPr>
                <w:sz w:val="18"/>
                <w:szCs w:val="18"/>
              </w:rPr>
            </w:pPr>
            <w:r w:rsidRPr="00FF119C">
              <w:rPr>
                <w:sz w:val="18"/>
                <w:szCs w:val="18"/>
              </w:rPr>
              <w:t>Apr</w:t>
            </w:r>
          </w:p>
        </w:tc>
        <w:tc>
          <w:tcPr>
            <w:tcW w:w="1162" w:type="dxa"/>
            <w:hideMark/>
          </w:tcPr>
          <w:p w14:paraId="73FE6C63" w14:textId="77777777" w:rsidR="005C2F48" w:rsidRPr="00FF119C" w:rsidRDefault="005C2F48" w:rsidP="00DE7B71">
            <w:pPr>
              <w:pStyle w:val="NormalWeb"/>
              <w:jc w:val="center"/>
              <w:rPr>
                <w:sz w:val="18"/>
                <w:szCs w:val="18"/>
              </w:rPr>
            </w:pPr>
            <w:r w:rsidRPr="00FF119C">
              <w:rPr>
                <w:sz w:val="18"/>
                <w:szCs w:val="18"/>
              </w:rPr>
              <w:t>9.6</w:t>
            </w:r>
          </w:p>
        </w:tc>
        <w:tc>
          <w:tcPr>
            <w:tcW w:w="708" w:type="dxa"/>
            <w:hideMark/>
          </w:tcPr>
          <w:p w14:paraId="029103C9" w14:textId="77777777" w:rsidR="005C2F48" w:rsidRPr="00FF119C" w:rsidRDefault="005C2F48" w:rsidP="00DE7B71">
            <w:pPr>
              <w:pStyle w:val="NormalWeb"/>
              <w:jc w:val="center"/>
              <w:rPr>
                <w:sz w:val="18"/>
                <w:szCs w:val="18"/>
              </w:rPr>
            </w:pPr>
            <w:r w:rsidRPr="00FF119C">
              <w:rPr>
                <w:sz w:val="18"/>
                <w:szCs w:val="18"/>
              </w:rPr>
              <w:t>5.2</w:t>
            </w:r>
          </w:p>
        </w:tc>
        <w:tc>
          <w:tcPr>
            <w:tcW w:w="1560" w:type="dxa"/>
            <w:hideMark/>
          </w:tcPr>
          <w:p w14:paraId="104AE634" w14:textId="77777777" w:rsidR="005C2F48" w:rsidRPr="00FF119C" w:rsidRDefault="005C2F48" w:rsidP="00DE7B71">
            <w:pPr>
              <w:pStyle w:val="NormalWeb"/>
              <w:jc w:val="center"/>
              <w:rPr>
                <w:sz w:val="18"/>
                <w:szCs w:val="18"/>
              </w:rPr>
            </w:pPr>
            <w:r w:rsidRPr="00FF119C">
              <w:rPr>
                <w:sz w:val="18"/>
                <w:szCs w:val="18"/>
              </w:rPr>
              <w:t>-4.4</w:t>
            </w:r>
          </w:p>
        </w:tc>
        <w:tc>
          <w:tcPr>
            <w:tcW w:w="992" w:type="dxa"/>
            <w:hideMark/>
          </w:tcPr>
          <w:p w14:paraId="246E0481" w14:textId="77777777" w:rsidR="005C2F48" w:rsidRPr="00FF119C" w:rsidRDefault="005C2F48" w:rsidP="00DE7B71">
            <w:pPr>
              <w:pStyle w:val="NormalWeb"/>
              <w:jc w:val="center"/>
              <w:rPr>
                <w:sz w:val="18"/>
                <w:szCs w:val="18"/>
              </w:rPr>
            </w:pPr>
            <w:r w:rsidRPr="00FF119C">
              <w:rPr>
                <w:sz w:val="18"/>
                <w:szCs w:val="18"/>
              </w:rPr>
              <w:t>-45.8</w:t>
            </w:r>
          </w:p>
        </w:tc>
        <w:tc>
          <w:tcPr>
            <w:tcW w:w="1134" w:type="dxa"/>
            <w:hideMark/>
          </w:tcPr>
          <w:p w14:paraId="2BAF8867" w14:textId="77777777" w:rsidR="005C2F48" w:rsidRPr="00FF119C" w:rsidRDefault="005C2F48" w:rsidP="00DE7B71">
            <w:pPr>
              <w:pStyle w:val="NormalWeb"/>
              <w:jc w:val="center"/>
              <w:rPr>
                <w:sz w:val="18"/>
                <w:szCs w:val="18"/>
              </w:rPr>
            </w:pPr>
            <w:r w:rsidRPr="00FF119C">
              <w:rPr>
                <w:sz w:val="18"/>
                <w:szCs w:val="18"/>
              </w:rPr>
              <w:t>7.3</w:t>
            </w:r>
          </w:p>
        </w:tc>
        <w:tc>
          <w:tcPr>
            <w:tcW w:w="605" w:type="dxa"/>
            <w:hideMark/>
          </w:tcPr>
          <w:p w14:paraId="0810B276" w14:textId="77777777" w:rsidR="005C2F48" w:rsidRPr="00FF119C" w:rsidRDefault="005C2F48" w:rsidP="00DE7B71">
            <w:pPr>
              <w:pStyle w:val="NormalWeb"/>
              <w:jc w:val="center"/>
              <w:rPr>
                <w:sz w:val="18"/>
                <w:szCs w:val="18"/>
              </w:rPr>
            </w:pPr>
            <w:r w:rsidRPr="00FF119C">
              <w:rPr>
                <w:sz w:val="18"/>
                <w:szCs w:val="18"/>
              </w:rPr>
              <w:t>3.1</w:t>
            </w:r>
          </w:p>
        </w:tc>
        <w:tc>
          <w:tcPr>
            <w:tcW w:w="1559" w:type="dxa"/>
            <w:hideMark/>
          </w:tcPr>
          <w:p w14:paraId="039B0095" w14:textId="77777777" w:rsidR="005C2F48" w:rsidRPr="00FF119C" w:rsidRDefault="005C2F48" w:rsidP="00DE7B71">
            <w:pPr>
              <w:pStyle w:val="NormalWeb"/>
              <w:jc w:val="center"/>
              <w:rPr>
                <w:sz w:val="18"/>
                <w:szCs w:val="18"/>
              </w:rPr>
            </w:pPr>
            <w:r w:rsidRPr="00FF119C">
              <w:rPr>
                <w:sz w:val="18"/>
                <w:szCs w:val="18"/>
              </w:rPr>
              <w:t>-4.2</w:t>
            </w:r>
          </w:p>
        </w:tc>
        <w:tc>
          <w:tcPr>
            <w:tcW w:w="992" w:type="dxa"/>
            <w:hideMark/>
          </w:tcPr>
          <w:p w14:paraId="6C7211F1" w14:textId="77777777" w:rsidR="005C2F48" w:rsidRPr="00FF119C" w:rsidRDefault="005C2F48" w:rsidP="00DE7B71">
            <w:pPr>
              <w:pStyle w:val="NormalWeb"/>
              <w:jc w:val="center"/>
              <w:rPr>
                <w:sz w:val="18"/>
                <w:szCs w:val="18"/>
              </w:rPr>
            </w:pPr>
            <w:r w:rsidRPr="00FF119C">
              <w:rPr>
                <w:sz w:val="18"/>
                <w:szCs w:val="18"/>
              </w:rPr>
              <w:t>-57.5</w:t>
            </w:r>
          </w:p>
        </w:tc>
        <w:tc>
          <w:tcPr>
            <w:tcW w:w="1134" w:type="dxa"/>
            <w:hideMark/>
          </w:tcPr>
          <w:p w14:paraId="6F274522" w14:textId="77777777" w:rsidR="005C2F48" w:rsidRPr="00FF119C" w:rsidRDefault="005C2F48" w:rsidP="00DE7B71">
            <w:pPr>
              <w:pStyle w:val="NormalWeb"/>
              <w:jc w:val="center"/>
              <w:rPr>
                <w:sz w:val="18"/>
                <w:szCs w:val="18"/>
              </w:rPr>
            </w:pPr>
            <w:r w:rsidRPr="00FF119C">
              <w:rPr>
                <w:sz w:val="18"/>
                <w:szCs w:val="18"/>
              </w:rPr>
              <w:t>3.7</w:t>
            </w:r>
          </w:p>
        </w:tc>
        <w:tc>
          <w:tcPr>
            <w:tcW w:w="709" w:type="dxa"/>
            <w:hideMark/>
          </w:tcPr>
          <w:p w14:paraId="5094097C" w14:textId="77777777" w:rsidR="005C2F48" w:rsidRPr="00FF119C" w:rsidRDefault="005C2F48" w:rsidP="00DE7B71">
            <w:pPr>
              <w:pStyle w:val="NormalWeb"/>
              <w:jc w:val="center"/>
              <w:rPr>
                <w:sz w:val="18"/>
                <w:szCs w:val="18"/>
              </w:rPr>
            </w:pPr>
            <w:r w:rsidRPr="00FF119C">
              <w:rPr>
                <w:sz w:val="18"/>
                <w:szCs w:val="18"/>
              </w:rPr>
              <w:t>2.8</w:t>
            </w:r>
          </w:p>
        </w:tc>
        <w:tc>
          <w:tcPr>
            <w:tcW w:w="1701" w:type="dxa"/>
            <w:hideMark/>
          </w:tcPr>
          <w:p w14:paraId="5A3CB5AF" w14:textId="77777777" w:rsidR="005C2F48" w:rsidRPr="00FF119C" w:rsidRDefault="005C2F48" w:rsidP="00DE7B71">
            <w:pPr>
              <w:pStyle w:val="NormalWeb"/>
              <w:jc w:val="center"/>
              <w:rPr>
                <w:sz w:val="18"/>
                <w:szCs w:val="18"/>
              </w:rPr>
            </w:pPr>
            <w:r w:rsidRPr="00FF119C">
              <w:rPr>
                <w:sz w:val="18"/>
                <w:szCs w:val="18"/>
              </w:rPr>
              <w:t>-0.9</w:t>
            </w:r>
          </w:p>
        </w:tc>
        <w:tc>
          <w:tcPr>
            <w:tcW w:w="1190" w:type="dxa"/>
            <w:hideMark/>
          </w:tcPr>
          <w:p w14:paraId="6612DA08" w14:textId="77777777" w:rsidR="005C2F48" w:rsidRPr="00FF119C" w:rsidRDefault="005C2F48" w:rsidP="00DE7B71">
            <w:pPr>
              <w:pStyle w:val="NormalWeb"/>
              <w:jc w:val="center"/>
              <w:rPr>
                <w:sz w:val="18"/>
                <w:szCs w:val="18"/>
              </w:rPr>
            </w:pPr>
            <w:r w:rsidRPr="00FF119C">
              <w:rPr>
                <w:sz w:val="18"/>
                <w:szCs w:val="18"/>
              </w:rPr>
              <w:t>-24.3</w:t>
            </w:r>
          </w:p>
        </w:tc>
      </w:tr>
      <w:tr w:rsidR="005C2F48" w:rsidRPr="00FF119C" w14:paraId="546D6004" w14:textId="77777777" w:rsidTr="005C2F48">
        <w:tblPrEx>
          <w:tblCellMar>
            <w:top w:w="57" w:type="dxa"/>
            <w:left w:w="57" w:type="dxa"/>
            <w:bottom w:w="57" w:type="dxa"/>
            <w:right w:w="57" w:type="dxa"/>
          </w:tblCellMar>
        </w:tblPrEx>
        <w:tc>
          <w:tcPr>
            <w:tcW w:w="1532" w:type="dxa"/>
            <w:hideMark/>
          </w:tcPr>
          <w:p w14:paraId="3D269BE7" w14:textId="77777777" w:rsidR="005C2F48" w:rsidRPr="00FF119C" w:rsidRDefault="005C2F48" w:rsidP="00DE7B71">
            <w:pPr>
              <w:pStyle w:val="NormalWeb"/>
              <w:rPr>
                <w:sz w:val="18"/>
                <w:szCs w:val="18"/>
              </w:rPr>
            </w:pPr>
            <w:r w:rsidRPr="00FF119C">
              <w:rPr>
                <w:sz w:val="18"/>
                <w:szCs w:val="18"/>
              </w:rPr>
              <w:t>May</w:t>
            </w:r>
          </w:p>
        </w:tc>
        <w:tc>
          <w:tcPr>
            <w:tcW w:w="1162" w:type="dxa"/>
            <w:hideMark/>
          </w:tcPr>
          <w:p w14:paraId="0D37B0E2" w14:textId="77777777" w:rsidR="005C2F48" w:rsidRPr="00FF119C" w:rsidRDefault="005C2F48" w:rsidP="00DE7B71">
            <w:pPr>
              <w:pStyle w:val="NormalWeb"/>
              <w:jc w:val="center"/>
              <w:rPr>
                <w:sz w:val="18"/>
                <w:szCs w:val="18"/>
              </w:rPr>
            </w:pPr>
            <w:r w:rsidRPr="00FF119C">
              <w:rPr>
                <w:sz w:val="18"/>
                <w:szCs w:val="18"/>
              </w:rPr>
              <w:t>7.0</w:t>
            </w:r>
          </w:p>
        </w:tc>
        <w:tc>
          <w:tcPr>
            <w:tcW w:w="708" w:type="dxa"/>
            <w:hideMark/>
          </w:tcPr>
          <w:p w14:paraId="2C8977EA" w14:textId="77777777" w:rsidR="005C2F48" w:rsidRPr="00FF119C" w:rsidRDefault="005C2F48" w:rsidP="00DE7B71">
            <w:pPr>
              <w:pStyle w:val="NormalWeb"/>
              <w:jc w:val="center"/>
              <w:rPr>
                <w:sz w:val="18"/>
                <w:szCs w:val="18"/>
              </w:rPr>
            </w:pPr>
            <w:r w:rsidRPr="00FF119C">
              <w:rPr>
                <w:sz w:val="18"/>
                <w:szCs w:val="18"/>
              </w:rPr>
              <w:t>4.9</w:t>
            </w:r>
          </w:p>
        </w:tc>
        <w:tc>
          <w:tcPr>
            <w:tcW w:w="1560" w:type="dxa"/>
            <w:hideMark/>
          </w:tcPr>
          <w:p w14:paraId="30CA0D1F" w14:textId="77777777" w:rsidR="005C2F48" w:rsidRPr="00FF119C" w:rsidRDefault="005C2F48" w:rsidP="00DE7B71">
            <w:pPr>
              <w:pStyle w:val="NormalWeb"/>
              <w:jc w:val="center"/>
              <w:rPr>
                <w:sz w:val="18"/>
                <w:szCs w:val="18"/>
              </w:rPr>
            </w:pPr>
            <w:r w:rsidRPr="00FF119C">
              <w:rPr>
                <w:sz w:val="18"/>
                <w:szCs w:val="18"/>
              </w:rPr>
              <w:t>-2.1</w:t>
            </w:r>
          </w:p>
        </w:tc>
        <w:tc>
          <w:tcPr>
            <w:tcW w:w="992" w:type="dxa"/>
            <w:hideMark/>
          </w:tcPr>
          <w:p w14:paraId="5266322E" w14:textId="77777777" w:rsidR="005C2F48" w:rsidRPr="00FF119C" w:rsidRDefault="005C2F48" w:rsidP="00DE7B71">
            <w:pPr>
              <w:pStyle w:val="NormalWeb"/>
              <w:jc w:val="center"/>
              <w:rPr>
                <w:sz w:val="18"/>
                <w:szCs w:val="18"/>
              </w:rPr>
            </w:pPr>
            <w:r w:rsidRPr="00FF119C">
              <w:rPr>
                <w:sz w:val="18"/>
                <w:szCs w:val="18"/>
              </w:rPr>
              <w:t>-30.0</w:t>
            </w:r>
          </w:p>
        </w:tc>
        <w:tc>
          <w:tcPr>
            <w:tcW w:w="1134" w:type="dxa"/>
            <w:hideMark/>
          </w:tcPr>
          <w:p w14:paraId="359FF956" w14:textId="77777777" w:rsidR="005C2F48" w:rsidRPr="00FF119C" w:rsidRDefault="005C2F48" w:rsidP="00DE7B71">
            <w:pPr>
              <w:pStyle w:val="NormalWeb"/>
              <w:jc w:val="center"/>
              <w:rPr>
                <w:sz w:val="18"/>
                <w:szCs w:val="18"/>
              </w:rPr>
            </w:pPr>
            <w:r w:rsidRPr="00FF119C">
              <w:rPr>
                <w:sz w:val="18"/>
                <w:szCs w:val="18"/>
              </w:rPr>
              <w:t>6.6</w:t>
            </w:r>
          </w:p>
        </w:tc>
        <w:tc>
          <w:tcPr>
            <w:tcW w:w="605" w:type="dxa"/>
            <w:hideMark/>
          </w:tcPr>
          <w:p w14:paraId="552D1DED" w14:textId="77777777" w:rsidR="005C2F48" w:rsidRPr="00FF119C" w:rsidRDefault="005C2F48" w:rsidP="00DE7B71">
            <w:pPr>
              <w:pStyle w:val="NormalWeb"/>
              <w:jc w:val="center"/>
              <w:rPr>
                <w:sz w:val="18"/>
                <w:szCs w:val="18"/>
              </w:rPr>
            </w:pPr>
            <w:r w:rsidRPr="00FF119C">
              <w:rPr>
                <w:sz w:val="18"/>
                <w:szCs w:val="18"/>
              </w:rPr>
              <w:t>2.7</w:t>
            </w:r>
          </w:p>
        </w:tc>
        <w:tc>
          <w:tcPr>
            <w:tcW w:w="1559" w:type="dxa"/>
            <w:hideMark/>
          </w:tcPr>
          <w:p w14:paraId="3EE1E417" w14:textId="77777777" w:rsidR="005C2F48" w:rsidRPr="00FF119C" w:rsidRDefault="005C2F48" w:rsidP="00DE7B71">
            <w:pPr>
              <w:pStyle w:val="NormalWeb"/>
              <w:jc w:val="center"/>
              <w:rPr>
                <w:sz w:val="18"/>
                <w:szCs w:val="18"/>
              </w:rPr>
            </w:pPr>
            <w:r w:rsidRPr="00FF119C">
              <w:rPr>
                <w:sz w:val="18"/>
                <w:szCs w:val="18"/>
              </w:rPr>
              <w:t>-3.9</w:t>
            </w:r>
          </w:p>
        </w:tc>
        <w:tc>
          <w:tcPr>
            <w:tcW w:w="992" w:type="dxa"/>
            <w:hideMark/>
          </w:tcPr>
          <w:p w14:paraId="7AF81BC5" w14:textId="77777777" w:rsidR="005C2F48" w:rsidRPr="00FF119C" w:rsidRDefault="005C2F48" w:rsidP="00DE7B71">
            <w:pPr>
              <w:pStyle w:val="NormalWeb"/>
              <w:jc w:val="center"/>
              <w:rPr>
                <w:sz w:val="18"/>
                <w:szCs w:val="18"/>
              </w:rPr>
            </w:pPr>
            <w:r w:rsidRPr="00FF119C">
              <w:rPr>
                <w:sz w:val="18"/>
                <w:szCs w:val="18"/>
              </w:rPr>
              <w:t>-59.1</w:t>
            </w:r>
          </w:p>
        </w:tc>
        <w:tc>
          <w:tcPr>
            <w:tcW w:w="1134" w:type="dxa"/>
            <w:hideMark/>
          </w:tcPr>
          <w:p w14:paraId="1B4E5778" w14:textId="77777777" w:rsidR="005C2F48" w:rsidRPr="00FF119C" w:rsidRDefault="005C2F48" w:rsidP="00DE7B71">
            <w:pPr>
              <w:pStyle w:val="NormalWeb"/>
              <w:jc w:val="center"/>
              <w:rPr>
                <w:sz w:val="18"/>
                <w:szCs w:val="18"/>
              </w:rPr>
            </w:pPr>
            <w:r w:rsidRPr="00FF119C">
              <w:rPr>
                <w:sz w:val="18"/>
                <w:szCs w:val="18"/>
              </w:rPr>
              <w:t>3.4</w:t>
            </w:r>
          </w:p>
        </w:tc>
        <w:tc>
          <w:tcPr>
            <w:tcW w:w="709" w:type="dxa"/>
            <w:hideMark/>
          </w:tcPr>
          <w:p w14:paraId="277E56A9" w14:textId="77777777" w:rsidR="005C2F48" w:rsidRPr="00FF119C" w:rsidRDefault="005C2F48" w:rsidP="00DE7B71">
            <w:pPr>
              <w:pStyle w:val="NormalWeb"/>
              <w:jc w:val="center"/>
              <w:rPr>
                <w:sz w:val="18"/>
                <w:szCs w:val="18"/>
              </w:rPr>
            </w:pPr>
            <w:r w:rsidRPr="00FF119C">
              <w:rPr>
                <w:sz w:val="18"/>
                <w:szCs w:val="18"/>
              </w:rPr>
              <w:t>1.7</w:t>
            </w:r>
          </w:p>
        </w:tc>
        <w:tc>
          <w:tcPr>
            <w:tcW w:w="1701" w:type="dxa"/>
            <w:hideMark/>
          </w:tcPr>
          <w:p w14:paraId="34CF507C" w14:textId="77777777" w:rsidR="005C2F48" w:rsidRPr="00FF119C" w:rsidRDefault="005C2F48" w:rsidP="00DE7B71">
            <w:pPr>
              <w:pStyle w:val="NormalWeb"/>
              <w:jc w:val="center"/>
              <w:rPr>
                <w:sz w:val="18"/>
                <w:szCs w:val="18"/>
              </w:rPr>
            </w:pPr>
            <w:r w:rsidRPr="00FF119C">
              <w:rPr>
                <w:sz w:val="18"/>
                <w:szCs w:val="18"/>
              </w:rPr>
              <w:t>-1.7</w:t>
            </w:r>
          </w:p>
        </w:tc>
        <w:tc>
          <w:tcPr>
            <w:tcW w:w="1190" w:type="dxa"/>
            <w:hideMark/>
          </w:tcPr>
          <w:p w14:paraId="104F7CA4" w14:textId="77777777" w:rsidR="005C2F48" w:rsidRPr="00FF119C" w:rsidRDefault="005C2F48" w:rsidP="00DE7B71">
            <w:pPr>
              <w:pStyle w:val="NormalWeb"/>
              <w:jc w:val="center"/>
              <w:rPr>
                <w:sz w:val="18"/>
                <w:szCs w:val="18"/>
              </w:rPr>
            </w:pPr>
            <w:r w:rsidRPr="00FF119C">
              <w:rPr>
                <w:sz w:val="18"/>
                <w:szCs w:val="18"/>
              </w:rPr>
              <w:t>-50.0</w:t>
            </w:r>
          </w:p>
        </w:tc>
      </w:tr>
      <w:tr w:rsidR="005C2F48" w:rsidRPr="00FF119C" w14:paraId="78E5384C" w14:textId="77777777" w:rsidTr="005C2F4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32" w:type="dxa"/>
            <w:hideMark/>
          </w:tcPr>
          <w:p w14:paraId="03095B63" w14:textId="77777777" w:rsidR="005C2F48" w:rsidRPr="00FF119C" w:rsidRDefault="005C2F48" w:rsidP="00DE7B71">
            <w:pPr>
              <w:pStyle w:val="NormalWeb"/>
              <w:rPr>
                <w:sz w:val="18"/>
                <w:szCs w:val="18"/>
              </w:rPr>
            </w:pPr>
            <w:r w:rsidRPr="00FF119C">
              <w:rPr>
                <w:sz w:val="18"/>
                <w:szCs w:val="18"/>
              </w:rPr>
              <w:t>Jun</w:t>
            </w:r>
          </w:p>
        </w:tc>
        <w:tc>
          <w:tcPr>
            <w:tcW w:w="1162" w:type="dxa"/>
            <w:hideMark/>
          </w:tcPr>
          <w:p w14:paraId="1903A7F4" w14:textId="77777777" w:rsidR="005C2F48" w:rsidRPr="00FF119C" w:rsidRDefault="005C2F48" w:rsidP="00DE7B71">
            <w:pPr>
              <w:pStyle w:val="NormalWeb"/>
              <w:jc w:val="center"/>
              <w:rPr>
                <w:sz w:val="18"/>
                <w:szCs w:val="18"/>
              </w:rPr>
            </w:pPr>
            <w:r w:rsidRPr="00FF119C">
              <w:rPr>
                <w:sz w:val="18"/>
                <w:szCs w:val="18"/>
              </w:rPr>
              <w:t>4.5</w:t>
            </w:r>
          </w:p>
        </w:tc>
        <w:tc>
          <w:tcPr>
            <w:tcW w:w="708" w:type="dxa"/>
            <w:hideMark/>
          </w:tcPr>
          <w:p w14:paraId="3C4EFDF4" w14:textId="77777777" w:rsidR="005C2F48" w:rsidRPr="00FF119C" w:rsidRDefault="005C2F48" w:rsidP="00DE7B71">
            <w:pPr>
              <w:pStyle w:val="NormalWeb"/>
              <w:jc w:val="center"/>
              <w:rPr>
                <w:sz w:val="18"/>
                <w:szCs w:val="18"/>
              </w:rPr>
            </w:pPr>
            <w:r w:rsidRPr="00FF119C">
              <w:rPr>
                <w:sz w:val="18"/>
                <w:szCs w:val="18"/>
              </w:rPr>
              <w:t>3.8</w:t>
            </w:r>
          </w:p>
        </w:tc>
        <w:tc>
          <w:tcPr>
            <w:tcW w:w="1560" w:type="dxa"/>
            <w:hideMark/>
          </w:tcPr>
          <w:p w14:paraId="3D7160F8" w14:textId="77777777" w:rsidR="005C2F48" w:rsidRPr="00FF119C" w:rsidRDefault="005C2F48" w:rsidP="00DE7B71">
            <w:pPr>
              <w:pStyle w:val="NormalWeb"/>
              <w:jc w:val="center"/>
              <w:rPr>
                <w:sz w:val="18"/>
                <w:szCs w:val="18"/>
              </w:rPr>
            </w:pPr>
            <w:r w:rsidRPr="00FF119C">
              <w:rPr>
                <w:sz w:val="18"/>
                <w:szCs w:val="18"/>
              </w:rPr>
              <w:t>-0.7</w:t>
            </w:r>
          </w:p>
        </w:tc>
        <w:tc>
          <w:tcPr>
            <w:tcW w:w="992" w:type="dxa"/>
            <w:hideMark/>
          </w:tcPr>
          <w:p w14:paraId="41A1D014" w14:textId="77777777" w:rsidR="005C2F48" w:rsidRPr="00FF119C" w:rsidRDefault="005C2F48" w:rsidP="00DE7B71">
            <w:pPr>
              <w:pStyle w:val="NormalWeb"/>
              <w:jc w:val="center"/>
              <w:rPr>
                <w:sz w:val="18"/>
                <w:szCs w:val="18"/>
              </w:rPr>
            </w:pPr>
            <w:r w:rsidRPr="00FF119C">
              <w:rPr>
                <w:sz w:val="18"/>
                <w:szCs w:val="18"/>
              </w:rPr>
              <w:t>-15.6</w:t>
            </w:r>
          </w:p>
        </w:tc>
        <w:tc>
          <w:tcPr>
            <w:tcW w:w="1134" w:type="dxa"/>
            <w:hideMark/>
          </w:tcPr>
          <w:p w14:paraId="77B85BC4" w14:textId="77777777" w:rsidR="005C2F48" w:rsidRPr="00FF119C" w:rsidRDefault="005C2F48" w:rsidP="00DE7B71">
            <w:pPr>
              <w:pStyle w:val="NormalWeb"/>
              <w:jc w:val="center"/>
              <w:rPr>
                <w:sz w:val="18"/>
                <w:szCs w:val="18"/>
              </w:rPr>
            </w:pPr>
            <w:r w:rsidRPr="00FF119C">
              <w:rPr>
                <w:sz w:val="18"/>
                <w:szCs w:val="18"/>
              </w:rPr>
              <w:t>4.6</w:t>
            </w:r>
          </w:p>
        </w:tc>
        <w:tc>
          <w:tcPr>
            <w:tcW w:w="605" w:type="dxa"/>
            <w:hideMark/>
          </w:tcPr>
          <w:p w14:paraId="76A5597F" w14:textId="77777777" w:rsidR="005C2F48" w:rsidRPr="00FF119C" w:rsidRDefault="005C2F48" w:rsidP="00DE7B71">
            <w:pPr>
              <w:pStyle w:val="NormalWeb"/>
              <w:jc w:val="center"/>
              <w:rPr>
                <w:sz w:val="18"/>
                <w:szCs w:val="18"/>
              </w:rPr>
            </w:pPr>
            <w:r w:rsidRPr="00FF119C">
              <w:rPr>
                <w:sz w:val="18"/>
                <w:szCs w:val="18"/>
              </w:rPr>
              <w:t>1.7</w:t>
            </w:r>
          </w:p>
        </w:tc>
        <w:tc>
          <w:tcPr>
            <w:tcW w:w="1559" w:type="dxa"/>
            <w:hideMark/>
          </w:tcPr>
          <w:p w14:paraId="40676189" w14:textId="77777777" w:rsidR="005C2F48" w:rsidRPr="00FF119C" w:rsidRDefault="005C2F48" w:rsidP="00DE7B71">
            <w:pPr>
              <w:pStyle w:val="NormalWeb"/>
              <w:jc w:val="center"/>
              <w:rPr>
                <w:sz w:val="18"/>
                <w:szCs w:val="18"/>
              </w:rPr>
            </w:pPr>
            <w:r w:rsidRPr="00FF119C">
              <w:rPr>
                <w:sz w:val="18"/>
                <w:szCs w:val="18"/>
              </w:rPr>
              <w:t>-2.9</w:t>
            </w:r>
          </w:p>
        </w:tc>
        <w:tc>
          <w:tcPr>
            <w:tcW w:w="992" w:type="dxa"/>
            <w:hideMark/>
          </w:tcPr>
          <w:p w14:paraId="59159D1C" w14:textId="77777777" w:rsidR="005C2F48" w:rsidRPr="00FF119C" w:rsidRDefault="005C2F48" w:rsidP="00DE7B71">
            <w:pPr>
              <w:pStyle w:val="NormalWeb"/>
              <w:jc w:val="center"/>
              <w:rPr>
                <w:sz w:val="18"/>
                <w:szCs w:val="18"/>
              </w:rPr>
            </w:pPr>
            <w:r w:rsidRPr="00FF119C">
              <w:rPr>
                <w:sz w:val="18"/>
                <w:szCs w:val="18"/>
              </w:rPr>
              <w:t>-63.0</w:t>
            </w:r>
          </w:p>
        </w:tc>
        <w:tc>
          <w:tcPr>
            <w:tcW w:w="1134" w:type="dxa"/>
            <w:hideMark/>
          </w:tcPr>
          <w:p w14:paraId="2D391AEF" w14:textId="77777777" w:rsidR="005C2F48" w:rsidRPr="00FF119C" w:rsidRDefault="005C2F48" w:rsidP="00DE7B71">
            <w:pPr>
              <w:pStyle w:val="NormalWeb"/>
              <w:jc w:val="center"/>
              <w:rPr>
                <w:sz w:val="18"/>
                <w:szCs w:val="18"/>
              </w:rPr>
            </w:pPr>
            <w:r w:rsidRPr="00FF119C">
              <w:rPr>
                <w:sz w:val="18"/>
                <w:szCs w:val="18"/>
              </w:rPr>
              <w:t>2.3</w:t>
            </w:r>
          </w:p>
        </w:tc>
        <w:tc>
          <w:tcPr>
            <w:tcW w:w="709" w:type="dxa"/>
            <w:hideMark/>
          </w:tcPr>
          <w:p w14:paraId="02CAFB8D" w14:textId="77777777" w:rsidR="005C2F48" w:rsidRPr="00FF119C" w:rsidRDefault="005C2F48" w:rsidP="00DE7B71">
            <w:pPr>
              <w:pStyle w:val="NormalWeb"/>
              <w:jc w:val="center"/>
              <w:rPr>
                <w:sz w:val="18"/>
                <w:szCs w:val="18"/>
              </w:rPr>
            </w:pPr>
            <w:r w:rsidRPr="00FF119C">
              <w:rPr>
                <w:sz w:val="18"/>
                <w:szCs w:val="18"/>
              </w:rPr>
              <w:t>1.5</w:t>
            </w:r>
          </w:p>
        </w:tc>
        <w:tc>
          <w:tcPr>
            <w:tcW w:w="1701" w:type="dxa"/>
            <w:hideMark/>
          </w:tcPr>
          <w:p w14:paraId="4020F098" w14:textId="77777777" w:rsidR="005C2F48" w:rsidRPr="00FF119C" w:rsidRDefault="005C2F48" w:rsidP="00DE7B71">
            <w:pPr>
              <w:pStyle w:val="NormalWeb"/>
              <w:jc w:val="center"/>
              <w:rPr>
                <w:sz w:val="18"/>
                <w:szCs w:val="18"/>
              </w:rPr>
            </w:pPr>
            <w:r w:rsidRPr="00FF119C">
              <w:rPr>
                <w:sz w:val="18"/>
                <w:szCs w:val="18"/>
              </w:rPr>
              <w:t>-0.8</w:t>
            </w:r>
          </w:p>
        </w:tc>
        <w:tc>
          <w:tcPr>
            <w:tcW w:w="1190" w:type="dxa"/>
            <w:hideMark/>
          </w:tcPr>
          <w:p w14:paraId="4ABABCAE" w14:textId="77777777" w:rsidR="005C2F48" w:rsidRPr="00FF119C" w:rsidRDefault="005C2F48" w:rsidP="00DE7B71">
            <w:pPr>
              <w:pStyle w:val="NormalWeb"/>
              <w:jc w:val="center"/>
              <w:rPr>
                <w:sz w:val="18"/>
                <w:szCs w:val="18"/>
              </w:rPr>
            </w:pPr>
            <w:r w:rsidRPr="00FF119C">
              <w:rPr>
                <w:sz w:val="18"/>
                <w:szCs w:val="18"/>
              </w:rPr>
              <w:t>-34.8</w:t>
            </w:r>
          </w:p>
        </w:tc>
      </w:tr>
      <w:tr w:rsidR="005C2F48" w:rsidRPr="00FF119C" w14:paraId="749A8421" w14:textId="77777777" w:rsidTr="005C2F48">
        <w:tblPrEx>
          <w:tblCellMar>
            <w:top w:w="57" w:type="dxa"/>
            <w:left w:w="57" w:type="dxa"/>
            <w:bottom w:w="57" w:type="dxa"/>
            <w:right w:w="57" w:type="dxa"/>
          </w:tblCellMar>
        </w:tblPrEx>
        <w:tc>
          <w:tcPr>
            <w:tcW w:w="1532" w:type="dxa"/>
            <w:hideMark/>
          </w:tcPr>
          <w:p w14:paraId="0CADBAB1" w14:textId="77777777" w:rsidR="005C2F48" w:rsidRPr="00FF119C" w:rsidRDefault="005C2F48" w:rsidP="00DE7B71">
            <w:pPr>
              <w:pStyle w:val="NormalWeb"/>
              <w:rPr>
                <w:sz w:val="18"/>
                <w:szCs w:val="18"/>
              </w:rPr>
            </w:pPr>
            <w:r w:rsidRPr="00FF119C">
              <w:rPr>
                <w:sz w:val="18"/>
                <w:szCs w:val="18"/>
              </w:rPr>
              <w:t>Jul</w:t>
            </w:r>
          </w:p>
        </w:tc>
        <w:tc>
          <w:tcPr>
            <w:tcW w:w="1162" w:type="dxa"/>
            <w:hideMark/>
          </w:tcPr>
          <w:p w14:paraId="7FDFCE2C" w14:textId="77777777" w:rsidR="005C2F48" w:rsidRPr="00FF119C" w:rsidRDefault="005C2F48" w:rsidP="00DE7B71">
            <w:pPr>
              <w:pStyle w:val="NormalWeb"/>
              <w:jc w:val="center"/>
              <w:rPr>
                <w:sz w:val="18"/>
                <w:szCs w:val="18"/>
              </w:rPr>
            </w:pPr>
            <w:r w:rsidRPr="00FF119C">
              <w:rPr>
                <w:sz w:val="18"/>
                <w:szCs w:val="18"/>
              </w:rPr>
              <w:t>4.5</w:t>
            </w:r>
          </w:p>
        </w:tc>
        <w:tc>
          <w:tcPr>
            <w:tcW w:w="708" w:type="dxa"/>
            <w:hideMark/>
          </w:tcPr>
          <w:p w14:paraId="47F55ED4" w14:textId="77777777" w:rsidR="005C2F48" w:rsidRPr="00FF119C" w:rsidRDefault="005C2F48" w:rsidP="00DE7B71">
            <w:pPr>
              <w:pStyle w:val="NormalWeb"/>
              <w:jc w:val="center"/>
              <w:rPr>
                <w:sz w:val="18"/>
                <w:szCs w:val="18"/>
              </w:rPr>
            </w:pPr>
            <w:r w:rsidRPr="00FF119C">
              <w:rPr>
                <w:sz w:val="18"/>
                <w:szCs w:val="18"/>
              </w:rPr>
              <w:t>3.0</w:t>
            </w:r>
          </w:p>
        </w:tc>
        <w:tc>
          <w:tcPr>
            <w:tcW w:w="1560" w:type="dxa"/>
            <w:hideMark/>
          </w:tcPr>
          <w:p w14:paraId="2B43B3C6" w14:textId="77777777" w:rsidR="005C2F48" w:rsidRPr="00FF119C" w:rsidRDefault="005C2F48" w:rsidP="00DE7B71">
            <w:pPr>
              <w:pStyle w:val="NormalWeb"/>
              <w:jc w:val="center"/>
              <w:rPr>
                <w:sz w:val="18"/>
                <w:szCs w:val="18"/>
              </w:rPr>
            </w:pPr>
            <w:r w:rsidRPr="00FF119C">
              <w:rPr>
                <w:sz w:val="18"/>
                <w:szCs w:val="18"/>
              </w:rPr>
              <w:t>-1.5</w:t>
            </w:r>
          </w:p>
        </w:tc>
        <w:tc>
          <w:tcPr>
            <w:tcW w:w="992" w:type="dxa"/>
            <w:hideMark/>
          </w:tcPr>
          <w:p w14:paraId="5F5474B7" w14:textId="77777777" w:rsidR="005C2F48" w:rsidRPr="00FF119C" w:rsidRDefault="005C2F48" w:rsidP="00DE7B71">
            <w:pPr>
              <w:pStyle w:val="NormalWeb"/>
              <w:jc w:val="center"/>
              <w:rPr>
                <w:sz w:val="18"/>
                <w:szCs w:val="18"/>
              </w:rPr>
            </w:pPr>
            <w:r w:rsidRPr="00FF119C">
              <w:rPr>
                <w:sz w:val="18"/>
                <w:szCs w:val="18"/>
              </w:rPr>
              <w:t>-33.3</w:t>
            </w:r>
          </w:p>
        </w:tc>
        <w:tc>
          <w:tcPr>
            <w:tcW w:w="1134" w:type="dxa"/>
            <w:hideMark/>
          </w:tcPr>
          <w:p w14:paraId="460E7CC0" w14:textId="77777777" w:rsidR="005C2F48" w:rsidRPr="00FF119C" w:rsidRDefault="005C2F48" w:rsidP="00DE7B71">
            <w:pPr>
              <w:pStyle w:val="NormalWeb"/>
              <w:jc w:val="center"/>
              <w:rPr>
                <w:sz w:val="18"/>
                <w:szCs w:val="18"/>
              </w:rPr>
            </w:pPr>
            <w:r w:rsidRPr="00FF119C">
              <w:rPr>
                <w:sz w:val="18"/>
                <w:szCs w:val="18"/>
              </w:rPr>
              <w:t>4.2</w:t>
            </w:r>
          </w:p>
        </w:tc>
        <w:tc>
          <w:tcPr>
            <w:tcW w:w="605" w:type="dxa"/>
            <w:hideMark/>
          </w:tcPr>
          <w:p w14:paraId="34D4BDA6" w14:textId="77777777" w:rsidR="005C2F48" w:rsidRPr="00FF119C" w:rsidRDefault="005C2F48" w:rsidP="00DE7B71">
            <w:pPr>
              <w:pStyle w:val="NormalWeb"/>
              <w:jc w:val="center"/>
              <w:rPr>
                <w:sz w:val="18"/>
                <w:szCs w:val="18"/>
              </w:rPr>
            </w:pPr>
            <w:r w:rsidRPr="00FF119C">
              <w:rPr>
                <w:sz w:val="18"/>
                <w:szCs w:val="18"/>
              </w:rPr>
              <w:t>1.8</w:t>
            </w:r>
          </w:p>
        </w:tc>
        <w:tc>
          <w:tcPr>
            <w:tcW w:w="1559" w:type="dxa"/>
            <w:hideMark/>
          </w:tcPr>
          <w:p w14:paraId="607C525C" w14:textId="77777777" w:rsidR="005C2F48" w:rsidRPr="00FF119C" w:rsidRDefault="005C2F48" w:rsidP="00DE7B71">
            <w:pPr>
              <w:pStyle w:val="NormalWeb"/>
              <w:jc w:val="center"/>
              <w:rPr>
                <w:sz w:val="18"/>
                <w:szCs w:val="18"/>
              </w:rPr>
            </w:pPr>
            <w:r w:rsidRPr="00FF119C">
              <w:rPr>
                <w:sz w:val="18"/>
                <w:szCs w:val="18"/>
              </w:rPr>
              <w:t>-2.4</w:t>
            </w:r>
          </w:p>
        </w:tc>
        <w:tc>
          <w:tcPr>
            <w:tcW w:w="992" w:type="dxa"/>
            <w:hideMark/>
          </w:tcPr>
          <w:p w14:paraId="1C707116" w14:textId="77777777" w:rsidR="005C2F48" w:rsidRPr="00FF119C" w:rsidRDefault="005C2F48" w:rsidP="00DE7B71">
            <w:pPr>
              <w:pStyle w:val="NormalWeb"/>
              <w:jc w:val="center"/>
              <w:rPr>
                <w:sz w:val="18"/>
                <w:szCs w:val="18"/>
              </w:rPr>
            </w:pPr>
            <w:r w:rsidRPr="00FF119C">
              <w:rPr>
                <w:sz w:val="18"/>
                <w:szCs w:val="18"/>
              </w:rPr>
              <w:t>-57.1</w:t>
            </w:r>
          </w:p>
        </w:tc>
        <w:tc>
          <w:tcPr>
            <w:tcW w:w="1134" w:type="dxa"/>
            <w:hideMark/>
          </w:tcPr>
          <w:p w14:paraId="20AF0E6B" w14:textId="77777777" w:rsidR="005C2F48" w:rsidRPr="00FF119C" w:rsidRDefault="005C2F48" w:rsidP="00DE7B71">
            <w:pPr>
              <w:pStyle w:val="NormalWeb"/>
              <w:jc w:val="center"/>
              <w:rPr>
                <w:sz w:val="18"/>
                <w:szCs w:val="18"/>
              </w:rPr>
            </w:pPr>
            <w:r w:rsidRPr="00FF119C">
              <w:rPr>
                <w:sz w:val="18"/>
                <w:szCs w:val="18"/>
              </w:rPr>
              <w:t>2.4</w:t>
            </w:r>
          </w:p>
        </w:tc>
        <w:tc>
          <w:tcPr>
            <w:tcW w:w="709" w:type="dxa"/>
            <w:hideMark/>
          </w:tcPr>
          <w:p w14:paraId="76C8E5E6" w14:textId="77777777" w:rsidR="005C2F48" w:rsidRPr="00FF119C" w:rsidRDefault="005C2F48" w:rsidP="00DE7B71">
            <w:pPr>
              <w:pStyle w:val="NormalWeb"/>
              <w:jc w:val="center"/>
              <w:rPr>
                <w:sz w:val="18"/>
                <w:szCs w:val="18"/>
              </w:rPr>
            </w:pPr>
            <w:r w:rsidRPr="00FF119C">
              <w:rPr>
                <w:sz w:val="18"/>
                <w:szCs w:val="18"/>
              </w:rPr>
              <w:t>1.3</w:t>
            </w:r>
          </w:p>
        </w:tc>
        <w:tc>
          <w:tcPr>
            <w:tcW w:w="1701" w:type="dxa"/>
            <w:hideMark/>
          </w:tcPr>
          <w:p w14:paraId="1428B041" w14:textId="77777777" w:rsidR="005C2F48" w:rsidRPr="00FF119C" w:rsidRDefault="005C2F48" w:rsidP="00DE7B71">
            <w:pPr>
              <w:pStyle w:val="NormalWeb"/>
              <w:jc w:val="center"/>
              <w:rPr>
                <w:sz w:val="18"/>
                <w:szCs w:val="18"/>
              </w:rPr>
            </w:pPr>
            <w:r w:rsidRPr="00FF119C">
              <w:rPr>
                <w:sz w:val="18"/>
                <w:szCs w:val="18"/>
              </w:rPr>
              <w:t>-1.1</w:t>
            </w:r>
          </w:p>
        </w:tc>
        <w:tc>
          <w:tcPr>
            <w:tcW w:w="1190" w:type="dxa"/>
            <w:hideMark/>
          </w:tcPr>
          <w:p w14:paraId="77FE5F4A" w14:textId="77777777" w:rsidR="005C2F48" w:rsidRPr="00FF119C" w:rsidRDefault="005C2F48" w:rsidP="00DE7B71">
            <w:pPr>
              <w:pStyle w:val="NormalWeb"/>
              <w:jc w:val="center"/>
              <w:rPr>
                <w:sz w:val="18"/>
                <w:szCs w:val="18"/>
              </w:rPr>
            </w:pPr>
            <w:r w:rsidRPr="00FF119C">
              <w:rPr>
                <w:sz w:val="18"/>
                <w:szCs w:val="18"/>
              </w:rPr>
              <w:t>-45.8</w:t>
            </w:r>
          </w:p>
        </w:tc>
      </w:tr>
      <w:tr w:rsidR="005C2F48" w:rsidRPr="00FF119C" w14:paraId="186C63E5" w14:textId="77777777" w:rsidTr="005C2F4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32" w:type="dxa"/>
            <w:hideMark/>
          </w:tcPr>
          <w:p w14:paraId="66CBD5B4" w14:textId="77777777" w:rsidR="005C2F48" w:rsidRPr="00FF119C" w:rsidRDefault="005C2F48" w:rsidP="00DE7B71">
            <w:pPr>
              <w:pStyle w:val="NormalWeb"/>
              <w:rPr>
                <w:sz w:val="18"/>
                <w:szCs w:val="18"/>
              </w:rPr>
            </w:pPr>
            <w:r w:rsidRPr="00FF119C">
              <w:rPr>
                <w:sz w:val="18"/>
                <w:szCs w:val="18"/>
              </w:rPr>
              <w:t>Aug</w:t>
            </w:r>
          </w:p>
        </w:tc>
        <w:tc>
          <w:tcPr>
            <w:tcW w:w="1162" w:type="dxa"/>
            <w:hideMark/>
          </w:tcPr>
          <w:p w14:paraId="34D25400" w14:textId="77777777" w:rsidR="005C2F48" w:rsidRPr="00FF119C" w:rsidRDefault="005C2F48" w:rsidP="00DE7B71">
            <w:pPr>
              <w:pStyle w:val="NormalWeb"/>
              <w:jc w:val="center"/>
              <w:rPr>
                <w:sz w:val="18"/>
                <w:szCs w:val="18"/>
              </w:rPr>
            </w:pPr>
            <w:r w:rsidRPr="00FF119C">
              <w:rPr>
                <w:sz w:val="18"/>
                <w:szCs w:val="18"/>
              </w:rPr>
              <w:t>3.4</w:t>
            </w:r>
          </w:p>
        </w:tc>
        <w:tc>
          <w:tcPr>
            <w:tcW w:w="708" w:type="dxa"/>
            <w:hideMark/>
          </w:tcPr>
          <w:p w14:paraId="03ED5646" w14:textId="77777777" w:rsidR="005C2F48" w:rsidRPr="00FF119C" w:rsidRDefault="005C2F48" w:rsidP="00DE7B71">
            <w:pPr>
              <w:pStyle w:val="NormalWeb"/>
              <w:jc w:val="center"/>
              <w:rPr>
                <w:sz w:val="18"/>
                <w:szCs w:val="18"/>
              </w:rPr>
            </w:pPr>
            <w:r w:rsidRPr="00FF119C">
              <w:rPr>
                <w:sz w:val="18"/>
                <w:szCs w:val="18"/>
              </w:rPr>
              <w:t>2.5</w:t>
            </w:r>
          </w:p>
        </w:tc>
        <w:tc>
          <w:tcPr>
            <w:tcW w:w="1560" w:type="dxa"/>
            <w:hideMark/>
          </w:tcPr>
          <w:p w14:paraId="43137FD7" w14:textId="77777777" w:rsidR="005C2F48" w:rsidRPr="00FF119C" w:rsidRDefault="005C2F48" w:rsidP="00DE7B71">
            <w:pPr>
              <w:pStyle w:val="NormalWeb"/>
              <w:jc w:val="center"/>
              <w:rPr>
                <w:sz w:val="18"/>
                <w:szCs w:val="18"/>
              </w:rPr>
            </w:pPr>
            <w:r w:rsidRPr="00FF119C">
              <w:rPr>
                <w:sz w:val="18"/>
                <w:szCs w:val="18"/>
              </w:rPr>
              <w:t>-0.9</w:t>
            </w:r>
          </w:p>
        </w:tc>
        <w:tc>
          <w:tcPr>
            <w:tcW w:w="992" w:type="dxa"/>
            <w:hideMark/>
          </w:tcPr>
          <w:p w14:paraId="5E1C2EB9" w14:textId="77777777" w:rsidR="005C2F48" w:rsidRPr="00FF119C" w:rsidRDefault="005C2F48" w:rsidP="00DE7B71">
            <w:pPr>
              <w:pStyle w:val="NormalWeb"/>
              <w:jc w:val="center"/>
              <w:rPr>
                <w:sz w:val="18"/>
                <w:szCs w:val="18"/>
              </w:rPr>
            </w:pPr>
            <w:r w:rsidRPr="00FF119C">
              <w:rPr>
                <w:sz w:val="18"/>
                <w:szCs w:val="18"/>
              </w:rPr>
              <w:t>-26.5</w:t>
            </w:r>
          </w:p>
        </w:tc>
        <w:tc>
          <w:tcPr>
            <w:tcW w:w="1134" w:type="dxa"/>
            <w:hideMark/>
          </w:tcPr>
          <w:p w14:paraId="7A396451" w14:textId="77777777" w:rsidR="005C2F48" w:rsidRPr="00FF119C" w:rsidRDefault="005C2F48" w:rsidP="00DE7B71">
            <w:pPr>
              <w:pStyle w:val="NormalWeb"/>
              <w:jc w:val="center"/>
              <w:rPr>
                <w:sz w:val="18"/>
                <w:szCs w:val="18"/>
              </w:rPr>
            </w:pPr>
            <w:r w:rsidRPr="00FF119C">
              <w:rPr>
                <w:sz w:val="18"/>
                <w:szCs w:val="18"/>
              </w:rPr>
              <w:t>4.0</w:t>
            </w:r>
          </w:p>
        </w:tc>
        <w:tc>
          <w:tcPr>
            <w:tcW w:w="605" w:type="dxa"/>
            <w:hideMark/>
          </w:tcPr>
          <w:p w14:paraId="06CA73F6" w14:textId="77777777" w:rsidR="005C2F48" w:rsidRPr="00FF119C" w:rsidRDefault="005C2F48" w:rsidP="00DE7B71">
            <w:pPr>
              <w:pStyle w:val="NormalWeb"/>
              <w:jc w:val="center"/>
              <w:rPr>
                <w:sz w:val="18"/>
                <w:szCs w:val="18"/>
              </w:rPr>
            </w:pPr>
            <w:r w:rsidRPr="00FF119C">
              <w:rPr>
                <w:sz w:val="18"/>
                <w:szCs w:val="18"/>
              </w:rPr>
              <w:t>1.9</w:t>
            </w:r>
          </w:p>
        </w:tc>
        <w:tc>
          <w:tcPr>
            <w:tcW w:w="1559" w:type="dxa"/>
            <w:hideMark/>
          </w:tcPr>
          <w:p w14:paraId="1FCF53A6" w14:textId="77777777" w:rsidR="005C2F48" w:rsidRPr="00FF119C" w:rsidRDefault="005C2F48" w:rsidP="00DE7B71">
            <w:pPr>
              <w:pStyle w:val="NormalWeb"/>
              <w:jc w:val="center"/>
              <w:rPr>
                <w:sz w:val="18"/>
                <w:szCs w:val="18"/>
              </w:rPr>
            </w:pPr>
            <w:r w:rsidRPr="00FF119C">
              <w:rPr>
                <w:sz w:val="18"/>
                <w:szCs w:val="18"/>
              </w:rPr>
              <w:t>-2.1</w:t>
            </w:r>
          </w:p>
        </w:tc>
        <w:tc>
          <w:tcPr>
            <w:tcW w:w="992" w:type="dxa"/>
            <w:hideMark/>
          </w:tcPr>
          <w:p w14:paraId="6FC8D261" w14:textId="77777777" w:rsidR="005C2F48" w:rsidRPr="00FF119C" w:rsidRDefault="005C2F48" w:rsidP="00DE7B71">
            <w:pPr>
              <w:pStyle w:val="NormalWeb"/>
              <w:jc w:val="center"/>
              <w:rPr>
                <w:sz w:val="18"/>
                <w:szCs w:val="18"/>
              </w:rPr>
            </w:pPr>
            <w:r w:rsidRPr="00FF119C">
              <w:rPr>
                <w:sz w:val="18"/>
                <w:szCs w:val="18"/>
              </w:rPr>
              <w:t>-52.5</w:t>
            </w:r>
          </w:p>
        </w:tc>
        <w:tc>
          <w:tcPr>
            <w:tcW w:w="1134" w:type="dxa"/>
            <w:hideMark/>
          </w:tcPr>
          <w:p w14:paraId="063BD398" w14:textId="77777777" w:rsidR="005C2F48" w:rsidRPr="00FF119C" w:rsidRDefault="005C2F48" w:rsidP="00DE7B71">
            <w:pPr>
              <w:pStyle w:val="NormalWeb"/>
              <w:jc w:val="center"/>
              <w:rPr>
                <w:sz w:val="18"/>
                <w:szCs w:val="18"/>
              </w:rPr>
            </w:pPr>
            <w:r w:rsidRPr="00FF119C">
              <w:rPr>
                <w:sz w:val="18"/>
                <w:szCs w:val="18"/>
              </w:rPr>
              <w:t>2.1</w:t>
            </w:r>
          </w:p>
        </w:tc>
        <w:tc>
          <w:tcPr>
            <w:tcW w:w="709" w:type="dxa"/>
            <w:hideMark/>
          </w:tcPr>
          <w:p w14:paraId="4031278A" w14:textId="77777777" w:rsidR="005C2F48" w:rsidRPr="00FF119C" w:rsidRDefault="005C2F48" w:rsidP="00DE7B71">
            <w:pPr>
              <w:pStyle w:val="NormalWeb"/>
              <w:jc w:val="center"/>
              <w:rPr>
                <w:sz w:val="18"/>
                <w:szCs w:val="18"/>
              </w:rPr>
            </w:pPr>
            <w:r w:rsidRPr="00FF119C">
              <w:rPr>
                <w:sz w:val="18"/>
                <w:szCs w:val="18"/>
              </w:rPr>
              <w:t>1.5</w:t>
            </w:r>
          </w:p>
        </w:tc>
        <w:tc>
          <w:tcPr>
            <w:tcW w:w="1701" w:type="dxa"/>
            <w:hideMark/>
          </w:tcPr>
          <w:p w14:paraId="38C6B140" w14:textId="77777777" w:rsidR="005C2F48" w:rsidRPr="00FF119C" w:rsidRDefault="005C2F48" w:rsidP="00DE7B71">
            <w:pPr>
              <w:pStyle w:val="NormalWeb"/>
              <w:jc w:val="center"/>
              <w:rPr>
                <w:sz w:val="18"/>
                <w:szCs w:val="18"/>
              </w:rPr>
            </w:pPr>
            <w:r w:rsidRPr="00FF119C">
              <w:rPr>
                <w:sz w:val="18"/>
                <w:szCs w:val="18"/>
              </w:rPr>
              <w:t>-0.6</w:t>
            </w:r>
          </w:p>
        </w:tc>
        <w:tc>
          <w:tcPr>
            <w:tcW w:w="1190" w:type="dxa"/>
            <w:hideMark/>
          </w:tcPr>
          <w:p w14:paraId="398AAF1B" w14:textId="77777777" w:rsidR="005C2F48" w:rsidRPr="00FF119C" w:rsidRDefault="005C2F48" w:rsidP="00DE7B71">
            <w:pPr>
              <w:pStyle w:val="NormalWeb"/>
              <w:jc w:val="center"/>
              <w:rPr>
                <w:sz w:val="18"/>
                <w:szCs w:val="18"/>
              </w:rPr>
            </w:pPr>
            <w:r w:rsidRPr="00FF119C">
              <w:rPr>
                <w:sz w:val="18"/>
                <w:szCs w:val="18"/>
              </w:rPr>
              <w:t>-28.6</w:t>
            </w:r>
          </w:p>
        </w:tc>
      </w:tr>
      <w:tr w:rsidR="005C2F48" w:rsidRPr="00FF119C" w14:paraId="7AAA2395" w14:textId="77777777" w:rsidTr="005C2F48">
        <w:tblPrEx>
          <w:tblCellMar>
            <w:top w:w="57" w:type="dxa"/>
            <w:left w:w="57" w:type="dxa"/>
            <w:bottom w:w="57" w:type="dxa"/>
            <w:right w:w="57" w:type="dxa"/>
          </w:tblCellMar>
        </w:tblPrEx>
        <w:tc>
          <w:tcPr>
            <w:tcW w:w="1532" w:type="dxa"/>
            <w:hideMark/>
          </w:tcPr>
          <w:p w14:paraId="11410DCE" w14:textId="77777777" w:rsidR="005C2F48" w:rsidRPr="00FF119C" w:rsidRDefault="005C2F48" w:rsidP="00DE7B71">
            <w:pPr>
              <w:pStyle w:val="NormalWeb"/>
              <w:rPr>
                <w:sz w:val="18"/>
                <w:szCs w:val="18"/>
              </w:rPr>
            </w:pPr>
            <w:r w:rsidRPr="00FF119C">
              <w:rPr>
                <w:sz w:val="18"/>
                <w:szCs w:val="18"/>
              </w:rPr>
              <w:t>Sep</w:t>
            </w:r>
          </w:p>
        </w:tc>
        <w:tc>
          <w:tcPr>
            <w:tcW w:w="1162" w:type="dxa"/>
            <w:hideMark/>
          </w:tcPr>
          <w:p w14:paraId="07BB4180" w14:textId="77777777" w:rsidR="005C2F48" w:rsidRPr="00FF119C" w:rsidRDefault="005C2F48" w:rsidP="00DE7B71">
            <w:pPr>
              <w:pStyle w:val="NormalWeb"/>
              <w:jc w:val="center"/>
              <w:rPr>
                <w:sz w:val="18"/>
                <w:szCs w:val="18"/>
              </w:rPr>
            </w:pPr>
            <w:r w:rsidRPr="00FF119C">
              <w:rPr>
                <w:sz w:val="18"/>
                <w:szCs w:val="18"/>
              </w:rPr>
              <w:t>3.7</w:t>
            </w:r>
          </w:p>
        </w:tc>
        <w:tc>
          <w:tcPr>
            <w:tcW w:w="708" w:type="dxa"/>
            <w:hideMark/>
          </w:tcPr>
          <w:p w14:paraId="35CC7EAD" w14:textId="77777777" w:rsidR="005C2F48" w:rsidRPr="00FF119C" w:rsidRDefault="005C2F48" w:rsidP="00DE7B71">
            <w:pPr>
              <w:pStyle w:val="NormalWeb"/>
              <w:jc w:val="center"/>
              <w:rPr>
                <w:sz w:val="18"/>
                <w:szCs w:val="18"/>
              </w:rPr>
            </w:pPr>
            <w:r w:rsidRPr="00FF119C">
              <w:rPr>
                <w:sz w:val="18"/>
                <w:szCs w:val="18"/>
              </w:rPr>
              <w:t>2.9</w:t>
            </w:r>
          </w:p>
        </w:tc>
        <w:tc>
          <w:tcPr>
            <w:tcW w:w="1560" w:type="dxa"/>
            <w:hideMark/>
          </w:tcPr>
          <w:p w14:paraId="01248F03" w14:textId="77777777" w:rsidR="005C2F48" w:rsidRPr="00FF119C" w:rsidRDefault="005C2F48" w:rsidP="00DE7B71">
            <w:pPr>
              <w:pStyle w:val="NormalWeb"/>
              <w:jc w:val="center"/>
              <w:rPr>
                <w:sz w:val="18"/>
                <w:szCs w:val="18"/>
              </w:rPr>
            </w:pPr>
            <w:r w:rsidRPr="00FF119C">
              <w:rPr>
                <w:sz w:val="18"/>
                <w:szCs w:val="18"/>
              </w:rPr>
              <w:t>-0.8</w:t>
            </w:r>
          </w:p>
        </w:tc>
        <w:tc>
          <w:tcPr>
            <w:tcW w:w="992" w:type="dxa"/>
            <w:hideMark/>
          </w:tcPr>
          <w:p w14:paraId="728F2999" w14:textId="77777777" w:rsidR="005C2F48" w:rsidRPr="00FF119C" w:rsidRDefault="005C2F48" w:rsidP="00DE7B71">
            <w:pPr>
              <w:pStyle w:val="NormalWeb"/>
              <w:jc w:val="center"/>
              <w:rPr>
                <w:sz w:val="18"/>
                <w:szCs w:val="18"/>
              </w:rPr>
            </w:pPr>
            <w:r w:rsidRPr="00FF119C">
              <w:rPr>
                <w:sz w:val="18"/>
                <w:szCs w:val="18"/>
              </w:rPr>
              <w:t>-21.6</w:t>
            </w:r>
          </w:p>
        </w:tc>
        <w:tc>
          <w:tcPr>
            <w:tcW w:w="1134" w:type="dxa"/>
            <w:hideMark/>
          </w:tcPr>
          <w:p w14:paraId="793BC5AB" w14:textId="77777777" w:rsidR="005C2F48" w:rsidRPr="00FF119C" w:rsidRDefault="005C2F48" w:rsidP="00DE7B71">
            <w:pPr>
              <w:pStyle w:val="NormalWeb"/>
              <w:jc w:val="center"/>
              <w:rPr>
                <w:sz w:val="18"/>
                <w:szCs w:val="18"/>
              </w:rPr>
            </w:pPr>
            <w:r w:rsidRPr="00FF119C">
              <w:rPr>
                <w:sz w:val="18"/>
                <w:szCs w:val="18"/>
              </w:rPr>
              <w:t>3.6</w:t>
            </w:r>
          </w:p>
        </w:tc>
        <w:tc>
          <w:tcPr>
            <w:tcW w:w="605" w:type="dxa"/>
            <w:hideMark/>
          </w:tcPr>
          <w:p w14:paraId="051B3CDE" w14:textId="77777777" w:rsidR="005C2F48" w:rsidRPr="00FF119C" w:rsidRDefault="005C2F48" w:rsidP="00DE7B71">
            <w:pPr>
              <w:pStyle w:val="NormalWeb"/>
              <w:jc w:val="center"/>
              <w:rPr>
                <w:sz w:val="18"/>
                <w:szCs w:val="18"/>
              </w:rPr>
            </w:pPr>
            <w:r w:rsidRPr="00FF119C">
              <w:rPr>
                <w:sz w:val="18"/>
                <w:szCs w:val="18"/>
              </w:rPr>
              <w:t>2.1</w:t>
            </w:r>
          </w:p>
        </w:tc>
        <w:tc>
          <w:tcPr>
            <w:tcW w:w="1559" w:type="dxa"/>
            <w:hideMark/>
          </w:tcPr>
          <w:p w14:paraId="00FABAFD" w14:textId="77777777" w:rsidR="005C2F48" w:rsidRPr="00FF119C" w:rsidRDefault="005C2F48" w:rsidP="00DE7B71">
            <w:pPr>
              <w:pStyle w:val="NormalWeb"/>
              <w:jc w:val="center"/>
              <w:rPr>
                <w:sz w:val="18"/>
                <w:szCs w:val="18"/>
              </w:rPr>
            </w:pPr>
            <w:r w:rsidRPr="00FF119C">
              <w:rPr>
                <w:sz w:val="18"/>
                <w:szCs w:val="18"/>
              </w:rPr>
              <w:t>-1.5</w:t>
            </w:r>
          </w:p>
        </w:tc>
        <w:tc>
          <w:tcPr>
            <w:tcW w:w="992" w:type="dxa"/>
            <w:hideMark/>
          </w:tcPr>
          <w:p w14:paraId="2DE42113" w14:textId="77777777" w:rsidR="005C2F48" w:rsidRPr="00FF119C" w:rsidRDefault="005C2F48" w:rsidP="00DE7B71">
            <w:pPr>
              <w:pStyle w:val="NormalWeb"/>
              <w:jc w:val="center"/>
              <w:rPr>
                <w:sz w:val="18"/>
                <w:szCs w:val="18"/>
              </w:rPr>
            </w:pPr>
            <w:r w:rsidRPr="00FF119C">
              <w:rPr>
                <w:sz w:val="18"/>
                <w:szCs w:val="18"/>
              </w:rPr>
              <w:t>-41.7</w:t>
            </w:r>
          </w:p>
        </w:tc>
        <w:tc>
          <w:tcPr>
            <w:tcW w:w="1134" w:type="dxa"/>
            <w:hideMark/>
          </w:tcPr>
          <w:p w14:paraId="23D5B357" w14:textId="77777777" w:rsidR="005C2F48" w:rsidRPr="00FF119C" w:rsidRDefault="005C2F48" w:rsidP="00DE7B71">
            <w:pPr>
              <w:pStyle w:val="NormalWeb"/>
              <w:jc w:val="center"/>
              <w:rPr>
                <w:sz w:val="18"/>
                <w:szCs w:val="18"/>
              </w:rPr>
            </w:pPr>
            <w:r w:rsidRPr="00FF119C">
              <w:rPr>
                <w:sz w:val="18"/>
                <w:szCs w:val="18"/>
              </w:rPr>
              <w:t>3.1</w:t>
            </w:r>
          </w:p>
        </w:tc>
        <w:tc>
          <w:tcPr>
            <w:tcW w:w="709" w:type="dxa"/>
            <w:hideMark/>
          </w:tcPr>
          <w:p w14:paraId="584DE2FD" w14:textId="77777777" w:rsidR="005C2F48" w:rsidRPr="00FF119C" w:rsidRDefault="005C2F48" w:rsidP="00DE7B71">
            <w:pPr>
              <w:pStyle w:val="NormalWeb"/>
              <w:jc w:val="center"/>
              <w:rPr>
                <w:sz w:val="18"/>
                <w:szCs w:val="18"/>
              </w:rPr>
            </w:pPr>
            <w:r w:rsidRPr="00FF119C">
              <w:rPr>
                <w:sz w:val="18"/>
                <w:szCs w:val="18"/>
              </w:rPr>
              <w:t>1.1</w:t>
            </w:r>
          </w:p>
        </w:tc>
        <w:tc>
          <w:tcPr>
            <w:tcW w:w="1701" w:type="dxa"/>
            <w:hideMark/>
          </w:tcPr>
          <w:p w14:paraId="3F09E5F4" w14:textId="77777777" w:rsidR="005C2F48" w:rsidRPr="00FF119C" w:rsidRDefault="005C2F48" w:rsidP="00DE7B71">
            <w:pPr>
              <w:pStyle w:val="NormalWeb"/>
              <w:jc w:val="center"/>
              <w:rPr>
                <w:sz w:val="18"/>
                <w:szCs w:val="18"/>
              </w:rPr>
            </w:pPr>
            <w:r w:rsidRPr="00FF119C">
              <w:rPr>
                <w:sz w:val="18"/>
                <w:szCs w:val="18"/>
              </w:rPr>
              <w:t>-2.0</w:t>
            </w:r>
          </w:p>
        </w:tc>
        <w:tc>
          <w:tcPr>
            <w:tcW w:w="1190" w:type="dxa"/>
            <w:hideMark/>
          </w:tcPr>
          <w:p w14:paraId="79C7A24B" w14:textId="77777777" w:rsidR="005C2F48" w:rsidRPr="00FF119C" w:rsidRDefault="005C2F48" w:rsidP="00DE7B71">
            <w:pPr>
              <w:pStyle w:val="NormalWeb"/>
              <w:jc w:val="center"/>
              <w:rPr>
                <w:sz w:val="18"/>
                <w:szCs w:val="18"/>
              </w:rPr>
            </w:pPr>
            <w:r w:rsidRPr="00FF119C">
              <w:rPr>
                <w:sz w:val="18"/>
                <w:szCs w:val="18"/>
              </w:rPr>
              <w:t>-64.5</w:t>
            </w:r>
          </w:p>
        </w:tc>
      </w:tr>
      <w:tr w:rsidR="005C2F48" w:rsidRPr="00FF119C" w14:paraId="70852C43" w14:textId="77777777" w:rsidTr="005C2F4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32" w:type="dxa"/>
            <w:hideMark/>
          </w:tcPr>
          <w:p w14:paraId="6C241392" w14:textId="77777777" w:rsidR="005C2F48" w:rsidRPr="00FF119C" w:rsidRDefault="005C2F48" w:rsidP="00DE7B71">
            <w:pPr>
              <w:pStyle w:val="NormalWeb"/>
              <w:rPr>
                <w:sz w:val="18"/>
                <w:szCs w:val="18"/>
              </w:rPr>
            </w:pPr>
            <w:r w:rsidRPr="00FF119C">
              <w:rPr>
                <w:sz w:val="18"/>
                <w:szCs w:val="18"/>
              </w:rPr>
              <w:t>Oct</w:t>
            </w:r>
          </w:p>
        </w:tc>
        <w:tc>
          <w:tcPr>
            <w:tcW w:w="1162" w:type="dxa"/>
            <w:hideMark/>
          </w:tcPr>
          <w:p w14:paraId="3F0FBF66" w14:textId="77777777" w:rsidR="005C2F48" w:rsidRPr="00FF119C" w:rsidRDefault="005C2F48" w:rsidP="00DE7B71">
            <w:pPr>
              <w:pStyle w:val="NormalWeb"/>
              <w:jc w:val="center"/>
              <w:rPr>
                <w:sz w:val="18"/>
                <w:szCs w:val="18"/>
              </w:rPr>
            </w:pPr>
            <w:r w:rsidRPr="00FF119C">
              <w:rPr>
                <w:sz w:val="18"/>
                <w:szCs w:val="18"/>
              </w:rPr>
              <w:t>5.7</w:t>
            </w:r>
          </w:p>
        </w:tc>
        <w:tc>
          <w:tcPr>
            <w:tcW w:w="708" w:type="dxa"/>
            <w:hideMark/>
          </w:tcPr>
          <w:p w14:paraId="5A2E9388" w14:textId="77777777" w:rsidR="005C2F48" w:rsidRPr="00FF119C" w:rsidRDefault="005C2F48" w:rsidP="00DE7B71">
            <w:pPr>
              <w:pStyle w:val="NormalWeb"/>
              <w:jc w:val="center"/>
              <w:rPr>
                <w:sz w:val="18"/>
                <w:szCs w:val="18"/>
              </w:rPr>
            </w:pPr>
            <w:r w:rsidRPr="00FF119C">
              <w:rPr>
                <w:sz w:val="18"/>
                <w:szCs w:val="18"/>
              </w:rPr>
              <w:t>3.4</w:t>
            </w:r>
          </w:p>
        </w:tc>
        <w:tc>
          <w:tcPr>
            <w:tcW w:w="1560" w:type="dxa"/>
            <w:hideMark/>
          </w:tcPr>
          <w:p w14:paraId="47DE9C53" w14:textId="77777777" w:rsidR="005C2F48" w:rsidRPr="00FF119C" w:rsidRDefault="005C2F48" w:rsidP="00DE7B71">
            <w:pPr>
              <w:pStyle w:val="NormalWeb"/>
              <w:jc w:val="center"/>
              <w:rPr>
                <w:sz w:val="18"/>
                <w:szCs w:val="18"/>
              </w:rPr>
            </w:pPr>
            <w:r w:rsidRPr="00FF119C">
              <w:rPr>
                <w:sz w:val="18"/>
                <w:szCs w:val="18"/>
              </w:rPr>
              <w:t>-2.3</w:t>
            </w:r>
          </w:p>
        </w:tc>
        <w:tc>
          <w:tcPr>
            <w:tcW w:w="992" w:type="dxa"/>
            <w:hideMark/>
          </w:tcPr>
          <w:p w14:paraId="422006C7" w14:textId="77777777" w:rsidR="005C2F48" w:rsidRPr="00FF119C" w:rsidRDefault="005C2F48" w:rsidP="00DE7B71">
            <w:pPr>
              <w:pStyle w:val="NormalWeb"/>
              <w:jc w:val="center"/>
              <w:rPr>
                <w:sz w:val="18"/>
                <w:szCs w:val="18"/>
              </w:rPr>
            </w:pPr>
            <w:r w:rsidRPr="00FF119C">
              <w:rPr>
                <w:sz w:val="18"/>
                <w:szCs w:val="18"/>
              </w:rPr>
              <w:t>-40.4</w:t>
            </w:r>
          </w:p>
        </w:tc>
        <w:tc>
          <w:tcPr>
            <w:tcW w:w="1134" w:type="dxa"/>
            <w:hideMark/>
          </w:tcPr>
          <w:p w14:paraId="61B0C5F9" w14:textId="77777777" w:rsidR="005C2F48" w:rsidRPr="00FF119C" w:rsidRDefault="005C2F48" w:rsidP="00DE7B71">
            <w:pPr>
              <w:pStyle w:val="NormalWeb"/>
              <w:jc w:val="center"/>
              <w:rPr>
                <w:sz w:val="18"/>
                <w:szCs w:val="18"/>
              </w:rPr>
            </w:pPr>
            <w:r w:rsidRPr="00FF119C">
              <w:rPr>
                <w:sz w:val="18"/>
                <w:szCs w:val="18"/>
              </w:rPr>
              <w:t>5.3</w:t>
            </w:r>
          </w:p>
        </w:tc>
        <w:tc>
          <w:tcPr>
            <w:tcW w:w="605" w:type="dxa"/>
            <w:hideMark/>
          </w:tcPr>
          <w:p w14:paraId="55A7DED0" w14:textId="77777777" w:rsidR="005C2F48" w:rsidRPr="00FF119C" w:rsidRDefault="005C2F48" w:rsidP="00DE7B71">
            <w:pPr>
              <w:pStyle w:val="NormalWeb"/>
              <w:jc w:val="center"/>
              <w:rPr>
                <w:sz w:val="18"/>
                <w:szCs w:val="18"/>
              </w:rPr>
            </w:pPr>
            <w:r w:rsidRPr="00FF119C">
              <w:rPr>
                <w:sz w:val="18"/>
                <w:szCs w:val="18"/>
              </w:rPr>
              <w:t>3.6</w:t>
            </w:r>
          </w:p>
        </w:tc>
        <w:tc>
          <w:tcPr>
            <w:tcW w:w="1559" w:type="dxa"/>
            <w:hideMark/>
          </w:tcPr>
          <w:p w14:paraId="241BA6FC" w14:textId="77777777" w:rsidR="005C2F48" w:rsidRPr="00FF119C" w:rsidRDefault="005C2F48" w:rsidP="00DE7B71">
            <w:pPr>
              <w:pStyle w:val="NormalWeb"/>
              <w:jc w:val="center"/>
              <w:rPr>
                <w:sz w:val="18"/>
                <w:szCs w:val="18"/>
              </w:rPr>
            </w:pPr>
            <w:r w:rsidRPr="00FF119C">
              <w:rPr>
                <w:sz w:val="18"/>
                <w:szCs w:val="18"/>
              </w:rPr>
              <w:t>-1.7</w:t>
            </w:r>
          </w:p>
        </w:tc>
        <w:tc>
          <w:tcPr>
            <w:tcW w:w="992" w:type="dxa"/>
            <w:hideMark/>
          </w:tcPr>
          <w:p w14:paraId="53E1C7B8" w14:textId="77777777" w:rsidR="005C2F48" w:rsidRPr="00FF119C" w:rsidRDefault="005C2F48" w:rsidP="00DE7B71">
            <w:pPr>
              <w:pStyle w:val="NormalWeb"/>
              <w:jc w:val="center"/>
              <w:rPr>
                <w:sz w:val="18"/>
                <w:szCs w:val="18"/>
              </w:rPr>
            </w:pPr>
            <w:r w:rsidRPr="00FF119C">
              <w:rPr>
                <w:sz w:val="18"/>
                <w:szCs w:val="18"/>
              </w:rPr>
              <w:t>-32.1</w:t>
            </w:r>
          </w:p>
        </w:tc>
        <w:tc>
          <w:tcPr>
            <w:tcW w:w="1134" w:type="dxa"/>
            <w:hideMark/>
          </w:tcPr>
          <w:p w14:paraId="17B7C433" w14:textId="77777777" w:rsidR="005C2F48" w:rsidRPr="00FF119C" w:rsidRDefault="005C2F48" w:rsidP="00DE7B71">
            <w:pPr>
              <w:pStyle w:val="NormalWeb"/>
              <w:jc w:val="center"/>
              <w:rPr>
                <w:sz w:val="18"/>
                <w:szCs w:val="18"/>
              </w:rPr>
            </w:pPr>
            <w:r w:rsidRPr="00FF119C">
              <w:rPr>
                <w:sz w:val="18"/>
                <w:szCs w:val="18"/>
              </w:rPr>
              <w:t>3.4</w:t>
            </w:r>
          </w:p>
        </w:tc>
        <w:tc>
          <w:tcPr>
            <w:tcW w:w="709" w:type="dxa"/>
            <w:hideMark/>
          </w:tcPr>
          <w:p w14:paraId="7FEE90A5" w14:textId="77777777" w:rsidR="005C2F48" w:rsidRPr="00FF119C" w:rsidRDefault="005C2F48" w:rsidP="00DE7B71">
            <w:pPr>
              <w:pStyle w:val="NormalWeb"/>
              <w:jc w:val="center"/>
              <w:rPr>
                <w:sz w:val="18"/>
                <w:szCs w:val="18"/>
              </w:rPr>
            </w:pPr>
            <w:r w:rsidRPr="00FF119C">
              <w:rPr>
                <w:sz w:val="18"/>
                <w:szCs w:val="18"/>
              </w:rPr>
              <w:t>1.3</w:t>
            </w:r>
          </w:p>
        </w:tc>
        <w:tc>
          <w:tcPr>
            <w:tcW w:w="1701" w:type="dxa"/>
            <w:hideMark/>
          </w:tcPr>
          <w:p w14:paraId="7E300C03" w14:textId="77777777" w:rsidR="005C2F48" w:rsidRPr="00FF119C" w:rsidRDefault="005C2F48" w:rsidP="00DE7B71">
            <w:pPr>
              <w:pStyle w:val="NormalWeb"/>
              <w:jc w:val="center"/>
              <w:rPr>
                <w:sz w:val="18"/>
                <w:szCs w:val="18"/>
              </w:rPr>
            </w:pPr>
            <w:r w:rsidRPr="00FF119C">
              <w:rPr>
                <w:sz w:val="18"/>
                <w:szCs w:val="18"/>
              </w:rPr>
              <w:t>-2.1</w:t>
            </w:r>
          </w:p>
        </w:tc>
        <w:tc>
          <w:tcPr>
            <w:tcW w:w="1190" w:type="dxa"/>
            <w:hideMark/>
          </w:tcPr>
          <w:p w14:paraId="1449DBE2" w14:textId="77777777" w:rsidR="005C2F48" w:rsidRPr="00FF119C" w:rsidRDefault="005C2F48" w:rsidP="00DE7B71">
            <w:pPr>
              <w:pStyle w:val="NormalWeb"/>
              <w:jc w:val="center"/>
              <w:rPr>
                <w:sz w:val="18"/>
                <w:szCs w:val="18"/>
              </w:rPr>
            </w:pPr>
            <w:r w:rsidRPr="00FF119C">
              <w:rPr>
                <w:sz w:val="18"/>
                <w:szCs w:val="18"/>
              </w:rPr>
              <w:t>-61.8</w:t>
            </w:r>
          </w:p>
        </w:tc>
      </w:tr>
      <w:tr w:rsidR="005C2F48" w:rsidRPr="00FF119C" w14:paraId="331E462D" w14:textId="77777777" w:rsidTr="005C2F48">
        <w:tblPrEx>
          <w:tblCellMar>
            <w:top w:w="57" w:type="dxa"/>
            <w:left w:w="57" w:type="dxa"/>
            <w:bottom w:w="57" w:type="dxa"/>
            <w:right w:w="57" w:type="dxa"/>
          </w:tblCellMar>
        </w:tblPrEx>
        <w:tc>
          <w:tcPr>
            <w:tcW w:w="1532" w:type="dxa"/>
            <w:hideMark/>
          </w:tcPr>
          <w:p w14:paraId="40000B43" w14:textId="77777777" w:rsidR="005C2F48" w:rsidRPr="00FF119C" w:rsidRDefault="005C2F48" w:rsidP="00DE7B71">
            <w:pPr>
              <w:pStyle w:val="NormalWeb"/>
              <w:rPr>
                <w:sz w:val="18"/>
                <w:szCs w:val="18"/>
              </w:rPr>
            </w:pPr>
            <w:r w:rsidRPr="00FF119C">
              <w:rPr>
                <w:sz w:val="18"/>
                <w:szCs w:val="18"/>
              </w:rPr>
              <w:t>Nov</w:t>
            </w:r>
          </w:p>
        </w:tc>
        <w:tc>
          <w:tcPr>
            <w:tcW w:w="1162" w:type="dxa"/>
            <w:hideMark/>
          </w:tcPr>
          <w:p w14:paraId="5CBCEC2B" w14:textId="77777777" w:rsidR="005C2F48" w:rsidRPr="00FF119C" w:rsidRDefault="005C2F48" w:rsidP="00DE7B71">
            <w:pPr>
              <w:pStyle w:val="NormalWeb"/>
              <w:jc w:val="center"/>
              <w:rPr>
                <w:sz w:val="18"/>
                <w:szCs w:val="18"/>
              </w:rPr>
            </w:pPr>
            <w:r w:rsidRPr="00FF119C">
              <w:rPr>
                <w:sz w:val="18"/>
                <w:szCs w:val="18"/>
              </w:rPr>
              <w:t>6.2</w:t>
            </w:r>
          </w:p>
        </w:tc>
        <w:tc>
          <w:tcPr>
            <w:tcW w:w="708" w:type="dxa"/>
            <w:hideMark/>
          </w:tcPr>
          <w:p w14:paraId="56BD1DDD" w14:textId="77777777" w:rsidR="005C2F48" w:rsidRPr="00FF119C" w:rsidRDefault="005C2F48" w:rsidP="00DE7B71">
            <w:pPr>
              <w:pStyle w:val="NormalWeb"/>
              <w:jc w:val="center"/>
              <w:rPr>
                <w:sz w:val="18"/>
                <w:szCs w:val="18"/>
              </w:rPr>
            </w:pPr>
            <w:r w:rsidRPr="00FF119C">
              <w:rPr>
                <w:sz w:val="18"/>
                <w:szCs w:val="18"/>
              </w:rPr>
              <w:t>4.6</w:t>
            </w:r>
          </w:p>
        </w:tc>
        <w:tc>
          <w:tcPr>
            <w:tcW w:w="1560" w:type="dxa"/>
            <w:hideMark/>
          </w:tcPr>
          <w:p w14:paraId="302F84DF" w14:textId="77777777" w:rsidR="005C2F48" w:rsidRPr="00FF119C" w:rsidRDefault="005C2F48" w:rsidP="00DE7B71">
            <w:pPr>
              <w:pStyle w:val="NormalWeb"/>
              <w:jc w:val="center"/>
              <w:rPr>
                <w:sz w:val="18"/>
                <w:szCs w:val="18"/>
              </w:rPr>
            </w:pPr>
            <w:r w:rsidRPr="00FF119C">
              <w:rPr>
                <w:sz w:val="18"/>
                <w:szCs w:val="18"/>
              </w:rPr>
              <w:t>-1.6</w:t>
            </w:r>
          </w:p>
        </w:tc>
        <w:tc>
          <w:tcPr>
            <w:tcW w:w="992" w:type="dxa"/>
            <w:hideMark/>
          </w:tcPr>
          <w:p w14:paraId="2A0933D5" w14:textId="77777777" w:rsidR="005C2F48" w:rsidRPr="00FF119C" w:rsidRDefault="005C2F48" w:rsidP="00DE7B71">
            <w:pPr>
              <w:pStyle w:val="NormalWeb"/>
              <w:jc w:val="center"/>
              <w:rPr>
                <w:sz w:val="18"/>
                <w:szCs w:val="18"/>
              </w:rPr>
            </w:pPr>
            <w:r w:rsidRPr="00FF119C">
              <w:rPr>
                <w:sz w:val="18"/>
                <w:szCs w:val="18"/>
              </w:rPr>
              <w:t>-25.8</w:t>
            </w:r>
          </w:p>
        </w:tc>
        <w:tc>
          <w:tcPr>
            <w:tcW w:w="1134" w:type="dxa"/>
            <w:hideMark/>
          </w:tcPr>
          <w:p w14:paraId="3E163D88" w14:textId="77777777" w:rsidR="005C2F48" w:rsidRPr="00FF119C" w:rsidRDefault="005C2F48" w:rsidP="00DE7B71">
            <w:pPr>
              <w:pStyle w:val="NormalWeb"/>
              <w:jc w:val="center"/>
              <w:rPr>
                <w:sz w:val="18"/>
                <w:szCs w:val="18"/>
              </w:rPr>
            </w:pPr>
            <w:r w:rsidRPr="00FF119C">
              <w:rPr>
                <w:sz w:val="18"/>
                <w:szCs w:val="18"/>
              </w:rPr>
              <w:t>5.6</w:t>
            </w:r>
          </w:p>
        </w:tc>
        <w:tc>
          <w:tcPr>
            <w:tcW w:w="605" w:type="dxa"/>
            <w:hideMark/>
          </w:tcPr>
          <w:p w14:paraId="76436B5C" w14:textId="77777777" w:rsidR="005C2F48" w:rsidRPr="00FF119C" w:rsidRDefault="005C2F48" w:rsidP="00DE7B71">
            <w:pPr>
              <w:pStyle w:val="NormalWeb"/>
              <w:jc w:val="center"/>
              <w:rPr>
                <w:sz w:val="18"/>
                <w:szCs w:val="18"/>
              </w:rPr>
            </w:pPr>
            <w:r w:rsidRPr="00FF119C">
              <w:rPr>
                <w:sz w:val="18"/>
                <w:szCs w:val="18"/>
              </w:rPr>
              <w:t>2.2</w:t>
            </w:r>
          </w:p>
        </w:tc>
        <w:tc>
          <w:tcPr>
            <w:tcW w:w="1559" w:type="dxa"/>
            <w:hideMark/>
          </w:tcPr>
          <w:p w14:paraId="137AAA47" w14:textId="77777777" w:rsidR="005C2F48" w:rsidRPr="00FF119C" w:rsidRDefault="005C2F48" w:rsidP="00DE7B71">
            <w:pPr>
              <w:pStyle w:val="NormalWeb"/>
              <w:jc w:val="center"/>
              <w:rPr>
                <w:sz w:val="18"/>
                <w:szCs w:val="18"/>
              </w:rPr>
            </w:pPr>
            <w:r w:rsidRPr="00FF119C">
              <w:rPr>
                <w:sz w:val="18"/>
                <w:szCs w:val="18"/>
              </w:rPr>
              <w:t>-3.4</w:t>
            </w:r>
          </w:p>
        </w:tc>
        <w:tc>
          <w:tcPr>
            <w:tcW w:w="992" w:type="dxa"/>
            <w:hideMark/>
          </w:tcPr>
          <w:p w14:paraId="63E31106" w14:textId="77777777" w:rsidR="005C2F48" w:rsidRPr="00FF119C" w:rsidRDefault="005C2F48" w:rsidP="00DE7B71">
            <w:pPr>
              <w:pStyle w:val="NormalWeb"/>
              <w:jc w:val="center"/>
              <w:rPr>
                <w:sz w:val="18"/>
                <w:szCs w:val="18"/>
              </w:rPr>
            </w:pPr>
            <w:r w:rsidRPr="00FF119C">
              <w:rPr>
                <w:sz w:val="18"/>
                <w:szCs w:val="18"/>
              </w:rPr>
              <w:t>-60.7</w:t>
            </w:r>
          </w:p>
        </w:tc>
        <w:tc>
          <w:tcPr>
            <w:tcW w:w="1134" w:type="dxa"/>
            <w:hideMark/>
          </w:tcPr>
          <w:p w14:paraId="19110BF7" w14:textId="77777777" w:rsidR="005C2F48" w:rsidRPr="00FF119C" w:rsidRDefault="005C2F48" w:rsidP="00DE7B71">
            <w:pPr>
              <w:pStyle w:val="NormalWeb"/>
              <w:jc w:val="center"/>
              <w:rPr>
                <w:sz w:val="18"/>
                <w:szCs w:val="18"/>
              </w:rPr>
            </w:pPr>
            <w:r w:rsidRPr="00FF119C">
              <w:rPr>
                <w:sz w:val="18"/>
                <w:szCs w:val="18"/>
              </w:rPr>
              <w:t>3.6</w:t>
            </w:r>
          </w:p>
        </w:tc>
        <w:tc>
          <w:tcPr>
            <w:tcW w:w="709" w:type="dxa"/>
            <w:hideMark/>
          </w:tcPr>
          <w:p w14:paraId="3E04D514" w14:textId="77777777" w:rsidR="005C2F48" w:rsidRPr="00FF119C" w:rsidRDefault="005C2F48" w:rsidP="00DE7B71">
            <w:pPr>
              <w:pStyle w:val="NormalWeb"/>
              <w:jc w:val="center"/>
              <w:rPr>
                <w:sz w:val="18"/>
                <w:szCs w:val="18"/>
              </w:rPr>
            </w:pPr>
            <w:r w:rsidRPr="00FF119C">
              <w:rPr>
                <w:sz w:val="18"/>
                <w:szCs w:val="18"/>
              </w:rPr>
              <w:t>3.2</w:t>
            </w:r>
          </w:p>
        </w:tc>
        <w:tc>
          <w:tcPr>
            <w:tcW w:w="1701" w:type="dxa"/>
            <w:hideMark/>
          </w:tcPr>
          <w:p w14:paraId="5A6F2BA4" w14:textId="77777777" w:rsidR="005C2F48" w:rsidRPr="00FF119C" w:rsidRDefault="005C2F48" w:rsidP="00DE7B71">
            <w:pPr>
              <w:pStyle w:val="NormalWeb"/>
              <w:jc w:val="center"/>
              <w:rPr>
                <w:sz w:val="18"/>
                <w:szCs w:val="18"/>
              </w:rPr>
            </w:pPr>
            <w:r w:rsidRPr="00FF119C">
              <w:rPr>
                <w:sz w:val="18"/>
                <w:szCs w:val="18"/>
              </w:rPr>
              <w:t>-0.4</w:t>
            </w:r>
          </w:p>
        </w:tc>
        <w:tc>
          <w:tcPr>
            <w:tcW w:w="1190" w:type="dxa"/>
            <w:hideMark/>
          </w:tcPr>
          <w:p w14:paraId="75EA2870" w14:textId="77777777" w:rsidR="005C2F48" w:rsidRPr="00FF119C" w:rsidRDefault="005C2F48" w:rsidP="00DE7B71">
            <w:pPr>
              <w:pStyle w:val="NormalWeb"/>
              <w:jc w:val="center"/>
              <w:rPr>
                <w:sz w:val="18"/>
                <w:szCs w:val="18"/>
              </w:rPr>
            </w:pPr>
            <w:r w:rsidRPr="00FF119C">
              <w:rPr>
                <w:sz w:val="18"/>
                <w:szCs w:val="18"/>
              </w:rPr>
              <w:t>-11.1</w:t>
            </w:r>
          </w:p>
        </w:tc>
      </w:tr>
      <w:tr w:rsidR="005C2F48" w:rsidRPr="00FF119C" w14:paraId="5212336F" w14:textId="77777777" w:rsidTr="005C2F4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32" w:type="dxa"/>
            <w:hideMark/>
          </w:tcPr>
          <w:p w14:paraId="2B76FEFF" w14:textId="77777777" w:rsidR="005C2F48" w:rsidRPr="00FF119C" w:rsidRDefault="005C2F48" w:rsidP="00DE7B71">
            <w:pPr>
              <w:pStyle w:val="NormalWeb"/>
              <w:rPr>
                <w:sz w:val="18"/>
                <w:szCs w:val="18"/>
              </w:rPr>
            </w:pPr>
            <w:r w:rsidRPr="00FF119C">
              <w:rPr>
                <w:sz w:val="18"/>
                <w:szCs w:val="18"/>
              </w:rPr>
              <w:t>Dec</w:t>
            </w:r>
          </w:p>
        </w:tc>
        <w:tc>
          <w:tcPr>
            <w:tcW w:w="1162" w:type="dxa"/>
            <w:hideMark/>
          </w:tcPr>
          <w:p w14:paraId="0F213D87" w14:textId="77777777" w:rsidR="005C2F48" w:rsidRPr="00FF119C" w:rsidRDefault="005C2F48" w:rsidP="00DE7B71">
            <w:pPr>
              <w:pStyle w:val="NormalWeb"/>
              <w:jc w:val="center"/>
              <w:rPr>
                <w:sz w:val="18"/>
                <w:szCs w:val="18"/>
              </w:rPr>
            </w:pPr>
            <w:r w:rsidRPr="00FF119C">
              <w:rPr>
                <w:sz w:val="18"/>
                <w:szCs w:val="18"/>
              </w:rPr>
              <w:t>8.1</w:t>
            </w:r>
          </w:p>
        </w:tc>
        <w:tc>
          <w:tcPr>
            <w:tcW w:w="708" w:type="dxa"/>
            <w:hideMark/>
          </w:tcPr>
          <w:p w14:paraId="09422310" w14:textId="77777777" w:rsidR="005C2F48" w:rsidRPr="00FF119C" w:rsidRDefault="005C2F48" w:rsidP="00DE7B71">
            <w:pPr>
              <w:pStyle w:val="NormalWeb"/>
              <w:jc w:val="center"/>
              <w:rPr>
                <w:sz w:val="18"/>
                <w:szCs w:val="18"/>
              </w:rPr>
            </w:pPr>
            <w:r w:rsidRPr="00FF119C">
              <w:rPr>
                <w:sz w:val="18"/>
                <w:szCs w:val="18"/>
              </w:rPr>
              <w:t>7.8</w:t>
            </w:r>
          </w:p>
        </w:tc>
        <w:tc>
          <w:tcPr>
            <w:tcW w:w="1560" w:type="dxa"/>
            <w:hideMark/>
          </w:tcPr>
          <w:p w14:paraId="4947C712" w14:textId="77777777" w:rsidR="005C2F48" w:rsidRPr="00FF119C" w:rsidRDefault="005C2F48" w:rsidP="00DE7B71">
            <w:pPr>
              <w:pStyle w:val="NormalWeb"/>
              <w:jc w:val="center"/>
              <w:rPr>
                <w:sz w:val="18"/>
                <w:szCs w:val="18"/>
              </w:rPr>
            </w:pPr>
            <w:r w:rsidRPr="00FF119C">
              <w:rPr>
                <w:sz w:val="18"/>
                <w:szCs w:val="18"/>
              </w:rPr>
              <w:t>-0.3</w:t>
            </w:r>
          </w:p>
        </w:tc>
        <w:tc>
          <w:tcPr>
            <w:tcW w:w="992" w:type="dxa"/>
            <w:hideMark/>
          </w:tcPr>
          <w:p w14:paraId="61ACE876" w14:textId="77777777" w:rsidR="005C2F48" w:rsidRPr="00FF119C" w:rsidRDefault="005C2F48" w:rsidP="00DE7B71">
            <w:pPr>
              <w:pStyle w:val="NormalWeb"/>
              <w:jc w:val="center"/>
              <w:rPr>
                <w:sz w:val="18"/>
                <w:szCs w:val="18"/>
              </w:rPr>
            </w:pPr>
            <w:r w:rsidRPr="00FF119C">
              <w:rPr>
                <w:sz w:val="18"/>
                <w:szCs w:val="18"/>
              </w:rPr>
              <w:t>-3.7</w:t>
            </w:r>
          </w:p>
        </w:tc>
        <w:tc>
          <w:tcPr>
            <w:tcW w:w="1134" w:type="dxa"/>
            <w:hideMark/>
          </w:tcPr>
          <w:p w14:paraId="415ED86D" w14:textId="77777777" w:rsidR="005C2F48" w:rsidRPr="00FF119C" w:rsidRDefault="005C2F48" w:rsidP="00DE7B71">
            <w:pPr>
              <w:pStyle w:val="NormalWeb"/>
              <w:jc w:val="center"/>
              <w:rPr>
                <w:sz w:val="18"/>
                <w:szCs w:val="18"/>
              </w:rPr>
            </w:pPr>
            <w:r w:rsidRPr="00FF119C">
              <w:rPr>
                <w:sz w:val="18"/>
                <w:szCs w:val="18"/>
              </w:rPr>
              <w:t>5.5</w:t>
            </w:r>
          </w:p>
        </w:tc>
        <w:tc>
          <w:tcPr>
            <w:tcW w:w="605" w:type="dxa"/>
            <w:hideMark/>
          </w:tcPr>
          <w:p w14:paraId="6EA1941A" w14:textId="77777777" w:rsidR="005C2F48" w:rsidRPr="00FF119C" w:rsidRDefault="005C2F48" w:rsidP="00DE7B71">
            <w:pPr>
              <w:pStyle w:val="NormalWeb"/>
              <w:jc w:val="center"/>
              <w:rPr>
                <w:sz w:val="18"/>
                <w:szCs w:val="18"/>
              </w:rPr>
            </w:pPr>
            <w:r w:rsidRPr="00FF119C">
              <w:rPr>
                <w:sz w:val="18"/>
                <w:szCs w:val="18"/>
              </w:rPr>
              <w:t>3.1</w:t>
            </w:r>
          </w:p>
        </w:tc>
        <w:tc>
          <w:tcPr>
            <w:tcW w:w="1559" w:type="dxa"/>
            <w:hideMark/>
          </w:tcPr>
          <w:p w14:paraId="47BBA6BA" w14:textId="77777777" w:rsidR="005C2F48" w:rsidRPr="00FF119C" w:rsidRDefault="005C2F48" w:rsidP="00DE7B71">
            <w:pPr>
              <w:pStyle w:val="NormalWeb"/>
              <w:jc w:val="center"/>
              <w:rPr>
                <w:sz w:val="18"/>
                <w:szCs w:val="18"/>
              </w:rPr>
            </w:pPr>
            <w:r w:rsidRPr="00FF119C">
              <w:rPr>
                <w:sz w:val="18"/>
                <w:szCs w:val="18"/>
              </w:rPr>
              <w:t>-2.4</w:t>
            </w:r>
          </w:p>
        </w:tc>
        <w:tc>
          <w:tcPr>
            <w:tcW w:w="992" w:type="dxa"/>
            <w:hideMark/>
          </w:tcPr>
          <w:p w14:paraId="04F7FC06" w14:textId="77777777" w:rsidR="005C2F48" w:rsidRPr="00FF119C" w:rsidRDefault="005C2F48" w:rsidP="00DE7B71">
            <w:pPr>
              <w:pStyle w:val="NormalWeb"/>
              <w:jc w:val="center"/>
              <w:rPr>
                <w:sz w:val="18"/>
                <w:szCs w:val="18"/>
              </w:rPr>
            </w:pPr>
            <w:r w:rsidRPr="00FF119C">
              <w:rPr>
                <w:sz w:val="18"/>
                <w:szCs w:val="18"/>
              </w:rPr>
              <w:t>-43.6</w:t>
            </w:r>
          </w:p>
        </w:tc>
        <w:tc>
          <w:tcPr>
            <w:tcW w:w="1134" w:type="dxa"/>
            <w:hideMark/>
          </w:tcPr>
          <w:p w14:paraId="388C2C7A" w14:textId="77777777" w:rsidR="005C2F48" w:rsidRPr="00FF119C" w:rsidRDefault="005C2F48" w:rsidP="00DE7B71">
            <w:pPr>
              <w:pStyle w:val="NormalWeb"/>
              <w:jc w:val="center"/>
              <w:rPr>
                <w:sz w:val="18"/>
                <w:szCs w:val="18"/>
              </w:rPr>
            </w:pPr>
            <w:r w:rsidRPr="00FF119C">
              <w:rPr>
                <w:sz w:val="18"/>
                <w:szCs w:val="18"/>
              </w:rPr>
              <w:t>4.6</w:t>
            </w:r>
          </w:p>
        </w:tc>
        <w:tc>
          <w:tcPr>
            <w:tcW w:w="709" w:type="dxa"/>
            <w:hideMark/>
          </w:tcPr>
          <w:p w14:paraId="749303EE" w14:textId="77777777" w:rsidR="005C2F48" w:rsidRPr="00FF119C" w:rsidRDefault="005C2F48" w:rsidP="00DE7B71">
            <w:pPr>
              <w:pStyle w:val="NormalWeb"/>
              <w:jc w:val="center"/>
              <w:rPr>
                <w:sz w:val="18"/>
                <w:szCs w:val="18"/>
              </w:rPr>
            </w:pPr>
            <w:r w:rsidRPr="00FF119C">
              <w:rPr>
                <w:sz w:val="18"/>
                <w:szCs w:val="18"/>
              </w:rPr>
              <w:t>5.2</w:t>
            </w:r>
          </w:p>
        </w:tc>
        <w:tc>
          <w:tcPr>
            <w:tcW w:w="1701" w:type="dxa"/>
            <w:hideMark/>
          </w:tcPr>
          <w:p w14:paraId="470AC9D5" w14:textId="77777777" w:rsidR="005C2F48" w:rsidRPr="00FF119C" w:rsidRDefault="005C2F48" w:rsidP="00DE7B71">
            <w:pPr>
              <w:pStyle w:val="NormalWeb"/>
              <w:jc w:val="center"/>
              <w:rPr>
                <w:sz w:val="18"/>
                <w:szCs w:val="18"/>
              </w:rPr>
            </w:pPr>
            <w:r w:rsidRPr="00FF119C">
              <w:rPr>
                <w:sz w:val="18"/>
                <w:szCs w:val="18"/>
              </w:rPr>
              <w:t>0.6</w:t>
            </w:r>
          </w:p>
        </w:tc>
        <w:tc>
          <w:tcPr>
            <w:tcW w:w="1190" w:type="dxa"/>
            <w:hideMark/>
          </w:tcPr>
          <w:p w14:paraId="03EDBA56" w14:textId="77777777" w:rsidR="005C2F48" w:rsidRPr="00FF119C" w:rsidRDefault="005C2F48" w:rsidP="00DE7B71">
            <w:pPr>
              <w:pStyle w:val="NormalWeb"/>
              <w:jc w:val="center"/>
              <w:rPr>
                <w:sz w:val="18"/>
                <w:szCs w:val="18"/>
              </w:rPr>
            </w:pPr>
            <w:r w:rsidRPr="00FF119C">
              <w:rPr>
                <w:sz w:val="18"/>
                <w:szCs w:val="18"/>
              </w:rPr>
              <w:t>13.0</w:t>
            </w:r>
          </w:p>
        </w:tc>
      </w:tr>
      <w:tr w:rsidR="005C2F48" w:rsidRPr="00FF119C" w14:paraId="6217C39C" w14:textId="77777777" w:rsidTr="005C2F48">
        <w:tblPrEx>
          <w:tblCellMar>
            <w:top w:w="57" w:type="dxa"/>
            <w:left w:w="57" w:type="dxa"/>
            <w:bottom w:w="57" w:type="dxa"/>
            <w:right w:w="57" w:type="dxa"/>
          </w:tblCellMar>
        </w:tblPrEx>
        <w:tc>
          <w:tcPr>
            <w:tcW w:w="1532" w:type="dxa"/>
            <w:hideMark/>
          </w:tcPr>
          <w:p w14:paraId="1F4BFA06" w14:textId="77777777" w:rsidR="005C2F48" w:rsidRPr="00FF119C" w:rsidRDefault="005C2F48" w:rsidP="00DE7B71">
            <w:pPr>
              <w:pStyle w:val="NormalWeb"/>
              <w:rPr>
                <w:sz w:val="18"/>
                <w:szCs w:val="18"/>
              </w:rPr>
            </w:pPr>
            <w:r w:rsidRPr="00FF119C">
              <w:rPr>
                <w:sz w:val="18"/>
                <w:szCs w:val="18"/>
                <w:lang w:val="en-US"/>
              </w:rPr>
              <w:t>Average (Jan–Dec)</w:t>
            </w:r>
          </w:p>
        </w:tc>
        <w:tc>
          <w:tcPr>
            <w:tcW w:w="1162" w:type="dxa"/>
            <w:hideMark/>
          </w:tcPr>
          <w:p w14:paraId="40C383B5" w14:textId="77777777" w:rsidR="005C2F48" w:rsidRPr="00FF119C" w:rsidRDefault="005C2F48" w:rsidP="00DE7B71">
            <w:pPr>
              <w:pStyle w:val="NormalWeb"/>
              <w:jc w:val="center"/>
              <w:rPr>
                <w:sz w:val="18"/>
                <w:szCs w:val="18"/>
              </w:rPr>
            </w:pPr>
            <w:r w:rsidRPr="00FF119C">
              <w:rPr>
                <w:sz w:val="18"/>
                <w:szCs w:val="18"/>
              </w:rPr>
              <w:t>7.3</w:t>
            </w:r>
          </w:p>
        </w:tc>
        <w:tc>
          <w:tcPr>
            <w:tcW w:w="708" w:type="dxa"/>
            <w:hideMark/>
          </w:tcPr>
          <w:p w14:paraId="27A09431" w14:textId="77777777" w:rsidR="005C2F48" w:rsidRPr="00FF119C" w:rsidRDefault="005C2F48" w:rsidP="00DE7B71">
            <w:pPr>
              <w:pStyle w:val="NormalWeb"/>
              <w:jc w:val="center"/>
              <w:rPr>
                <w:sz w:val="18"/>
                <w:szCs w:val="18"/>
              </w:rPr>
            </w:pPr>
            <w:r w:rsidRPr="00FF119C">
              <w:rPr>
                <w:sz w:val="18"/>
                <w:szCs w:val="18"/>
              </w:rPr>
              <w:t>6.8</w:t>
            </w:r>
          </w:p>
        </w:tc>
        <w:tc>
          <w:tcPr>
            <w:tcW w:w="1560" w:type="dxa"/>
            <w:hideMark/>
          </w:tcPr>
          <w:p w14:paraId="5661E2AF" w14:textId="77777777" w:rsidR="005C2F48" w:rsidRPr="00FF119C" w:rsidRDefault="005C2F48" w:rsidP="00DE7B71">
            <w:pPr>
              <w:pStyle w:val="NormalWeb"/>
              <w:jc w:val="center"/>
              <w:rPr>
                <w:sz w:val="18"/>
                <w:szCs w:val="18"/>
              </w:rPr>
            </w:pPr>
            <w:r w:rsidRPr="00FF119C">
              <w:rPr>
                <w:sz w:val="18"/>
                <w:szCs w:val="18"/>
              </w:rPr>
              <w:t>-0.5</w:t>
            </w:r>
          </w:p>
        </w:tc>
        <w:tc>
          <w:tcPr>
            <w:tcW w:w="992" w:type="dxa"/>
            <w:hideMark/>
          </w:tcPr>
          <w:p w14:paraId="044226F9" w14:textId="77777777" w:rsidR="005C2F48" w:rsidRPr="00FF119C" w:rsidRDefault="005C2F48" w:rsidP="00DE7B71">
            <w:pPr>
              <w:pStyle w:val="NormalWeb"/>
              <w:jc w:val="center"/>
              <w:rPr>
                <w:sz w:val="18"/>
                <w:szCs w:val="18"/>
              </w:rPr>
            </w:pPr>
            <w:r w:rsidRPr="00FF119C">
              <w:rPr>
                <w:sz w:val="18"/>
                <w:szCs w:val="18"/>
              </w:rPr>
              <w:t>-13.2</w:t>
            </w:r>
          </w:p>
        </w:tc>
        <w:tc>
          <w:tcPr>
            <w:tcW w:w="1134" w:type="dxa"/>
            <w:hideMark/>
          </w:tcPr>
          <w:p w14:paraId="78DDD84C" w14:textId="77777777" w:rsidR="005C2F48" w:rsidRPr="00FF119C" w:rsidRDefault="005C2F48" w:rsidP="00DE7B71">
            <w:pPr>
              <w:pStyle w:val="NormalWeb"/>
              <w:jc w:val="center"/>
              <w:rPr>
                <w:sz w:val="18"/>
                <w:szCs w:val="18"/>
              </w:rPr>
            </w:pPr>
            <w:r w:rsidRPr="00FF119C">
              <w:rPr>
                <w:sz w:val="18"/>
                <w:szCs w:val="18"/>
              </w:rPr>
              <w:t>6.1</w:t>
            </w:r>
          </w:p>
        </w:tc>
        <w:tc>
          <w:tcPr>
            <w:tcW w:w="605" w:type="dxa"/>
            <w:hideMark/>
          </w:tcPr>
          <w:p w14:paraId="71BFE480" w14:textId="77777777" w:rsidR="005C2F48" w:rsidRPr="00FF119C" w:rsidRDefault="005C2F48" w:rsidP="00DE7B71">
            <w:pPr>
              <w:pStyle w:val="NormalWeb"/>
              <w:jc w:val="center"/>
              <w:rPr>
                <w:sz w:val="18"/>
                <w:szCs w:val="18"/>
              </w:rPr>
            </w:pPr>
            <w:r w:rsidRPr="00FF119C">
              <w:rPr>
                <w:sz w:val="18"/>
                <w:szCs w:val="18"/>
              </w:rPr>
              <w:t>3.2</w:t>
            </w:r>
          </w:p>
        </w:tc>
        <w:tc>
          <w:tcPr>
            <w:tcW w:w="1559" w:type="dxa"/>
            <w:hideMark/>
          </w:tcPr>
          <w:p w14:paraId="69ADFD4E" w14:textId="77777777" w:rsidR="005C2F48" w:rsidRPr="00FF119C" w:rsidRDefault="005C2F48" w:rsidP="00DE7B71">
            <w:pPr>
              <w:pStyle w:val="NormalWeb"/>
              <w:jc w:val="center"/>
              <w:rPr>
                <w:sz w:val="18"/>
                <w:szCs w:val="18"/>
              </w:rPr>
            </w:pPr>
            <w:r w:rsidRPr="00FF119C">
              <w:rPr>
                <w:sz w:val="18"/>
                <w:szCs w:val="18"/>
              </w:rPr>
              <w:t>-2.9</w:t>
            </w:r>
          </w:p>
        </w:tc>
        <w:tc>
          <w:tcPr>
            <w:tcW w:w="992" w:type="dxa"/>
            <w:hideMark/>
          </w:tcPr>
          <w:p w14:paraId="52DB8E73" w14:textId="77777777" w:rsidR="005C2F48" w:rsidRPr="00FF119C" w:rsidRDefault="005C2F48" w:rsidP="00DE7B71">
            <w:pPr>
              <w:pStyle w:val="NormalWeb"/>
              <w:jc w:val="center"/>
              <w:rPr>
                <w:sz w:val="18"/>
                <w:szCs w:val="18"/>
              </w:rPr>
            </w:pPr>
            <w:r w:rsidRPr="00FF119C">
              <w:rPr>
                <w:sz w:val="18"/>
                <w:szCs w:val="18"/>
              </w:rPr>
              <w:t>-48.3</w:t>
            </w:r>
          </w:p>
        </w:tc>
        <w:tc>
          <w:tcPr>
            <w:tcW w:w="1134" w:type="dxa"/>
            <w:hideMark/>
          </w:tcPr>
          <w:p w14:paraId="4BF4A7F2" w14:textId="77777777" w:rsidR="005C2F48" w:rsidRPr="00FF119C" w:rsidRDefault="005C2F48" w:rsidP="00DE7B71">
            <w:pPr>
              <w:pStyle w:val="NormalWeb"/>
              <w:jc w:val="center"/>
              <w:rPr>
                <w:sz w:val="18"/>
                <w:szCs w:val="18"/>
              </w:rPr>
            </w:pPr>
            <w:r w:rsidRPr="00FF119C">
              <w:rPr>
                <w:sz w:val="18"/>
                <w:szCs w:val="18"/>
              </w:rPr>
              <w:t>4.1</w:t>
            </w:r>
          </w:p>
        </w:tc>
        <w:tc>
          <w:tcPr>
            <w:tcW w:w="709" w:type="dxa"/>
            <w:hideMark/>
          </w:tcPr>
          <w:p w14:paraId="03DBC469" w14:textId="77777777" w:rsidR="005C2F48" w:rsidRPr="00FF119C" w:rsidRDefault="005C2F48" w:rsidP="00DE7B71">
            <w:pPr>
              <w:pStyle w:val="NormalWeb"/>
              <w:jc w:val="center"/>
              <w:rPr>
                <w:sz w:val="18"/>
                <w:szCs w:val="18"/>
              </w:rPr>
            </w:pPr>
            <w:r w:rsidRPr="00FF119C">
              <w:rPr>
                <w:sz w:val="18"/>
                <w:szCs w:val="18"/>
              </w:rPr>
              <w:t>3.0</w:t>
            </w:r>
          </w:p>
        </w:tc>
        <w:tc>
          <w:tcPr>
            <w:tcW w:w="1701" w:type="dxa"/>
            <w:hideMark/>
          </w:tcPr>
          <w:p w14:paraId="210AAD4A" w14:textId="77777777" w:rsidR="005C2F48" w:rsidRPr="00FF119C" w:rsidRDefault="005C2F48" w:rsidP="00DE7B71">
            <w:pPr>
              <w:pStyle w:val="NormalWeb"/>
              <w:jc w:val="center"/>
              <w:rPr>
                <w:sz w:val="18"/>
                <w:szCs w:val="18"/>
              </w:rPr>
            </w:pPr>
            <w:r w:rsidRPr="00FF119C">
              <w:rPr>
                <w:sz w:val="18"/>
                <w:szCs w:val="18"/>
              </w:rPr>
              <w:t>-1.1</w:t>
            </w:r>
          </w:p>
        </w:tc>
        <w:tc>
          <w:tcPr>
            <w:tcW w:w="1190" w:type="dxa"/>
            <w:hideMark/>
          </w:tcPr>
          <w:p w14:paraId="31A6ABC0" w14:textId="77777777" w:rsidR="005C2F48" w:rsidRPr="00FF119C" w:rsidRDefault="005C2F48" w:rsidP="00DE7B71">
            <w:pPr>
              <w:pStyle w:val="NormalWeb"/>
              <w:jc w:val="center"/>
              <w:rPr>
                <w:sz w:val="18"/>
                <w:szCs w:val="18"/>
              </w:rPr>
            </w:pPr>
            <w:r w:rsidRPr="00FF119C">
              <w:rPr>
                <w:sz w:val="18"/>
                <w:szCs w:val="18"/>
              </w:rPr>
              <w:t>-31.2</w:t>
            </w:r>
          </w:p>
        </w:tc>
      </w:tr>
      <w:tr w:rsidR="005C2F48" w:rsidRPr="00FF119C" w14:paraId="78632049" w14:textId="77777777" w:rsidTr="005C2F4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32" w:type="dxa"/>
            <w:hideMark/>
          </w:tcPr>
          <w:p w14:paraId="44B80FDD" w14:textId="77777777" w:rsidR="005C2F48" w:rsidRPr="00FF119C" w:rsidRDefault="005C2F48" w:rsidP="00DE7B71">
            <w:pPr>
              <w:pStyle w:val="NormalWeb"/>
              <w:rPr>
                <w:sz w:val="18"/>
                <w:szCs w:val="18"/>
              </w:rPr>
            </w:pPr>
            <w:r w:rsidRPr="00FF119C">
              <w:rPr>
                <w:sz w:val="18"/>
                <w:szCs w:val="18"/>
              </w:rPr>
              <w:t>Average (Mar–Dec)</w:t>
            </w:r>
          </w:p>
        </w:tc>
        <w:tc>
          <w:tcPr>
            <w:tcW w:w="1162" w:type="dxa"/>
            <w:hideMark/>
          </w:tcPr>
          <w:p w14:paraId="6445631B" w14:textId="77777777" w:rsidR="005C2F48" w:rsidRPr="00FF119C" w:rsidRDefault="005C2F48" w:rsidP="00DE7B71">
            <w:pPr>
              <w:pStyle w:val="NormalWeb"/>
              <w:jc w:val="center"/>
              <w:rPr>
                <w:sz w:val="18"/>
                <w:szCs w:val="18"/>
              </w:rPr>
            </w:pPr>
            <w:r w:rsidRPr="00FF119C">
              <w:rPr>
                <w:sz w:val="18"/>
                <w:szCs w:val="18"/>
              </w:rPr>
              <w:t>6.5</w:t>
            </w:r>
          </w:p>
        </w:tc>
        <w:tc>
          <w:tcPr>
            <w:tcW w:w="708" w:type="dxa"/>
            <w:hideMark/>
          </w:tcPr>
          <w:p w14:paraId="54F7EA22" w14:textId="77777777" w:rsidR="005C2F48" w:rsidRPr="00FF119C" w:rsidRDefault="005C2F48" w:rsidP="00DE7B71">
            <w:pPr>
              <w:pStyle w:val="NormalWeb"/>
              <w:jc w:val="center"/>
              <w:rPr>
                <w:sz w:val="18"/>
                <w:szCs w:val="18"/>
              </w:rPr>
            </w:pPr>
            <w:r w:rsidRPr="00FF119C">
              <w:rPr>
                <w:sz w:val="18"/>
                <w:szCs w:val="18"/>
              </w:rPr>
              <w:t>4.8</w:t>
            </w:r>
          </w:p>
        </w:tc>
        <w:tc>
          <w:tcPr>
            <w:tcW w:w="1560" w:type="dxa"/>
            <w:hideMark/>
          </w:tcPr>
          <w:p w14:paraId="45DE06B3" w14:textId="77777777" w:rsidR="005C2F48" w:rsidRPr="00FF119C" w:rsidRDefault="005C2F48" w:rsidP="00DE7B71">
            <w:pPr>
              <w:pStyle w:val="NormalWeb"/>
              <w:jc w:val="center"/>
              <w:rPr>
                <w:sz w:val="18"/>
                <w:szCs w:val="18"/>
              </w:rPr>
            </w:pPr>
            <w:r w:rsidRPr="00FF119C">
              <w:rPr>
                <w:sz w:val="18"/>
                <w:szCs w:val="18"/>
              </w:rPr>
              <w:t>-1.8</w:t>
            </w:r>
          </w:p>
        </w:tc>
        <w:tc>
          <w:tcPr>
            <w:tcW w:w="992" w:type="dxa"/>
            <w:hideMark/>
          </w:tcPr>
          <w:p w14:paraId="71B3CD87" w14:textId="77777777" w:rsidR="005C2F48" w:rsidRPr="00FF119C" w:rsidRDefault="005C2F48" w:rsidP="00DE7B71">
            <w:pPr>
              <w:pStyle w:val="NormalWeb"/>
              <w:jc w:val="center"/>
              <w:rPr>
                <w:sz w:val="18"/>
                <w:szCs w:val="18"/>
              </w:rPr>
            </w:pPr>
            <w:r w:rsidRPr="00FF119C">
              <w:rPr>
                <w:sz w:val="18"/>
                <w:szCs w:val="18"/>
              </w:rPr>
              <w:t>-26.6</w:t>
            </w:r>
          </w:p>
        </w:tc>
        <w:tc>
          <w:tcPr>
            <w:tcW w:w="1134" w:type="dxa"/>
            <w:hideMark/>
          </w:tcPr>
          <w:p w14:paraId="19E09F58" w14:textId="77777777" w:rsidR="005C2F48" w:rsidRPr="00FF119C" w:rsidRDefault="005C2F48" w:rsidP="00DE7B71">
            <w:pPr>
              <w:pStyle w:val="NormalWeb"/>
              <w:jc w:val="center"/>
              <w:rPr>
                <w:sz w:val="18"/>
                <w:szCs w:val="18"/>
              </w:rPr>
            </w:pPr>
            <w:r w:rsidRPr="00FF119C">
              <w:rPr>
                <w:sz w:val="18"/>
                <w:szCs w:val="18"/>
              </w:rPr>
              <w:t>5.5</w:t>
            </w:r>
          </w:p>
        </w:tc>
        <w:tc>
          <w:tcPr>
            <w:tcW w:w="605" w:type="dxa"/>
            <w:hideMark/>
          </w:tcPr>
          <w:p w14:paraId="594DAAA4" w14:textId="77777777" w:rsidR="005C2F48" w:rsidRPr="00FF119C" w:rsidRDefault="005C2F48" w:rsidP="00DE7B71">
            <w:pPr>
              <w:pStyle w:val="NormalWeb"/>
              <w:jc w:val="center"/>
              <w:rPr>
                <w:sz w:val="18"/>
                <w:szCs w:val="18"/>
              </w:rPr>
            </w:pPr>
            <w:r w:rsidRPr="00FF119C">
              <w:rPr>
                <w:sz w:val="18"/>
                <w:szCs w:val="18"/>
              </w:rPr>
              <w:t>2.7</w:t>
            </w:r>
          </w:p>
        </w:tc>
        <w:tc>
          <w:tcPr>
            <w:tcW w:w="1559" w:type="dxa"/>
            <w:hideMark/>
          </w:tcPr>
          <w:p w14:paraId="13982DD9" w14:textId="77777777" w:rsidR="005C2F48" w:rsidRPr="00FF119C" w:rsidRDefault="005C2F48" w:rsidP="00DE7B71">
            <w:pPr>
              <w:pStyle w:val="NormalWeb"/>
              <w:jc w:val="center"/>
              <w:rPr>
                <w:sz w:val="18"/>
                <w:szCs w:val="18"/>
              </w:rPr>
            </w:pPr>
            <w:r w:rsidRPr="00FF119C">
              <w:rPr>
                <w:sz w:val="18"/>
                <w:szCs w:val="18"/>
              </w:rPr>
              <w:t>-2.8</w:t>
            </w:r>
          </w:p>
        </w:tc>
        <w:tc>
          <w:tcPr>
            <w:tcW w:w="992" w:type="dxa"/>
            <w:hideMark/>
          </w:tcPr>
          <w:p w14:paraId="50239042" w14:textId="77777777" w:rsidR="005C2F48" w:rsidRPr="00FF119C" w:rsidRDefault="005C2F48" w:rsidP="00DE7B71">
            <w:pPr>
              <w:pStyle w:val="NormalWeb"/>
              <w:jc w:val="center"/>
              <w:rPr>
                <w:sz w:val="18"/>
                <w:szCs w:val="18"/>
              </w:rPr>
            </w:pPr>
            <w:r w:rsidRPr="00FF119C">
              <w:rPr>
                <w:sz w:val="18"/>
                <w:szCs w:val="18"/>
              </w:rPr>
              <w:t>-51.3</w:t>
            </w:r>
          </w:p>
        </w:tc>
        <w:tc>
          <w:tcPr>
            <w:tcW w:w="1134" w:type="dxa"/>
            <w:hideMark/>
          </w:tcPr>
          <w:p w14:paraId="7F62172E" w14:textId="77777777" w:rsidR="005C2F48" w:rsidRPr="00FF119C" w:rsidRDefault="005C2F48" w:rsidP="00DE7B71">
            <w:pPr>
              <w:pStyle w:val="NormalWeb"/>
              <w:jc w:val="center"/>
              <w:rPr>
                <w:sz w:val="18"/>
                <w:szCs w:val="18"/>
              </w:rPr>
            </w:pPr>
            <w:r w:rsidRPr="00FF119C">
              <w:rPr>
                <w:sz w:val="18"/>
                <w:szCs w:val="18"/>
              </w:rPr>
              <w:t>3.6</w:t>
            </w:r>
          </w:p>
        </w:tc>
        <w:tc>
          <w:tcPr>
            <w:tcW w:w="709" w:type="dxa"/>
            <w:hideMark/>
          </w:tcPr>
          <w:p w14:paraId="71202C6E" w14:textId="77777777" w:rsidR="005C2F48" w:rsidRPr="00FF119C" w:rsidRDefault="005C2F48" w:rsidP="00DE7B71">
            <w:pPr>
              <w:pStyle w:val="NormalWeb"/>
              <w:jc w:val="center"/>
              <w:rPr>
                <w:sz w:val="18"/>
                <w:szCs w:val="18"/>
              </w:rPr>
            </w:pPr>
            <w:r w:rsidRPr="00FF119C">
              <w:rPr>
                <w:sz w:val="18"/>
                <w:szCs w:val="18"/>
              </w:rPr>
              <w:t>2.5</w:t>
            </w:r>
          </w:p>
        </w:tc>
        <w:tc>
          <w:tcPr>
            <w:tcW w:w="1701" w:type="dxa"/>
            <w:hideMark/>
          </w:tcPr>
          <w:p w14:paraId="7A556760" w14:textId="77777777" w:rsidR="005C2F48" w:rsidRPr="00FF119C" w:rsidRDefault="005C2F48" w:rsidP="00DE7B71">
            <w:pPr>
              <w:pStyle w:val="NormalWeb"/>
              <w:jc w:val="center"/>
              <w:rPr>
                <w:sz w:val="18"/>
                <w:szCs w:val="18"/>
              </w:rPr>
            </w:pPr>
            <w:r w:rsidRPr="00FF119C">
              <w:rPr>
                <w:sz w:val="18"/>
                <w:szCs w:val="18"/>
              </w:rPr>
              <w:t>-1.1</w:t>
            </w:r>
          </w:p>
        </w:tc>
        <w:tc>
          <w:tcPr>
            <w:tcW w:w="1190" w:type="dxa"/>
            <w:hideMark/>
          </w:tcPr>
          <w:p w14:paraId="396BD1F9" w14:textId="77777777" w:rsidR="005C2F48" w:rsidRPr="00FF119C" w:rsidRDefault="005C2F48" w:rsidP="00DE7B71">
            <w:pPr>
              <w:pStyle w:val="NormalWeb"/>
              <w:jc w:val="center"/>
              <w:rPr>
                <w:sz w:val="18"/>
                <w:szCs w:val="18"/>
              </w:rPr>
            </w:pPr>
            <w:r w:rsidRPr="00FF119C">
              <w:rPr>
                <w:sz w:val="18"/>
                <w:szCs w:val="18"/>
              </w:rPr>
              <w:t>-33.1</w:t>
            </w:r>
          </w:p>
        </w:tc>
      </w:tr>
    </w:tbl>
    <w:p w14:paraId="3AADF906" w14:textId="77777777" w:rsidR="005C2F48" w:rsidRDefault="005C2F48">
      <w:pPr>
        <w:rPr>
          <w:rFonts w:eastAsia="Times New Roman"/>
          <w:b/>
          <w:bCs/>
        </w:rPr>
      </w:pPr>
      <w:r>
        <w:rPr>
          <w:rFonts w:eastAsia="Times New Roman"/>
          <w:b/>
          <w:bCs/>
        </w:rPr>
        <w:br w:type="page"/>
      </w:r>
    </w:p>
    <w:p w14:paraId="272BF553" w14:textId="77777777" w:rsidR="0074392D" w:rsidRDefault="00E22C1A" w:rsidP="00246A15">
      <w:pPr>
        <w:rPr>
          <w:rFonts w:eastAsia="Times New Roman"/>
          <w:b/>
          <w:bCs/>
        </w:rPr>
      </w:pPr>
      <w:r w:rsidRPr="007C0012">
        <w:rPr>
          <w:rFonts w:eastAsia="Times New Roman"/>
          <w:b/>
          <w:bCs/>
        </w:rPr>
        <w:lastRenderedPageBreak/>
        <w:t xml:space="preserve">Table A.3: Monthly rate (cases per 100,000) in 2020 compared to the 2015 to 2019 median, for Victoria, Western Australia, and Australia </w:t>
      </w:r>
    </w:p>
    <w:tbl>
      <w:tblPr>
        <w:tblStyle w:val="CDI-StandardTable"/>
        <w:tblW w:w="0" w:type="auto"/>
        <w:tblLook w:val="04A0" w:firstRow="1" w:lastRow="0" w:firstColumn="1" w:lastColumn="0" w:noHBand="0" w:noVBand="1"/>
        <w:tblDescription w:val="Appendix Table A.3. Salmonellosis monthly rate (cases per 100,000) in 2020, for Victoria, Western Australia, and nationwide, compared to the 2015 to 2019 median for each jurisdiction.&#10;"/>
      </w:tblPr>
      <w:tblGrid>
        <w:gridCol w:w="1532"/>
        <w:gridCol w:w="1060"/>
        <w:gridCol w:w="605"/>
        <w:gridCol w:w="1483"/>
        <w:gridCol w:w="946"/>
        <w:gridCol w:w="1060"/>
        <w:gridCol w:w="605"/>
        <w:gridCol w:w="1483"/>
        <w:gridCol w:w="1291"/>
        <w:gridCol w:w="1134"/>
        <w:gridCol w:w="708"/>
        <w:gridCol w:w="1560"/>
        <w:gridCol w:w="1473"/>
      </w:tblGrid>
      <w:tr w:rsidR="0074392D" w:rsidRPr="00FF119C" w14:paraId="394EA4A4" w14:textId="77777777" w:rsidTr="0074392D">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14:paraId="5C6F35C9" w14:textId="77777777" w:rsidR="0074392D" w:rsidRPr="00FF119C" w:rsidRDefault="0074392D" w:rsidP="00DE7B71">
            <w:pPr>
              <w:rPr>
                <w:color w:val="FFFFFF" w:themeColor="background1"/>
                <w:sz w:val="18"/>
                <w:szCs w:val="18"/>
                <w:lang w:val="en-GB"/>
              </w:rPr>
            </w:pPr>
          </w:p>
        </w:tc>
        <w:tc>
          <w:tcPr>
            <w:tcW w:w="0" w:type="auto"/>
            <w:gridSpan w:val="4"/>
            <w:tcBorders>
              <w:left w:val="single" w:sz="2" w:space="0" w:color="FFFFFF" w:themeColor="background1"/>
              <w:bottom w:val="single" w:sz="2" w:space="0" w:color="FFFFFF" w:themeColor="background1"/>
              <w:right w:val="single" w:sz="2" w:space="0" w:color="FFFFFF" w:themeColor="background1"/>
            </w:tcBorders>
            <w:hideMark/>
          </w:tcPr>
          <w:p w14:paraId="316F488C"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Victoria</w:t>
            </w:r>
          </w:p>
        </w:tc>
        <w:tc>
          <w:tcPr>
            <w:tcW w:w="4439" w:type="dxa"/>
            <w:gridSpan w:val="4"/>
            <w:tcBorders>
              <w:left w:val="single" w:sz="2" w:space="0" w:color="FFFFFF" w:themeColor="background1"/>
              <w:bottom w:val="single" w:sz="2" w:space="0" w:color="FFFFFF" w:themeColor="background1"/>
              <w:right w:val="single" w:sz="2" w:space="0" w:color="FFFFFF" w:themeColor="background1"/>
            </w:tcBorders>
            <w:hideMark/>
          </w:tcPr>
          <w:p w14:paraId="153EE540"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Western Australia</w:t>
            </w:r>
          </w:p>
        </w:tc>
        <w:tc>
          <w:tcPr>
            <w:tcW w:w="4875" w:type="dxa"/>
            <w:gridSpan w:val="4"/>
            <w:tcBorders>
              <w:left w:val="single" w:sz="2" w:space="0" w:color="FFFFFF" w:themeColor="background1"/>
              <w:bottom w:val="single" w:sz="2" w:space="0" w:color="FFFFFF" w:themeColor="background1"/>
            </w:tcBorders>
            <w:hideMark/>
          </w:tcPr>
          <w:p w14:paraId="28ED792E"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Australia</w:t>
            </w:r>
          </w:p>
        </w:tc>
      </w:tr>
      <w:tr w:rsidR="0074392D" w:rsidRPr="00FF119C" w14:paraId="65BF5EDA" w14:textId="77777777" w:rsidTr="0074392D">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14:paraId="190EF3A2" w14:textId="77777777" w:rsidR="0074392D" w:rsidRPr="00FF119C" w:rsidRDefault="0074392D" w:rsidP="00DE7B71">
            <w:pPr>
              <w:pStyle w:val="NormalWeb"/>
              <w:rPr>
                <w:color w:val="FFFFFF" w:themeColor="background1"/>
                <w:sz w:val="18"/>
                <w:szCs w:val="18"/>
              </w:rPr>
            </w:pPr>
            <w:r w:rsidRPr="00FF119C">
              <w:rPr>
                <w:color w:val="FFFFFF" w:themeColor="background1"/>
                <w:sz w:val="18"/>
                <w:szCs w:val="18"/>
              </w:rPr>
              <w:t>Month</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6DA54F56"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2015–2019</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79E18D00"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2020</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CEB3574"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66E981B"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 change</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1BCE0C0B"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2015–2019</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AB0B95E"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2020</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78C42DE7"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1291" w:type="dxa"/>
            <w:tcBorders>
              <w:top w:val="single" w:sz="2" w:space="0" w:color="FFFFFF" w:themeColor="background1"/>
              <w:left w:val="single" w:sz="2" w:space="0" w:color="FFFFFF" w:themeColor="background1"/>
              <w:right w:val="single" w:sz="2" w:space="0" w:color="FFFFFF" w:themeColor="background1"/>
            </w:tcBorders>
            <w:hideMark/>
          </w:tcPr>
          <w:p w14:paraId="1921E032"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 change</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43A29995"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2015–2019</w:t>
            </w:r>
          </w:p>
        </w:tc>
        <w:tc>
          <w:tcPr>
            <w:tcW w:w="708" w:type="dxa"/>
            <w:tcBorders>
              <w:top w:val="single" w:sz="2" w:space="0" w:color="FFFFFF" w:themeColor="background1"/>
              <w:left w:val="single" w:sz="2" w:space="0" w:color="FFFFFF" w:themeColor="background1"/>
              <w:right w:val="single" w:sz="2" w:space="0" w:color="FFFFFF" w:themeColor="background1"/>
            </w:tcBorders>
            <w:hideMark/>
          </w:tcPr>
          <w:p w14:paraId="4FEAC48A"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2020</w:t>
            </w:r>
          </w:p>
        </w:tc>
        <w:tc>
          <w:tcPr>
            <w:tcW w:w="1560" w:type="dxa"/>
            <w:tcBorders>
              <w:top w:val="single" w:sz="2" w:space="0" w:color="FFFFFF" w:themeColor="background1"/>
              <w:left w:val="single" w:sz="2" w:space="0" w:color="FFFFFF" w:themeColor="background1"/>
              <w:right w:val="single" w:sz="2" w:space="0" w:color="FFFFFF" w:themeColor="background1"/>
            </w:tcBorders>
            <w:hideMark/>
          </w:tcPr>
          <w:p w14:paraId="7C82D30C"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Absolute change</w:t>
            </w:r>
          </w:p>
        </w:tc>
        <w:tc>
          <w:tcPr>
            <w:tcW w:w="1473" w:type="dxa"/>
            <w:tcBorders>
              <w:top w:val="single" w:sz="2" w:space="0" w:color="FFFFFF" w:themeColor="background1"/>
              <w:left w:val="single" w:sz="2" w:space="0" w:color="FFFFFF" w:themeColor="background1"/>
            </w:tcBorders>
            <w:hideMark/>
          </w:tcPr>
          <w:p w14:paraId="41E7694C" w14:textId="77777777" w:rsidR="0074392D" w:rsidRPr="00FF119C" w:rsidRDefault="0074392D" w:rsidP="00DE7B71">
            <w:pPr>
              <w:pStyle w:val="NormalWeb"/>
              <w:jc w:val="center"/>
              <w:rPr>
                <w:color w:val="FFFFFF" w:themeColor="background1"/>
                <w:sz w:val="18"/>
                <w:szCs w:val="18"/>
              </w:rPr>
            </w:pPr>
            <w:r w:rsidRPr="00FF119C">
              <w:rPr>
                <w:color w:val="FFFFFF" w:themeColor="background1"/>
                <w:sz w:val="18"/>
                <w:szCs w:val="18"/>
              </w:rPr>
              <w:t>% change</w:t>
            </w:r>
          </w:p>
        </w:tc>
      </w:tr>
      <w:tr w:rsidR="0074392D" w:rsidRPr="00FF119C" w14:paraId="5121C80E" w14:textId="77777777" w:rsidTr="0074392D">
        <w:tblPrEx>
          <w:tblCellMar>
            <w:top w:w="57" w:type="dxa"/>
            <w:left w:w="57" w:type="dxa"/>
            <w:bottom w:w="57" w:type="dxa"/>
            <w:right w:w="57" w:type="dxa"/>
          </w:tblCellMar>
        </w:tblPrEx>
        <w:tc>
          <w:tcPr>
            <w:tcW w:w="0" w:type="auto"/>
            <w:hideMark/>
          </w:tcPr>
          <w:p w14:paraId="79A6ADA7" w14:textId="77777777" w:rsidR="0074392D" w:rsidRPr="00FF119C" w:rsidRDefault="0074392D" w:rsidP="00DE7B71">
            <w:pPr>
              <w:pStyle w:val="NormalWeb"/>
              <w:rPr>
                <w:sz w:val="18"/>
                <w:szCs w:val="18"/>
              </w:rPr>
            </w:pPr>
            <w:r w:rsidRPr="00FF119C">
              <w:rPr>
                <w:sz w:val="18"/>
                <w:szCs w:val="18"/>
              </w:rPr>
              <w:t>Jan</w:t>
            </w:r>
          </w:p>
        </w:tc>
        <w:tc>
          <w:tcPr>
            <w:tcW w:w="0" w:type="auto"/>
            <w:hideMark/>
          </w:tcPr>
          <w:p w14:paraId="0A60E56B" w14:textId="77777777" w:rsidR="0074392D" w:rsidRPr="00FF119C" w:rsidRDefault="0074392D" w:rsidP="00DE7B71">
            <w:pPr>
              <w:pStyle w:val="NormalWeb"/>
              <w:jc w:val="center"/>
              <w:rPr>
                <w:sz w:val="18"/>
                <w:szCs w:val="18"/>
              </w:rPr>
            </w:pPr>
            <w:r w:rsidRPr="00FF119C">
              <w:rPr>
                <w:sz w:val="18"/>
                <w:szCs w:val="18"/>
              </w:rPr>
              <w:t>5.5</w:t>
            </w:r>
          </w:p>
        </w:tc>
        <w:tc>
          <w:tcPr>
            <w:tcW w:w="0" w:type="auto"/>
            <w:hideMark/>
          </w:tcPr>
          <w:p w14:paraId="424DF630" w14:textId="77777777" w:rsidR="0074392D" w:rsidRPr="00FF119C" w:rsidRDefault="0074392D" w:rsidP="00DE7B71">
            <w:pPr>
              <w:pStyle w:val="NormalWeb"/>
              <w:jc w:val="center"/>
              <w:rPr>
                <w:sz w:val="18"/>
                <w:szCs w:val="18"/>
              </w:rPr>
            </w:pPr>
            <w:r w:rsidRPr="00FF119C">
              <w:rPr>
                <w:sz w:val="18"/>
                <w:szCs w:val="18"/>
              </w:rPr>
              <w:t>5.2</w:t>
            </w:r>
          </w:p>
        </w:tc>
        <w:tc>
          <w:tcPr>
            <w:tcW w:w="0" w:type="auto"/>
            <w:hideMark/>
          </w:tcPr>
          <w:p w14:paraId="43EA71BE" w14:textId="77777777" w:rsidR="0074392D" w:rsidRPr="00FF119C" w:rsidRDefault="0074392D" w:rsidP="00DE7B71">
            <w:pPr>
              <w:pStyle w:val="NormalWeb"/>
              <w:jc w:val="center"/>
              <w:rPr>
                <w:sz w:val="18"/>
                <w:szCs w:val="18"/>
              </w:rPr>
            </w:pPr>
            <w:r w:rsidRPr="00FF119C">
              <w:rPr>
                <w:sz w:val="18"/>
                <w:szCs w:val="18"/>
              </w:rPr>
              <w:t>-0.3</w:t>
            </w:r>
          </w:p>
        </w:tc>
        <w:tc>
          <w:tcPr>
            <w:tcW w:w="0" w:type="auto"/>
            <w:hideMark/>
          </w:tcPr>
          <w:p w14:paraId="141A6BDB" w14:textId="77777777" w:rsidR="0074392D" w:rsidRPr="00FF119C" w:rsidRDefault="0074392D" w:rsidP="00DE7B71">
            <w:pPr>
              <w:pStyle w:val="NormalWeb"/>
              <w:jc w:val="center"/>
              <w:rPr>
                <w:sz w:val="18"/>
                <w:szCs w:val="18"/>
              </w:rPr>
            </w:pPr>
            <w:r w:rsidRPr="00FF119C">
              <w:rPr>
                <w:sz w:val="18"/>
                <w:szCs w:val="18"/>
              </w:rPr>
              <w:t>-5.5</w:t>
            </w:r>
          </w:p>
        </w:tc>
        <w:tc>
          <w:tcPr>
            <w:tcW w:w="0" w:type="auto"/>
            <w:hideMark/>
          </w:tcPr>
          <w:p w14:paraId="54A85E44" w14:textId="77777777" w:rsidR="0074392D" w:rsidRPr="00FF119C" w:rsidRDefault="0074392D" w:rsidP="00DE7B71">
            <w:pPr>
              <w:pStyle w:val="NormalWeb"/>
              <w:jc w:val="center"/>
              <w:rPr>
                <w:sz w:val="18"/>
                <w:szCs w:val="18"/>
              </w:rPr>
            </w:pPr>
            <w:r w:rsidRPr="00FF119C">
              <w:rPr>
                <w:sz w:val="18"/>
                <w:szCs w:val="18"/>
              </w:rPr>
              <w:t>7.8</w:t>
            </w:r>
          </w:p>
        </w:tc>
        <w:tc>
          <w:tcPr>
            <w:tcW w:w="0" w:type="auto"/>
            <w:hideMark/>
          </w:tcPr>
          <w:p w14:paraId="5A3528E6" w14:textId="77777777" w:rsidR="0074392D" w:rsidRPr="00FF119C" w:rsidRDefault="0074392D" w:rsidP="00DE7B71">
            <w:pPr>
              <w:pStyle w:val="NormalWeb"/>
              <w:jc w:val="center"/>
              <w:rPr>
                <w:sz w:val="18"/>
                <w:szCs w:val="18"/>
              </w:rPr>
            </w:pPr>
            <w:r w:rsidRPr="00FF119C">
              <w:rPr>
                <w:sz w:val="18"/>
                <w:szCs w:val="18"/>
              </w:rPr>
              <w:t>8.2</w:t>
            </w:r>
          </w:p>
        </w:tc>
        <w:tc>
          <w:tcPr>
            <w:tcW w:w="0" w:type="auto"/>
            <w:hideMark/>
          </w:tcPr>
          <w:p w14:paraId="446EE35C" w14:textId="77777777" w:rsidR="0074392D" w:rsidRPr="00FF119C" w:rsidRDefault="0074392D" w:rsidP="00DE7B71">
            <w:pPr>
              <w:pStyle w:val="NormalWeb"/>
              <w:jc w:val="center"/>
              <w:rPr>
                <w:sz w:val="18"/>
                <w:szCs w:val="18"/>
              </w:rPr>
            </w:pPr>
            <w:r w:rsidRPr="00FF119C">
              <w:rPr>
                <w:sz w:val="18"/>
                <w:szCs w:val="18"/>
              </w:rPr>
              <w:t>0.4</w:t>
            </w:r>
          </w:p>
        </w:tc>
        <w:tc>
          <w:tcPr>
            <w:tcW w:w="1291" w:type="dxa"/>
            <w:hideMark/>
          </w:tcPr>
          <w:p w14:paraId="6D151829" w14:textId="77777777" w:rsidR="0074392D" w:rsidRPr="00FF119C" w:rsidRDefault="0074392D" w:rsidP="00DE7B71">
            <w:pPr>
              <w:pStyle w:val="NormalWeb"/>
              <w:jc w:val="center"/>
              <w:rPr>
                <w:sz w:val="18"/>
                <w:szCs w:val="18"/>
              </w:rPr>
            </w:pPr>
            <w:r w:rsidRPr="00FF119C">
              <w:rPr>
                <w:sz w:val="18"/>
                <w:szCs w:val="18"/>
              </w:rPr>
              <w:t>5.1</w:t>
            </w:r>
          </w:p>
        </w:tc>
        <w:tc>
          <w:tcPr>
            <w:tcW w:w="1134" w:type="dxa"/>
            <w:hideMark/>
          </w:tcPr>
          <w:p w14:paraId="5D4CD1A2" w14:textId="77777777" w:rsidR="0074392D" w:rsidRPr="00FF119C" w:rsidRDefault="0074392D" w:rsidP="00DE7B71">
            <w:pPr>
              <w:pStyle w:val="NormalWeb"/>
              <w:jc w:val="center"/>
              <w:rPr>
                <w:sz w:val="18"/>
                <w:szCs w:val="18"/>
              </w:rPr>
            </w:pPr>
            <w:r w:rsidRPr="00FF119C">
              <w:rPr>
                <w:sz w:val="18"/>
                <w:szCs w:val="18"/>
              </w:rPr>
              <w:t>8.8</w:t>
            </w:r>
          </w:p>
        </w:tc>
        <w:tc>
          <w:tcPr>
            <w:tcW w:w="708" w:type="dxa"/>
            <w:hideMark/>
          </w:tcPr>
          <w:p w14:paraId="67130DB0" w14:textId="77777777" w:rsidR="0074392D" w:rsidRPr="00FF119C" w:rsidRDefault="0074392D" w:rsidP="00DE7B71">
            <w:pPr>
              <w:pStyle w:val="NormalWeb"/>
              <w:jc w:val="center"/>
              <w:rPr>
                <w:sz w:val="18"/>
                <w:szCs w:val="18"/>
              </w:rPr>
            </w:pPr>
            <w:r w:rsidRPr="00FF119C">
              <w:rPr>
                <w:sz w:val="18"/>
                <w:szCs w:val="18"/>
              </w:rPr>
              <w:t>6.9</w:t>
            </w:r>
          </w:p>
        </w:tc>
        <w:tc>
          <w:tcPr>
            <w:tcW w:w="1560" w:type="dxa"/>
            <w:hideMark/>
          </w:tcPr>
          <w:p w14:paraId="610110F9" w14:textId="77777777" w:rsidR="0074392D" w:rsidRPr="00FF119C" w:rsidRDefault="0074392D" w:rsidP="00DE7B71">
            <w:pPr>
              <w:pStyle w:val="NormalWeb"/>
              <w:jc w:val="center"/>
              <w:rPr>
                <w:sz w:val="18"/>
                <w:szCs w:val="18"/>
              </w:rPr>
            </w:pPr>
            <w:r w:rsidRPr="00FF119C">
              <w:rPr>
                <w:sz w:val="18"/>
                <w:szCs w:val="18"/>
              </w:rPr>
              <w:t>-1.9</w:t>
            </w:r>
          </w:p>
        </w:tc>
        <w:tc>
          <w:tcPr>
            <w:tcW w:w="1473" w:type="dxa"/>
            <w:hideMark/>
          </w:tcPr>
          <w:p w14:paraId="00F4F9DA" w14:textId="77777777" w:rsidR="0074392D" w:rsidRPr="00FF119C" w:rsidRDefault="0074392D" w:rsidP="00DE7B71">
            <w:pPr>
              <w:pStyle w:val="NormalWeb"/>
              <w:jc w:val="center"/>
              <w:rPr>
                <w:sz w:val="18"/>
                <w:szCs w:val="18"/>
              </w:rPr>
            </w:pPr>
            <w:r w:rsidRPr="00FF119C">
              <w:rPr>
                <w:sz w:val="18"/>
                <w:szCs w:val="18"/>
              </w:rPr>
              <w:t>-21.6</w:t>
            </w:r>
          </w:p>
        </w:tc>
      </w:tr>
      <w:tr w:rsidR="0074392D" w:rsidRPr="00FF119C" w14:paraId="1918A8D2" w14:textId="77777777" w:rsidTr="0074392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804B335" w14:textId="77777777" w:rsidR="0074392D" w:rsidRPr="00FF119C" w:rsidRDefault="0074392D" w:rsidP="00DE7B71">
            <w:pPr>
              <w:pStyle w:val="NormalWeb"/>
              <w:rPr>
                <w:sz w:val="18"/>
                <w:szCs w:val="18"/>
              </w:rPr>
            </w:pPr>
            <w:r w:rsidRPr="00FF119C">
              <w:rPr>
                <w:sz w:val="18"/>
                <w:szCs w:val="18"/>
              </w:rPr>
              <w:t>Feb</w:t>
            </w:r>
          </w:p>
        </w:tc>
        <w:tc>
          <w:tcPr>
            <w:tcW w:w="0" w:type="auto"/>
            <w:hideMark/>
          </w:tcPr>
          <w:p w14:paraId="075BA956" w14:textId="77777777" w:rsidR="0074392D" w:rsidRPr="00FF119C" w:rsidRDefault="0074392D" w:rsidP="00DE7B71">
            <w:pPr>
              <w:pStyle w:val="NormalWeb"/>
              <w:jc w:val="center"/>
              <w:rPr>
                <w:sz w:val="18"/>
                <w:szCs w:val="18"/>
              </w:rPr>
            </w:pPr>
            <w:r w:rsidRPr="00FF119C">
              <w:rPr>
                <w:sz w:val="18"/>
                <w:szCs w:val="18"/>
              </w:rPr>
              <w:t>4.9</w:t>
            </w:r>
          </w:p>
        </w:tc>
        <w:tc>
          <w:tcPr>
            <w:tcW w:w="0" w:type="auto"/>
            <w:hideMark/>
          </w:tcPr>
          <w:p w14:paraId="627BFABE" w14:textId="77777777" w:rsidR="0074392D" w:rsidRPr="00FF119C" w:rsidRDefault="0074392D" w:rsidP="00DE7B71">
            <w:pPr>
              <w:pStyle w:val="NormalWeb"/>
              <w:jc w:val="center"/>
              <w:rPr>
                <w:sz w:val="18"/>
                <w:szCs w:val="18"/>
              </w:rPr>
            </w:pPr>
            <w:r w:rsidRPr="00FF119C">
              <w:rPr>
                <w:sz w:val="18"/>
                <w:szCs w:val="18"/>
              </w:rPr>
              <w:t>5.2</w:t>
            </w:r>
          </w:p>
        </w:tc>
        <w:tc>
          <w:tcPr>
            <w:tcW w:w="0" w:type="auto"/>
            <w:hideMark/>
          </w:tcPr>
          <w:p w14:paraId="494F3532" w14:textId="77777777" w:rsidR="0074392D" w:rsidRPr="00FF119C" w:rsidRDefault="0074392D" w:rsidP="00DE7B71">
            <w:pPr>
              <w:pStyle w:val="NormalWeb"/>
              <w:jc w:val="center"/>
              <w:rPr>
                <w:sz w:val="18"/>
                <w:szCs w:val="18"/>
              </w:rPr>
            </w:pPr>
            <w:r w:rsidRPr="00FF119C">
              <w:rPr>
                <w:sz w:val="18"/>
                <w:szCs w:val="18"/>
              </w:rPr>
              <w:t>0.3</w:t>
            </w:r>
          </w:p>
        </w:tc>
        <w:tc>
          <w:tcPr>
            <w:tcW w:w="0" w:type="auto"/>
            <w:hideMark/>
          </w:tcPr>
          <w:p w14:paraId="7EB8A7C3" w14:textId="77777777" w:rsidR="0074392D" w:rsidRPr="00FF119C" w:rsidRDefault="0074392D" w:rsidP="00DE7B71">
            <w:pPr>
              <w:pStyle w:val="NormalWeb"/>
              <w:jc w:val="center"/>
              <w:rPr>
                <w:sz w:val="18"/>
                <w:szCs w:val="18"/>
              </w:rPr>
            </w:pPr>
            <w:r w:rsidRPr="00FF119C">
              <w:rPr>
                <w:sz w:val="18"/>
                <w:szCs w:val="18"/>
              </w:rPr>
              <w:t>6.1</w:t>
            </w:r>
          </w:p>
        </w:tc>
        <w:tc>
          <w:tcPr>
            <w:tcW w:w="0" w:type="auto"/>
            <w:hideMark/>
          </w:tcPr>
          <w:p w14:paraId="0D08D390" w14:textId="77777777" w:rsidR="0074392D" w:rsidRPr="00FF119C" w:rsidRDefault="0074392D" w:rsidP="00DE7B71">
            <w:pPr>
              <w:pStyle w:val="NormalWeb"/>
              <w:jc w:val="center"/>
              <w:rPr>
                <w:sz w:val="18"/>
                <w:szCs w:val="18"/>
              </w:rPr>
            </w:pPr>
            <w:r w:rsidRPr="00FF119C">
              <w:rPr>
                <w:sz w:val="18"/>
                <w:szCs w:val="18"/>
              </w:rPr>
              <w:t>7.9</w:t>
            </w:r>
          </w:p>
        </w:tc>
        <w:tc>
          <w:tcPr>
            <w:tcW w:w="0" w:type="auto"/>
            <w:hideMark/>
          </w:tcPr>
          <w:p w14:paraId="26A8E832" w14:textId="77777777" w:rsidR="0074392D" w:rsidRPr="00FF119C" w:rsidRDefault="0074392D" w:rsidP="00DE7B71">
            <w:pPr>
              <w:pStyle w:val="NormalWeb"/>
              <w:jc w:val="center"/>
              <w:rPr>
                <w:sz w:val="18"/>
                <w:szCs w:val="18"/>
              </w:rPr>
            </w:pPr>
            <w:r w:rsidRPr="00FF119C">
              <w:rPr>
                <w:sz w:val="18"/>
                <w:szCs w:val="18"/>
              </w:rPr>
              <w:t>8.7</w:t>
            </w:r>
          </w:p>
        </w:tc>
        <w:tc>
          <w:tcPr>
            <w:tcW w:w="0" w:type="auto"/>
            <w:hideMark/>
          </w:tcPr>
          <w:p w14:paraId="38E09870" w14:textId="77777777" w:rsidR="0074392D" w:rsidRPr="00FF119C" w:rsidRDefault="0074392D" w:rsidP="00DE7B71">
            <w:pPr>
              <w:pStyle w:val="NormalWeb"/>
              <w:jc w:val="center"/>
              <w:rPr>
                <w:sz w:val="18"/>
                <w:szCs w:val="18"/>
              </w:rPr>
            </w:pPr>
            <w:r w:rsidRPr="00FF119C">
              <w:rPr>
                <w:sz w:val="18"/>
                <w:szCs w:val="18"/>
              </w:rPr>
              <w:t>0.8</w:t>
            </w:r>
          </w:p>
        </w:tc>
        <w:tc>
          <w:tcPr>
            <w:tcW w:w="1291" w:type="dxa"/>
            <w:hideMark/>
          </w:tcPr>
          <w:p w14:paraId="1B44C519" w14:textId="77777777" w:rsidR="0074392D" w:rsidRPr="00FF119C" w:rsidRDefault="0074392D" w:rsidP="00DE7B71">
            <w:pPr>
              <w:pStyle w:val="NormalWeb"/>
              <w:jc w:val="center"/>
              <w:rPr>
                <w:sz w:val="18"/>
                <w:szCs w:val="18"/>
              </w:rPr>
            </w:pPr>
            <w:r w:rsidRPr="00FF119C">
              <w:rPr>
                <w:sz w:val="18"/>
                <w:szCs w:val="18"/>
              </w:rPr>
              <w:t>10.1</w:t>
            </w:r>
          </w:p>
        </w:tc>
        <w:tc>
          <w:tcPr>
            <w:tcW w:w="1134" w:type="dxa"/>
            <w:hideMark/>
          </w:tcPr>
          <w:p w14:paraId="384A23B4" w14:textId="77777777" w:rsidR="0074392D" w:rsidRPr="00FF119C" w:rsidRDefault="0074392D" w:rsidP="00DE7B71">
            <w:pPr>
              <w:pStyle w:val="NormalWeb"/>
              <w:jc w:val="center"/>
              <w:rPr>
                <w:sz w:val="18"/>
                <w:szCs w:val="18"/>
              </w:rPr>
            </w:pPr>
            <w:r w:rsidRPr="00FF119C">
              <w:rPr>
                <w:sz w:val="18"/>
                <w:szCs w:val="18"/>
              </w:rPr>
              <w:t>7.8</w:t>
            </w:r>
          </w:p>
        </w:tc>
        <w:tc>
          <w:tcPr>
            <w:tcW w:w="708" w:type="dxa"/>
            <w:hideMark/>
          </w:tcPr>
          <w:p w14:paraId="0F487F25" w14:textId="77777777" w:rsidR="0074392D" w:rsidRPr="00FF119C" w:rsidRDefault="0074392D" w:rsidP="00DE7B71">
            <w:pPr>
              <w:pStyle w:val="NormalWeb"/>
              <w:jc w:val="center"/>
              <w:rPr>
                <w:sz w:val="18"/>
                <w:szCs w:val="18"/>
              </w:rPr>
            </w:pPr>
            <w:r w:rsidRPr="00FF119C">
              <w:rPr>
                <w:sz w:val="18"/>
                <w:szCs w:val="18"/>
              </w:rPr>
              <w:t>10.1</w:t>
            </w:r>
          </w:p>
        </w:tc>
        <w:tc>
          <w:tcPr>
            <w:tcW w:w="1560" w:type="dxa"/>
            <w:hideMark/>
          </w:tcPr>
          <w:p w14:paraId="6B425E3E" w14:textId="77777777" w:rsidR="0074392D" w:rsidRPr="00FF119C" w:rsidRDefault="0074392D" w:rsidP="00DE7B71">
            <w:pPr>
              <w:pStyle w:val="NormalWeb"/>
              <w:jc w:val="center"/>
              <w:rPr>
                <w:sz w:val="18"/>
                <w:szCs w:val="18"/>
              </w:rPr>
            </w:pPr>
            <w:r w:rsidRPr="00FF119C">
              <w:rPr>
                <w:sz w:val="18"/>
                <w:szCs w:val="18"/>
              </w:rPr>
              <w:t>2.3</w:t>
            </w:r>
          </w:p>
        </w:tc>
        <w:tc>
          <w:tcPr>
            <w:tcW w:w="1473" w:type="dxa"/>
            <w:hideMark/>
          </w:tcPr>
          <w:p w14:paraId="6C266C61" w14:textId="77777777" w:rsidR="0074392D" w:rsidRPr="00FF119C" w:rsidRDefault="0074392D" w:rsidP="00DE7B71">
            <w:pPr>
              <w:pStyle w:val="NormalWeb"/>
              <w:jc w:val="center"/>
              <w:rPr>
                <w:sz w:val="18"/>
                <w:szCs w:val="18"/>
              </w:rPr>
            </w:pPr>
            <w:r w:rsidRPr="00FF119C">
              <w:rPr>
                <w:sz w:val="18"/>
                <w:szCs w:val="18"/>
              </w:rPr>
              <w:t>29.5</w:t>
            </w:r>
          </w:p>
        </w:tc>
      </w:tr>
      <w:tr w:rsidR="0074392D" w:rsidRPr="00FF119C" w14:paraId="04E6A56D" w14:textId="77777777" w:rsidTr="0074392D">
        <w:tblPrEx>
          <w:tblCellMar>
            <w:top w:w="57" w:type="dxa"/>
            <w:left w:w="57" w:type="dxa"/>
            <w:bottom w:w="57" w:type="dxa"/>
            <w:right w:w="57" w:type="dxa"/>
          </w:tblCellMar>
        </w:tblPrEx>
        <w:tc>
          <w:tcPr>
            <w:tcW w:w="0" w:type="auto"/>
            <w:hideMark/>
          </w:tcPr>
          <w:p w14:paraId="62114333" w14:textId="77777777" w:rsidR="0074392D" w:rsidRPr="00FF119C" w:rsidRDefault="0074392D" w:rsidP="00DE7B71">
            <w:pPr>
              <w:pStyle w:val="NormalWeb"/>
              <w:rPr>
                <w:sz w:val="18"/>
                <w:szCs w:val="18"/>
              </w:rPr>
            </w:pPr>
            <w:r w:rsidRPr="00FF119C">
              <w:rPr>
                <w:sz w:val="18"/>
                <w:szCs w:val="18"/>
              </w:rPr>
              <w:t>Mar</w:t>
            </w:r>
          </w:p>
        </w:tc>
        <w:tc>
          <w:tcPr>
            <w:tcW w:w="0" w:type="auto"/>
            <w:hideMark/>
          </w:tcPr>
          <w:p w14:paraId="4B4BDD3C" w14:textId="77777777" w:rsidR="0074392D" w:rsidRPr="00FF119C" w:rsidRDefault="0074392D" w:rsidP="00DE7B71">
            <w:pPr>
              <w:pStyle w:val="NormalWeb"/>
              <w:jc w:val="center"/>
              <w:rPr>
                <w:sz w:val="18"/>
                <w:szCs w:val="18"/>
              </w:rPr>
            </w:pPr>
            <w:r w:rsidRPr="00FF119C">
              <w:rPr>
                <w:sz w:val="18"/>
                <w:szCs w:val="18"/>
              </w:rPr>
              <w:t>5.8</w:t>
            </w:r>
          </w:p>
        </w:tc>
        <w:tc>
          <w:tcPr>
            <w:tcW w:w="0" w:type="auto"/>
            <w:hideMark/>
          </w:tcPr>
          <w:p w14:paraId="38731B3E" w14:textId="77777777" w:rsidR="0074392D" w:rsidRPr="00FF119C" w:rsidRDefault="0074392D" w:rsidP="00DE7B71">
            <w:pPr>
              <w:pStyle w:val="NormalWeb"/>
              <w:jc w:val="center"/>
              <w:rPr>
                <w:sz w:val="18"/>
                <w:szCs w:val="18"/>
              </w:rPr>
            </w:pPr>
            <w:r w:rsidRPr="00FF119C">
              <w:rPr>
                <w:sz w:val="18"/>
                <w:szCs w:val="18"/>
              </w:rPr>
              <w:t>2.8</w:t>
            </w:r>
          </w:p>
        </w:tc>
        <w:tc>
          <w:tcPr>
            <w:tcW w:w="0" w:type="auto"/>
            <w:hideMark/>
          </w:tcPr>
          <w:p w14:paraId="32E8E833" w14:textId="77777777" w:rsidR="0074392D" w:rsidRPr="00FF119C" w:rsidRDefault="0074392D" w:rsidP="00DE7B71">
            <w:pPr>
              <w:pStyle w:val="NormalWeb"/>
              <w:jc w:val="center"/>
              <w:rPr>
                <w:sz w:val="18"/>
                <w:szCs w:val="18"/>
              </w:rPr>
            </w:pPr>
            <w:r w:rsidRPr="00FF119C">
              <w:rPr>
                <w:sz w:val="18"/>
                <w:szCs w:val="18"/>
              </w:rPr>
              <w:t>-3.0</w:t>
            </w:r>
          </w:p>
        </w:tc>
        <w:tc>
          <w:tcPr>
            <w:tcW w:w="0" w:type="auto"/>
            <w:hideMark/>
          </w:tcPr>
          <w:p w14:paraId="2C20BBBA" w14:textId="77777777" w:rsidR="0074392D" w:rsidRPr="00FF119C" w:rsidRDefault="0074392D" w:rsidP="00DE7B71">
            <w:pPr>
              <w:pStyle w:val="NormalWeb"/>
              <w:jc w:val="center"/>
              <w:rPr>
                <w:sz w:val="18"/>
                <w:szCs w:val="18"/>
              </w:rPr>
            </w:pPr>
            <w:r w:rsidRPr="00FF119C">
              <w:rPr>
                <w:sz w:val="18"/>
                <w:szCs w:val="18"/>
              </w:rPr>
              <w:t>-51.7</w:t>
            </w:r>
          </w:p>
        </w:tc>
        <w:tc>
          <w:tcPr>
            <w:tcW w:w="0" w:type="auto"/>
            <w:hideMark/>
          </w:tcPr>
          <w:p w14:paraId="7ECEA82E" w14:textId="77777777" w:rsidR="0074392D" w:rsidRPr="00FF119C" w:rsidRDefault="0074392D" w:rsidP="00DE7B71">
            <w:pPr>
              <w:pStyle w:val="NormalWeb"/>
              <w:jc w:val="center"/>
              <w:rPr>
                <w:sz w:val="18"/>
                <w:szCs w:val="18"/>
              </w:rPr>
            </w:pPr>
            <w:r w:rsidRPr="00FF119C">
              <w:rPr>
                <w:sz w:val="18"/>
                <w:szCs w:val="18"/>
              </w:rPr>
              <w:t>8.1</w:t>
            </w:r>
          </w:p>
        </w:tc>
        <w:tc>
          <w:tcPr>
            <w:tcW w:w="0" w:type="auto"/>
            <w:hideMark/>
          </w:tcPr>
          <w:p w14:paraId="5916F634" w14:textId="77777777" w:rsidR="0074392D" w:rsidRPr="00FF119C" w:rsidRDefault="0074392D" w:rsidP="00DE7B71">
            <w:pPr>
              <w:pStyle w:val="NormalWeb"/>
              <w:jc w:val="center"/>
              <w:rPr>
                <w:sz w:val="18"/>
                <w:szCs w:val="18"/>
              </w:rPr>
            </w:pPr>
            <w:r w:rsidRPr="00FF119C">
              <w:rPr>
                <w:sz w:val="18"/>
                <w:szCs w:val="18"/>
              </w:rPr>
              <w:t>6.2</w:t>
            </w:r>
          </w:p>
        </w:tc>
        <w:tc>
          <w:tcPr>
            <w:tcW w:w="0" w:type="auto"/>
            <w:hideMark/>
          </w:tcPr>
          <w:p w14:paraId="60F00EB7" w14:textId="77777777" w:rsidR="0074392D" w:rsidRPr="00FF119C" w:rsidRDefault="0074392D" w:rsidP="00DE7B71">
            <w:pPr>
              <w:pStyle w:val="NormalWeb"/>
              <w:jc w:val="center"/>
              <w:rPr>
                <w:sz w:val="18"/>
                <w:szCs w:val="18"/>
              </w:rPr>
            </w:pPr>
            <w:r w:rsidRPr="00FF119C">
              <w:rPr>
                <w:sz w:val="18"/>
                <w:szCs w:val="18"/>
              </w:rPr>
              <w:t>-1.9</w:t>
            </w:r>
          </w:p>
        </w:tc>
        <w:tc>
          <w:tcPr>
            <w:tcW w:w="1291" w:type="dxa"/>
            <w:hideMark/>
          </w:tcPr>
          <w:p w14:paraId="74717CE9" w14:textId="77777777" w:rsidR="0074392D" w:rsidRPr="00FF119C" w:rsidRDefault="0074392D" w:rsidP="00DE7B71">
            <w:pPr>
              <w:pStyle w:val="NormalWeb"/>
              <w:jc w:val="center"/>
              <w:rPr>
                <w:sz w:val="18"/>
                <w:szCs w:val="18"/>
              </w:rPr>
            </w:pPr>
            <w:r w:rsidRPr="00FF119C">
              <w:rPr>
                <w:sz w:val="18"/>
                <w:szCs w:val="18"/>
              </w:rPr>
              <w:t>-23.5</w:t>
            </w:r>
          </w:p>
        </w:tc>
        <w:tc>
          <w:tcPr>
            <w:tcW w:w="1134" w:type="dxa"/>
            <w:hideMark/>
          </w:tcPr>
          <w:p w14:paraId="40D1EF34" w14:textId="77777777" w:rsidR="0074392D" w:rsidRPr="00FF119C" w:rsidRDefault="0074392D" w:rsidP="00DE7B71">
            <w:pPr>
              <w:pStyle w:val="NormalWeb"/>
              <w:jc w:val="center"/>
              <w:rPr>
                <w:sz w:val="18"/>
                <w:szCs w:val="18"/>
              </w:rPr>
            </w:pPr>
            <w:r w:rsidRPr="00FF119C">
              <w:rPr>
                <w:sz w:val="18"/>
                <w:szCs w:val="18"/>
              </w:rPr>
              <w:t>8.4</w:t>
            </w:r>
          </w:p>
        </w:tc>
        <w:tc>
          <w:tcPr>
            <w:tcW w:w="708" w:type="dxa"/>
            <w:hideMark/>
          </w:tcPr>
          <w:p w14:paraId="50D281C5" w14:textId="77777777" w:rsidR="0074392D" w:rsidRPr="00FF119C" w:rsidRDefault="0074392D" w:rsidP="00DE7B71">
            <w:pPr>
              <w:pStyle w:val="NormalWeb"/>
              <w:jc w:val="center"/>
              <w:rPr>
                <w:sz w:val="18"/>
                <w:szCs w:val="18"/>
              </w:rPr>
            </w:pPr>
            <w:r w:rsidRPr="00FF119C">
              <w:rPr>
                <w:sz w:val="18"/>
                <w:szCs w:val="18"/>
              </w:rPr>
              <w:t>5.2</w:t>
            </w:r>
          </w:p>
        </w:tc>
        <w:tc>
          <w:tcPr>
            <w:tcW w:w="1560" w:type="dxa"/>
            <w:hideMark/>
          </w:tcPr>
          <w:p w14:paraId="36C94147" w14:textId="77777777" w:rsidR="0074392D" w:rsidRPr="00FF119C" w:rsidRDefault="0074392D" w:rsidP="00DE7B71">
            <w:pPr>
              <w:pStyle w:val="NormalWeb"/>
              <w:jc w:val="center"/>
              <w:rPr>
                <w:sz w:val="18"/>
                <w:szCs w:val="18"/>
              </w:rPr>
            </w:pPr>
            <w:r w:rsidRPr="00FF119C">
              <w:rPr>
                <w:sz w:val="18"/>
                <w:szCs w:val="18"/>
              </w:rPr>
              <w:t>-3.2</w:t>
            </w:r>
          </w:p>
        </w:tc>
        <w:tc>
          <w:tcPr>
            <w:tcW w:w="1473" w:type="dxa"/>
            <w:hideMark/>
          </w:tcPr>
          <w:p w14:paraId="61DA0B0C" w14:textId="77777777" w:rsidR="0074392D" w:rsidRPr="00FF119C" w:rsidRDefault="0074392D" w:rsidP="00DE7B71">
            <w:pPr>
              <w:pStyle w:val="NormalWeb"/>
              <w:jc w:val="center"/>
              <w:rPr>
                <w:sz w:val="18"/>
                <w:szCs w:val="18"/>
              </w:rPr>
            </w:pPr>
            <w:r w:rsidRPr="00FF119C">
              <w:rPr>
                <w:sz w:val="18"/>
                <w:szCs w:val="18"/>
              </w:rPr>
              <w:t>-38.1</w:t>
            </w:r>
          </w:p>
        </w:tc>
      </w:tr>
      <w:tr w:rsidR="0074392D" w:rsidRPr="00FF119C" w14:paraId="7A622B70" w14:textId="77777777" w:rsidTr="0074392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F6506D0" w14:textId="77777777" w:rsidR="0074392D" w:rsidRPr="00FF119C" w:rsidRDefault="0074392D" w:rsidP="00DE7B71">
            <w:pPr>
              <w:pStyle w:val="NormalWeb"/>
              <w:rPr>
                <w:sz w:val="18"/>
                <w:szCs w:val="18"/>
              </w:rPr>
            </w:pPr>
            <w:r w:rsidRPr="00FF119C">
              <w:rPr>
                <w:sz w:val="18"/>
                <w:szCs w:val="18"/>
              </w:rPr>
              <w:t>Apr</w:t>
            </w:r>
          </w:p>
        </w:tc>
        <w:tc>
          <w:tcPr>
            <w:tcW w:w="0" w:type="auto"/>
            <w:hideMark/>
          </w:tcPr>
          <w:p w14:paraId="01C32698" w14:textId="77777777" w:rsidR="0074392D" w:rsidRPr="00FF119C" w:rsidRDefault="0074392D" w:rsidP="00DE7B71">
            <w:pPr>
              <w:pStyle w:val="NormalWeb"/>
              <w:jc w:val="center"/>
              <w:rPr>
                <w:sz w:val="18"/>
                <w:szCs w:val="18"/>
              </w:rPr>
            </w:pPr>
            <w:r w:rsidRPr="00FF119C">
              <w:rPr>
                <w:sz w:val="18"/>
                <w:szCs w:val="18"/>
              </w:rPr>
              <w:t>4.6</w:t>
            </w:r>
          </w:p>
        </w:tc>
        <w:tc>
          <w:tcPr>
            <w:tcW w:w="0" w:type="auto"/>
            <w:hideMark/>
          </w:tcPr>
          <w:p w14:paraId="36AC3E35" w14:textId="77777777" w:rsidR="0074392D" w:rsidRPr="00FF119C" w:rsidRDefault="0074392D" w:rsidP="00DE7B71">
            <w:pPr>
              <w:pStyle w:val="NormalWeb"/>
              <w:jc w:val="center"/>
              <w:rPr>
                <w:sz w:val="18"/>
                <w:szCs w:val="18"/>
              </w:rPr>
            </w:pPr>
            <w:r w:rsidRPr="00FF119C">
              <w:rPr>
                <w:sz w:val="18"/>
                <w:szCs w:val="18"/>
              </w:rPr>
              <w:t>1.6</w:t>
            </w:r>
          </w:p>
        </w:tc>
        <w:tc>
          <w:tcPr>
            <w:tcW w:w="0" w:type="auto"/>
            <w:hideMark/>
          </w:tcPr>
          <w:p w14:paraId="08DB3873" w14:textId="77777777" w:rsidR="0074392D" w:rsidRPr="00FF119C" w:rsidRDefault="0074392D" w:rsidP="00DE7B71">
            <w:pPr>
              <w:pStyle w:val="NormalWeb"/>
              <w:jc w:val="center"/>
              <w:rPr>
                <w:sz w:val="18"/>
                <w:szCs w:val="18"/>
              </w:rPr>
            </w:pPr>
            <w:r w:rsidRPr="00FF119C">
              <w:rPr>
                <w:sz w:val="18"/>
                <w:szCs w:val="18"/>
              </w:rPr>
              <w:t>-3.0</w:t>
            </w:r>
          </w:p>
        </w:tc>
        <w:tc>
          <w:tcPr>
            <w:tcW w:w="0" w:type="auto"/>
            <w:hideMark/>
          </w:tcPr>
          <w:p w14:paraId="5D1138F1" w14:textId="77777777" w:rsidR="0074392D" w:rsidRPr="00FF119C" w:rsidRDefault="0074392D" w:rsidP="00DE7B71">
            <w:pPr>
              <w:pStyle w:val="NormalWeb"/>
              <w:jc w:val="center"/>
              <w:rPr>
                <w:sz w:val="18"/>
                <w:szCs w:val="18"/>
              </w:rPr>
            </w:pPr>
            <w:r w:rsidRPr="00FF119C">
              <w:rPr>
                <w:sz w:val="18"/>
                <w:szCs w:val="18"/>
              </w:rPr>
              <w:t>-65.2</w:t>
            </w:r>
          </w:p>
        </w:tc>
        <w:tc>
          <w:tcPr>
            <w:tcW w:w="0" w:type="auto"/>
            <w:hideMark/>
          </w:tcPr>
          <w:p w14:paraId="78C252FC" w14:textId="77777777" w:rsidR="0074392D" w:rsidRPr="00FF119C" w:rsidRDefault="0074392D" w:rsidP="00DE7B71">
            <w:pPr>
              <w:pStyle w:val="NormalWeb"/>
              <w:jc w:val="center"/>
              <w:rPr>
                <w:sz w:val="18"/>
                <w:szCs w:val="18"/>
              </w:rPr>
            </w:pPr>
            <w:r w:rsidRPr="00FF119C">
              <w:rPr>
                <w:sz w:val="18"/>
                <w:szCs w:val="18"/>
              </w:rPr>
              <w:t>7.2</w:t>
            </w:r>
          </w:p>
        </w:tc>
        <w:tc>
          <w:tcPr>
            <w:tcW w:w="0" w:type="auto"/>
            <w:hideMark/>
          </w:tcPr>
          <w:p w14:paraId="51F67ACB" w14:textId="77777777" w:rsidR="0074392D" w:rsidRPr="00FF119C" w:rsidRDefault="0074392D" w:rsidP="00DE7B71">
            <w:pPr>
              <w:pStyle w:val="NormalWeb"/>
              <w:jc w:val="center"/>
              <w:rPr>
                <w:sz w:val="18"/>
                <w:szCs w:val="18"/>
              </w:rPr>
            </w:pPr>
            <w:r w:rsidRPr="00FF119C">
              <w:rPr>
                <w:sz w:val="18"/>
                <w:szCs w:val="18"/>
              </w:rPr>
              <w:t>6.5</w:t>
            </w:r>
          </w:p>
        </w:tc>
        <w:tc>
          <w:tcPr>
            <w:tcW w:w="0" w:type="auto"/>
            <w:hideMark/>
          </w:tcPr>
          <w:p w14:paraId="77D1914A" w14:textId="77777777" w:rsidR="0074392D" w:rsidRPr="00FF119C" w:rsidRDefault="0074392D" w:rsidP="00DE7B71">
            <w:pPr>
              <w:pStyle w:val="NormalWeb"/>
              <w:jc w:val="center"/>
              <w:rPr>
                <w:sz w:val="18"/>
                <w:szCs w:val="18"/>
              </w:rPr>
            </w:pPr>
            <w:r w:rsidRPr="00FF119C">
              <w:rPr>
                <w:sz w:val="18"/>
                <w:szCs w:val="18"/>
              </w:rPr>
              <w:t>-0.7</w:t>
            </w:r>
          </w:p>
        </w:tc>
        <w:tc>
          <w:tcPr>
            <w:tcW w:w="1291" w:type="dxa"/>
            <w:hideMark/>
          </w:tcPr>
          <w:p w14:paraId="3DBFB207" w14:textId="77777777" w:rsidR="0074392D" w:rsidRPr="00FF119C" w:rsidRDefault="0074392D" w:rsidP="00DE7B71">
            <w:pPr>
              <w:pStyle w:val="NormalWeb"/>
              <w:jc w:val="center"/>
              <w:rPr>
                <w:sz w:val="18"/>
                <w:szCs w:val="18"/>
              </w:rPr>
            </w:pPr>
            <w:r w:rsidRPr="00FF119C">
              <w:rPr>
                <w:sz w:val="18"/>
                <w:szCs w:val="18"/>
              </w:rPr>
              <w:t>-9.7</w:t>
            </w:r>
          </w:p>
        </w:tc>
        <w:tc>
          <w:tcPr>
            <w:tcW w:w="1134" w:type="dxa"/>
            <w:hideMark/>
          </w:tcPr>
          <w:p w14:paraId="7E1D90FA" w14:textId="77777777" w:rsidR="0074392D" w:rsidRPr="00FF119C" w:rsidRDefault="0074392D" w:rsidP="00DE7B71">
            <w:pPr>
              <w:pStyle w:val="NormalWeb"/>
              <w:jc w:val="center"/>
              <w:rPr>
                <w:sz w:val="18"/>
                <w:szCs w:val="18"/>
              </w:rPr>
            </w:pPr>
            <w:r w:rsidRPr="00FF119C">
              <w:rPr>
                <w:sz w:val="18"/>
                <w:szCs w:val="18"/>
              </w:rPr>
              <w:t>6.3</w:t>
            </w:r>
          </w:p>
        </w:tc>
        <w:tc>
          <w:tcPr>
            <w:tcW w:w="708" w:type="dxa"/>
            <w:hideMark/>
          </w:tcPr>
          <w:p w14:paraId="4F4FD03D" w14:textId="77777777" w:rsidR="0074392D" w:rsidRPr="00FF119C" w:rsidRDefault="0074392D" w:rsidP="00DE7B71">
            <w:pPr>
              <w:pStyle w:val="NormalWeb"/>
              <w:jc w:val="center"/>
              <w:rPr>
                <w:sz w:val="18"/>
                <w:szCs w:val="18"/>
              </w:rPr>
            </w:pPr>
            <w:r w:rsidRPr="00FF119C">
              <w:rPr>
                <w:sz w:val="18"/>
                <w:szCs w:val="18"/>
              </w:rPr>
              <w:t>3.3</w:t>
            </w:r>
          </w:p>
        </w:tc>
        <w:tc>
          <w:tcPr>
            <w:tcW w:w="1560" w:type="dxa"/>
            <w:hideMark/>
          </w:tcPr>
          <w:p w14:paraId="43F49318" w14:textId="77777777" w:rsidR="0074392D" w:rsidRPr="00FF119C" w:rsidRDefault="0074392D" w:rsidP="00DE7B71">
            <w:pPr>
              <w:pStyle w:val="NormalWeb"/>
              <w:jc w:val="center"/>
              <w:rPr>
                <w:sz w:val="18"/>
                <w:szCs w:val="18"/>
              </w:rPr>
            </w:pPr>
            <w:r w:rsidRPr="00FF119C">
              <w:rPr>
                <w:sz w:val="18"/>
                <w:szCs w:val="18"/>
              </w:rPr>
              <w:t>-3.0</w:t>
            </w:r>
          </w:p>
        </w:tc>
        <w:tc>
          <w:tcPr>
            <w:tcW w:w="1473" w:type="dxa"/>
            <w:hideMark/>
          </w:tcPr>
          <w:p w14:paraId="18BBDEE1" w14:textId="77777777" w:rsidR="0074392D" w:rsidRPr="00FF119C" w:rsidRDefault="0074392D" w:rsidP="00DE7B71">
            <w:pPr>
              <w:pStyle w:val="NormalWeb"/>
              <w:jc w:val="center"/>
              <w:rPr>
                <w:sz w:val="18"/>
                <w:szCs w:val="18"/>
              </w:rPr>
            </w:pPr>
            <w:r w:rsidRPr="00FF119C">
              <w:rPr>
                <w:sz w:val="18"/>
                <w:szCs w:val="18"/>
              </w:rPr>
              <w:t>-47.6</w:t>
            </w:r>
          </w:p>
        </w:tc>
      </w:tr>
      <w:tr w:rsidR="0074392D" w:rsidRPr="00FF119C" w14:paraId="415E7647" w14:textId="77777777" w:rsidTr="0074392D">
        <w:tblPrEx>
          <w:tblCellMar>
            <w:top w:w="57" w:type="dxa"/>
            <w:left w:w="57" w:type="dxa"/>
            <w:bottom w:w="57" w:type="dxa"/>
            <w:right w:w="57" w:type="dxa"/>
          </w:tblCellMar>
        </w:tblPrEx>
        <w:tc>
          <w:tcPr>
            <w:tcW w:w="0" w:type="auto"/>
            <w:hideMark/>
          </w:tcPr>
          <w:p w14:paraId="23294F64" w14:textId="77777777" w:rsidR="0074392D" w:rsidRPr="00FF119C" w:rsidRDefault="0074392D" w:rsidP="00DE7B71">
            <w:pPr>
              <w:pStyle w:val="NormalWeb"/>
              <w:rPr>
                <w:sz w:val="18"/>
                <w:szCs w:val="18"/>
              </w:rPr>
            </w:pPr>
            <w:r w:rsidRPr="00FF119C">
              <w:rPr>
                <w:sz w:val="18"/>
                <w:szCs w:val="18"/>
              </w:rPr>
              <w:t>May</w:t>
            </w:r>
          </w:p>
        </w:tc>
        <w:tc>
          <w:tcPr>
            <w:tcW w:w="0" w:type="auto"/>
            <w:hideMark/>
          </w:tcPr>
          <w:p w14:paraId="02D771CB" w14:textId="77777777" w:rsidR="0074392D" w:rsidRPr="00FF119C" w:rsidRDefault="0074392D" w:rsidP="00DE7B71">
            <w:pPr>
              <w:pStyle w:val="NormalWeb"/>
              <w:jc w:val="center"/>
              <w:rPr>
                <w:sz w:val="18"/>
                <w:szCs w:val="18"/>
              </w:rPr>
            </w:pPr>
            <w:r w:rsidRPr="00FF119C">
              <w:rPr>
                <w:sz w:val="18"/>
                <w:szCs w:val="18"/>
              </w:rPr>
              <w:t>4.4</w:t>
            </w:r>
          </w:p>
        </w:tc>
        <w:tc>
          <w:tcPr>
            <w:tcW w:w="0" w:type="auto"/>
            <w:hideMark/>
          </w:tcPr>
          <w:p w14:paraId="1E3530A5" w14:textId="77777777" w:rsidR="0074392D" w:rsidRPr="00FF119C" w:rsidRDefault="0074392D" w:rsidP="00DE7B71">
            <w:pPr>
              <w:pStyle w:val="NormalWeb"/>
              <w:jc w:val="center"/>
              <w:rPr>
                <w:sz w:val="18"/>
                <w:szCs w:val="18"/>
              </w:rPr>
            </w:pPr>
            <w:r w:rsidRPr="00FF119C">
              <w:rPr>
                <w:sz w:val="18"/>
                <w:szCs w:val="18"/>
              </w:rPr>
              <w:t>2.3</w:t>
            </w:r>
          </w:p>
        </w:tc>
        <w:tc>
          <w:tcPr>
            <w:tcW w:w="0" w:type="auto"/>
            <w:hideMark/>
          </w:tcPr>
          <w:p w14:paraId="7997F0BF" w14:textId="77777777" w:rsidR="0074392D" w:rsidRPr="00FF119C" w:rsidRDefault="0074392D" w:rsidP="00DE7B71">
            <w:pPr>
              <w:pStyle w:val="NormalWeb"/>
              <w:jc w:val="center"/>
              <w:rPr>
                <w:sz w:val="18"/>
                <w:szCs w:val="18"/>
              </w:rPr>
            </w:pPr>
            <w:r w:rsidRPr="00FF119C">
              <w:rPr>
                <w:sz w:val="18"/>
                <w:szCs w:val="18"/>
              </w:rPr>
              <w:t>-2.1</w:t>
            </w:r>
          </w:p>
        </w:tc>
        <w:tc>
          <w:tcPr>
            <w:tcW w:w="0" w:type="auto"/>
            <w:hideMark/>
          </w:tcPr>
          <w:p w14:paraId="54FBD92E" w14:textId="77777777" w:rsidR="0074392D" w:rsidRPr="00FF119C" w:rsidRDefault="0074392D" w:rsidP="00DE7B71">
            <w:pPr>
              <w:pStyle w:val="NormalWeb"/>
              <w:jc w:val="center"/>
              <w:rPr>
                <w:sz w:val="18"/>
                <w:szCs w:val="18"/>
              </w:rPr>
            </w:pPr>
            <w:r w:rsidRPr="00FF119C">
              <w:rPr>
                <w:sz w:val="18"/>
                <w:szCs w:val="18"/>
              </w:rPr>
              <w:t>-47.7</w:t>
            </w:r>
          </w:p>
        </w:tc>
        <w:tc>
          <w:tcPr>
            <w:tcW w:w="0" w:type="auto"/>
            <w:hideMark/>
          </w:tcPr>
          <w:p w14:paraId="5CC7950C" w14:textId="77777777" w:rsidR="0074392D" w:rsidRPr="00FF119C" w:rsidRDefault="0074392D" w:rsidP="00DE7B71">
            <w:pPr>
              <w:pStyle w:val="NormalWeb"/>
              <w:jc w:val="center"/>
              <w:rPr>
                <w:sz w:val="18"/>
                <w:szCs w:val="18"/>
              </w:rPr>
            </w:pPr>
            <w:r w:rsidRPr="00FF119C">
              <w:rPr>
                <w:sz w:val="18"/>
                <w:szCs w:val="18"/>
              </w:rPr>
              <w:t>7.0</w:t>
            </w:r>
          </w:p>
        </w:tc>
        <w:tc>
          <w:tcPr>
            <w:tcW w:w="0" w:type="auto"/>
            <w:hideMark/>
          </w:tcPr>
          <w:p w14:paraId="6FADD74E" w14:textId="77777777" w:rsidR="0074392D" w:rsidRPr="00FF119C" w:rsidRDefault="0074392D" w:rsidP="00DE7B71">
            <w:pPr>
              <w:pStyle w:val="NormalWeb"/>
              <w:jc w:val="center"/>
              <w:rPr>
                <w:sz w:val="18"/>
                <w:szCs w:val="18"/>
              </w:rPr>
            </w:pPr>
            <w:r w:rsidRPr="00FF119C">
              <w:rPr>
                <w:sz w:val="18"/>
                <w:szCs w:val="18"/>
              </w:rPr>
              <w:t>5.7</w:t>
            </w:r>
          </w:p>
        </w:tc>
        <w:tc>
          <w:tcPr>
            <w:tcW w:w="0" w:type="auto"/>
            <w:hideMark/>
          </w:tcPr>
          <w:p w14:paraId="7B29C564" w14:textId="77777777" w:rsidR="0074392D" w:rsidRPr="00FF119C" w:rsidRDefault="0074392D" w:rsidP="00DE7B71">
            <w:pPr>
              <w:pStyle w:val="NormalWeb"/>
              <w:jc w:val="center"/>
              <w:rPr>
                <w:sz w:val="18"/>
                <w:szCs w:val="18"/>
              </w:rPr>
            </w:pPr>
            <w:r w:rsidRPr="00FF119C">
              <w:rPr>
                <w:sz w:val="18"/>
                <w:szCs w:val="18"/>
              </w:rPr>
              <w:t>-1.3</w:t>
            </w:r>
          </w:p>
        </w:tc>
        <w:tc>
          <w:tcPr>
            <w:tcW w:w="1291" w:type="dxa"/>
            <w:hideMark/>
          </w:tcPr>
          <w:p w14:paraId="0C86897D" w14:textId="77777777" w:rsidR="0074392D" w:rsidRPr="00FF119C" w:rsidRDefault="0074392D" w:rsidP="00DE7B71">
            <w:pPr>
              <w:pStyle w:val="NormalWeb"/>
              <w:jc w:val="center"/>
              <w:rPr>
                <w:sz w:val="18"/>
                <w:szCs w:val="18"/>
              </w:rPr>
            </w:pPr>
            <w:r w:rsidRPr="00FF119C">
              <w:rPr>
                <w:sz w:val="18"/>
                <w:szCs w:val="18"/>
              </w:rPr>
              <w:t>-18.6</w:t>
            </w:r>
          </w:p>
        </w:tc>
        <w:tc>
          <w:tcPr>
            <w:tcW w:w="1134" w:type="dxa"/>
            <w:hideMark/>
          </w:tcPr>
          <w:p w14:paraId="20553324" w14:textId="77777777" w:rsidR="0074392D" w:rsidRPr="00FF119C" w:rsidRDefault="0074392D" w:rsidP="00DE7B71">
            <w:pPr>
              <w:pStyle w:val="NormalWeb"/>
              <w:jc w:val="center"/>
              <w:rPr>
                <w:sz w:val="18"/>
                <w:szCs w:val="18"/>
              </w:rPr>
            </w:pPr>
            <w:r w:rsidRPr="00FF119C">
              <w:rPr>
                <w:sz w:val="18"/>
                <w:szCs w:val="18"/>
              </w:rPr>
              <w:t>5.5</w:t>
            </w:r>
          </w:p>
        </w:tc>
        <w:tc>
          <w:tcPr>
            <w:tcW w:w="708" w:type="dxa"/>
            <w:hideMark/>
          </w:tcPr>
          <w:p w14:paraId="7F979E6D" w14:textId="77777777" w:rsidR="0074392D" w:rsidRPr="00FF119C" w:rsidRDefault="0074392D" w:rsidP="00DE7B71">
            <w:pPr>
              <w:pStyle w:val="NormalWeb"/>
              <w:jc w:val="center"/>
              <w:rPr>
                <w:sz w:val="18"/>
                <w:szCs w:val="18"/>
              </w:rPr>
            </w:pPr>
            <w:r w:rsidRPr="00FF119C">
              <w:rPr>
                <w:sz w:val="18"/>
                <w:szCs w:val="18"/>
              </w:rPr>
              <w:t>3.4</w:t>
            </w:r>
          </w:p>
        </w:tc>
        <w:tc>
          <w:tcPr>
            <w:tcW w:w="1560" w:type="dxa"/>
            <w:hideMark/>
          </w:tcPr>
          <w:p w14:paraId="76A5BE32" w14:textId="77777777" w:rsidR="0074392D" w:rsidRPr="00FF119C" w:rsidRDefault="0074392D" w:rsidP="00DE7B71">
            <w:pPr>
              <w:pStyle w:val="NormalWeb"/>
              <w:jc w:val="center"/>
              <w:rPr>
                <w:sz w:val="18"/>
                <w:szCs w:val="18"/>
              </w:rPr>
            </w:pPr>
            <w:r w:rsidRPr="00FF119C">
              <w:rPr>
                <w:sz w:val="18"/>
                <w:szCs w:val="18"/>
              </w:rPr>
              <w:t>-2.1</w:t>
            </w:r>
          </w:p>
        </w:tc>
        <w:tc>
          <w:tcPr>
            <w:tcW w:w="1473" w:type="dxa"/>
            <w:hideMark/>
          </w:tcPr>
          <w:p w14:paraId="4F7E7515" w14:textId="77777777" w:rsidR="0074392D" w:rsidRPr="00FF119C" w:rsidRDefault="0074392D" w:rsidP="00DE7B71">
            <w:pPr>
              <w:pStyle w:val="NormalWeb"/>
              <w:jc w:val="center"/>
              <w:rPr>
                <w:sz w:val="18"/>
                <w:szCs w:val="18"/>
              </w:rPr>
            </w:pPr>
            <w:r w:rsidRPr="00FF119C">
              <w:rPr>
                <w:sz w:val="18"/>
                <w:szCs w:val="18"/>
              </w:rPr>
              <w:t>-38.2</w:t>
            </w:r>
          </w:p>
        </w:tc>
      </w:tr>
      <w:tr w:rsidR="0074392D" w:rsidRPr="00FF119C" w14:paraId="3FAAA9E2" w14:textId="77777777" w:rsidTr="0074392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FEC5EDA" w14:textId="77777777" w:rsidR="0074392D" w:rsidRPr="00FF119C" w:rsidRDefault="0074392D" w:rsidP="00DE7B71">
            <w:pPr>
              <w:pStyle w:val="NormalWeb"/>
              <w:rPr>
                <w:sz w:val="18"/>
                <w:szCs w:val="18"/>
              </w:rPr>
            </w:pPr>
            <w:r w:rsidRPr="00FF119C">
              <w:rPr>
                <w:sz w:val="18"/>
                <w:szCs w:val="18"/>
              </w:rPr>
              <w:t>Jun</w:t>
            </w:r>
          </w:p>
        </w:tc>
        <w:tc>
          <w:tcPr>
            <w:tcW w:w="0" w:type="auto"/>
            <w:hideMark/>
          </w:tcPr>
          <w:p w14:paraId="09FFC1F7" w14:textId="77777777" w:rsidR="0074392D" w:rsidRPr="00FF119C" w:rsidRDefault="0074392D" w:rsidP="00DE7B71">
            <w:pPr>
              <w:pStyle w:val="NormalWeb"/>
              <w:jc w:val="center"/>
              <w:rPr>
                <w:sz w:val="18"/>
                <w:szCs w:val="18"/>
              </w:rPr>
            </w:pPr>
            <w:r w:rsidRPr="00FF119C">
              <w:rPr>
                <w:sz w:val="18"/>
                <w:szCs w:val="18"/>
              </w:rPr>
              <w:t>3.2</w:t>
            </w:r>
          </w:p>
        </w:tc>
        <w:tc>
          <w:tcPr>
            <w:tcW w:w="0" w:type="auto"/>
            <w:hideMark/>
          </w:tcPr>
          <w:p w14:paraId="33C0E25E" w14:textId="77777777" w:rsidR="0074392D" w:rsidRPr="00FF119C" w:rsidRDefault="0074392D" w:rsidP="00DE7B71">
            <w:pPr>
              <w:pStyle w:val="NormalWeb"/>
              <w:jc w:val="center"/>
              <w:rPr>
                <w:sz w:val="18"/>
                <w:szCs w:val="18"/>
              </w:rPr>
            </w:pPr>
            <w:r w:rsidRPr="00FF119C">
              <w:rPr>
                <w:sz w:val="18"/>
                <w:szCs w:val="18"/>
              </w:rPr>
              <w:t>1.8</w:t>
            </w:r>
          </w:p>
        </w:tc>
        <w:tc>
          <w:tcPr>
            <w:tcW w:w="0" w:type="auto"/>
            <w:hideMark/>
          </w:tcPr>
          <w:p w14:paraId="09B90E7D" w14:textId="77777777" w:rsidR="0074392D" w:rsidRPr="00FF119C" w:rsidRDefault="0074392D" w:rsidP="00DE7B71">
            <w:pPr>
              <w:pStyle w:val="NormalWeb"/>
              <w:jc w:val="center"/>
              <w:rPr>
                <w:sz w:val="18"/>
                <w:szCs w:val="18"/>
              </w:rPr>
            </w:pPr>
            <w:r w:rsidRPr="00FF119C">
              <w:rPr>
                <w:sz w:val="18"/>
                <w:szCs w:val="18"/>
              </w:rPr>
              <w:t>-1.4</w:t>
            </w:r>
          </w:p>
        </w:tc>
        <w:tc>
          <w:tcPr>
            <w:tcW w:w="0" w:type="auto"/>
            <w:hideMark/>
          </w:tcPr>
          <w:p w14:paraId="1B6D78D3" w14:textId="77777777" w:rsidR="0074392D" w:rsidRPr="00FF119C" w:rsidRDefault="0074392D" w:rsidP="00DE7B71">
            <w:pPr>
              <w:pStyle w:val="NormalWeb"/>
              <w:jc w:val="center"/>
              <w:rPr>
                <w:sz w:val="18"/>
                <w:szCs w:val="18"/>
              </w:rPr>
            </w:pPr>
            <w:r w:rsidRPr="00FF119C">
              <w:rPr>
                <w:sz w:val="18"/>
                <w:szCs w:val="18"/>
              </w:rPr>
              <w:t>-43.8</w:t>
            </w:r>
          </w:p>
        </w:tc>
        <w:tc>
          <w:tcPr>
            <w:tcW w:w="0" w:type="auto"/>
            <w:hideMark/>
          </w:tcPr>
          <w:p w14:paraId="51C0FEF5" w14:textId="77777777" w:rsidR="0074392D" w:rsidRPr="00FF119C" w:rsidRDefault="0074392D" w:rsidP="00DE7B71">
            <w:pPr>
              <w:pStyle w:val="NormalWeb"/>
              <w:jc w:val="center"/>
              <w:rPr>
                <w:sz w:val="18"/>
                <w:szCs w:val="18"/>
              </w:rPr>
            </w:pPr>
            <w:r w:rsidRPr="00FF119C">
              <w:rPr>
                <w:sz w:val="18"/>
                <w:szCs w:val="18"/>
              </w:rPr>
              <w:t>4.8</w:t>
            </w:r>
          </w:p>
        </w:tc>
        <w:tc>
          <w:tcPr>
            <w:tcW w:w="0" w:type="auto"/>
            <w:hideMark/>
          </w:tcPr>
          <w:p w14:paraId="7401E1B4" w14:textId="77777777" w:rsidR="0074392D" w:rsidRPr="00FF119C" w:rsidRDefault="0074392D" w:rsidP="00DE7B71">
            <w:pPr>
              <w:pStyle w:val="NormalWeb"/>
              <w:jc w:val="center"/>
              <w:rPr>
                <w:sz w:val="18"/>
                <w:szCs w:val="18"/>
              </w:rPr>
            </w:pPr>
            <w:r w:rsidRPr="00FF119C">
              <w:rPr>
                <w:sz w:val="18"/>
                <w:szCs w:val="18"/>
              </w:rPr>
              <w:t>5.8</w:t>
            </w:r>
          </w:p>
        </w:tc>
        <w:tc>
          <w:tcPr>
            <w:tcW w:w="0" w:type="auto"/>
            <w:hideMark/>
          </w:tcPr>
          <w:p w14:paraId="073CBB64" w14:textId="77777777" w:rsidR="0074392D" w:rsidRPr="00FF119C" w:rsidRDefault="0074392D" w:rsidP="00DE7B71">
            <w:pPr>
              <w:pStyle w:val="NormalWeb"/>
              <w:jc w:val="center"/>
              <w:rPr>
                <w:sz w:val="18"/>
                <w:szCs w:val="18"/>
              </w:rPr>
            </w:pPr>
            <w:r w:rsidRPr="00FF119C">
              <w:rPr>
                <w:sz w:val="18"/>
                <w:szCs w:val="18"/>
              </w:rPr>
              <w:t>1.0</w:t>
            </w:r>
          </w:p>
        </w:tc>
        <w:tc>
          <w:tcPr>
            <w:tcW w:w="1291" w:type="dxa"/>
            <w:hideMark/>
          </w:tcPr>
          <w:p w14:paraId="3FEDAEB0" w14:textId="77777777" w:rsidR="0074392D" w:rsidRPr="00FF119C" w:rsidRDefault="0074392D" w:rsidP="00DE7B71">
            <w:pPr>
              <w:pStyle w:val="NormalWeb"/>
              <w:jc w:val="center"/>
              <w:rPr>
                <w:sz w:val="18"/>
                <w:szCs w:val="18"/>
              </w:rPr>
            </w:pPr>
            <w:r w:rsidRPr="00FF119C">
              <w:rPr>
                <w:sz w:val="18"/>
                <w:szCs w:val="18"/>
              </w:rPr>
              <w:t>20.8</w:t>
            </w:r>
          </w:p>
        </w:tc>
        <w:tc>
          <w:tcPr>
            <w:tcW w:w="1134" w:type="dxa"/>
            <w:hideMark/>
          </w:tcPr>
          <w:p w14:paraId="1C537B18" w14:textId="77777777" w:rsidR="0074392D" w:rsidRPr="00FF119C" w:rsidRDefault="0074392D" w:rsidP="00DE7B71">
            <w:pPr>
              <w:pStyle w:val="NormalWeb"/>
              <w:jc w:val="center"/>
              <w:rPr>
                <w:sz w:val="18"/>
                <w:szCs w:val="18"/>
              </w:rPr>
            </w:pPr>
            <w:r w:rsidRPr="00FF119C">
              <w:rPr>
                <w:sz w:val="18"/>
                <w:szCs w:val="18"/>
              </w:rPr>
              <w:t>3.9</w:t>
            </w:r>
          </w:p>
        </w:tc>
        <w:tc>
          <w:tcPr>
            <w:tcW w:w="708" w:type="dxa"/>
            <w:hideMark/>
          </w:tcPr>
          <w:p w14:paraId="49A60370" w14:textId="77777777" w:rsidR="0074392D" w:rsidRPr="00FF119C" w:rsidRDefault="0074392D" w:rsidP="00DE7B71">
            <w:pPr>
              <w:pStyle w:val="NormalWeb"/>
              <w:jc w:val="center"/>
              <w:rPr>
                <w:sz w:val="18"/>
                <w:szCs w:val="18"/>
              </w:rPr>
            </w:pPr>
            <w:r w:rsidRPr="00FF119C">
              <w:rPr>
                <w:sz w:val="18"/>
                <w:szCs w:val="18"/>
              </w:rPr>
              <w:t>2.7</w:t>
            </w:r>
          </w:p>
        </w:tc>
        <w:tc>
          <w:tcPr>
            <w:tcW w:w="1560" w:type="dxa"/>
            <w:hideMark/>
          </w:tcPr>
          <w:p w14:paraId="00DEB09D" w14:textId="77777777" w:rsidR="0074392D" w:rsidRPr="00FF119C" w:rsidRDefault="0074392D" w:rsidP="00DE7B71">
            <w:pPr>
              <w:pStyle w:val="NormalWeb"/>
              <w:jc w:val="center"/>
              <w:rPr>
                <w:sz w:val="18"/>
                <w:szCs w:val="18"/>
              </w:rPr>
            </w:pPr>
            <w:r w:rsidRPr="00FF119C">
              <w:rPr>
                <w:sz w:val="18"/>
                <w:szCs w:val="18"/>
              </w:rPr>
              <w:t>-1.2</w:t>
            </w:r>
          </w:p>
        </w:tc>
        <w:tc>
          <w:tcPr>
            <w:tcW w:w="1473" w:type="dxa"/>
            <w:hideMark/>
          </w:tcPr>
          <w:p w14:paraId="7A2A311A" w14:textId="77777777" w:rsidR="0074392D" w:rsidRPr="00FF119C" w:rsidRDefault="0074392D" w:rsidP="00DE7B71">
            <w:pPr>
              <w:pStyle w:val="NormalWeb"/>
              <w:jc w:val="center"/>
              <w:rPr>
                <w:sz w:val="18"/>
                <w:szCs w:val="18"/>
              </w:rPr>
            </w:pPr>
            <w:r w:rsidRPr="00FF119C">
              <w:rPr>
                <w:sz w:val="18"/>
                <w:szCs w:val="18"/>
              </w:rPr>
              <w:t>-30.8</w:t>
            </w:r>
          </w:p>
        </w:tc>
      </w:tr>
      <w:tr w:rsidR="0074392D" w:rsidRPr="00FF119C" w14:paraId="456DB0EB" w14:textId="77777777" w:rsidTr="0074392D">
        <w:tblPrEx>
          <w:tblCellMar>
            <w:top w:w="57" w:type="dxa"/>
            <w:left w:w="57" w:type="dxa"/>
            <w:bottom w:w="57" w:type="dxa"/>
            <w:right w:w="57" w:type="dxa"/>
          </w:tblCellMar>
        </w:tblPrEx>
        <w:tc>
          <w:tcPr>
            <w:tcW w:w="0" w:type="auto"/>
            <w:hideMark/>
          </w:tcPr>
          <w:p w14:paraId="114416A6" w14:textId="77777777" w:rsidR="0074392D" w:rsidRPr="00FF119C" w:rsidRDefault="0074392D" w:rsidP="00DE7B71">
            <w:pPr>
              <w:pStyle w:val="NormalWeb"/>
              <w:rPr>
                <w:sz w:val="18"/>
                <w:szCs w:val="18"/>
              </w:rPr>
            </w:pPr>
            <w:r w:rsidRPr="00FF119C">
              <w:rPr>
                <w:sz w:val="18"/>
                <w:szCs w:val="18"/>
              </w:rPr>
              <w:t>Jul</w:t>
            </w:r>
          </w:p>
        </w:tc>
        <w:tc>
          <w:tcPr>
            <w:tcW w:w="0" w:type="auto"/>
            <w:hideMark/>
          </w:tcPr>
          <w:p w14:paraId="7C25A615" w14:textId="77777777" w:rsidR="0074392D" w:rsidRPr="00FF119C" w:rsidRDefault="0074392D" w:rsidP="00DE7B71">
            <w:pPr>
              <w:pStyle w:val="NormalWeb"/>
              <w:jc w:val="center"/>
              <w:rPr>
                <w:sz w:val="18"/>
                <w:szCs w:val="18"/>
              </w:rPr>
            </w:pPr>
            <w:r w:rsidRPr="00FF119C">
              <w:rPr>
                <w:sz w:val="18"/>
                <w:szCs w:val="18"/>
              </w:rPr>
              <w:t>3.6</w:t>
            </w:r>
          </w:p>
        </w:tc>
        <w:tc>
          <w:tcPr>
            <w:tcW w:w="0" w:type="auto"/>
            <w:hideMark/>
          </w:tcPr>
          <w:p w14:paraId="4B617448" w14:textId="77777777" w:rsidR="0074392D" w:rsidRPr="00FF119C" w:rsidRDefault="0074392D" w:rsidP="00DE7B71">
            <w:pPr>
              <w:pStyle w:val="NormalWeb"/>
              <w:jc w:val="center"/>
              <w:rPr>
                <w:sz w:val="18"/>
                <w:szCs w:val="18"/>
              </w:rPr>
            </w:pPr>
            <w:r w:rsidRPr="00FF119C">
              <w:rPr>
                <w:sz w:val="18"/>
                <w:szCs w:val="18"/>
              </w:rPr>
              <w:t>1.0</w:t>
            </w:r>
          </w:p>
        </w:tc>
        <w:tc>
          <w:tcPr>
            <w:tcW w:w="0" w:type="auto"/>
            <w:hideMark/>
          </w:tcPr>
          <w:p w14:paraId="74B6C359" w14:textId="77777777" w:rsidR="0074392D" w:rsidRPr="00FF119C" w:rsidRDefault="0074392D" w:rsidP="00DE7B71">
            <w:pPr>
              <w:pStyle w:val="NormalWeb"/>
              <w:jc w:val="center"/>
              <w:rPr>
                <w:sz w:val="18"/>
                <w:szCs w:val="18"/>
              </w:rPr>
            </w:pPr>
            <w:r w:rsidRPr="00FF119C">
              <w:rPr>
                <w:sz w:val="18"/>
                <w:szCs w:val="18"/>
              </w:rPr>
              <w:t>-2.6</w:t>
            </w:r>
          </w:p>
        </w:tc>
        <w:tc>
          <w:tcPr>
            <w:tcW w:w="0" w:type="auto"/>
            <w:hideMark/>
          </w:tcPr>
          <w:p w14:paraId="22711B54" w14:textId="77777777" w:rsidR="0074392D" w:rsidRPr="00FF119C" w:rsidRDefault="0074392D" w:rsidP="00DE7B71">
            <w:pPr>
              <w:pStyle w:val="NormalWeb"/>
              <w:jc w:val="center"/>
              <w:rPr>
                <w:sz w:val="18"/>
                <w:szCs w:val="18"/>
              </w:rPr>
            </w:pPr>
            <w:r w:rsidRPr="00FF119C">
              <w:rPr>
                <w:sz w:val="18"/>
                <w:szCs w:val="18"/>
              </w:rPr>
              <w:t>-72.2</w:t>
            </w:r>
          </w:p>
        </w:tc>
        <w:tc>
          <w:tcPr>
            <w:tcW w:w="0" w:type="auto"/>
            <w:hideMark/>
          </w:tcPr>
          <w:p w14:paraId="683231DE" w14:textId="77777777" w:rsidR="0074392D" w:rsidRPr="00FF119C" w:rsidRDefault="0074392D" w:rsidP="00DE7B71">
            <w:pPr>
              <w:pStyle w:val="NormalWeb"/>
              <w:jc w:val="center"/>
              <w:rPr>
                <w:sz w:val="18"/>
                <w:szCs w:val="18"/>
              </w:rPr>
            </w:pPr>
            <w:r w:rsidRPr="00FF119C">
              <w:rPr>
                <w:sz w:val="18"/>
                <w:szCs w:val="18"/>
              </w:rPr>
              <w:t>5.9</w:t>
            </w:r>
          </w:p>
        </w:tc>
        <w:tc>
          <w:tcPr>
            <w:tcW w:w="0" w:type="auto"/>
            <w:hideMark/>
          </w:tcPr>
          <w:p w14:paraId="68AFEF02" w14:textId="77777777" w:rsidR="0074392D" w:rsidRPr="00FF119C" w:rsidRDefault="0074392D" w:rsidP="00DE7B71">
            <w:pPr>
              <w:pStyle w:val="NormalWeb"/>
              <w:jc w:val="center"/>
              <w:rPr>
                <w:sz w:val="18"/>
                <w:szCs w:val="18"/>
              </w:rPr>
            </w:pPr>
            <w:r w:rsidRPr="00FF119C">
              <w:rPr>
                <w:sz w:val="18"/>
                <w:szCs w:val="18"/>
              </w:rPr>
              <w:t>4.7</w:t>
            </w:r>
          </w:p>
        </w:tc>
        <w:tc>
          <w:tcPr>
            <w:tcW w:w="0" w:type="auto"/>
            <w:hideMark/>
          </w:tcPr>
          <w:p w14:paraId="40710601" w14:textId="77777777" w:rsidR="0074392D" w:rsidRPr="00FF119C" w:rsidRDefault="0074392D" w:rsidP="00DE7B71">
            <w:pPr>
              <w:pStyle w:val="NormalWeb"/>
              <w:jc w:val="center"/>
              <w:rPr>
                <w:sz w:val="18"/>
                <w:szCs w:val="18"/>
              </w:rPr>
            </w:pPr>
            <w:r w:rsidRPr="00FF119C">
              <w:rPr>
                <w:sz w:val="18"/>
                <w:szCs w:val="18"/>
              </w:rPr>
              <w:t>-1.2</w:t>
            </w:r>
          </w:p>
        </w:tc>
        <w:tc>
          <w:tcPr>
            <w:tcW w:w="1291" w:type="dxa"/>
            <w:hideMark/>
          </w:tcPr>
          <w:p w14:paraId="4B002BE1" w14:textId="77777777" w:rsidR="0074392D" w:rsidRPr="00FF119C" w:rsidRDefault="0074392D" w:rsidP="00DE7B71">
            <w:pPr>
              <w:pStyle w:val="NormalWeb"/>
              <w:jc w:val="center"/>
              <w:rPr>
                <w:sz w:val="18"/>
                <w:szCs w:val="18"/>
              </w:rPr>
            </w:pPr>
            <w:r w:rsidRPr="00FF119C">
              <w:rPr>
                <w:sz w:val="18"/>
                <w:szCs w:val="18"/>
              </w:rPr>
              <w:t>-20.3</w:t>
            </w:r>
          </w:p>
        </w:tc>
        <w:tc>
          <w:tcPr>
            <w:tcW w:w="1134" w:type="dxa"/>
            <w:hideMark/>
          </w:tcPr>
          <w:p w14:paraId="60A03692" w14:textId="77777777" w:rsidR="0074392D" w:rsidRPr="00FF119C" w:rsidRDefault="0074392D" w:rsidP="00DE7B71">
            <w:pPr>
              <w:pStyle w:val="NormalWeb"/>
              <w:jc w:val="center"/>
              <w:rPr>
                <w:sz w:val="18"/>
                <w:szCs w:val="18"/>
              </w:rPr>
            </w:pPr>
            <w:r w:rsidRPr="00FF119C">
              <w:rPr>
                <w:sz w:val="18"/>
                <w:szCs w:val="18"/>
              </w:rPr>
              <w:t>3.8</w:t>
            </w:r>
          </w:p>
        </w:tc>
        <w:tc>
          <w:tcPr>
            <w:tcW w:w="708" w:type="dxa"/>
            <w:hideMark/>
          </w:tcPr>
          <w:p w14:paraId="7D5A6517" w14:textId="77777777" w:rsidR="0074392D" w:rsidRPr="00FF119C" w:rsidRDefault="0074392D" w:rsidP="00DE7B71">
            <w:pPr>
              <w:pStyle w:val="NormalWeb"/>
              <w:jc w:val="center"/>
              <w:rPr>
                <w:sz w:val="18"/>
                <w:szCs w:val="18"/>
              </w:rPr>
            </w:pPr>
            <w:r w:rsidRPr="00FF119C">
              <w:rPr>
                <w:sz w:val="18"/>
                <w:szCs w:val="18"/>
              </w:rPr>
              <w:t>2.0</w:t>
            </w:r>
          </w:p>
        </w:tc>
        <w:tc>
          <w:tcPr>
            <w:tcW w:w="1560" w:type="dxa"/>
            <w:hideMark/>
          </w:tcPr>
          <w:p w14:paraId="0FE50C55" w14:textId="77777777" w:rsidR="0074392D" w:rsidRPr="00FF119C" w:rsidRDefault="0074392D" w:rsidP="00DE7B71">
            <w:pPr>
              <w:pStyle w:val="NormalWeb"/>
              <w:jc w:val="center"/>
              <w:rPr>
                <w:sz w:val="18"/>
                <w:szCs w:val="18"/>
              </w:rPr>
            </w:pPr>
            <w:r w:rsidRPr="00FF119C">
              <w:rPr>
                <w:sz w:val="18"/>
                <w:szCs w:val="18"/>
              </w:rPr>
              <w:t>-1.8</w:t>
            </w:r>
          </w:p>
        </w:tc>
        <w:tc>
          <w:tcPr>
            <w:tcW w:w="1473" w:type="dxa"/>
            <w:hideMark/>
          </w:tcPr>
          <w:p w14:paraId="6116DEC9" w14:textId="77777777" w:rsidR="0074392D" w:rsidRPr="00FF119C" w:rsidRDefault="0074392D" w:rsidP="00DE7B71">
            <w:pPr>
              <w:pStyle w:val="NormalWeb"/>
              <w:jc w:val="center"/>
              <w:rPr>
                <w:sz w:val="18"/>
                <w:szCs w:val="18"/>
              </w:rPr>
            </w:pPr>
            <w:r w:rsidRPr="00FF119C">
              <w:rPr>
                <w:sz w:val="18"/>
                <w:szCs w:val="18"/>
              </w:rPr>
              <w:t>-47.4</w:t>
            </w:r>
          </w:p>
        </w:tc>
      </w:tr>
      <w:tr w:rsidR="0074392D" w:rsidRPr="00FF119C" w14:paraId="187E2ACF" w14:textId="77777777" w:rsidTr="0074392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C28F06E" w14:textId="77777777" w:rsidR="0074392D" w:rsidRPr="00FF119C" w:rsidRDefault="0074392D" w:rsidP="00DE7B71">
            <w:pPr>
              <w:pStyle w:val="NormalWeb"/>
              <w:rPr>
                <w:sz w:val="18"/>
                <w:szCs w:val="18"/>
              </w:rPr>
            </w:pPr>
            <w:r w:rsidRPr="00FF119C">
              <w:rPr>
                <w:sz w:val="18"/>
                <w:szCs w:val="18"/>
              </w:rPr>
              <w:t>Aug</w:t>
            </w:r>
          </w:p>
        </w:tc>
        <w:tc>
          <w:tcPr>
            <w:tcW w:w="0" w:type="auto"/>
            <w:hideMark/>
          </w:tcPr>
          <w:p w14:paraId="699C6341" w14:textId="77777777" w:rsidR="0074392D" w:rsidRPr="00FF119C" w:rsidRDefault="0074392D" w:rsidP="00DE7B71">
            <w:pPr>
              <w:pStyle w:val="NormalWeb"/>
              <w:jc w:val="center"/>
              <w:rPr>
                <w:sz w:val="18"/>
                <w:szCs w:val="18"/>
              </w:rPr>
            </w:pPr>
            <w:r w:rsidRPr="00FF119C">
              <w:rPr>
                <w:sz w:val="18"/>
                <w:szCs w:val="18"/>
              </w:rPr>
              <w:t>3.3</w:t>
            </w:r>
          </w:p>
        </w:tc>
        <w:tc>
          <w:tcPr>
            <w:tcW w:w="0" w:type="auto"/>
            <w:hideMark/>
          </w:tcPr>
          <w:p w14:paraId="2F98B6C4" w14:textId="77777777" w:rsidR="0074392D" w:rsidRPr="00FF119C" w:rsidRDefault="0074392D" w:rsidP="00DE7B71">
            <w:pPr>
              <w:pStyle w:val="NormalWeb"/>
              <w:jc w:val="center"/>
              <w:rPr>
                <w:sz w:val="18"/>
                <w:szCs w:val="18"/>
              </w:rPr>
            </w:pPr>
            <w:r w:rsidRPr="00FF119C">
              <w:rPr>
                <w:sz w:val="18"/>
                <w:szCs w:val="18"/>
              </w:rPr>
              <w:t>1.3</w:t>
            </w:r>
          </w:p>
        </w:tc>
        <w:tc>
          <w:tcPr>
            <w:tcW w:w="0" w:type="auto"/>
            <w:hideMark/>
          </w:tcPr>
          <w:p w14:paraId="10A8443D" w14:textId="77777777" w:rsidR="0074392D" w:rsidRPr="00FF119C" w:rsidRDefault="0074392D" w:rsidP="00DE7B71">
            <w:pPr>
              <w:pStyle w:val="NormalWeb"/>
              <w:jc w:val="center"/>
              <w:rPr>
                <w:sz w:val="18"/>
                <w:szCs w:val="18"/>
              </w:rPr>
            </w:pPr>
            <w:r w:rsidRPr="00FF119C">
              <w:rPr>
                <w:sz w:val="18"/>
                <w:szCs w:val="18"/>
              </w:rPr>
              <w:t>-2.0</w:t>
            </w:r>
          </w:p>
        </w:tc>
        <w:tc>
          <w:tcPr>
            <w:tcW w:w="0" w:type="auto"/>
            <w:hideMark/>
          </w:tcPr>
          <w:p w14:paraId="224E9322" w14:textId="77777777" w:rsidR="0074392D" w:rsidRPr="00FF119C" w:rsidRDefault="0074392D" w:rsidP="00DE7B71">
            <w:pPr>
              <w:pStyle w:val="NormalWeb"/>
              <w:jc w:val="center"/>
              <w:rPr>
                <w:sz w:val="18"/>
                <w:szCs w:val="18"/>
              </w:rPr>
            </w:pPr>
            <w:r w:rsidRPr="00FF119C">
              <w:rPr>
                <w:sz w:val="18"/>
                <w:szCs w:val="18"/>
              </w:rPr>
              <w:t>-60.6</w:t>
            </w:r>
          </w:p>
        </w:tc>
        <w:tc>
          <w:tcPr>
            <w:tcW w:w="0" w:type="auto"/>
            <w:hideMark/>
          </w:tcPr>
          <w:p w14:paraId="3B6F30F4" w14:textId="77777777" w:rsidR="0074392D" w:rsidRPr="00FF119C" w:rsidRDefault="0074392D" w:rsidP="00DE7B71">
            <w:pPr>
              <w:pStyle w:val="NormalWeb"/>
              <w:jc w:val="center"/>
              <w:rPr>
                <w:sz w:val="18"/>
                <w:szCs w:val="18"/>
              </w:rPr>
            </w:pPr>
            <w:r w:rsidRPr="00FF119C">
              <w:rPr>
                <w:sz w:val="18"/>
                <w:szCs w:val="18"/>
              </w:rPr>
              <w:t>4.5</w:t>
            </w:r>
          </w:p>
        </w:tc>
        <w:tc>
          <w:tcPr>
            <w:tcW w:w="0" w:type="auto"/>
            <w:hideMark/>
          </w:tcPr>
          <w:p w14:paraId="33B5E3EC" w14:textId="77777777" w:rsidR="0074392D" w:rsidRPr="00FF119C" w:rsidRDefault="0074392D" w:rsidP="00DE7B71">
            <w:pPr>
              <w:pStyle w:val="NormalWeb"/>
              <w:jc w:val="center"/>
              <w:rPr>
                <w:sz w:val="18"/>
                <w:szCs w:val="18"/>
              </w:rPr>
            </w:pPr>
            <w:r w:rsidRPr="00FF119C">
              <w:rPr>
                <w:sz w:val="18"/>
                <w:szCs w:val="18"/>
              </w:rPr>
              <w:t>3.4</w:t>
            </w:r>
          </w:p>
        </w:tc>
        <w:tc>
          <w:tcPr>
            <w:tcW w:w="0" w:type="auto"/>
            <w:hideMark/>
          </w:tcPr>
          <w:p w14:paraId="63F5A20F" w14:textId="77777777" w:rsidR="0074392D" w:rsidRPr="00FF119C" w:rsidRDefault="0074392D" w:rsidP="00DE7B71">
            <w:pPr>
              <w:pStyle w:val="NormalWeb"/>
              <w:jc w:val="center"/>
              <w:rPr>
                <w:sz w:val="18"/>
                <w:szCs w:val="18"/>
              </w:rPr>
            </w:pPr>
            <w:r w:rsidRPr="00FF119C">
              <w:rPr>
                <w:sz w:val="18"/>
                <w:szCs w:val="18"/>
              </w:rPr>
              <w:t>-1.1</w:t>
            </w:r>
          </w:p>
        </w:tc>
        <w:tc>
          <w:tcPr>
            <w:tcW w:w="1291" w:type="dxa"/>
            <w:hideMark/>
          </w:tcPr>
          <w:p w14:paraId="615704AB" w14:textId="77777777" w:rsidR="0074392D" w:rsidRPr="00FF119C" w:rsidRDefault="0074392D" w:rsidP="00DE7B71">
            <w:pPr>
              <w:pStyle w:val="NormalWeb"/>
              <w:jc w:val="center"/>
              <w:rPr>
                <w:sz w:val="18"/>
                <w:szCs w:val="18"/>
              </w:rPr>
            </w:pPr>
            <w:r w:rsidRPr="00FF119C">
              <w:rPr>
                <w:sz w:val="18"/>
                <w:szCs w:val="18"/>
              </w:rPr>
              <w:t>-24.4</w:t>
            </w:r>
          </w:p>
        </w:tc>
        <w:tc>
          <w:tcPr>
            <w:tcW w:w="1134" w:type="dxa"/>
            <w:hideMark/>
          </w:tcPr>
          <w:p w14:paraId="625B118D" w14:textId="77777777" w:rsidR="0074392D" w:rsidRPr="00FF119C" w:rsidRDefault="0074392D" w:rsidP="00DE7B71">
            <w:pPr>
              <w:pStyle w:val="NormalWeb"/>
              <w:jc w:val="center"/>
              <w:rPr>
                <w:sz w:val="18"/>
                <w:szCs w:val="18"/>
              </w:rPr>
            </w:pPr>
            <w:r w:rsidRPr="00FF119C">
              <w:rPr>
                <w:sz w:val="18"/>
                <w:szCs w:val="18"/>
              </w:rPr>
              <w:t>3.4</w:t>
            </w:r>
          </w:p>
        </w:tc>
        <w:tc>
          <w:tcPr>
            <w:tcW w:w="708" w:type="dxa"/>
            <w:hideMark/>
          </w:tcPr>
          <w:p w14:paraId="5ABD2A9C" w14:textId="77777777" w:rsidR="0074392D" w:rsidRPr="00FF119C" w:rsidRDefault="0074392D" w:rsidP="00DE7B71">
            <w:pPr>
              <w:pStyle w:val="NormalWeb"/>
              <w:jc w:val="center"/>
              <w:rPr>
                <w:sz w:val="18"/>
                <w:szCs w:val="18"/>
              </w:rPr>
            </w:pPr>
            <w:r w:rsidRPr="00FF119C">
              <w:rPr>
                <w:sz w:val="18"/>
                <w:szCs w:val="18"/>
              </w:rPr>
              <w:t>1.8</w:t>
            </w:r>
          </w:p>
        </w:tc>
        <w:tc>
          <w:tcPr>
            <w:tcW w:w="1560" w:type="dxa"/>
            <w:hideMark/>
          </w:tcPr>
          <w:p w14:paraId="26187B17" w14:textId="77777777" w:rsidR="0074392D" w:rsidRPr="00FF119C" w:rsidRDefault="0074392D" w:rsidP="00DE7B71">
            <w:pPr>
              <w:pStyle w:val="NormalWeb"/>
              <w:jc w:val="center"/>
              <w:rPr>
                <w:sz w:val="18"/>
                <w:szCs w:val="18"/>
              </w:rPr>
            </w:pPr>
            <w:r w:rsidRPr="00FF119C">
              <w:rPr>
                <w:sz w:val="18"/>
                <w:szCs w:val="18"/>
              </w:rPr>
              <w:t>-1.6</w:t>
            </w:r>
          </w:p>
        </w:tc>
        <w:tc>
          <w:tcPr>
            <w:tcW w:w="1473" w:type="dxa"/>
            <w:hideMark/>
          </w:tcPr>
          <w:p w14:paraId="1436E1B9" w14:textId="77777777" w:rsidR="0074392D" w:rsidRPr="00FF119C" w:rsidRDefault="0074392D" w:rsidP="00DE7B71">
            <w:pPr>
              <w:pStyle w:val="NormalWeb"/>
              <w:jc w:val="center"/>
              <w:rPr>
                <w:sz w:val="18"/>
                <w:szCs w:val="18"/>
              </w:rPr>
            </w:pPr>
            <w:r w:rsidRPr="00FF119C">
              <w:rPr>
                <w:sz w:val="18"/>
                <w:szCs w:val="18"/>
              </w:rPr>
              <w:t>-47.1</w:t>
            </w:r>
          </w:p>
        </w:tc>
      </w:tr>
      <w:tr w:rsidR="0074392D" w:rsidRPr="00FF119C" w14:paraId="2854A6FF" w14:textId="77777777" w:rsidTr="0074392D">
        <w:tblPrEx>
          <w:tblCellMar>
            <w:top w:w="57" w:type="dxa"/>
            <w:left w:w="57" w:type="dxa"/>
            <w:bottom w:w="57" w:type="dxa"/>
            <w:right w:w="57" w:type="dxa"/>
          </w:tblCellMar>
        </w:tblPrEx>
        <w:tc>
          <w:tcPr>
            <w:tcW w:w="0" w:type="auto"/>
            <w:hideMark/>
          </w:tcPr>
          <w:p w14:paraId="3B3D0E4F" w14:textId="77777777" w:rsidR="0074392D" w:rsidRPr="00FF119C" w:rsidRDefault="0074392D" w:rsidP="00DE7B71">
            <w:pPr>
              <w:pStyle w:val="NormalWeb"/>
              <w:rPr>
                <w:sz w:val="18"/>
                <w:szCs w:val="18"/>
              </w:rPr>
            </w:pPr>
            <w:r w:rsidRPr="00FF119C">
              <w:rPr>
                <w:sz w:val="18"/>
                <w:szCs w:val="18"/>
              </w:rPr>
              <w:t>Sep</w:t>
            </w:r>
          </w:p>
        </w:tc>
        <w:tc>
          <w:tcPr>
            <w:tcW w:w="0" w:type="auto"/>
            <w:hideMark/>
          </w:tcPr>
          <w:p w14:paraId="305AAEA3" w14:textId="77777777" w:rsidR="0074392D" w:rsidRPr="00FF119C" w:rsidRDefault="0074392D" w:rsidP="00DE7B71">
            <w:pPr>
              <w:pStyle w:val="NormalWeb"/>
              <w:jc w:val="center"/>
              <w:rPr>
                <w:sz w:val="18"/>
                <w:szCs w:val="18"/>
              </w:rPr>
            </w:pPr>
            <w:r w:rsidRPr="00FF119C">
              <w:rPr>
                <w:sz w:val="18"/>
                <w:szCs w:val="18"/>
              </w:rPr>
              <w:t>3.6</w:t>
            </w:r>
          </w:p>
        </w:tc>
        <w:tc>
          <w:tcPr>
            <w:tcW w:w="0" w:type="auto"/>
            <w:hideMark/>
          </w:tcPr>
          <w:p w14:paraId="21EA7710" w14:textId="77777777" w:rsidR="0074392D" w:rsidRPr="00FF119C" w:rsidRDefault="0074392D" w:rsidP="00DE7B71">
            <w:pPr>
              <w:pStyle w:val="NormalWeb"/>
              <w:jc w:val="center"/>
              <w:rPr>
                <w:sz w:val="18"/>
                <w:szCs w:val="18"/>
              </w:rPr>
            </w:pPr>
            <w:r w:rsidRPr="00FF119C">
              <w:rPr>
                <w:sz w:val="18"/>
                <w:szCs w:val="18"/>
              </w:rPr>
              <w:t>1.4</w:t>
            </w:r>
          </w:p>
        </w:tc>
        <w:tc>
          <w:tcPr>
            <w:tcW w:w="0" w:type="auto"/>
            <w:hideMark/>
          </w:tcPr>
          <w:p w14:paraId="3AE65E1B" w14:textId="77777777" w:rsidR="0074392D" w:rsidRPr="00FF119C" w:rsidRDefault="0074392D" w:rsidP="00DE7B71">
            <w:pPr>
              <w:pStyle w:val="NormalWeb"/>
              <w:jc w:val="center"/>
              <w:rPr>
                <w:sz w:val="18"/>
                <w:szCs w:val="18"/>
              </w:rPr>
            </w:pPr>
            <w:r w:rsidRPr="00FF119C">
              <w:rPr>
                <w:sz w:val="18"/>
                <w:szCs w:val="18"/>
              </w:rPr>
              <w:t>-2.2</w:t>
            </w:r>
          </w:p>
        </w:tc>
        <w:tc>
          <w:tcPr>
            <w:tcW w:w="0" w:type="auto"/>
            <w:hideMark/>
          </w:tcPr>
          <w:p w14:paraId="32B4FB9D" w14:textId="77777777" w:rsidR="0074392D" w:rsidRPr="00FF119C" w:rsidRDefault="0074392D" w:rsidP="00DE7B71">
            <w:pPr>
              <w:pStyle w:val="NormalWeb"/>
              <w:jc w:val="center"/>
              <w:rPr>
                <w:sz w:val="18"/>
                <w:szCs w:val="18"/>
              </w:rPr>
            </w:pPr>
            <w:r w:rsidRPr="00FF119C">
              <w:rPr>
                <w:sz w:val="18"/>
                <w:szCs w:val="18"/>
              </w:rPr>
              <w:t>-61.1</w:t>
            </w:r>
          </w:p>
        </w:tc>
        <w:tc>
          <w:tcPr>
            <w:tcW w:w="0" w:type="auto"/>
            <w:hideMark/>
          </w:tcPr>
          <w:p w14:paraId="64258CA6" w14:textId="77777777" w:rsidR="0074392D" w:rsidRPr="00FF119C" w:rsidRDefault="0074392D" w:rsidP="00DE7B71">
            <w:pPr>
              <w:pStyle w:val="NormalWeb"/>
              <w:jc w:val="center"/>
              <w:rPr>
                <w:sz w:val="18"/>
                <w:szCs w:val="18"/>
              </w:rPr>
            </w:pPr>
            <w:r w:rsidRPr="00FF119C">
              <w:rPr>
                <w:sz w:val="18"/>
                <w:szCs w:val="18"/>
              </w:rPr>
              <w:t>4.2</w:t>
            </w:r>
          </w:p>
        </w:tc>
        <w:tc>
          <w:tcPr>
            <w:tcW w:w="0" w:type="auto"/>
            <w:hideMark/>
          </w:tcPr>
          <w:p w14:paraId="0F91BB9C" w14:textId="77777777" w:rsidR="0074392D" w:rsidRPr="00FF119C" w:rsidRDefault="0074392D" w:rsidP="00DE7B71">
            <w:pPr>
              <w:pStyle w:val="NormalWeb"/>
              <w:jc w:val="center"/>
              <w:rPr>
                <w:sz w:val="18"/>
                <w:szCs w:val="18"/>
              </w:rPr>
            </w:pPr>
            <w:r w:rsidRPr="00FF119C">
              <w:rPr>
                <w:sz w:val="18"/>
                <w:szCs w:val="18"/>
              </w:rPr>
              <w:t>4.6</w:t>
            </w:r>
          </w:p>
        </w:tc>
        <w:tc>
          <w:tcPr>
            <w:tcW w:w="0" w:type="auto"/>
            <w:hideMark/>
          </w:tcPr>
          <w:p w14:paraId="64D71A73" w14:textId="77777777" w:rsidR="0074392D" w:rsidRPr="00FF119C" w:rsidRDefault="0074392D" w:rsidP="00DE7B71">
            <w:pPr>
              <w:pStyle w:val="NormalWeb"/>
              <w:jc w:val="center"/>
              <w:rPr>
                <w:sz w:val="18"/>
                <w:szCs w:val="18"/>
              </w:rPr>
            </w:pPr>
            <w:r w:rsidRPr="00FF119C">
              <w:rPr>
                <w:sz w:val="18"/>
                <w:szCs w:val="18"/>
              </w:rPr>
              <w:t>0.4</w:t>
            </w:r>
          </w:p>
        </w:tc>
        <w:tc>
          <w:tcPr>
            <w:tcW w:w="1291" w:type="dxa"/>
            <w:hideMark/>
          </w:tcPr>
          <w:p w14:paraId="2B1E9242" w14:textId="77777777" w:rsidR="0074392D" w:rsidRPr="00FF119C" w:rsidRDefault="0074392D" w:rsidP="00DE7B71">
            <w:pPr>
              <w:pStyle w:val="NormalWeb"/>
              <w:jc w:val="center"/>
              <w:rPr>
                <w:sz w:val="18"/>
                <w:szCs w:val="18"/>
              </w:rPr>
            </w:pPr>
            <w:r w:rsidRPr="00FF119C">
              <w:rPr>
                <w:sz w:val="18"/>
                <w:szCs w:val="18"/>
              </w:rPr>
              <w:t>9.5</w:t>
            </w:r>
          </w:p>
        </w:tc>
        <w:tc>
          <w:tcPr>
            <w:tcW w:w="1134" w:type="dxa"/>
            <w:hideMark/>
          </w:tcPr>
          <w:p w14:paraId="4EDDB7B5" w14:textId="77777777" w:rsidR="0074392D" w:rsidRPr="00FF119C" w:rsidRDefault="0074392D" w:rsidP="00DE7B71">
            <w:pPr>
              <w:pStyle w:val="NormalWeb"/>
              <w:jc w:val="center"/>
              <w:rPr>
                <w:sz w:val="18"/>
                <w:szCs w:val="18"/>
              </w:rPr>
            </w:pPr>
            <w:r w:rsidRPr="00FF119C">
              <w:rPr>
                <w:sz w:val="18"/>
                <w:szCs w:val="18"/>
              </w:rPr>
              <w:t>3.6</w:t>
            </w:r>
          </w:p>
        </w:tc>
        <w:tc>
          <w:tcPr>
            <w:tcW w:w="708" w:type="dxa"/>
            <w:hideMark/>
          </w:tcPr>
          <w:p w14:paraId="2ADD6A68" w14:textId="77777777" w:rsidR="0074392D" w:rsidRPr="00FF119C" w:rsidRDefault="0074392D" w:rsidP="00DE7B71">
            <w:pPr>
              <w:pStyle w:val="NormalWeb"/>
              <w:jc w:val="center"/>
              <w:rPr>
                <w:sz w:val="18"/>
                <w:szCs w:val="18"/>
              </w:rPr>
            </w:pPr>
            <w:r w:rsidRPr="00FF119C">
              <w:rPr>
                <w:sz w:val="18"/>
                <w:szCs w:val="18"/>
              </w:rPr>
              <w:t>2.2</w:t>
            </w:r>
          </w:p>
        </w:tc>
        <w:tc>
          <w:tcPr>
            <w:tcW w:w="1560" w:type="dxa"/>
            <w:hideMark/>
          </w:tcPr>
          <w:p w14:paraId="0B47CE7C" w14:textId="77777777" w:rsidR="0074392D" w:rsidRPr="00FF119C" w:rsidRDefault="0074392D" w:rsidP="00DE7B71">
            <w:pPr>
              <w:pStyle w:val="NormalWeb"/>
              <w:jc w:val="center"/>
              <w:rPr>
                <w:sz w:val="18"/>
                <w:szCs w:val="18"/>
              </w:rPr>
            </w:pPr>
            <w:r w:rsidRPr="00FF119C">
              <w:rPr>
                <w:sz w:val="18"/>
                <w:szCs w:val="18"/>
              </w:rPr>
              <w:t>-1.4</w:t>
            </w:r>
          </w:p>
        </w:tc>
        <w:tc>
          <w:tcPr>
            <w:tcW w:w="1473" w:type="dxa"/>
            <w:hideMark/>
          </w:tcPr>
          <w:p w14:paraId="5CC90F16" w14:textId="77777777" w:rsidR="0074392D" w:rsidRPr="00FF119C" w:rsidRDefault="0074392D" w:rsidP="00DE7B71">
            <w:pPr>
              <w:pStyle w:val="NormalWeb"/>
              <w:jc w:val="center"/>
              <w:rPr>
                <w:sz w:val="18"/>
                <w:szCs w:val="18"/>
              </w:rPr>
            </w:pPr>
            <w:r w:rsidRPr="00FF119C">
              <w:rPr>
                <w:sz w:val="18"/>
                <w:szCs w:val="18"/>
              </w:rPr>
              <w:t>-38.9</w:t>
            </w:r>
          </w:p>
        </w:tc>
      </w:tr>
      <w:tr w:rsidR="0074392D" w:rsidRPr="00FF119C" w14:paraId="5EA538BE" w14:textId="77777777" w:rsidTr="0074392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2973C9B" w14:textId="77777777" w:rsidR="0074392D" w:rsidRPr="00FF119C" w:rsidRDefault="0074392D" w:rsidP="00DE7B71">
            <w:pPr>
              <w:pStyle w:val="NormalWeb"/>
              <w:rPr>
                <w:sz w:val="18"/>
                <w:szCs w:val="18"/>
              </w:rPr>
            </w:pPr>
            <w:r w:rsidRPr="00FF119C">
              <w:rPr>
                <w:sz w:val="18"/>
                <w:szCs w:val="18"/>
              </w:rPr>
              <w:t>Oct</w:t>
            </w:r>
          </w:p>
        </w:tc>
        <w:tc>
          <w:tcPr>
            <w:tcW w:w="0" w:type="auto"/>
            <w:hideMark/>
          </w:tcPr>
          <w:p w14:paraId="0EFCFA73" w14:textId="77777777" w:rsidR="0074392D" w:rsidRPr="00FF119C" w:rsidRDefault="0074392D" w:rsidP="00DE7B71">
            <w:pPr>
              <w:pStyle w:val="NormalWeb"/>
              <w:jc w:val="center"/>
              <w:rPr>
                <w:sz w:val="18"/>
                <w:szCs w:val="18"/>
              </w:rPr>
            </w:pPr>
            <w:r w:rsidRPr="00FF119C">
              <w:rPr>
                <w:sz w:val="18"/>
                <w:szCs w:val="18"/>
              </w:rPr>
              <w:t>4.3</w:t>
            </w:r>
          </w:p>
        </w:tc>
        <w:tc>
          <w:tcPr>
            <w:tcW w:w="0" w:type="auto"/>
            <w:hideMark/>
          </w:tcPr>
          <w:p w14:paraId="1A20D616" w14:textId="77777777" w:rsidR="0074392D" w:rsidRPr="00FF119C" w:rsidRDefault="0074392D" w:rsidP="00DE7B71">
            <w:pPr>
              <w:pStyle w:val="NormalWeb"/>
              <w:jc w:val="center"/>
              <w:rPr>
                <w:sz w:val="18"/>
                <w:szCs w:val="18"/>
              </w:rPr>
            </w:pPr>
            <w:r w:rsidRPr="00FF119C">
              <w:rPr>
                <w:sz w:val="18"/>
                <w:szCs w:val="18"/>
              </w:rPr>
              <w:t>1.5</w:t>
            </w:r>
          </w:p>
        </w:tc>
        <w:tc>
          <w:tcPr>
            <w:tcW w:w="0" w:type="auto"/>
            <w:hideMark/>
          </w:tcPr>
          <w:p w14:paraId="78C1C854" w14:textId="77777777" w:rsidR="0074392D" w:rsidRPr="00FF119C" w:rsidRDefault="0074392D" w:rsidP="00DE7B71">
            <w:pPr>
              <w:pStyle w:val="NormalWeb"/>
              <w:jc w:val="center"/>
              <w:rPr>
                <w:sz w:val="18"/>
                <w:szCs w:val="18"/>
              </w:rPr>
            </w:pPr>
            <w:r w:rsidRPr="00FF119C">
              <w:rPr>
                <w:sz w:val="18"/>
                <w:szCs w:val="18"/>
              </w:rPr>
              <w:t>-2.8</w:t>
            </w:r>
          </w:p>
        </w:tc>
        <w:tc>
          <w:tcPr>
            <w:tcW w:w="0" w:type="auto"/>
            <w:hideMark/>
          </w:tcPr>
          <w:p w14:paraId="3D2F4384" w14:textId="77777777" w:rsidR="0074392D" w:rsidRPr="00FF119C" w:rsidRDefault="0074392D" w:rsidP="00DE7B71">
            <w:pPr>
              <w:pStyle w:val="NormalWeb"/>
              <w:jc w:val="center"/>
              <w:rPr>
                <w:sz w:val="18"/>
                <w:szCs w:val="18"/>
              </w:rPr>
            </w:pPr>
            <w:r w:rsidRPr="00FF119C">
              <w:rPr>
                <w:sz w:val="18"/>
                <w:szCs w:val="18"/>
              </w:rPr>
              <w:t>-65.1</w:t>
            </w:r>
          </w:p>
        </w:tc>
        <w:tc>
          <w:tcPr>
            <w:tcW w:w="0" w:type="auto"/>
            <w:hideMark/>
          </w:tcPr>
          <w:p w14:paraId="593DE250" w14:textId="77777777" w:rsidR="0074392D" w:rsidRPr="00FF119C" w:rsidRDefault="0074392D" w:rsidP="00DE7B71">
            <w:pPr>
              <w:pStyle w:val="NormalWeb"/>
              <w:jc w:val="center"/>
              <w:rPr>
                <w:sz w:val="18"/>
                <w:szCs w:val="18"/>
              </w:rPr>
            </w:pPr>
            <w:r w:rsidRPr="00FF119C">
              <w:rPr>
                <w:sz w:val="18"/>
                <w:szCs w:val="18"/>
              </w:rPr>
              <w:t>5.5</w:t>
            </w:r>
          </w:p>
        </w:tc>
        <w:tc>
          <w:tcPr>
            <w:tcW w:w="0" w:type="auto"/>
            <w:hideMark/>
          </w:tcPr>
          <w:p w14:paraId="361FFC37" w14:textId="77777777" w:rsidR="0074392D" w:rsidRPr="00FF119C" w:rsidRDefault="0074392D" w:rsidP="00DE7B71">
            <w:pPr>
              <w:pStyle w:val="NormalWeb"/>
              <w:jc w:val="center"/>
              <w:rPr>
                <w:sz w:val="18"/>
                <w:szCs w:val="18"/>
              </w:rPr>
            </w:pPr>
            <w:r w:rsidRPr="00FF119C">
              <w:rPr>
                <w:sz w:val="18"/>
                <w:szCs w:val="18"/>
              </w:rPr>
              <w:t>3.9</w:t>
            </w:r>
          </w:p>
        </w:tc>
        <w:tc>
          <w:tcPr>
            <w:tcW w:w="0" w:type="auto"/>
            <w:hideMark/>
          </w:tcPr>
          <w:p w14:paraId="041BAC11" w14:textId="77777777" w:rsidR="0074392D" w:rsidRPr="00FF119C" w:rsidRDefault="0074392D" w:rsidP="00DE7B71">
            <w:pPr>
              <w:pStyle w:val="NormalWeb"/>
              <w:jc w:val="center"/>
              <w:rPr>
                <w:sz w:val="18"/>
                <w:szCs w:val="18"/>
              </w:rPr>
            </w:pPr>
            <w:r w:rsidRPr="00FF119C">
              <w:rPr>
                <w:sz w:val="18"/>
                <w:szCs w:val="18"/>
              </w:rPr>
              <w:t>-1.6</w:t>
            </w:r>
          </w:p>
        </w:tc>
        <w:tc>
          <w:tcPr>
            <w:tcW w:w="1291" w:type="dxa"/>
            <w:hideMark/>
          </w:tcPr>
          <w:p w14:paraId="34A4B2BC" w14:textId="77777777" w:rsidR="0074392D" w:rsidRPr="00FF119C" w:rsidRDefault="0074392D" w:rsidP="00DE7B71">
            <w:pPr>
              <w:pStyle w:val="NormalWeb"/>
              <w:jc w:val="center"/>
              <w:rPr>
                <w:sz w:val="18"/>
                <w:szCs w:val="18"/>
              </w:rPr>
            </w:pPr>
            <w:r w:rsidRPr="00FF119C">
              <w:rPr>
                <w:sz w:val="18"/>
                <w:szCs w:val="18"/>
              </w:rPr>
              <w:t>-29.1</w:t>
            </w:r>
          </w:p>
        </w:tc>
        <w:tc>
          <w:tcPr>
            <w:tcW w:w="1134" w:type="dxa"/>
            <w:hideMark/>
          </w:tcPr>
          <w:p w14:paraId="2D69B6BB" w14:textId="77777777" w:rsidR="0074392D" w:rsidRPr="00FF119C" w:rsidRDefault="0074392D" w:rsidP="00DE7B71">
            <w:pPr>
              <w:pStyle w:val="NormalWeb"/>
              <w:jc w:val="center"/>
              <w:rPr>
                <w:sz w:val="18"/>
                <w:szCs w:val="18"/>
              </w:rPr>
            </w:pPr>
            <w:r w:rsidRPr="00FF119C">
              <w:rPr>
                <w:sz w:val="18"/>
                <w:szCs w:val="18"/>
              </w:rPr>
              <w:t>4.9</w:t>
            </w:r>
          </w:p>
        </w:tc>
        <w:tc>
          <w:tcPr>
            <w:tcW w:w="708" w:type="dxa"/>
            <w:hideMark/>
          </w:tcPr>
          <w:p w14:paraId="4B93F501" w14:textId="77777777" w:rsidR="0074392D" w:rsidRPr="00FF119C" w:rsidRDefault="0074392D" w:rsidP="00DE7B71">
            <w:pPr>
              <w:pStyle w:val="NormalWeb"/>
              <w:jc w:val="center"/>
              <w:rPr>
                <w:sz w:val="18"/>
                <w:szCs w:val="18"/>
              </w:rPr>
            </w:pPr>
            <w:r w:rsidRPr="00FF119C">
              <w:rPr>
                <w:sz w:val="18"/>
                <w:szCs w:val="18"/>
              </w:rPr>
              <w:t>2.5</w:t>
            </w:r>
          </w:p>
        </w:tc>
        <w:tc>
          <w:tcPr>
            <w:tcW w:w="1560" w:type="dxa"/>
            <w:hideMark/>
          </w:tcPr>
          <w:p w14:paraId="062B15BD" w14:textId="77777777" w:rsidR="0074392D" w:rsidRPr="00FF119C" w:rsidRDefault="0074392D" w:rsidP="00DE7B71">
            <w:pPr>
              <w:pStyle w:val="NormalWeb"/>
              <w:jc w:val="center"/>
              <w:rPr>
                <w:sz w:val="18"/>
                <w:szCs w:val="18"/>
              </w:rPr>
            </w:pPr>
            <w:r w:rsidRPr="00FF119C">
              <w:rPr>
                <w:sz w:val="18"/>
                <w:szCs w:val="18"/>
              </w:rPr>
              <w:t>-2.4</w:t>
            </w:r>
          </w:p>
        </w:tc>
        <w:tc>
          <w:tcPr>
            <w:tcW w:w="1473" w:type="dxa"/>
            <w:hideMark/>
          </w:tcPr>
          <w:p w14:paraId="3DED9621" w14:textId="77777777" w:rsidR="0074392D" w:rsidRPr="00FF119C" w:rsidRDefault="0074392D" w:rsidP="00DE7B71">
            <w:pPr>
              <w:pStyle w:val="NormalWeb"/>
              <w:jc w:val="center"/>
              <w:rPr>
                <w:sz w:val="18"/>
                <w:szCs w:val="18"/>
              </w:rPr>
            </w:pPr>
            <w:r w:rsidRPr="00FF119C">
              <w:rPr>
                <w:sz w:val="18"/>
                <w:szCs w:val="18"/>
              </w:rPr>
              <w:t>-49.0</w:t>
            </w:r>
          </w:p>
        </w:tc>
      </w:tr>
      <w:tr w:rsidR="0074392D" w:rsidRPr="00FF119C" w14:paraId="118CD038" w14:textId="77777777" w:rsidTr="0074392D">
        <w:tblPrEx>
          <w:tblCellMar>
            <w:top w:w="57" w:type="dxa"/>
            <w:left w:w="57" w:type="dxa"/>
            <w:bottom w:w="57" w:type="dxa"/>
            <w:right w:w="57" w:type="dxa"/>
          </w:tblCellMar>
        </w:tblPrEx>
        <w:tc>
          <w:tcPr>
            <w:tcW w:w="0" w:type="auto"/>
            <w:hideMark/>
          </w:tcPr>
          <w:p w14:paraId="037EB92E" w14:textId="77777777" w:rsidR="0074392D" w:rsidRPr="00FF119C" w:rsidRDefault="0074392D" w:rsidP="00DE7B71">
            <w:pPr>
              <w:pStyle w:val="NormalWeb"/>
              <w:rPr>
                <w:sz w:val="18"/>
                <w:szCs w:val="18"/>
              </w:rPr>
            </w:pPr>
            <w:r w:rsidRPr="00FF119C">
              <w:rPr>
                <w:sz w:val="18"/>
                <w:szCs w:val="18"/>
              </w:rPr>
              <w:t>Nov</w:t>
            </w:r>
          </w:p>
        </w:tc>
        <w:tc>
          <w:tcPr>
            <w:tcW w:w="0" w:type="auto"/>
            <w:hideMark/>
          </w:tcPr>
          <w:p w14:paraId="2F92B942" w14:textId="77777777" w:rsidR="0074392D" w:rsidRPr="00FF119C" w:rsidRDefault="0074392D" w:rsidP="00DE7B71">
            <w:pPr>
              <w:pStyle w:val="NormalWeb"/>
              <w:jc w:val="center"/>
              <w:rPr>
                <w:sz w:val="18"/>
                <w:szCs w:val="18"/>
              </w:rPr>
            </w:pPr>
            <w:r w:rsidRPr="00FF119C">
              <w:rPr>
                <w:sz w:val="18"/>
                <w:szCs w:val="18"/>
              </w:rPr>
              <w:t>4.1</w:t>
            </w:r>
          </w:p>
        </w:tc>
        <w:tc>
          <w:tcPr>
            <w:tcW w:w="0" w:type="auto"/>
            <w:hideMark/>
          </w:tcPr>
          <w:p w14:paraId="2AD9DE83" w14:textId="77777777" w:rsidR="0074392D" w:rsidRPr="00FF119C" w:rsidRDefault="0074392D" w:rsidP="00DE7B71">
            <w:pPr>
              <w:pStyle w:val="NormalWeb"/>
              <w:jc w:val="center"/>
              <w:rPr>
                <w:sz w:val="18"/>
                <w:szCs w:val="18"/>
              </w:rPr>
            </w:pPr>
            <w:r w:rsidRPr="00FF119C">
              <w:rPr>
                <w:sz w:val="18"/>
                <w:szCs w:val="18"/>
              </w:rPr>
              <w:t>1.5</w:t>
            </w:r>
          </w:p>
        </w:tc>
        <w:tc>
          <w:tcPr>
            <w:tcW w:w="0" w:type="auto"/>
            <w:hideMark/>
          </w:tcPr>
          <w:p w14:paraId="033A10A6" w14:textId="77777777" w:rsidR="0074392D" w:rsidRPr="00FF119C" w:rsidRDefault="0074392D" w:rsidP="00DE7B71">
            <w:pPr>
              <w:pStyle w:val="NormalWeb"/>
              <w:jc w:val="center"/>
              <w:rPr>
                <w:sz w:val="18"/>
                <w:szCs w:val="18"/>
              </w:rPr>
            </w:pPr>
            <w:r w:rsidRPr="00FF119C">
              <w:rPr>
                <w:sz w:val="18"/>
                <w:szCs w:val="18"/>
              </w:rPr>
              <w:t>-2.6</w:t>
            </w:r>
          </w:p>
        </w:tc>
        <w:tc>
          <w:tcPr>
            <w:tcW w:w="0" w:type="auto"/>
            <w:hideMark/>
          </w:tcPr>
          <w:p w14:paraId="659D679A" w14:textId="77777777" w:rsidR="0074392D" w:rsidRPr="00FF119C" w:rsidRDefault="0074392D" w:rsidP="00DE7B71">
            <w:pPr>
              <w:pStyle w:val="NormalWeb"/>
              <w:jc w:val="center"/>
              <w:rPr>
                <w:sz w:val="18"/>
                <w:szCs w:val="18"/>
              </w:rPr>
            </w:pPr>
            <w:r w:rsidRPr="00FF119C">
              <w:rPr>
                <w:sz w:val="18"/>
                <w:szCs w:val="18"/>
              </w:rPr>
              <w:t>-63.4</w:t>
            </w:r>
          </w:p>
        </w:tc>
        <w:tc>
          <w:tcPr>
            <w:tcW w:w="0" w:type="auto"/>
            <w:hideMark/>
          </w:tcPr>
          <w:p w14:paraId="629C5ABC" w14:textId="77777777" w:rsidR="0074392D" w:rsidRPr="00FF119C" w:rsidRDefault="0074392D" w:rsidP="00DE7B71">
            <w:pPr>
              <w:pStyle w:val="NormalWeb"/>
              <w:jc w:val="center"/>
              <w:rPr>
                <w:sz w:val="18"/>
                <w:szCs w:val="18"/>
              </w:rPr>
            </w:pPr>
            <w:r w:rsidRPr="00FF119C">
              <w:rPr>
                <w:sz w:val="18"/>
                <w:szCs w:val="18"/>
              </w:rPr>
              <w:t>6.8</w:t>
            </w:r>
          </w:p>
        </w:tc>
        <w:tc>
          <w:tcPr>
            <w:tcW w:w="0" w:type="auto"/>
            <w:hideMark/>
          </w:tcPr>
          <w:p w14:paraId="2351BC55" w14:textId="77777777" w:rsidR="0074392D" w:rsidRPr="00FF119C" w:rsidRDefault="0074392D" w:rsidP="00DE7B71">
            <w:pPr>
              <w:pStyle w:val="NormalWeb"/>
              <w:jc w:val="center"/>
              <w:rPr>
                <w:sz w:val="18"/>
                <w:szCs w:val="18"/>
              </w:rPr>
            </w:pPr>
            <w:r w:rsidRPr="00FF119C">
              <w:rPr>
                <w:sz w:val="18"/>
                <w:szCs w:val="18"/>
              </w:rPr>
              <w:t>4.5</w:t>
            </w:r>
          </w:p>
        </w:tc>
        <w:tc>
          <w:tcPr>
            <w:tcW w:w="0" w:type="auto"/>
            <w:hideMark/>
          </w:tcPr>
          <w:p w14:paraId="11B2E126" w14:textId="77777777" w:rsidR="0074392D" w:rsidRPr="00FF119C" w:rsidRDefault="0074392D" w:rsidP="00DE7B71">
            <w:pPr>
              <w:pStyle w:val="NormalWeb"/>
              <w:jc w:val="center"/>
              <w:rPr>
                <w:sz w:val="18"/>
                <w:szCs w:val="18"/>
              </w:rPr>
            </w:pPr>
            <w:r w:rsidRPr="00FF119C">
              <w:rPr>
                <w:sz w:val="18"/>
                <w:szCs w:val="18"/>
              </w:rPr>
              <w:t>-2.3</w:t>
            </w:r>
          </w:p>
        </w:tc>
        <w:tc>
          <w:tcPr>
            <w:tcW w:w="1291" w:type="dxa"/>
            <w:hideMark/>
          </w:tcPr>
          <w:p w14:paraId="1674213C" w14:textId="77777777" w:rsidR="0074392D" w:rsidRPr="00FF119C" w:rsidRDefault="0074392D" w:rsidP="00DE7B71">
            <w:pPr>
              <w:pStyle w:val="NormalWeb"/>
              <w:jc w:val="center"/>
              <w:rPr>
                <w:sz w:val="18"/>
                <w:szCs w:val="18"/>
              </w:rPr>
            </w:pPr>
            <w:r w:rsidRPr="00FF119C">
              <w:rPr>
                <w:sz w:val="18"/>
                <w:szCs w:val="18"/>
              </w:rPr>
              <w:t>-33.8</w:t>
            </w:r>
          </w:p>
        </w:tc>
        <w:tc>
          <w:tcPr>
            <w:tcW w:w="1134" w:type="dxa"/>
            <w:hideMark/>
          </w:tcPr>
          <w:p w14:paraId="002BB7A5" w14:textId="77777777" w:rsidR="0074392D" w:rsidRPr="00FF119C" w:rsidRDefault="0074392D" w:rsidP="00DE7B71">
            <w:pPr>
              <w:pStyle w:val="NormalWeb"/>
              <w:jc w:val="center"/>
              <w:rPr>
                <w:sz w:val="18"/>
                <w:szCs w:val="18"/>
              </w:rPr>
            </w:pPr>
            <w:r w:rsidRPr="00FF119C">
              <w:rPr>
                <w:sz w:val="18"/>
                <w:szCs w:val="18"/>
              </w:rPr>
              <w:t>4.9</w:t>
            </w:r>
          </w:p>
        </w:tc>
        <w:tc>
          <w:tcPr>
            <w:tcW w:w="708" w:type="dxa"/>
            <w:hideMark/>
          </w:tcPr>
          <w:p w14:paraId="2830D4F0" w14:textId="77777777" w:rsidR="0074392D" w:rsidRPr="00FF119C" w:rsidRDefault="0074392D" w:rsidP="00DE7B71">
            <w:pPr>
              <w:pStyle w:val="NormalWeb"/>
              <w:jc w:val="center"/>
              <w:rPr>
                <w:sz w:val="18"/>
                <w:szCs w:val="18"/>
              </w:rPr>
            </w:pPr>
            <w:r w:rsidRPr="00FF119C">
              <w:rPr>
                <w:sz w:val="18"/>
                <w:szCs w:val="18"/>
              </w:rPr>
              <w:t>2.8</w:t>
            </w:r>
          </w:p>
        </w:tc>
        <w:tc>
          <w:tcPr>
            <w:tcW w:w="1560" w:type="dxa"/>
            <w:hideMark/>
          </w:tcPr>
          <w:p w14:paraId="7465C42B" w14:textId="77777777" w:rsidR="0074392D" w:rsidRPr="00FF119C" w:rsidRDefault="0074392D" w:rsidP="00DE7B71">
            <w:pPr>
              <w:pStyle w:val="NormalWeb"/>
              <w:jc w:val="center"/>
              <w:rPr>
                <w:sz w:val="18"/>
                <w:szCs w:val="18"/>
              </w:rPr>
            </w:pPr>
            <w:r w:rsidRPr="00FF119C">
              <w:rPr>
                <w:sz w:val="18"/>
                <w:szCs w:val="18"/>
              </w:rPr>
              <w:t>-2.1</w:t>
            </w:r>
          </w:p>
        </w:tc>
        <w:tc>
          <w:tcPr>
            <w:tcW w:w="1473" w:type="dxa"/>
            <w:hideMark/>
          </w:tcPr>
          <w:p w14:paraId="7F238AB2" w14:textId="77777777" w:rsidR="0074392D" w:rsidRPr="00FF119C" w:rsidRDefault="0074392D" w:rsidP="00DE7B71">
            <w:pPr>
              <w:pStyle w:val="NormalWeb"/>
              <w:jc w:val="center"/>
              <w:rPr>
                <w:sz w:val="18"/>
                <w:szCs w:val="18"/>
              </w:rPr>
            </w:pPr>
            <w:r w:rsidRPr="00FF119C">
              <w:rPr>
                <w:sz w:val="18"/>
                <w:szCs w:val="18"/>
              </w:rPr>
              <w:t>-42.9</w:t>
            </w:r>
          </w:p>
        </w:tc>
      </w:tr>
      <w:tr w:rsidR="0074392D" w:rsidRPr="00FF119C" w14:paraId="6BB6DF5C" w14:textId="77777777" w:rsidTr="0074392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21CAA11" w14:textId="77777777" w:rsidR="0074392D" w:rsidRPr="00FF119C" w:rsidRDefault="0074392D" w:rsidP="00DE7B71">
            <w:pPr>
              <w:pStyle w:val="NormalWeb"/>
              <w:rPr>
                <w:sz w:val="18"/>
                <w:szCs w:val="18"/>
              </w:rPr>
            </w:pPr>
            <w:r w:rsidRPr="00FF119C">
              <w:rPr>
                <w:sz w:val="18"/>
                <w:szCs w:val="18"/>
              </w:rPr>
              <w:t>Dec</w:t>
            </w:r>
          </w:p>
        </w:tc>
        <w:tc>
          <w:tcPr>
            <w:tcW w:w="0" w:type="auto"/>
            <w:hideMark/>
          </w:tcPr>
          <w:p w14:paraId="00B53116" w14:textId="77777777" w:rsidR="0074392D" w:rsidRPr="00FF119C" w:rsidRDefault="0074392D" w:rsidP="00DE7B71">
            <w:pPr>
              <w:pStyle w:val="NormalWeb"/>
              <w:jc w:val="center"/>
              <w:rPr>
                <w:sz w:val="18"/>
                <w:szCs w:val="18"/>
              </w:rPr>
            </w:pPr>
            <w:r w:rsidRPr="00FF119C">
              <w:rPr>
                <w:sz w:val="18"/>
                <w:szCs w:val="18"/>
              </w:rPr>
              <w:t>4.7</w:t>
            </w:r>
          </w:p>
        </w:tc>
        <w:tc>
          <w:tcPr>
            <w:tcW w:w="0" w:type="auto"/>
            <w:hideMark/>
          </w:tcPr>
          <w:p w14:paraId="4228C37A" w14:textId="77777777" w:rsidR="0074392D" w:rsidRPr="00FF119C" w:rsidRDefault="0074392D" w:rsidP="00DE7B71">
            <w:pPr>
              <w:pStyle w:val="NormalWeb"/>
              <w:jc w:val="center"/>
              <w:rPr>
                <w:sz w:val="18"/>
                <w:szCs w:val="18"/>
              </w:rPr>
            </w:pPr>
            <w:r w:rsidRPr="00FF119C">
              <w:rPr>
                <w:sz w:val="18"/>
                <w:szCs w:val="18"/>
              </w:rPr>
              <w:t>1.9</w:t>
            </w:r>
          </w:p>
        </w:tc>
        <w:tc>
          <w:tcPr>
            <w:tcW w:w="0" w:type="auto"/>
            <w:hideMark/>
          </w:tcPr>
          <w:p w14:paraId="30DFF8CA" w14:textId="77777777" w:rsidR="0074392D" w:rsidRPr="00FF119C" w:rsidRDefault="0074392D" w:rsidP="00DE7B71">
            <w:pPr>
              <w:pStyle w:val="NormalWeb"/>
              <w:jc w:val="center"/>
              <w:rPr>
                <w:sz w:val="18"/>
                <w:szCs w:val="18"/>
              </w:rPr>
            </w:pPr>
            <w:r w:rsidRPr="00FF119C">
              <w:rPr>
                <w:sz w:val="18"/>
                <w:szCs w:val="18"/>
              </w:rPr>
              <w:t>-2.8</w:t>
            </w:r>
          </w:p>
        </w:tc>
        <w:tc>
          <w:tcPr>
            <w:tcW w:w="0" w:type="auto"/>
            <w:hideMark/>
          </w:tcPr>
          <w:p w14:paraId="1B5817AE" w14:textId="77777777" w:rsidR="0074392D" w:rsidRPr="00FF119C" w:rsidRDefault="0074392D" w:rsidP="00DE7B71">
            <w:pPr>
              <w:pStyle w:val="NormalWeb"/>
              <w:jc w:val="center"/>
              <w:rPr>
                <w:sz w:val="18"/>
                <w:szCs w:val="18"/>
              </w:rPr>
            </w:pPr>
            <w:r w:rsidRPr="00FF119C">
              <w:rPr>
                <w:sz w:val="18"/>
                <w:szCs w:val="18"/>
              </w:rPr>
              <w:t>-59.6</w:t>
            </w:r>
          </w:p>
        </w:tc>
        <w:tc>
          <w:tcPr>
            <w:tcW w:w="0" w:type="auto"/>
            <w:hideMark/>
          </w:tcPr>
          <w:p w14:paraId="1D912DD4" w14:textId="77777777" w:rsidR="0074392D" w:rsidRPr="00FF119C" w:rsidRDefault="0074392D" w:rsidP="00DE7B71">
            <w:pPr>
              <w:pStyle w:val="NormalWeb"/>
              <w:jc w:val="center"/>
              <w:rPr>
                <w:sz w:val="18"/>
                <w:szCs w:val="18"/>
              </w:rPr>
            </w:pPr>
            <w:r w:rsidRPr="00FF119C">
              <w:rPr>
                <w:sz w:val="18"/>
                <w:szCs w:val="18"/>
              </w:rPr>
              <w:t>7.2</w:t>
            </w:r>
          </w:p>
        </w:tc>
        <w:tc>
          <w:tcPr>
            <w:tcW w:w="0" w:type="auto"/>
            <w:hideMark/>
          </w:tcPr>
          <w:p w14:paraId="6597D9A8" w14:textId="77777777" w:rsidR="0074392D" w:rsidRPr="00FF119C" w:rsidRDefault="0074392D" w:rsidP="00DE7B71">
            <w:pPr>
              <w:pStyle w:val="NormalWeb"/>
              <w:jc w:val="center"/>
              <w:rPr>
                <w:sz w:val="18"/>
                <w:szCs w:val="18"/>
              </w:rPr>
            </w:pPr>
            <w:r w:rsidRPr="00FF119C">
              <w:rPr>
                <w:sz w:val="18"/>
                <w:szCs w:val="18"/>
              </w:rPr>
              <w:t>5.0</w:t>
            </w:r>
          </w:p>
        </w:tc>
        <w:tc>
          <w:tcPr>
            <w:tcW w:w="0" w:type="auto"/>
            <w:hideMark/>
          </w:tcPr>
          <w:p w14:paraId="0D85F25A" w14:textId="77777777" w:rsidR="0074392D" w:rsidRPr="00FF119C" w:rsidRDefault="0074392D" w:rsidP="00DE7B71">
            <w:pPr>
              <w:pStyle w:val="NormalWeb"/>
              <w:jc w:val="center"/>
              <w:rPr>
                <w:sz w:val="18"/>
                <w:szCs w:val="18"/>
              </w:rPr>
            </w:pPr>
            <w:r w:rsidRPr="00FF119C">
              <w:rPr>
                <w:sz w:val="18"/>
                <w:szCs w:val="18"/>
              </w:rPr>
              <w:t>-2.2</w:t>
            </w:r>
          </w:p>
        </w:tc>
        <w:tc>
          <w:tcPr>
            <w:tcW w:w="1291" w:type="dxa"/>
            <w:hideMark/>
          </w:tcPr>
          <w:p w14:paraId="66AF24E2" w14:textId="77777777" w:rsidR="0074392D" w:rsidRPr="00FF119C" w:rsidRDefault="0074392D" w:rsidP="00DE7B71">
            <w:pPr>
              <w:pStyle w:val="NormalWeb"/>
              <w:jc w:val="center"/>
              <w:rPr>
                <w:sz w:val="18"/>
                <w:szCs w:val="18"/>
              </w:rPr>
            </w:pPr>
            <w:r w:rsidRPr="00FF119C">
              <w:rPr>
                <w:sz w:val="18"/>
                <w:szCs w:val="18"/>
              </w:rPr>
              <w:t>-30.6</w:t>
            </w:r>
          </w:p>
        </w:tc>
        <w:tc>
          <w:tcPr>
            <w:tcW w:w="1134" w:type="dxa"/>
            <w:hideMark/>
          </w:tcPr>
          <w:p w14:paraId="6826E929" w14:textId="77777777" w:rsidR="0074392D" w:rsidRPr="00FF119C" w:rsidRDefault="0074392D" w:rsidP="00DE7B71">
            <w:pPr>
              <w:pStyle w:val="NormalWeb"/>
              <w:jc w:val="center"/>
              <w:rPr>
                <w:sz w:val="18"/>
                <w:szCs w:val="18"/>
              </w:rPr>
            </w:pPr>
            <w:r w:rsidRPr="00FF119C">
              <w:rPr>
                <w:sz w:val="18"/>
                <w:szCs w:val="18"/>
              </w:rPr>
              <w:t>5.5</w:t>
            </w:r>
          </w:p>
        </w:tc>
        <w:tc>
          <w:tcPr>
            <w:tcW w:w="708" w:type="dxa"/>
            <w:hideMark/>
          </w:tcPr>
          <w:p w14:paraId="37CBBBC9" w14:textId="77777777" w:rsidR="0074392D" w:rsidRPr="00FF119C" w:rsidRDefault="0074392D" w:rsidP="00DE7B71">
            <w:pPr>
              <w:pStyle w:val="NormalWeb"/>
              <w:jc w:val="center"/>
              <w:rPr>
                <w:sz w:val="18"/>
                <w:szCs w:val="18"/>
              </w:rPr>
            </w:pPr>
            <w:r w:rsidRPr="00FF119C">
              <w:rPr>
                <w:sz w:val="18"/>
                <w:szCs w:val="18"/>
              </w:rPr>
              <w:t>4.4</w:t>
            </w:r>
          </w:p>
        </w:tc>
        <w:tc>
          <w:tcPr>
            <w:tcW w:w="1560" w:type="dxa"/>
            <w:hideMark/>
          </w:tcPr>
          <w:p w14:paraId="1DEFEB75" w14:textId="77777777" w:rsidR="0074392D" w:rsidRPr="00FF119C" w:rsidRDefault="0074392D" w:rsidP="00DE7B71">
            <w:pPr>
              <w:pStyle w:val="NormalWeb"/>
              <w:jc w:val="center"/>
              <w:rPr>
                <w:sz w:val="18"/>
                <w:szCs w:val="18"/>
              </w:rPr>
            </w:pPr>
            <w:r w:rsidRPr="00FF119C">
              <w:rPr>
                <w:sz w:val="18"/>
                <w:szCs w:val="18"/>
              </w:rPr>
              <w:t>-1.1</w:t>
            </w:r>
          </w:p>
        </w:tc>
        <w:tc>
          <w:tcPr>
            <w:tcW w:w="1473" w:type="dxa"/>
            <w:hideMark/>
          </w:tcPr>
          <w:p w14:paraId="1828AE64" w14:textId="77777777" w:rsidR="0074392D" w:rsidRPr="00FF119C" w:rsidRDefault="0074392D" w:rsidP="00DE7B71">
            <w:pPr>
              <w:pStyle w:val="NormalWeb"/>
              <w:jc w:val="center"/>
              <w:rPr>
                <w:sz w:val="18"/>
                <w:szCs w:val="18"/>
              </w:rPr>
            </w:pPr>
            <w:r w:rsidRPr="00FF119C">
              <w:rPr>
                <w:sz w:val="18"/>
                <w:szCs w:val="18"/>
              </w:rPr>
              <w:t>-20.0</w:t>
            </w:r>
          </w:p>
        </w:tc>
      </w:tr>
      <w:tr w:rsidR="0074392D" w:rsidRPr="00FF119C" w14:paraId="06EE6FFD" w14:textId="77777777" w:rsidTr="0074392D">
        <w:tblPrEx>
          <w:tblCellMar>
            <w:top w:w="57" w:type="dxa"/>
            <w:left w:w="57" w:type="dxa"/>
            <w:bottom w:w="57" w:type="dxa"/>
            <w:right w:w="57" w:type="dxa"/>
          </w:tblCellMar>
        </w:tblPrEx>
        <w:tc>
          <w:tcPr>
            <w:tcW w:w="0" w:type="auto"/>
            <w:hideMark/>
          </w:tcPr>
          <w:p w14:paraId="61A3ACA1" w14:textId="77777777" w:rsidR="0074392D" w:rsidRPr="00FF119C" w:rsidRDefault="0074392D" w:rsidP="00DE7B71">
            <w:pPr>
              <w:pStyle w:val="NormalWeb"/>
              <w:rPr>
                <w:sz w:val="18"/>
                <w:szCs w:val="18"/>
              </w:rPr>
            </w:pPr>
            <w:r w:rsidRPr="00FF119C">
              <w:rPr>
                <w:sz w:val="18"/>
                <w:szCs w:val="18"/>
                <w:lang w:val="en-US"/>
              </w:rPr>
              <w:t>Average (Jan–Dec)</w:t>
            </w:r>
          </w:p>
        </w:tc>
        <w:tc>
          <w:tcPr>
            <w:tcW w:w="0" w:type="auto"/>
            <w:hideMark/>
          </w:tcPr>
          <w:p w14:paraId="5F227F04" w14:textId="77777777" w:rsidR="0074392D" w:rsidRPr="00FF119C" w:rsidRDefault="0074392D" w:rsidP="00DE7B71">
            <w:pPr>
              <w:pStyle w:val="NormalWeb"/>
              <w:jc w:val="center"/>
              <w:rPr>
                <w:sz w:val="18"/>
                <w:szCs w:val="18"/>
              </w:rPr>
            </w:pPr>
            <w:r w:rsidRPr="00FF119C">
              <w:rPr>
                <w:sz w:val="18"/>
                <w:szCs w:val="18"/>
              </w:rPr>
              <w:t>4.3</w:t>
            </w:r>
          </w:p>
        </w:tc>
        <w:tc>
          <w:tcPr>
            <w:tcW w:w="0" w:type="auto"/>
            <w:hideMark/>
          </w:tcPr>
          <w:p w14:paraId="496FB72F" w14:textId="77777777" w:rsidR="0074392D" w:rsidRPr="00FF119C" w:rsidRDefault="0074392D" w:rsidP="00DE7B71">
            <w:pPr>
              <w:pStyle w:val="NormalWeb"/>
              <w:jc w:val="center"/>
              <w:rPr>
                <w:sz w:val="18"/>
                <w:szCs w:val="18"/>
              </w:rPr>
            </w:pPr>
            <w:r w:rsidRPr="00FF119C">
              <w:rPr>
                <w:sz w:val="18"/>
                <w:szCs w:val="18"/>
              </w:rPr>
              <w:t>2.3</w:t>
            </w:r>
          </w:p>
        </w:tc>
        <w:tc>
          <w:tcPr>
            <w:tcW w:w="0" w:type="auto"/>
            <w:hideMark/>
          </w:tcPr>
          <w:p w14:paraId="5DD37424" w14:textId="77777777" w:rsidR="0074392D" w:rsidRPr="00FF119C" w:rsidRDefault="0074392D" w:rsidP="00DE7B71">
            <w:pPr>
              <w:pStyle w:val="NormalWeb"/>
              <w:jc w:val="center"/>
              <w:rPr>
                <w:sz w:val="18"/>
                <w:szCs w:val="18"/>
              </w:rPr>
            </w:pPr>
            <w:r w:rsidRPr="00FF119C">
              <w:rPr>
                <w:sz w:val="18"/>
                <w:szCs w:val="18"/>
              </w:rPr>
              <w:t>-2.0</w:t>
            </w:r>
          </w:p>
        </w:tc>
        <w:tc>
          <w:tcPr>
            <w:tcW w:w="0" w:type="auto"/>
            <w:hideMark/>
          </w:tcPr>
          <w:p w14:paraId="141B82C4" w14:textId="77777777" w:rsidR="0074392D" w:rsidRPr="00FF119C" w:rsidRDefault="0074392D" w:rsidP="00DE7B71">
            <w:pPr>
              <w:pStyle w:val="NormalWeb"/>
              <w:jc w:val="center"/>
              <w:rPr>
                <w:sz w:val="18"/>
                <w:szCs w:val="18"/>
              </w:rPr>
            </w:pPr>
            <w:r w:rsidRPr="00FF119C">
              <w:rPr>
                <w:sz w:val="18"/>
                <w:szCs w:val="18"/>
              </w:rPr>
              <w:t>-49.2</w:t>
            </w:r>
          </w:p>
        </w:tc>
        <w:tc>
          <w:tcPr>
            <w:tcW w:w="0" w:type="auto"/>
            <w:hideMark/>
          </w:tcPr>
          <w:p w14:paraId="7E744C13" w14:textId="77777777" w:rsidR="0074392D" w:rsidRPr="00FF119C" w:rsidRDefault="0074392D" w:rsidP="00DE7B71">
            <w:pPr>
              <w:pStyle w:val="NormalWeb"/>
              <w:jc w:val="center"/>
              <w:rPr>
                <w:sz w:val="18"/>
                <w:szCs w:val="18"/>
              </w:rPr>
            </w:pPr>
            <w:r w:rsidRPr="00FF119C">
              <w:rPr>
                <w:sz w:val="18"/>
                <w:szCs w:val="18"/>
              </w:rPr>
              <w:t>6.4</w:t>
            </w:r>
          </w:p>
        </w:tc>
        <w:tc>
          <w:tcPr>
            <w:tcW w:w="0" w:type="auto"/>
            <w:hideMark/>
          </w:tcPr>
          <w:p w14:paraId="4E9781EB" w14:textId="77777777" w:rsidR="0074392D" w:rsidRPr="00FF119C" w:rsidRDefault="0074392D" w:rsidP="00DE7B71">
            <w:pPr>
              <w:pStyle w:val="NormalWeb"/>
              <w:jc w:val="center"/>
              <w:rPr>
                <w:sz w:val="18"/>
                <w:szCs w:val="18"/>
              </w:rPr>
            </w:pPr>
            <w:r w:rsidRPr="00FF119C">
              <w:rPr>
                <w:sz w:val="18"/>
                <w:szCs w:val="18"/>
              </w:rPr>
              <w:t>5.6</w:t>
            </w:r>
          </w:p>
        </w:tc>
        <w:tc>
          <w:tcPr>
            <w:tcW w:w="0" w:type="auto"/>
            <w:hideMark/>
          </w:tcPr>
          <w:p w14:paraId="255FE884" w14:textId="77777777" w:rsidR="0074392D" w:rsidRPr="00FF119C" w:rsidRDefault="0074392D" w:rsidP="00DE7B71">
            <w:pPr>
              <w:pStyle w:val="NormalWeb"/>
              <w:jc w:val="center"/>
              <w:rPr>
                <w:sz w:val="18"/>
                <w:szCs w:val="18"/>
              </w:rPr>
            </w:pPr>
            <w:r w:rsidRPr="00FF119C">
              <w:rPr>
                <w:sz w:val="18"/>
                <w:szCs w:val="18"/>
              </w:rPr>
              <w:t>-0.8</w:t>
            </w:r>
          </w:p>
        </w:tc>
        <w:tc>
          <w:tcPr>
            <w:tcW w:w="1291" w:type="dxa"/>
            <w:hideMark/>
          </w:tcPr>
          <w:p w14:paraId="6B67E91E" w14:textId="77777777" w:rsidR="0074392D" w:rsidRPr="00FF119C" w:rsidRDefault="0074392D" w:rsidP="00DE7B71">
            <w:pPr>
              <w:pStyle w:val="NormalWeb"/>
              <w:jc w:val="center"/>
              <w:rPr>
                <w:sz w:val="18"/>
                <w:szCs w:val="18"/>
              </w:rPr>
            </w:pPr>
            <w:r w:rsidRPr="00FF119C">
              <w:rPr>
                <w:sz w:val="18"/>
                <w:szCs w:val="18"/>
              </w:rPr>
              <w:t>-12.0</w:t>
            </w:r>
          </w:p>
        </w:tc>
        <w:tc>
          <w:tcPr>
            <w:tcW w:w="1134" w:type="dxa"/>
            <w:hideMark/>
          </w:tcPr>
          <w:p w14:paraId="0C670396" w14:textId="77777777" w:rsidR="0074392D" w:rsidRPr="00FF119C" w:rsidRDefault="0074392D" w:rsidP="00DE7B71">
            <w:pPr>
              <w:pStyle w:val="NormalWeb"/>
              <w:jc w:val="center"/>
              <w:rPr>
                <w:sz w:val="18"/>
                <w:szCs w:val="18"/>
              </w:rPr>
            </w:pPr>
            <w:r w:rsidRPr="00FF119C">
              <w:rPr>
                <w:sz w:val="18"/>
                <w:szCs w:val="18"/>
              </w:rPr>
              <w:t>5.6</w:t>
            </w:r>
          </w:p>
        </w:tc>
        <w:tc>
          <w:tcPr>
            <w:tcW w:w="708" w:type="dxa"/>
            <w:hideMark/>
          </w:tcPr>
          <w:p w14:paraId="67014351" w14:textId="77777777" w:rsidR="0074392D" w:rsidRPr="00FF119C" w:rsidRDefault="0074392D" w:rsidP="00DE7B71">
            <w:pPr>
              <w:pStyle w:val="NormalWeb"/>
              <w:jc w:val="center"/>
              <w:rPr>
                <w:sz w:val="18"/>
                <w:szCs w:val="18"/>
              </w:rPr>
            </w:pPr>
            <w:r w:rsidRPr="00FF119C">
              <w:rPr>
                <w:sz w:val="18"/>
                <w:szCs w:val="18"/>
              </w:rPr>
              <w:t>3.9</w:t>
            </w:r>
          </w:p>
        </w:tc>
        <w:tc>
          <w:tcPr>
            <w:tcW w:w="1560" w:type="dxa"/>
            <w:hideMark/>
          </w:tcPr>
          <w:p w14:paraId="3680729D" w14:textId="77777777" w:rsidR="0074392D" w:rsidRPr="00FF119C" w:rsidRDefault="0074392D" w:rsidP="00DE7B71">
            <w:pPr>
              <w:pStyle w:val="NormalWeb"/>
              <w:jc w:val="center"/>
              <w:rPr>
                <w:sz w:val="18"/>
                <w:szCs w:val="18"/>
              </w:rPr>
            </w:pPr>
            <w:r w:rsidRPr="00FF119C">
              <w:rPr>
                <w:sz w:val="18"/>
                <w:szCs w:val="18"/>
              </w:rPr>
              <w:t>-1.6</w:t>
            </w:r>
          </w:p>
        </w:tc>
        <w:tc>
          <w:tcPr>
            <w:tcW w:w="1473" w:type="dxa"/>
            <w:hideMark/>
          </w:tcPr>
          <w:p w14:paraId="78B9B1FF" w14:textId="77777777" w:rsidR="0074392D" w:rsidRPr="00FF119C" w:rsidRDefault="0074392D" w:rsidP="00DE7B71">
            <w:pPr>
              <w:pStyle w:val="NormalWeb"/>
              <w:jc w:val="center"/>
              <w:rPr>
                <w:sz w:val="18"/>
                <w:szCs w:val="18"/>
              </w:rPr>
            </w:pPr>
            <w:r w:rsidRPr="00FF119C">
              <w:rPr>
                <w:sz w:val="18"/>
                <w:szCs w:val="18"/>
              </w:rPr>
              <w:t>-32.7</w:t>
            </w:r>
          </w:p>
        </w:tc>
      </w:tr>
      <w:tr w:rsidR="0074392D" w:rsidRPr="00FF119C" w14:paraId="161016FB" w14:textId="77777777" w:rsidTr="0074392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44AE334" w14:textId="77777777" w:rsidR="0074392D" w:rsidRPr="00FF119C" w:rsidRDefault="0074392D" w:rsidP="00DE7B71">
            <w:pPr>
              <w:pStyle w:val="NormalWeb"/>
              <w:rPr>
                <w:sz w:val="18"/>
                <w:szCs w:val="18"/>
              </w:rPr>
            </w:pPr>
            <w:r w:rsidRPr="00FF119C">
              <w:rPr>
                <w:sz w:val="18"/>
                <w:szCs w:val="18"/>
              </w:rPr>
              <w:t>Average (Mar–Dec)</w:t>
            </w:r>
          </w:p>
        </w:tc>
        <w:tc>
          <w:tcPr>
            <w:tcW w:w="0" w:type="auto"/>
            <w:hideMark/>
          </w:tcPr>
          <w:p w14:paraId="47FAEE66" w14:textId="77777777" w:rsidR="0074392D" w:rsidRPr="00FF119C" w:rsidRDefault="0074392D" w:rsidP="00DE7B71">
            <w:pPr>
              <w:pStyle w:val="NormalWeb"/>
              <w:jc w:val="center"/>
              <w:rPr>
                <w:sz w:val="18"/>
                <w:szCs w:val="18"/>
              </w:rPr>
            </w:pPr>
            <w:r w:rsidRPr="00FF119C">
              <w:rPr>
                <w:sz w:val="18"/>
                <w:szCs w:val="18"/>
              </w:rPr>
              <w:t>4.2</w:t>
            </w:r>
          </w:p>
        </w:tc>
        <w:tc>
          <w:tcPr>
            <w:tcW w:w="0" w:type="auto"/>
            <w:hideMark/>
          </w:tcPr>
          <w:p w14:paraId="009894DA" w14:textId="77777777" w:rsidR="0074392D" w:rsidRPr="00FF119C" w:rsidRDefault="0074392D" w:rsidP="00DE7B71">
            <w:pPr>
              <w:pStyle w:val="NormalWeb"/>
              <w:jc w:val="center"/>
              <w:rPr>
                <w:sz w:val="18"/>
                <w:szCs w:val="18"/>
              </w:rPr>
            </w:pPr>
            <w:r w:rsidRPr="00FF119C">
              <w:rPr>
                <w:sz w:val="18"/>
                <w:szCs w:val="18"/>
              </w:rPr>
              <w:t>1.7</w:t>
            </w:r>
          </w:p>
        </w:tc>
        <w:tc>
          <w:tcPr>
            <w:tcW w:w="0" w:type="auto"/>
            <w:hideMark/>
          </w:tcPr>
          <w:p w14:paraId="789321D8" w14:textId="77777777" w:rsidR="0074392D" w:rsidRPr="00FF119C" w:rsidRDefault="0074392D" w:rsidP="00DE7B71">
            <w:pPr>
              <w:pStyle w:val="NormalWeb"/>
              <w:jc w:val="center"/>
              <w:rPr>
                <w:sz w:val="18"/>
                <w:szCs w:val="18"/>
              </w:rPr>
            </w:pPr>
            <w:r w:rsidRPr="00FF119C">
              <w:rPr>
                <w:sz w:val="18"/>
                <w:szCs w:val="18"/>
              </w:rPr>
              <w:t>-2.5</w:t>
            </w:r>
          </w:p>
        </w:tc>
        <w:tc>
          <w:tcPr>
            <w:tcW w:w="0" w:type="auto"/>
            <w:hideMark/>
          </w:tcPr>
          <w:p w14:paraId="3F865395" w14:textId="77777777" w:rsidR="0074392D" w:rsidRPr="00FF119C" w:rsidRDefault="0074392D" w:rsidP="00DE7B71">
            <w:pPr>
              <w:pStyle w:val="NormalWeb"/>
              <w:jc w:val="center"/>
              <w:rPr>
                <w:sz w:val="18"/>
                <w:szCs w:val="18"/>
              </w:rPr>
            </w:pPr>
            <w:r w:rsidRPr="00FF119C">
              <w:rPr>
                <w:sz w:val="18"/>
                <w:szCs w:val="18"/>
              </w:rPr>
              <w:t>-59.0</w:t>
            </w:r>
          </w:p>
        </w:tc>
        <w:tc>
          <w:tcPr>
            <w:tcW w:w="0" w:type="auto"/>
            <w:hideMark/>
          </w:tcPr>
          <w:p w14:paraId="1F4140BD" w14:textId="77777777" w:rsidR="0074392D" w:rsidRPr="00FF119C" w:rsidRDefault="0074392D" w:rsidP="00DE7B71">
            <w:pPr>
              <w:pStyle w:val="NormalWeb"/>
              <w:jc w:val="center"/>
              <w:rPr>
                <w:sz w:val="18"/>
                <w:szCs w:val="18"/>
              </w:rPr>
            </w:pPr>
            <w:r w:rsidRPr="00FF119C">
              <w:rPr>
                <w:sz w:val="18"/>
                <w:szCs w:val="18"/>
              </w:rPr>
              <w:t>6.1</w:t>
            </w:r>
          </w:p>
        </w:tc>
        <w:tc>
          <w:tcPr>
            <w:tcW w:w="0" w:type="auto"/>
            <w:hideMark/>
          </w:tcPr>
          <w:p w14:paraId="255D62AF" w14:textId="77777777" w:rsidR="0074392D" w:rsidRPr="00FF119C" w:rsidRDefault="0074392D" w:rsidP="00DE7B71">
            <w:pPr>
              <w:pStyle w:val="NormalWeb"/>
              <w:jc w:val="center"/>
              <w:rPr>
                <w:sz w:val="18"/>
                <w:szCs w:val="18"/>
              </w:rPr>
            </w:pPr>
            <w:r w:rsidRPr="00FF119C">
              <w:rPr>
                <w:sz w:val="18"/>
                <w:szCs w:val="18"/>
              </w:rPr>
              <w:t>5.0</w:t>
            </w:r>
          </w:p>
        </w:tc>
        <w:tc>
          <w:tcPr>
            <w:tcW w:w="0" w:type="auto"/>
            <w:hideMark/>
          </w:tcPr>
          <w:p w14:paraId="0A9FAD1E" w14:textId="77777777" w:rsidR="0074392D" w:rsidRPr="00FF119C" w:rsidRDefault="0074392D" w:rsidP="00DE7B71">
            <w:pPr>
              <w:pStyle w:val="NormalWeb"/>
              <w:jc w:val="center"/>
              <w:rPr>
                <w:sz w:val="18"/>
                <w:szCs w:val="18"/>
              </w:rPr>
            </w:pPr>
            <w:r w:rsidRPr="00FF119C">
              <w:rPr>
                <w:sz w:val="18"/>
                <w:szCs w:val="18"/>
              </w:rPr>
              <w:t>-1.1</w:t>
            </w:r>
          </w:p>
        </w:tc>
        <w:tc>
          <w:tcPr>
            <w:tcW w:w="1291" w:type="dxa"/>
            <w:hideMark/>
          </w:tcPr>
          <w:p w14:paraId="2AC10DB3" w14:textId="77777777" w:rsidR="0074392D" w:rsidRPr="00FF119C" w:rsidRDefault="0074392D" w:rsidP="00DE7B71">
            <w:pPr>
              <w:pStyle w:val="NormalWeb"/>
              <w:jc w:val="center"/>
              <w:rPr>
                <w:sz w:val="18"/>
                <w:szCs w:val="18"/>
              </w:rPr>
            </w:pPr>
            <w:r w:rsidRPr="00FF119C">
              <w:rPr>
                <w:sz w:val="18"/>
                <w:szCs w:val="18"/>
              </w:rPr>
              <w:t>-16.0</w:t>
            </w:r>
          </w:p>
        </w:tc>
        <w:tc>
          <w:tcPr>
            <w:tcW w:w="1134" w:type="dxa"/>
            <w:hideMark/>
          </w:tcPr>
          <w:p w14:paraId="4B374F8A" w14:textId="77777777" w:rsidR="0074392D" w:rsidRPr="00FF119C" w:rsidRDefault="0074392D" w:rsidP="00DE7B71">
            <w:pPr>
              <w:pStyle w:val="NormalWeb"/>
              <w:jc w:val="center"/>
              <w:rPr>
                <w:sz w:val="18"/>
                <w:szCs w:val="18"/>
              </w:rPr>
            </w:pPr>
            <w:r w:rsidRPr="00FF119C">
              <w:rPr>
                <w:sz w:val="18"/>
                <w:szCs w:val="18"/>
              </w:rPr>
              <w:t>5.0</w:t>
            </w:r>
          </w:p>
        </w:tc>
        <w:tc>
          <w:tcPr>
            <w:tcW w:w="708" w:type="dxa"/>
            <w:hideMark/>
          </w:tcPr>
          <w:p w14:paraId="23F32DDD" w14:textId="77777777" w:rsidR="0074392D" w:rsidRPr="00FF119C" w:rsidRDefault="0074392D" w:rsidP="00DE7B71">
            <w:pPr>
              <w:pStyle w:val="NormalWeb"/>
              <w:jc w:val="center"/>
              <w:rPr>
                <w:sz w:val="18"/>
                <w:szCs w:val="18"/>
              </w:rPr>
            </w:pPr>
            <w:r w:rsidRPr="00FF119C">
              <w:rPr>
                <w:sz w:val="18"/>
                <w:szCs w:val="18"/>
              </w:rPr>
              <w:t>3.0</w:t>
            </w:r>
          </w:p>
        </w:tc>
        <w:tc>
          <w:tcPr>
            <w:tcW w:w="1560" w:type="dxa"/>
            <w:hideMark/>
          </w:tcPr>
          <w:p w14:paraId="43332AC3" w14:textId="77777777" w:rsidR="0074392D" w:rsidRPr="00FF119C" w:rsidRDefault="0074392D" w:rsidP="00DE7B71">
            <w:pPr>
              <w:pStyle w:val="NormalWeb"/>
              <w:jc w:val="center"/>
              <w:rPr>
                <w:sz w:val="18"/>
                <w:szCs w:val="18"/>
              </w:rPr>
            </w:pPr>
            <w:r w:rsidRPr="00FF119C">
              <w:rPr>
                <w:sz w:val="18"/>
                <w:szCs w:val="18"/>
              </w:rPr>
              <w:t>-2.0</w:t>
            </w:r>
          </w:p>
        </w:tc>
        <w:tc>
          <w:tcPr>
            <w:tcW w:w="1473" w:type="dxa"/>
            <w:hideMark/>
          </w:tcPr>
          <w:p w14:paraId="1CFC4C84" w14:textId="77777777" w:rsidR="0074392D" w:rsidRPr="00FF119C" w:rsidRDefault="0074392D" w:rsidP="00DE7B71">
            <w:pPr>
              <w:pStyle w:val="NormalWeb"/>
              <w:jc w:val="center"/>
              <w:rPr>
                <w:sz w:val="18"/>
                <w:szCs w:val="18"/>
              </w:rPr>
            </w:pPr>
            <w:r w:rsidRPr="00FF119C">
              <w:rPr>
                <w:sz w:val="18"/>
                <w:szCs w:val="18"/>
              </w:rPr>
              <w:t>-40.0</w:t>
            </w:r>
          </w:p>
        </w:tc>
      </w:tr>
    </w:tbl>
    <w:p w14:paraId="16393DE0" w14:textId="69F9973D" w:rsidR="0074392D" w:rsidRDefault="0074392D" w:rsidP="00246A15">
      <w:pPr>
        <w:rPr>
          <w:rFonts w:eastAsia="Times New Roman"/>
          <w:b/>
          <w:bCs/>
        </w:rPr>
        <w:sectPr w:rsidR="0074392D" w:rsidSect="005C2F48">
          <w:pgSz w:w="16838" w:h="11906" w:orient="landscape"/>
          <w:pgMar w:top="720" w:right="720" w:bottom="720" w:left="1134" w:header="709" w:footer="284" w:gutter="0"/>
          <w:cols w:space="708"/>
          <w:titlePg/>
          <w:docGrid w:linePitch="360"/>
        </w:sectPr>
      </w:pPr>
    </w:p>
    <w:p w14:paraId="7048072F" w14:textId="48AC54AD" w:rsidR="00E22C1A" w:rsidRDefault="00E22C1A" w:rsidP="00246A15">
      <w:pPr>
        <w:rPr>
          <w:rFonts w:eastAsia="Times New Roman"/>
          <w:b/>
          <w:bCs/>
        </w:rPr>
      </w:pPr>
    </w:p>
    <w:p w14:paraId="18F21BDC" w14:textId="144BC028" w:rsidR="005C2F48" w:rsidRDefault="005C2F48" w:rsidP="005C2F48">
      <w:pPr>
        <w:pStyle w:val="CDIFigures"/>
        <w:rPr>
          <w:rStyle w:val="Strong"/>
          <w:b/>
          <w:bCs w:val="0"/>
        </w:rPr>
      </w:pPr>
      <w:r w:rsidRPr="00FF119C">
        <w:rPr>
          <w:rStyle w:val="Strong"/>
          <w:b/>
          <w:bCs w:val="0"/>
        </w:rPr>
        <w:t>Table A.4: Australian federal and state/territory advice/public health measures related to control of COVID-19 in 2020.</w:t>
      </w:r>
    </w:p>
    <w:tbl>
      <w:tblPr>
        <w:tblStyle w:val="CDI-StandardTable"/>
        <w:tblW w:w="0" w:type="auto"/>
        <w:tblLook w:val="04A0" w:firstRow="1" w:lastRow="0" w:firstColumn="1" w:lastColumn="0" w:noHBand="0" w:noVBand="1"/>
        <w:tblDescription w:val="Appendix Table A.4. Australian federal and state/territory advice/restrictions related to control of COVID-19 in 2020."/>
      </w:tblPr>
      <w:tblGrid>
        <w:gridCol w:w="2880"/>
        <w:gridCol w:w="5220"/>
        <w:gridCol w:w="2340"/>
      </w:tblGrid>
      <w:tr w:rsidR="008A177C" w:rsidRPr="00FF119C" w14:paraId="0DCC372B" w14:textId="77777777" w:rsidTr="00DE7B71">
        <w:trPr>
          <w:cnfStyle w:val="100000000000" w:firstRow="1" w:lastRow="0" w:firstColumn="0" w:lastColumn="0" w:oddVBand="0" w:evenVBand="0" w:oddHBand="0" w:evenHBand="0" w:firstRowFirstColumn="0" w:firstRowLastColumn="0" w:lastRowFirstColumn="0" w:lastRowLastColumn="0"/>
        </w:trPr>
        <w:tc>
          <w:tcPr>
            <w:tcW w:w="2880" w:type="dxa"/>
            <w:tcBorders>
              <w:right w:val="single" w:sz="2" w:space="0" w:color="FFFFFF" w:themeColor="background1"/>
            </w:tcBorders>
            <w:hideMark/>
          </w:tcPr>
          <w:p w14:paraId="32DEA6A7" w14:textId="77777777" w:rsidR="008A177C" w:rsidRPr="00FF119C" w:rsidRDefault="008A177C" w:rsidP="00DE7B71">
            <w:pPr>
              <w:pStyle w:val="NormalWeb"/>
              <w:rPr>
                <w:color w:val="FFFFFF" w:themeColor="background1"/>
                <w:sz w:val="18"/>
                <w:szCs w:val="18"/>
              </w:rPr>
            </w:pPr>
            <w:r w:rsidRPr="00FF119C">
              <w:rPr>
                <w:color w:val="FFFFFF" w:themeColor="background1"/>
                <w:sz w:val="18"/>
                <w:szCs w:val="18"/>
              </w:rPr>
              <w:t>State/territory</w:t>
            </w:r>
          </w:p>
        </w:tc>
        <w:tc>
          <w:tcPr>
            <w:tcW w:w="5220" w:type="dxa"/>
            <w:tcBorders>
              <w:left w:val="single" w:sz="2" w:space="0" w:color="FFFFFF" w:themeColor="background1"/>
              <w:right w:val="single" w:sz="2" w:space="0" w:color="FFFFFF" w:themeColor="background1"/>
            </w:tcBorders>
            <w:hideMark/>
          </w:tcPr>
          <w:p w14:paraId="22AC2E5C" w14:textId="77777777" w:rsidR="008A177C" w:rsidRPr="00FF119C" w:rsidRDefault="008A177C" w:rsidP="00DE7B71">
            <w:pPr>
              <w:pStyle w:val="NormalWeb"/>
              <w:rPr>
                <w:color w:val="FFFFFF" w:themeColor="background1"/>
                <w:sz w:val="18"/>
                <w:szCs w:val="18"/>
              </w:rPr>
            </w:pPr>
            <w:r w:rsidRPr="00FF119C">
              <w:rPr>
                <w:color w:val="FFFFFF" w:themeColor="background1"/>
                <w:sz w:val="18"/>
                <w:szCs w:val="18"/>
              </w:rPr>
              <w:t>Stay at home / Closure of nonessential businesses</w:t>
            </w:r>
          </w:p>
        </w:tc>
        <w:tc>
          <w:tcPr>
            <w:tcW w:w="2340" w:type="dxa"/>
            <w:tcBorders>
              <w:left w:val="single" w:sz="2" w:space="0" w:color="FFFFFF" w:themeColor="background1"/>
            </w:tcBorders>
            <w:hideMark/>
          </w:tcPr>
          <w:p w14:paraId="427B4328" w14:textId="77777777" w:rsidR="008A177C" w:rsidRPr="00FF119C" w:rsidRDefault="008A177C" w:rsidP="00DE7B71">
            <w:pPr>
              <w:pStyle w:val="NormalWeb"/>
              <w:rPr>
                <w:color w:val="FFFFFF" w:themeColor="background1"/>
                <w:sz w:val="18"/>
                <w:szCs w:val="18"/>
              </w:rPr>
            </w:pPr>
            <w:r w:rsidRPr="00FF119C">
              <w:rPr>
                <w:color w:val="FFFFFF" w:themeColor="background1"/>
                <w:sz w:val="18"/>
                <w:szCs w:val="18"/>
              </w:rPr>
              <w:t>Mask wearing</w:t>
            </w:r>
          </w:p>
        </w:tc>
      </w:tr>
      <w:tr w:rsidR="008A177C" w:rsidRPr="00FF119C" w14:paraId="3FD09281" w14:textId="77777777" w:rsidTr="00DE7B71">
        <w:tblPrEx>
          <w:tblCellMar>
            <w:top w:w="57" w:type="dxa"/>
            <w:left w:w="57" w:type="dxa"/>
            <w:bottom w:w="57" w:type="dxa"/>
            <w:right w:w="57" w:type="dxa"/>
          </w:tblCellMar>
        </w:tblPrEx>
        <w:tc>
          <w:tcPr>
            <w:tcW w:w="2880" w:type="dxa"/>
            <w:hideMark/>
          </w:tcPr>
          <w:p w14:paraId="6E6D13BB" w14:textId="77777777" w:rsidR="008A177C" w:rsidRPr="00FF119C" w:rsidRDefault="008A177C" w:rsidP="00DE7B71">
            <w:pPr>
              <w:pStyle w:val="NormalWeb"/>
              <w:rPr>
                <w:sz w:val="18"/>
                <w:szCs w:val="18"/>
              </w:rPr>
            </w:pPr>
            <w:r w:rsidRPr="00FF119C">
              <w:rPr>
                <w:sz w:val="18"/>
                <w:szCs w:val="18"/>
              </w:rPr>
              <w:t>Australian Capital Territory</w:t>
            </w:r>
          </w:p>
        </w:tc>
        <w:tc>
          <w:tcPr>
            <w:tcW w:w="5220" w:type="dxa"/>
            <w:hideMark/>
          </w:tcPr>
          <w:p w14:paraId="699AE617" w14:textId="77777777" w:rsidR="008A177C" w:rsidRPr="00FF119C" w:rsidRDefault="008A177C" w:rsidP="00DE7B71">
            <w:pPr>
              <w:pStyle w:val="NormalWeb"/>
              <w:rPr>
                <w:sz w:val="18"/>
                <w:szCs w:val="18"/>
              </w:rPr>
            </w:pPr>
            <w:r w:rsidRPr="00FF119C">
              <w:rPr>
                <w:sz w:val="18"/>
                <w:szCs w:val="18"/>
              </w:rPr>
              <w:t>March to June</w:t>
            </w:r>
          </w:p>
        </w:tc>
        <w:tc>
          <w:tcPr>
            <w:tcW w:w="2340" w:type="dxa"/>
            <w:hideMark/>
          </w:tcPr>
          <w:p w14:paraId="7679F59E" w14:textId="77777777" w:rsidR="008A177C" w:rsidRPr="00FF119C" w:rsidRDefault="008A177C" w:rsidP="00DE7B71">
            <w:pPr>
              <w:rPr>
                <w:sz w:val="18"/>
                <w:szCs w:val="18"/>
              </w:rPr>
            </w:pPr>
          </w:p>
        </w:tc>
      </w:tr>
      <w:tr w:rsidR="008A177C" w:rsidRPr="00FF119C" w14:paraId="0A97550E" w14:textId="77777777" w:rsidTr="00DE7B7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hideMark/>
          </w:tcPr>
          <w:p w14:paraId="3F912C1D" w14:textId="77777777" w:rsidR="008A177C" w:rsidRPr="00FF119C" w:rsidRDefault="008A177C" w:rsidP="00DE7B71">
            <w:pPr>
              <w:pStyle w:val="NormalWeb"/>
              <w:rPr>
                <w:sz w:val="18"/>
                <w:szCs w:val="18"/>
              </w:rPr>
            </w:pPr>
            <w:r w:rsidRPr="00FF119C">
              <w:rPr>
                <w:sz w:val="18"/>
                <w:szCs w:val="18"/>
              </w:rPr>
              <w:t>New South Wales</w:t>
            </w:r>
          </w:p>
        </w:tc>
        <w:tc>
          <w:tcPr>
            <w:tcW w:w="5220" w:type="dxa"/>
            <w:hideMark/>
          </w:tcPr>
          <w:p w14:paraId="3F5638CA" w14:textId="77777777" w:rsidR="008A177C" w:rsidRPr="00FF119C" w:rsidRDefault="008A177C" w:rsidP="00DE7B71">
            <w:pPr>
              <w:pStyle w:val="NormalWeb"/>
              <w:rPr>
                <w:sz w:val="18"/>
                <w:szCs w:val="18"/>
              </w:rPr>
            </w:pPr>
            <w:r w:rsidRPr="00FF119C">
              <w:rPr>
                <w:sz w:val="18"/>
                <w:szCs w:val="18"/>
              </w:rPr>
              <w:t>March to June, December</w:t>
            </w:r>
          </w:p>
        </w:tc>
        <w:tc>
          <w:tcPr>
            <w:tcW w:w="2340" w:type="dxa"/>
            <w:hideMark/>
          </w:tcPr>
          <w:p w14:paraId="69CD7891" w14:textId="77777777" w:rsidR="008A177C" w:rsidRPr="00FF119C" w:rsidRDefault="008A177C" w:rsidP="00DE7B71">
            <w:pPr>
              <w:rPr>
                <w:sz w:val="18"/>
                <w:szCs w:val="18"/>
              </w:rPr>
            </w:pPr>
          </w:p>
        </w:tc>
      </w:tr>
      <w:tr w:rsidR="008A177C" w:rsidRPr="00FF119C" w14:paraId="4D0FE517" w14:textId="77777777" w:rsidTr="00DE7B71">
        <w:tblPrEx>
          <w:tblCellMar>
            <w:top w:w="57" w:type="dxa"/>
            <w:left w:w="57" w:type="dxa"/>
            <w:bottom w:w="57" w:type="dxa"/>
            <w:right w:w="57" w:type="dxa"/>
          </w:tblCellMar>
        </w:tblPrEx>
        <w:tc>
          <w:tcPr>
            <w:tcW w:w="2880" w:type="dxa"/>
            <w:hideMark/>
          </w:tcPr>
          <w:p w14:paraId="6AA6AFA8" w14:textId="77777777" w:rsidR="008A177C" w:rsidRPr="00FF119C" w:rsidRDefault="008A177C" w:rsidP="00DE7B71">
            <w:pPr>
              <w:pStyle w:val="NormalWeb"/>
              <w:rPr>
                <w:sz w:val="18"/>
                <w:szCs w:val="18"/>
              </w:rPr>
            </w:pPr>
            <w:r w:rsidRPr="00FF119C">
              <w:rPr>
                <w:sz w:val="18"/>
                <w:szCs w:val="18"/>
              </w:rPr>
              <w:t>Northern Territory</w:t>
            </w:r>
          </w:p>
        </w:tc>
        <w:tc>
          <w:tcPr>
            <w:tcW w:w="5220" w:type="dxa"/>
            <w:hideMark/>
          </w:tcPr>
          <w:p w14:paraId="17ADBB5E" w14:textId="77777777" w:rsidR="008A177C" w:rsidRPr="00FF119C" w:rsidRDefault="008A177C" w:rsidP="00DE7B71">
            <w:pPr>
              <w:pStyle w:val="NormalWeb"/>
              <w:rPr>
                <w:sz w:val="18"/>
                <w:szCs w:val="18"/>
              </w:rPr>
            </w:pPr>
            <w:r w:rsidRPr="00FF119C">
              <w:rPr>
                <w:sz w:val="18"/>
                <w:szCs w:val="18"/>
              </w:rPr>
              <w:t>March to June</w:t>
            </w:r>
          </w:p>
        </w:tc>
        <w:tc>
          <w:tcPr>
            <w:tcW w:w="2340" w:type="dxa"/>
            <w:hideMark/>
          </w:tcPr>
          <w:p w14:paraId="7EF9B7DF" w14:textId="77777777" w:rsidR="008A177C" w:rsidRPr="00FF119C" w:rsidRDefault="008A177C" w:rsidP="00DE7B71">
            <w:pPr>
              <w:rPr>
                <w:sz w:val="18"/>
                <w:szCs w:val="18"/>
              </w:rPr>
            </w:pPr>
          </w:p>
        </w:tc>
      </w:tr>
      <w:tr w:rsidR="008A177C" w:rsidRPr="00FF119C" w14:paraId="16E883E2" w14:textId="77777777" w:rsidTr="00DE7B7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hideMark/>
          </w:tcPr>
          <w:p w14:paraId="75D47F97" w14:textId="77777777" w:rsidR="008A177C" w:rsidRPr="00FF119C" w:rsidRDefault="008A177C" w:rsidP="00DE7B71">
            <w:pPr>
              <w:pStyle w:val="NormalWeb"/>
              <w:rPr>
                <w:sz w:val="18"/>
                <w:szCs w:val="18"/>
              </w:rPr>
            </w:pPr>
            <w:r w:rsidRPr="00FF119C">
              <w:rPr>
                <w:sz w:val="18"/>
                <w:szCs w:val="18"/>
              </w:rPr>
              <w:t>Queensland</w:t>
            </w:r>
          </w:p>
        </w:tc>
        <w:tc>
          <w:tcPr>
            <w:tcW w:w="5220" w:type="dxa"/>
            <w:hideMark/>
          </w:tcPr>
          <w:p w14:paraId="742FB4B2" w14:textId="77777777" w:rsidR="008A177C" w:rsidRPr="00FF119C" w:rsidRDefault="008A177C" w:rsidP="00DE7B71">
            <w:pPr>
              <w:pStyle w:val="NormalWeb"/>
              <w:rPr>
                <w:sz w:val="18"/>
                <w:szCs w:val="18"/>
              </w:rPr>
            </w:pPr>
            <w:r w:rsidRPr="00FF119C">
              <w:rPr>
                <w:sz w:val="18"/>
                <w:szCs w:val="18"/>
              </w:rPr>
              <w:t>March to June</w:t>
            </w:r>
          </w:p>
        </w:tc>
        <w:tc>
          <w:tcPr>
            <w:tcW w:w="2340" w:type="dxa"/>
            <w:hideMark/>
          </w:tcPr>
          <w:p w14:paraId="6533FFC8" w14:textId="77777777" w:rsidR="008A177C" w:rsidRPr="00FF119C" w:rsidRDefault="008A177C" w:rsidP="00DE7B71">
            <w:pPr>
              <w:rPr>
                <w:sz w:val="18"/>
                <w:szCs w:val="18"/>
              </w:rPr>
            </w:pPr>
          </w:p>
        </w:tc>
      </w:tr>
      <w:tr w:rsidR="008A177C" w:rsidRPr="00FF119C" w14:paraId="2B66BB1A" w14:textId="77777777" w:rsidTr="00DE7B71">
        <w:tblPrEx>
          <w:tblCellMar>
            <w:top w:w="57" w:type="dxa"/>
            <w:left w:w="57" w:type="dxa"/>
            <w:bottom w:w="57" w:type="dxa"/>
            <w:right w:w="57" w:type="dxa"/>
          </w:tblCellMar>
        </w:tblPrEx>
        <w:tc>
          <w:tcPr>
            <w:tcW w:w="2880" w:type="dxa"/>
            <w:hideMark/>
          </w:tcPr>
          <w:p w14:paraId="711841FA" w14:textId="77777777" w:rsidR="008A177C" w:rsidRPr="00FF119C" w:rsidRDefault="008A177C" w:rsidP="00DE7B71">
            <w:pPr>
              <w:pStyle w:val="NormalWeb"/>
              <w:rPr>
                <w:sz w:val="18"/>
                <w:szCs w:val="18"/>
              </w:rPr>
            </w:pPr>
            <w:r w:rsidRPr="00FF119C">
              <w:rPr>
                <w:sz w:val="18"/>
                <w:szCs w:val="18"/>
              </w:rPr>
              <w:t>South Australia</w:t>
            </w:r>
          </w:p>
        </w:tc>
        <w:tc>
          <w:tcPr>
            <w:tcW w:w="5220" w:type="dxa"/>
            <w:hideMark/>
          </w:tcPr>
          <w:p w14:paraId="4AA7FB98" w14:textId="77777777" w:rsidR="008A177C" w:rsidRPr="00FF119C" w:rsidRDefault="008A177C" w:rsidP="00DE7B71">
            <w:pPr>
              <w:pStyle w:val="NormalWeb"/>
              <w:rPr>
                <w:sz w:val="18"/>
                <w:szCs w:val="18"/>
              </w:rPr>
            </w:pPr>
            <w:r w:rsidRPr="00FF119C">
              <w:rPr>
                <w:sz w:val="18"/>
                <w:szCs w:val="18"/>
              </w:rPr>
              <w:t>March to June, November</w:t>
            </w:r>
          </w:p>
        </w:tc>
        <w:tc>
          <w:tcPr>
            <w:tcW w:w="2340" w:type="dxa"/>
            <w:hideMark/>
          </w:tcPr>
          <w:p w14:paraId="296BE617" w14:textId="77777777" w:rsidR="008A177C" w:rsidRPr="00FF119C" w:rsidRDefault="008A177C" w:rsidP="00DE7B71">
            <w:pPr>
              <w:rPr>
                <w:sz w:val="18"/>
                <w:szCs w:val="18"/>
              </w:rPr>
            </w:pPr>
          </w:p>
        </w:tc>
      </w:tr>
      <w:tr w:rsidR="008A177C" w:rsidRPr="00FF119C" w14:paraId="41996D63" w14:textId="77777777" w:rsidTr="00DE7B7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hideMark/>
          </w:tcPr>
          <w:p w14:paraId="1F249782" w14:textId="77777777" w:rsidR="008A177C" w:rsidRPr="00FF119C" w:rsidRDefault="008A177C" w:rsidP="00DE7B71">
            <w:pPr>
              <w:pStyle w:val="NormalWeb"/>
              <w:rPr>
                <w:sz w:val="18"/>
                <w:szCs w:val="18"/>
              </w:rPr>
            </w:pPr>
            <w:r w:rsidRPr="00FF119C">
              <w:rPr>
                <w:sz w:val="18"/>
                <w:szCs w:val="18"/>
              </w:rPr>
              <w:t>Tasmania</w:t>
            </w:r>
          </w:p>
        </w:tc>
        <w:tc>
          <w:tcPr>
            <w:tcW w:w="5220" w:type="dxa"/>
            <w:hideMark/>
          </w:tcPr>
          <w:p w14:paraId="59D51F81" w14:textId="77777777" w:rsidR="008A177C" w:rsidRPr="00FF119C" w:rsidRDefault="008A177C" w:rsidP="00DE7B71">
            <w:pPr>
              <w:pStyle w:val="NormalWeb"/>
              <w:rPr>
                <w:sz w:val="18"/>
                <w:szCs w:val="18"/>
              </w:rPr>
            </w:pPr>
            <w:r w:rsidRPr="00FF119C">
              <w:rPr>
                <w:sz w:val="18"/>
                <w:szCs w:val="18"/>
              </w:rPr>
              <w:t>March to June</w:t>
            </w:r>
          </w:p>
        </w:tc>
        <w:tc>
          <w:tcPr>
            <w:tcW w:w="2340" w:type="dxa"/>
            <w:hideMark/>
          </w:tcPr>
          <w:p w14:paraId="60268A6D" w14:textId="77777777" w:rsidR="008A177C" w:rsidRPr="00FF119C" w:rsidRDefault="008A177C" w:rsidP="00DE7B71">
            <w:pPr>
              <w:rPr>
                <w:sz w:val="18"/>
                <w:szCs w:val="18"/>
              </w:rPr>
            </w:pPr>
          </w:p>
        </w:tc>
      </w:tr>
      <w:tr w:rsidR="008A177C" w:rsidRPr="00FF119C" w14:paraId="6C9DA7C5" w14:textId="77777777" w:rsidTr="00DE7B71">
        <w:tblPrEx>
          <w:tblCellMar>
            <w:top w:w="57" w:type="dxa"/>
            <w:left w:w="57" w:type="dxa"/>
            <w:bottom w:w="57" w:type="dxa"/>
            <w:right w:w="57" w:type="dxa"/>
          </w:tblCellMar>
        </w:tblPrEx>
        <w:tc>
          <w:tcPr>
            <w:tcW w:w="2880" w:type="dxa"/>
            <w:hideMark/>
          </w:tcPr>
          <w:p w14:paraId="3606371F" w14:textId="77777777" w:rsidR="008A177C" w:rsidRPr="00FF119C" w:rsidRDefault="008A177C" w:rsidP="00DE7B71">
            <w:pPr>
              <w:pStyle w:val="NormalWeb"/>
              <w:rPr>
                <w:sz w:val="18"/>
                <w:szCs w:val="18"/>
              </w:rPr>
            </w:pPr>
            <w:r w:rsidRPr="00FF119C">
              <w:rPr>
                <w:sz w:val="18"/>
                <w:szCs w:val="18"/>
              </w:rPr>
              <w:t>Victoria</w:t>
            </w:r>
          </w:p>
        </w:tc>
        <w:tc>
          <w:tcPr>
            <w:tcW w:w="5220" w:type="dxa"/>
            <w:hideMark/>
          </w:tcPr>
          <w:p w14:paraId="277D7708" w14:textId="77777777" w:rsidR="008A177C" w:rsidRPr="00FF119C" w:rsidRDefault="008A177C" w:rsidP="00DE7B71">
            <w:pPr>
              <w:pStyle w:val="NormalWeb"/>
              <w:rPr>
                <w:sz w:val="18"/>
                <w:szCs w:val="18"/>
              </w:rPr>
            </w:pPr>
            <w:r w:rsidRPr="00FF119C">
              <w:rPr>
                <w:sz w:val="18"/>
                <w:szCs w:val="18"/>
              </w:rPr>
              <w:t>March to June, July to September</w:t>
            </w:r>
          </w:p>
        </w:tc>
        <w:tc>
          <w:tcPr>
            <w:tcW w:w="2340" w:type="dxa"/>
            <w:hideMark/>
          </w:tcPr>
          <w:p w14:paraId="134C2E6C" w14:textId="77777777" w:rsidR="008A177C" w:rsidRPr="00FF119C" w:rsidRDefault="008A177C" w:rsidP="00DE7B71">
            <w:pPr>
              <w:pStyle w:val="NormalWeb"/>
              <w:rPr>
                <w:sz w:val="18"/>
                <w:szCs w:val="18"/>
              </w:rPr>
            </w:pPr>
            <w:r w:rsidRPr="00FF119C">
              <w:rPr>
                <w:sz w:val="18"/>
                <w:szCs w:val="18"/>
              </w:rPr>
              <w:t>From July</w:t>
            </w:r>
          </w:p>
        </w:tc>
      </w:tr>
      <w:tr w:rsidR="008A177C" w:rsidRPr="00FF119C" w14:paraId="59C19836" w14:textId="77777777" w:rsidTr="00DE7B7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hideMark/>
          </w:tcPr>
          <w:p w14:paraId="773A15CB" w14:textId="77777777" w:rsidR="008A177C" w:rsidRPr="00FF119C" w:rsidRDefault="008A177C" w:rsidP="00DE7B71">
            <w:pPr>
              <w:pStyle w:val="NormalWeb"/>
              <w:rPr>
                <w:sz w:val="18"/>
                <w:szCs w:val="18"/>
              </w:rPr>
            </w:pPr>
            <w:r w:rsidRPr="00FF119C">
              <w:rPr>
                <w:sz w:val="18"/>
                <w:szCs w:val="18"/>
              </w:rPr>
              <w:t>Western Australia</w:t>
            </w:r>
          </w:p>
        </w:tc>
        <w:tc>
          <w:tcPr>
            <w:tcW w:w="5220" w:type="dxa"/>
            <w:hideMark/>
          </w:tcPr>
          <w:p w14:paraId="0A62F5E0" w14:textId="77777777" w:rsidR="008A177C" w:rsidRPr="00FF119C" w:rsidRDefault="008A177C" w:rsidP="00DE7B71">
            <w:pPr>
              <w:pStyle w:val="NormalWeb"/>
              <w:rPr>
                <w:sz w:val="18"/>
                <w:szCs w:val="18"/>
              </w:rPr>
            </w:pPr>
            <w:r w:rsidRPr="00FF119C">
              <w:rPr>
                <w:sz w:val="18"/>
                <w:szCs w:val="18"/>
              </w:rPr>
              <w:t>March to June</w:t>
            </w:r>
          </w:p>
        </w:tc>
        <w:tc>
          <w:tcPr>
            <w:tcW w:w="2340" w:type="dxa"/>
            <w:hideMark/>
          </w:tcPr>
          <w:p w14:paraId="117F3FDC" w14:textId="77777777" w:rsidR="008A177C" w:rsidRPr="00FF119C" w:rsidRDefault="008A177C" w:rsidP="00DE7B71">
            <w:pPr>
              <w:rPr>
                <w:sz w:val="18"/>
                <w:szCs w:val="18"/>
              </w:rPr>
            </w:pPr>
          </w:p>
        </w:tc>
      </w:tr>
    </w:tbl>
    <w:p w14:paraId="47376575" w14:textId="77777777" w:rsidR="008A177C" w:rsidRDefault="008A177C" w:rsidP="00246A15">
      <w:pPr>
        <w:rPr>
          <w:rFonts w:eastAsia="Times New Roman"/>
          <w:b/>
          <w:bCs/>
        </w:rPr>
      </w:pPr>
    </w:p>
    <w:p w14:paraId="454235D8" w14:textId="77777777" w:rsidR="00690593" w:rsidRDefault="00690593">
      <w:pPr>
        <w:rPr>
          <w:rFonts w:eastAsia="Times New Roman"/>
          <w:b/>
          <w:bCs/>
        </w:rPr>
      </w:pPr>
      <w:r>
        <w:rPr>
          <w:rFonts w:eastAsia="Times New Roman"/>
          <w:b/>
          <w:bCs/>
        </w:rPr>
        <w:br w:type="page"/>
      </w:r>
    </w:p>
    <w:p w14:paraId="164886C5" w14:textId="0D81BD27" w:rsidR="00E22C1A" w:rsidRPr="007C0012" w:rsidRDefault="00E22C1A" w:rsidP="00246A15">
      <w:pPr>
        <w:rPr>
          <w:rFonts w:eastAsia="Times New Roman"/>
          <w:b/>
          <w:bCs/>
        </w:rPr>
      </w:pPr>
      <w:r w:rsidRPr="007C0012">
        <w:rPr>
          <w:rFonts w:eastAsia="Times New Roman"/>
          <w:b/>
          <w:bCs/>
        </w:rPr>
        <w:lastRenderedPageBreak/>
        <w:t xml:space="preserve">Appendix Figure A.1: (a) Australian state and territory median annual salmonellosis notifications per 100,000 for 2015 to 2019; (b) percentage decrease in 2020 </w:t>
      </w:r>
    </w:p>
    <w:p w14:paraId="7766EE3B" w14:textId="77777777" w:rsidR="00E22C1A" w:rsidRDefault="00E22C1A">
      <w:pPr>
        <w:pStyle w:val="NormalWeb"/>
      </w:pPr>
      <w:r>
        <w:rPr>
          <w:rStyle w:val="Strong"/>
        </w:rPr>
        <w:t>Figure A.1a</w:t>
      </w:r>
    </w:p>
    <w:p w14:paraId="1D4D7AF0" w14:textId="40720655" w:rsidR="00690593" w:rsidRDefault="00690593" w:rsidP="00690593">
      <w:pPr>
        <w:pStyle w:val="CDIFigures"/>
        <w:jc w:val="center"/>
        <w:rPr>
          <w:rStyle w:val="Strong"/>
          <w:b/>
          <w:bCs w:val="0"/>
        </w:rPr>
      </w:pPr>
      <w:r>
        <w:rPr>
          <w:rFonts w:eastAsia="Times New Roman"/>
          <w:noProof/>
          <w:lang w:val="en-GB"/>
        </w:rPr>
        <w:drawing>
          <wp:inline distT="0" distB="0" distL="0" distR="0" wp14:anchorId="7169BDBF" wp14:editId="4AD0C7D7">
            <wp:extent cx="6096000" cy="3263900"/>
            <wp:effectExtent l="0" t="0" r="0" b="0"/>
            <wp:docPr id="5" name="Picture 5" descr="(a) Australian state and territory median annual Salmonella notifications per 100,000 for 2015 to 2019 and (b) percentage decrease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Australian state and territory median annual Salmonella notifications per 100,000 for 2015 to 2019 and (b) percentage decrease in 2020."/>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096000" cy="3263900"/>
                    </a:xfrm>
                    <a:prstGeom prst="rect">
                      <a:avLst/>
                    </a:prstGeom>
                  </pic:spPr>
                </pic:pic>
              </a:graphicData>
            </a:graphic>
          </wp:inline>
        </w:drawing>
      </w:r>
    </w:p>
    <w:p w14:paraId="7AB7B113" w14:textId="14F7D711" w:rsidR="00E22C1A" w:rsidRPr="00D761F9" w:rsidRDefault="00E22C1A" w:rsidP="00D761F9">
      <w:pPr>
        <w:pStyle w:val="CDIFigures"/>
      </w:pPr>
      <w:r w:rsidRPr="00D761F9">
        <w:rPr>
          <w:rStyle w:val="Strong"/>
          <w:b/>
          <w:bCs w:val="0"/>
        </w:rPr>
        <w:t>Figure A.1b</w:t>
      </w:r>
    </w:p>
    <w:p w14:paraId="2153EE93" w14:textId="313F2273" w:rsidR="008B5348" w:rsidRDefault="00690593" w:rsidP="00690593">
      <w:pPr>
        <w:jc w:val="center"/>
        <w:rPr>
          <w:rStyle w:val="A10"/>
        </w:rPr>
      </w:pPr>
      <w:r>
        <w:rPr>
          <w:rFonts w:eastAsia="Times New Roman"/>
          <w:noProof/>
          <w:lang w:val="en-GB"/>
        </w:rPr>
        <w:drawing>
          <wp:inline distT="0" distB="0" distL="0" distR="0" wp14:anchorId="5E19541E" wp14:editId="468F5FDE">
            <wp:extent cx="5737289" cy="4341413"/>
            <wp:effectExtent l="0" t="0" r="0" b="2540"/>
            <wp:docPr id="4" name="Picture 4" descr="(a) Australian state and territory median annual Salmonella notifications per 100,000 for 2015 to 2019 and (b) percentage decrease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Australian state and territory median annual Salmonella notifications per 100,000 for 2015 to 2019 and (b) percentage decrease in 202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41115" cy="4344308"/>
                    </a:xfrm>
                    <a:prstGeom prst="rect">
                      <a:avLst/>
                    </a:prstGeom>
                  </pic:spPr>
                </pic:pic>
              </a:graphicData>
            </a:graphic>
          </wp:inline>
        </w:drawing>
      </w:r>
      <w:r w:rsidR="008B5348">
        <w:rPr>
          <w:rStyle w:val="A10"/>
        </w:rPr>
        <w:br w:type="page"/>
      </w:r>
    </w:p>
    <w:p w14:paraId="55C9CDF5" w14:textId="7BBEE883"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39EF05C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1BE3C2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A156960" w14:textId="77777777" w:rsidR="000A5F42" w:rsidRPr="000606CC" w:rsidRDefault="000A5F42" w:rsidP="000A5F42">
      <w:pPr>
        <w:pStyle w:val="NoSpacing"/>
        <w:rPr>
          <w:rStyle w:val="URI"/>
          <w:rFonts w:cstheme="minorHAnsi"/>
          <w:sz w:val="20"/>
          <w:szCs w:val="18"/>
        </w:rPr>
      </w:pPr>
    </w:p>
    <w:p w14:paraId="427841D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A83D21E" w14:textId="77777777" w:rsidR="000A5F42" w:rsidRPr="000606CC" w:rsidRDefault="000A5F42" w:rsidP="000A5F42">
      <w:pPr>
        <w:pStyle w:val="NoSpacing"/>
        <w:rPr>
          <w:rStyle w:val="Strong"/>
          <w:rFonts w:cstheme="minorHAnsi"/>
          <w:sz w:val="20"/>
          <w:szCs w:val="18"/>
        </w:rPr>
      </w:pPr>
    </w:p>
    <w:p w14:paraId="4E20950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301F5F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D472A4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E2DBC2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B994179" w14:textId="77777777" w:rsidR="000A5F42" w:rsidRPr="000606CC" w:rsidRDefault="000A5F42" w:rsidP="000A5F42">
      <w:pPr>
        <w:pStyle w:val="NoSpacing"/>
        <w:rPr>
          <w:rStyle w:val="Strong"/>
          <w:rFonts w:cstheme="minorHAnsi"/>
          <w:sz w:val="20"/>
          <w:szCs w:val="18"/>
        </w:rPr>
      </w:pPr>
    </w:p>
    <w:p w14:paraId="0171961A" w14:textId="3999A6B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D98206F" w14:textId="77777777" w:rsidR="000A5F42" w:rsidRPr="000606CC" w:rsidRDefault="000A5F42" w:rsidP="000A5F42">
      <w:pPr>
        <w:pStyle w:val="NoSpacing"/>
        <w:rPr>
          <w:rStyle w:val="Strong"/>
          <w:rFonts w:cstheme="minorHAnsi"/>
          <w:sz w:val="20"/>
          <w:szCs w:val="18"/>
        </w:rPr>
      </w:pPr>
    </w:p>
    <w:p w14:paraId="50213CFB"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62D5BE7" w14:textId="77777777" w:rsidR="000A5F42" w:rsidRPr="000606CC" w:rsidRDefault="000A5F42" w:rsidP="000A5F42">
      <w:pPr>
        <w:pStyle w:val="NoSpacing"/>
        <w:rPr>
          <w:rStyle w:val="Strong"/>
          <w:rFonts w:cstheme="minorHAnsi"/>
          <w:sz w:val="20"/>
          <w:szCs w:val="18"/>
        </w:rPr>
      </w:pPr>
    </w:p>
    <w:p w14:paraId="352B63EB" w14:textId="344EA9C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CA4EE49" w14:textId="77777777" w:rsidR="000A5F42" w:rsidRPr="000606CC" w:rsidRDefault="000A5F42" w:rsidP="000A5F42">
      <w:pPr>
        <w:pStyle w:val="NoSpacing"/>
        <w:rPr>
          <w:rStyle w:val="Strong"/>
          <w:rFonts w:cstheme="minorHAnsi"/>
          <w:sz w:val="20"/>
          <w:szCs w:val="18"/>
        </w:rPr>
      </w:pPr>
    </w:p>
    <w:p w14:paraId="3E563E09" w14:textId="7375ADFB"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D96BF1B" w14:textId="28DDFCE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6B2E2E7F" w14:textId="77777777" w:rsidR="000A5F42" w:rsidRPr="000606CC" w:rsidRDefault="000A5F42" w:rsidP="000A5F42">
      <w:pPr>
        <w:pStyle w:val="NoSpacing"/>
        <w:pBdr>
          <w:bottom w:val="single" w:sz="6" w:space="1" w:color="auto"/>
        </w:pBdr>
        <w:rPr>
          <w:rStyle w:val="Strong"/>
          <w:rFonts w:cstheme="minorHAnsi"/>
          <w:sz w:val="12"/>
          <w:szCs w:val="18"/>
        </w:rPr>
      </w:pPr>
    </w:p>
    <w:p w14:paraId="65BAA71C" w14:textId="77777777" w:rsidR="000A5F42" w:rsidRPr="000606CC" w:rsidRDefault="000A5F42" w:rsidP="000A5F42">
      <w:pPr>
        <w:pStyle w:val="NoSpacing"/>
        <w:rPr>
          <w:rFonts w:cstheme="minorHAnsi"/>
          <w:sz w:val="20"/>
          <w:szCs w:val="18"/>
        </w:rPr>
      </w:pPr>
    </w:p>
    <w:p w14:paraId="44A9C971"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0A1DFF3" w14:textId="77777777" w:rsidR="000A5F42" w:rsidRPr="000606CC" w:rsidRDefault="000A5F42" w:rsidP="000A5F42">
      <w:pPr>
        <w:pStyle w:val="NoSpacing"/>
        <w:rPr>
          <w:rFonts w:cstheme="minorHAnsi"/>
          <w:sz w:val="20"/>
          <w:szCs w:val="18"/>
        </w:rPr>
      </w:pPr>
    </w:p>
    <w:p w14:paraId="1D19365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B463889" w14:textId="2877C936"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6F712D">
        <w:rPr>
          <w:rFonts w:cstheme="minorHAnsi"/>
          <w:sz w:val="20"/>
          <w:szCs w:val="18"/>
        </w:rPr>
        <w:t>2</w:t>
      </w:r>
      <w:r w:rsidRPr="000606CC">
        <w:rPr>
          <w:rFonts w:cstheme="minorHAnsi"/>
          <w:sz w:val="20"/>
          <w:szCs w:val="18"/>
        </w:rPr>
        <w:t xml:space="preserve"> Commonwealth of Australia as represented by the Department of Health</w:t>
      </w:r>
    </w:p>
    <w:p w14:paraId="7FF3E1EB" w14:textId="74FDD5E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A2EE1D7" w14:textId="77777777" w:rsidR="000A5F42" w:rsidRPr="000606CC" w:rsidRDefault="000A5F42" w:rsidP="000A5F42">
      <w:pPr>
        <w:pStyle w:val="NoSpacing"/>
        <w:rPr>
          <w:rFonts w:cstheme="minorHAnsi"/>
          <w:sz w:val="20"/>
          <w:szCs w:val="18"/>
        </w:rPr>
      </w:pPr>
    </w:p>
    <w:p w14:paraId="039ADD7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72F927F" w14:textId="2BEA7E1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713F1A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32B1DA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81DD5D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BA1F6E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F897BD7" w14:textId="77777777" w:rsidR="000A5F42" w:rsidRPr="000606CC" w:rsidRDefault="000A5F42" w:rsidP="000A5F42">
      <w:pPr>
        <w:pStyle w:val="NoSpacing"/>
        <w:rPr>
          <w:rStyle w:val="Strong"/>
          <w:rFonts w:cstheme="minorHAnsi"/>
          <w:sz w:val="20"/>
          <w:szCs w:val="18"/>
        </w:rPr>
      </w:pPr>
    </w:p>
    <w:p w14:paraId="0860E05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78B3F8D" w14:textId="77777777" w:rsidR="000A5F42" w:rsidRPr="000606CC" w:rsidRDefault="000A5F42" w:rsidP="000A5F42">
      <w:pPr>
        <w:pStyle w:val="NoSpacing"/>
        <w:rPr>
          <w:rStyle w:val="Strong"/>
          <w:rFonts w:cstheme="minorHAnsi"/>
          <w:sz w:val="20"/>
          <w:szCs w:val="18"/>
        </w:rPr>
      </w:pPr>
    </w:p>
    <w:p w14:paraId="0411C4D1" w14:textId="616FE35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8B82911" w14:textId="77777777" w:rsidR="000A5F42" w:rsidRPr="000606CC" w:rsidRDefault="000A5F42" w:rsidP="000A5F42">
      <w:pPr>
        <w:pStyle w:val="NoSpacing"/>
        <w:rPr>
          <w:rStyle w:val="URI"/>
          <w:rFonts w:cstheme="minorHAnsi"/>
          <w:sz w:val="20"/>
          <w:szCs w:val="18"/>
        </w:rPr>
      </w:pPr>
    </w:p>
    <w:p w14:paraId="0C0C5249" w14:textId="2E50323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p w14:paraId="4FBD7D94" w14:textId="77777777" w:rsidR="001B37B8" w:rsidRPr="00E92237" w:rsidRDefault="001B37B8" w:rsidP="001B37B8">
      <w:pPr>
        <w:rPr>
          <w:rFonts w:cs="Myriad Pro"/>
          <w:color w:val="211D1E"/>
          <w:sz w:val="20"/>
          <w:szCs w:val="20"/>
        </w:rPr>
      </w:pPr>
    </w:p>
    <w:sectPr w:rsidR="001B37B8" w:rsidRPr="00E92237" w:rsidSect="002B75A9">
      <w:headerReference w:type="default" r:id="rId25"/>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4DFD0" w14:textId="77777777" w:rsidR="00B80AA0" w:rsidRDefault="00B80AA0" w:rsidP="00E54DBA">
      <w:r>
        <w:separator/>
      </w:r>
    </w:p>
    <w:p w14:paraId="763AFE0F" w14:textId="77777777" w:rsidR="00B80AA0" w:rsidRDefault="00B80AA0"/>
    <w:p w14:paraId="50317AF0" w14:textId="77777777" w:rsidR="00B80AA0" w:rsidRDefault="00B80AA0" w:rsidP="008714B0"/>
  </w:endnote>
  <w:endnote w:type="continuationSeparator" w:id="0">
    <w:p w14:paraId="3DA6A1A1" w14:textId="77777777" w:rsidR="00B80AA0" w:rsidRDefault="00B80AA0" w:rsidP="00E54DBA">
      <w:r>
        <w:continuationSeparator/>
      </w:r>
    </w:p>
    <w:p w14:paraId="3C9382DE" w14:textId="77777777" w:rsidR="00B80AA0" w:rsidRDefault="00B80AA0"/>
    <w:p w14:paraId="02104F46" w14:textId="77777777" w:rsidR="00B80AA0" w:rsidRDefault="00B80AA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Myriad Pro Cond">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C814" w14:textId="374EF28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A46FA">
      <w:rPr>
        <w:i/>
        <w:sz w:val="18"/>
      </w:rPr>
      <w:t>Commun</w:t>
    </w:r>
    <w:proofErr w:type="spellEnd"/>
    <w:r w:rsidR="00CE342B" w:rsidRPr="002A46FA">
      <w:rPr>
        <w:i/>
        <w:sz w:val="18"/>
      </w:rPr>
      <w:t xml:space="preserve"> Dis </w:t>
    </w:r>
    <w:proofErr w:type="spellStart"/>
    <w:r w:rsidR="00CE342B" w:rsidRPr="002A46FA">
      <w:rPr>
        <w:i/>
        <w:sz w:val="18"/>
      </w:rPr>
      <w:t>Intell</w:t>
    </w:r>
    <w:proofErr w:type="spellEnd"/>
    <w:r w:rsidR="00CE342B" w:rsidRPr="002A46FA">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73795B">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73795B">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3795B">
      <w:rPr>
        <w:sz w:val="18"/>
      </w:rPr>
      <w:t>https://doi.org/10.33321/cdi.2022.46.2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C011E">
      <w:rPr>
        <w:sz w:val="18"/>
      </w:rPr>
      <w:t>21/7/2022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6596" w14:textId="343F7CC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A46FA">
      <w:rPr>
        <w:i/>
        <w:sz w:val="18"/>
      </w:rPr>
      <w:t>Commun</w:t>
    </w:r>
    <w:proofErr w:type="spellEnd"/>
    <w:r w:rsidR="00A164D5" w:rsidRPr="002A46FA">
      <w:rPr>
        <w:i/>
        <w:sz w:val="18"/>
      </w:rPr>
      <w:t xml:space="preserve"> Dis </w:t>
    </w:r>
    <w:proofErr w:type="spellStart"/>
    <w:r w:rsidR="00A164D5" w:rsidRPr="002A46FA">
      <w:rPr>
        <w:i/>
        <w:sz w:val="18"/>
      </w:rPr>
      <w:t>Intell</w:t>
    </w:r>
    <w:proofErr w:type="spellEnd"/>
    <w:r w:rsidR="00A164D5" w:rsidRPr="002A46FA">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73795B">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73795B">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3795B">
      <w:rPr>
        <w:sz w:val="18"/>
      </w:rPr>
      <w:t>https://doi.org/10.33321/cdi.2022.46.2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7C011E">
      <w:rPr>
        <w:sz w:val="18"/>
      </w:rPr>
      <w:t>21/7/2022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729E2" w14:textId="77777777" w:rsidR="00B80AA0" w:rsidRPr="00B91FB5" w:rsidRDefault="00B80AA0" w:rsidP="00B91FB5">
      <w:pPr>
        <w:spacing w:after="0" w:line="240" w:lineRule="auto"/>
        <w:rPr>
          <w:sz w:val="18"/>
          <w:szCs w:val="18"/>
        </w:rPr>
      </w:pPr>
      <w:r w:rsidRPr="00B91FB5">
        <w:rPr>
          <w:sz w:val="18"/>
          <w:szCs w:val="18"/>
        </w:rPr>
        <w:separator/>
      </w:r>
    </w:p>
  </w:footnote>
  <w:footnote w:type="continuationSeparator" w:id="0">
    <w:p w14:paraId="3594C181" w14:textId="77777777" w:rsidR="00B80AA0" w:rsidRDefault="00B80AA0" w:rsidP="00E54DBA">
      <w:r>
        <w:continuationSeparator/>
      </w:r>
    </w:p>
  </w:footnote>
  <w:footnote w:type="continuationNotice" w:id="1">
    <w:p w14:paraId="1EB8D84A" w14:textId="77777777" w:rsidR="00B80AA0" w:rsidRPr="00224EFF" w:rsidRDefault="00B80AA0"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FA321" w14:textId="32BD6A0E" w:rsidR="00257484" w:rsidRPr="00A153B6" w:rsidRDefault="00B80AA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950FA">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3FC1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405930E" wp14:editId="54E75F2B">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E1CF1"/>
    <w:multiLevelType w:val="multilevel"/>
    <w:tmpl w:val="201A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D53A9E"/>
    <w:multiLevelType w:val="hybridMultilevel"/>
    <w:tmpl w:val="2430C6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0B3453"/>
    <w:multiLevelType w:val="multilevel"/>
    <w:tmpl w:val="2088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D92B13"/>
    <w:multiLevelType w:val="hybridMultilevel"/>
    <w:tmpl w:val="8182BE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8"/>
  </w:num>
  <w:num w:numId="6">
    <w:abstractNumId w:val="9"/>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14"/>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66C2A"/>
    <w:rsid w:val="00073D77"/>
    <w:rsid w:val="00081655"/>
    <w:rsid w:val="000864E0"/>
    <w:rsid w:val="000969B3"/>
    <w:rsid w:val="000A5F42"/>
    <w:rsid w:val="000D4B4D"/>
    <w:rsid w:val="0011018C"/>
    <w:rsid w:val="00113D58"/>
    <w:rsid w:val="001200CB"/>
    <w:rsid w:val="001378A3"/>
    <w:rsid w:val="00155582"/>
    <w:rsid w:val="00161590"/>
    <w:rsid w:val="00171CC0"/>
    <w:rsid w:val="00175494"/>
    <w:rsid w:val="00175629"/>
    <w:rsid w:val="001830EC"/>
    <w:rsid w:val="00183534"/>
    <w:rsid w:val="001A4A96"/>
    <w:rsid w:val="001A5D05"/>
    <w:rsid w:val="001A796C"/>
    <w:rsid w:val="001B0AAD"/>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46A15"/>
    <w:rsid w:val="00252C9A"/>
    <w:rsid w:val="00256309"/>
    <w:rsid w:val="00257484"/>
    <w:rsid w:val="00260636"/>
    <w:rsid w:val="00263CF9"/>
    <w:rsid w:val="00275C78"/>
    <w:rsid w:val="00277314"/>
    <w:rsid w:val="00280594"/>
    <w:rsid w:val="00281EE3"/>
    <w:rsid w:val="00284E4A"/>
    <w:rsid w:val="002A3799"/>
    <w:rsid w:val="002A3BCC"/>
    <w:rsid w:val="002A4516"/>
    <w:rsid w:val="002A46FA"/>
    <w:rsid w:val="002A569F"/>
    <w:rsid w:val="002A7066"/>
    <w:rsid w:val="002B001E"/>
    <w:rsid w:val="002B09B7"/>
    <w:rsid w:val="002B75A9"/>
    <w:rsid w:val="002C21B0"/>
    <w:rsid w:val="002E2FB3"/>
    <w:rsid w:val="002F327B"/>
    <w:rsid w:val="00301626"/>
    <w:rsid w:val="003059EC"/>
    <w:rsid w:val="00316CCD"/>
    <w:rsid w:val="00324F7E"/>
    <w:rsid w:val="003272F6"/>
    <w:rsid w:val="003323BC"/>
    <w:rsid w:val="00346D42"/>
    <w:rsid w:val="00346E11"/>
    <w:rsid w:val="003601C0"/>
    <w:rsid w:val="003635F5"/>
    <w:rsid w:val="003658D6"/>
    <w:rsid w:val="00372A88"/>
    <w:rsid w:val="00381A0F"/>
    <w:rsid w:val="003A1B3A"/>
    <w:rsid w:val="003A40F5"/>
    <w:rsid w:val="003B5B8C"/>
    <w:rsid w:val="003C272A"/>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2F48"/>
    <w:rsid w:val="005C66A6"/>
    <w:rsid w:val="005D2465"/>
    <w:rsid w:val="005D734A"/>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568DD"/>
    <w:rsid w:val="00660255"/>
    <w:rsid w:val="00690593"/>
    <w:rsid w:val="006971F3"/>
    <w:rsid w:val="006C74A3"/>
    <w:rsid w:val="006D1381"/>
    <w:rsid w:val="006D31BC"/>
    <w:rsid w:val="006E7943"/>
    <w:rsid w:val="006F24EA"/>
    <w:rsid w:val="006F712D"/>
    <w:rsid w:val="00704CA9"/>
    <w:rsid w:val="0071048D"/>
    <w:rsid w:val="00710F86"/>
    <w:rsid w:val="007111A8"/>
    <w:rsid w:val="00731BC3"/>
    <w:rsid w:val="0073795B"/>
    <w:rsid w:val="00741192"/>
    <w:rsid w:val="0074392D"/>
    <w:rsid w:val="00743A33"/>
    <w:rsid w:val="00746080"/>
    <w:rsid w:val="0075144A"/>
    <w:rsid w:val="00777578"/>
    <w:rsid w:val="00777F0A"/>
    <w:rsid w:val="00786329"/>
    <w:rsid w:val="00792C7D"/>
    <w:rsid w:val="00794A4D"/>
    <w:rsid w:val="007A5234"/>
    <w:rsid w:val="007B7854"/>
    <w:rsid w:val="007C0012"/>
    <w:rsid w:val="007C011E"/>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77F1D"/>
    <w:rsid w:val="00880726"/>
    <w:rsid w:val="008A177C"/>
    <w:rsid w:val="008A3544"/>
    <w:rsid w:val="008B48B8"/>
    <w:rsid w:val="008B5348"/>
    <w:rsid w:val="008B58F8"/>
    <w:rsid w:val="008C0712"/>
    <w:rsid w:val="008C4520"/>
    <w:rsid w:val="008C5F09"/>
    <w:rsid w:val="008D14B0"/>
    <w:rsid w:val="008D470F"/>
    <w:rsid w:val="008E1F8F"/>
    <w:rsid w:val="008E4768"/>
    <w:rsid w:val="008E761E"/>
    <w:rsid w:val="008F77B3"/>
    <w:rsid w:val="009008F5"/>
    <w:rsid w:val="00904CC1"/>
    <w:rsid w:val="009066AF"/>
    <w:rsid w:val="00912050"/>
    <w:rsid w:val="00912E48"/>
    <w:rsid w:val="0091460C"/>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45FE"/>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0AA0"/>
    <w:rsid w:val="00B82C2C"/>
    <w:rsid w:val="00B8720B"/>
    <w:rsid w:val="00B876EF"/>
    <w:rsid w:val="00B91FB5"/>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C1A5A"/>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761F9"/>
    <w:rsid w:val="00DA6E56"/>
    <w:rsid w:val="00DC24E5"/>
    <w:rsid w:val="00DC6705"/>
    <w:rsid w:val="00DD2DE8"/>
    <w:rsid w:val="00DE38B4"/>
    <w:rsid w:val="00DE5D02"/>
    <w:rsid w:val="00E005A9"/>
    <w:rsid w:val="00E1166E"/>
    <w:rsid w:val="00E22C1A"/>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0FA"/>
    <w:rsid w:val="00E951EF"/>
    <w:rsid w:val="00EA3D54"/>
    <w:rsid w:val="00EA56D9"/>
    <w:rsid w:val="00EA5CE3"/>
    <w:rsid w:val="00EB51C1"/>
    <w:rsid w:val="00EB5AE1"/>
    <w:rsid w:val="00EB5E0B"/>
    <w:rsid w:val="00EB640A"/>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1E40"/>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2154E"/>
  <w15:docId w15:val="{83863218-F390-4937-8D68-610DFBE1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01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hyperlink" Target="mailto:copyright@health.gov.au" TargetMode="External"/><Relationship Id="rId10" Type="http://schemas.openxmlformats.org/officeDocument/2006/relationships/image" Target="media/image2.png"/><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29</TotalTime>
  <Pages>17</Pages>
  <Words>5309</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Communicable Diseases Intelligence 2021 - Salmonellosis in Australia in 2020: possible impacts of COVID-19 related public health measures</vt:lpstr>
    </vt:vector>
  </TitlesOfParts>
  <Company>Australian Government, Department of Health</Company>
  <LinksUpToDate>false</LinksUpToDate>
  <CharactersWithSpaces>35501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Salmonellosis in Australia in 2020: possible impacts of COVID-19 related public health measures</dc:title>
  <dc:subject>This study analyses salmonellosis notification rates in 2020 and considers possible impacts of COVID-19 measures. </dc:subject>
  <dc:creator>Barbara P F Davis, Janaki Amin, Neil Franklin, Paul J Beggs</dc:creator>
  <cp:keywords>salmonellosis, rates, notifications, COVID-19, Australia, public health measures</cp:keywords>
  <dc:description>© Commonwealth of Australia CC BY-NC-ND ISSN: 2209-6051 (Online)</dc:description>
  <cp:lastModifiedBy>YOUSEFI, Kasra</cp:lastModifiedBy>
  <cp:revision>10</cp:revision>
  <cp:lastPrinted>2018-05-10T02:19:00Z</cp:lastPrinted>
  <dcterms:created xsi:type="dcterms:W3CDTF">2021-12-09T05:51:00Z</dcterms:created>
  <dcterms:modified xsi:type="dcterms:W3CDTF">2022-01-26T23:20:00Z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21/7/2022</vt:lpwstr>
  </property>
  <property fmtid="{D5CDD505-2E9C-101B-9397-08002B2CF9AE}" pid="5" name="DOI">
    <vt:lpwstr>https://doi.org/10.33321/cdi.2022.46.2</vt:lpwstr>
  </property>
</Properties>
</file>