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258BEF" w14:textId="77777777" w:rsidR="00277B35" w:rsidRDefault="00277B35" w:rsidP="00277B35">
      <w:pPr>
        <w:pStyle w:val="Title"/>
        <w:rPr>
          <w:rFonts w:eastAsia="Times New Roman"/>
          <w:sz w:val="48"/>
          <w:szCs w:val="48"/>
        </w:rPr>
      </w:pPr>
      <w:r>
        <w:rPr>
          <w:rFonts w:eastAsia="Times New Roman"/>
        </w:rPr>
        <w:t xml:space="preserve">Notifiable diseases after implementation of COVID-19 public health prevention measures in Central Queensland, Australia </w:t>
      </w:r>
    </w:p>
    <w:p w14:paraId="437612CF" w14:textId="77777777" w:rsidR="00277B35" w:rsidRDefault="00277B35" w:rsidP="006D62C1">
      <w:proofErr w:type="spellStart"/>
      <w:r>
        <w:t>Odewumi</w:t>
      </w:r>
      <w:proofErr w:type="spellEnd"/>
      <w:r>
        <w:t xml:space="preserve"> </w:t>
      </w:r>
      <w:proofErr w:type="spellStart"/>
      <w:r>
        <w:t>Adegbija</w:t>
      </w:r>
      <w:proofErr w:type="spellEnd"/>
      <w:r>
        <w:t xml:space="preserve">, </w:t>
      </w:r>
      <w:proofErr w:type="spellStart"/>
      <w:r>
        <w:t>Jacina</w:t>
      </w:r>
      <w:proofErr w:type="spellEnd"/>
      <w:r>
        <w:t xml:space="preserve"> Walker, Nicolas </w:t>
      </w:r>
      <w:proofErr w:type="spellStart"/>
      <w:r>
        <w:t>Smoll</w:t>
      </w:r>
      <w:proofErr w:type="spellEnd"/>
      <w:r>
        <w:t xml:space="preserve">, </w:t>
      </w:r>
      <w:proofErr w:type="spellStart"/>
      <w:r>
        <w:t>Arifuzzaman</w:t>
      </w:r>
      <w:proofErr w:type="spellEnd"/>
      <w:r>
        <w:t xml:space="preserve"> Khan, </w:t>
      </w:r>
      <w:proofErr w:type="spellStart"/>
      <w:r>
        <w:t>Julieanne</w:t>
      </w:r>
      <w:proofErr w:type="spellEnd"/>
      <w:r>
        <w:t xml:space="preserve"> Graham, Gulam Khandaker </w:t>
      </w:r>
    </w:p>
    <w:p w14:paraId="23BC77E0" w14:textId="77777777" w:rsidR="00277B35" w:rsidRPr="00277B35" w:rsidRDefault="00277B35" w:rsidP="00277B35">
      <w:pPr>
        <w:pStyle w:val="Heading1"/>
      </w:pPr>
      <w:r w:rsidRPr="00277B35">
        <w:t xml:space="preserve">Abstract </w:t>
      </w:r>
    </w:p>
    <w:p w14:paraId="104F9CB4" w14:textId="77777777" w:rsidR="00277B35" w:rsidRDefault="00277B35" w:rsidP="00720AB7">
      <w:r>
        <w:t xml:space="preserve">The implementation of public health measures to control the current COVID-19 pandemic (such as wider lockdowns, overseas travel restrictions and physical distancing) is likely to have affected the spread of other notifiable diseases. This is a descriptive report of communicable disease surveillance in Central Queensland (CQ) for six months (1 April to 30 September 2020) after the introduction of physical distancing and wider lockdown measures in Queensland. The counts of notifiable communicable diseases in CQ in the six months were observed and compared with the average for the same months during the years 2015 to 2019. During the study’s six months, there were notable decreases in notifications of most vaccine-preventable diseases such as influenza, pertussis and rotavirus. Conversely, notifications increased for disease groups such as blood-borne viruses, sexually transmitted infections and vector-borne diseases. There were no reported notifications for dengue fever and </w:t>
      </w:r>
      <w:proofErr w:type="gramStart"/>
      <w:r>
        <w:t>malaria which</w:t>
      </w:r>
      <w:proofErr w:type="gramEnd"/>
      <w:r>
        <w:t xml:space="preserve"> are mostly overseas acquired. The notifications of some communicable diseases in CQ were variably affected and the changes correlated with the implementation of the COVID-19 public health measures. </w:t>
      </w:r>
    </w:p>
    <w:p w14:paraId="593B4E13" w14:textId="77777777" w:rsidR="00277B35" w:rsidRDefault="00277B35" w:rsidP="00720AB7">
      <w:r>
        <w:t xml:space="preserve">Key words: COVID-19; public health measures; communicable diseases; Central Queensland; Australia </w:t>
      </w:r>
    </w:p>
    <w:p w14:paraId="532F20F1" w14:textId="77777777" w:rsidR="00277B35" w:rsidRPr="00277B35" w:rsidRDefault="00277B35" w:rsidP="00277B35">
      <w:pPr>
        <w:pStyle w:val="Heading1"/>
      </w:pPr>
      <w:r w:rsidRPr="00277B35">
        <w:t xml:space="preserve">Background </w:t>
      </w:r>
    </w:p>
    <w:p w14:paraId="520FA8EC" w14:textId="77777777" w:rsidR="00277B35" w:rsidRDefault="00277B35" w:rsidP="00720AB7">
      <w:r>
        <w:t xml:space="preserve">The current COVID-19 pandemic has led to some significant changes to local, regional and national public health practices including social distancing and wider lockdown. </w:t>
      </w:r>
      <w:proofErr w:type="gramStart"/>
      <w:r>
        <w:t>These measures have been previously reported to be associated with reductions in the incidence of gastrointestinal and respiratory diseases as well as of other airborne transmitted agents.</w:t>
      </w:r>
      <w:r>
        <w:rPr>
          <w:vertAlign w:val="superscript"/>
        </w:rPr>
        <w:t>1,2</w:t>
      </w:r>
      <w:r>
        <w:t xml:space="preserve"> A preliminary analysis was conducted assessing the impact of these measures on nationally notifiable diseases across Australia;</w:t>
      </w:r>
      <w:r>
        <w:rPr>
          <w:vertAlign w:val="superscript"/>
        </w:rPr>
        <w:t>3</w:t>
      </w:r>
      <w:r>
        <w:t xml:space="preserve"> however, the impact of these measures on communicable diseases within regional Australia is not well established.</w:t>
      </w:r>
      <w:proofErr w:type="gramEnd"/>
      <w:r>
        <w:t xml:space="preserve"> Like most regional areas, Central Queensland (CQ) has a lower population density and considerable distance from major cities; it will be informative to understand how these measures impact on notifiable conditions in this regional setting. </w:t>
      </w:r>
    </w:p>
    <w:p w14:paraId="3DD04ABD" w14:textId="77777777" w:rsidR="00277B35" w:rsidRDefault="00277B35" w:rsidP="00277B35">
      <w:r>
        <w:t xml:space="preserve">We aimed to identify the patterns of change in reported notifiable conditions to the Central Queensland Public Health Unit (CQPHU), during a six-month period (1 April to 30 September 2020) following the implementation of COVID-19 measures. Here, we compare these notifications to the surveillance data for the same six-month period for the previous five years (2015 to 2019). </w:t>
      </w:r>
    </w:p>
    <w:p w14:paraId="7AD008CD" w14:textId="77777777" w:rsidR="00277B35" w:rsidRPr="00277B35" w:rsidRDefault="00277B35" w:rsidP="00277B35">
      <w:pPr>
        <w:pStyle w:val="Heading1"/>
      </w:pPr>
      <w:r w:rsidRPr="00277B35">
        <w:t xml:space="preserve">Methods </w:t>
      </w:r>
    </w:p>
    <w:p w14:paraId="19EEA001" w14:textId="77777777" w:rsidR="00277B35" w:rsidRDefault="00277B35" w:rsidP="00720AB7">
      <w:r>
        <w:t xml:space="preserve">The study encompasses all notifiable conditions reported from CQ, </w:t>
      </w:r>
      <w:proofErr w:type="gramStart"/>
      <w:r>
        <w:t>which covers approximately 226,000 population and is spread over 117,588 square kilometres</w:t>
      </w:r>
      <w:proofErr w:type="gramEnd"/>
      <w:r>
        <w:t>. Communicable diseases data were retrieved from the Queensland Notifiable Conditions System (</w:t>
      </w:r>
      <w:proofErr w:type="spellStart"/>
      <w:r>
        <w:t>NoCS</w:t>
      </w:r>
      <w:proofErr w:type="spellEnd"/>
      <w:r>
        <w:t>), an online epidemiological database</w:t>
      </w:r>
      <w:bookmarkStart w:id="0" w:name="_GoBack"/>
      <w:bookmarkEnd w:id="0"/>
      <w:r>
        <w:t xml:space="preserve">, from 1 January 2015 to 30 September </w:t>
      </w:r>
      <w:r>
        <w:lastRenderedPageBreak/>
        <w:t xml:space="preserve">2020. The data were collected under the </w:t>
      </w:r>
      <w:r w:rsidRPr="004D32BE">
        <w:rPr>
          <w:rStyle w:val="Emphasis"/>
          <w:b w:val="0"/>
        </w:rPr>
        <w:t>Public Health Act 2005</w:t>
      </w:r>
      <w:r>
        <w:t xml:space="preserve">, a legislative authority that provides permission to access health information. Permission to publish was given by the Communicable Diseases Branch of Queensland. </w:t>
      </w:r>
    </w:p>
    <w:p w14:paraId="727CFFD5" w14:textId="77777777" w:rsidR="00277B35" w:rsidRDefault="00277B35" w:rsidP="00720AB7">
      <w:r>
        <w:t>Data were extracted on selected notifiable diseases in Queensland: blood-borne viruses (BBV), gastrointestinal diseases, sexually transmi</w:t>
      </w:r>
      <w:r w:rsidR="00054591">
        <w:t>ssible</w:t>
      </w:r>
      <w:r>
        <w:t xml:space="preserve"> infections (STIs), vaccine-preventable diseases (VPDs), vector-borne diseases, zoonotic diseases and other diseases. For each disease, the count for six months following the implementation of COVID-19 public health measures (1 April to 30 September 2020) was compared with the average for the same six-month period during the years 2015 to 2019. </w:t>
      </w:r>
    </w:p>
    <w:p w14:paraId="406F746E" w14:textId="77777777" w:rsidR="00277B35" w:rsidRPr="00277B35" w:rsidRDefault="00277B35" w:rsidP="00277B35">
      <w:pPr>
        <w:pStyle w:val="Heading1"/>
      </w:pPr>
      <w:r w:rsidRPr="00277B35">
        <w:t xml:space="preserve">Results </w:t>
      </w:r>
    </w:p>
    <w:p w14:paraId="0ED28917" w14:textId="2238F163" w:rsidR="00277B35" w:rsidRDefault="00277B35" w:rsidP="00720AB7">
      <w:r>
        <w:t>From 1 April to 30 September 2020, after the implementation of Queensland’s COVID-19 preventive measures, there was a decrease seen in several diseases notifications reported to the CQPHU, mostly VPDs, when compared with the same months for each of 2015 to 2019 and for the 5-year average (2015–2019) for those months (Table 1). However, increases in notifications for April–September 2020 were observed in a greater number of other notifiable disease groups.</w:t>
      </w:r>
    </w:p>
    <w:p w14:paraId="3DE1E4C3" w14:textId="77777777" w:rsidR="00277B35" w:rsidRDefault="00277B35" w:rsidP="00277B35">
      <w:pPr>
        <w:pStyle w:val="CDIFigures"/>
        <w:sectPr w:rsidR="00277B35" w:rsidSect="00A30C37">
          <w:headerReference w:type="default" r:id="rId9"/>
          <w:footerReference w:type="default" r:id="rId10"/>
          <w:footerReference w:type="first" r:id="rId11"/>
          <w:pgSz w:w="11906" w:h="16838"/>
          <w:pgMar w:top="720" w:right="720" w:bottom="1134" w:left="720" w:header="709" w:footer="284" w:gutter="0"/>
          <w:cols w:space="708"/>
          <w:titlePg/>
          <w:docGrid w:linePitch="360"/>
        </w:sectPr>
      </w:pPr>
    </w:p>
    <w:p w14:paraId="1E11E987" w14:textId="77777777" w:rsidR="00277B35" w:rsidRDefault="00277B35" w:rsidP="00277B35">
      <w:pPr>
        <w:pStyle w:val="CDIFigures"/>
      </w:pPr>
      <w:r>
        <w:lastRenderedPageBreak/>
        <w:t>Table 1: Number of notifiable diseases by disease group, reported to CQPHU, 1 April to 30 September, 2015–2020</w:t>
      </w:r>
    </w:p>
    <w:tbl>
      <w:tblPr>
        <w:tblStyle w:val="CDI-StandardTable"/>
        <w:tblW w:w="0" w:type="auto"/>
        <w:tblCellMar>
          <w:top w:w="113" w:type="dxa"/>
          <w:left w:w="57" w:type="dxa"/>
          <w:bottom w:w="113" w:type="dxa"/>
          <w:right w:w="57" w:type="dxa"/>
        </w:tblCellMar>
        <w:tblLook w:val="04A0" w:firstRow="1" w:lastRow="0" w:firstColumn="1" w:lastColumn="0" w:noHBand="0" w:noVBand="1"/>
        <w:tblDescription w:val="Table 1 shows the counts of notifiable diseases reported to Central Queensland Public Health Unit, from 1 April to 30 September for each year from 2015 to 2020. This provides a comparison of the number of cases in 2020 to previous five years."/>
      </w:tblPr>
      <w:tblGrid>
        <w:gridCol w:w="4079"/>
        <w:gridCol w:w="996"/>
        <w:gridCol w:w="996"/>
        <w:gridCol w:w="997"/>
        <w:gridCol w:w="996"/>
        <w:gridCol w:w="997"/>
        <w:gridCol w:w="2835"/>
        <w:gridCol w:w="1516"/>
        <w:gridCol w:w="1517"/>
      </w:tblGrid>
      <w:tr w:rsidR="00277B35" w:rsidRPr="00277B35" w14:paraId="376E1C38" w14:textId="77777777" w:rsidTr="007E014E">
        <w:trPr>
          <w:cnfStyle w:val="100000000000" w:firstRow="1" w:lastRow="0" w:firstColumn="0" w:lastColumn="0" w:oddVBand="0" w:evenVBand="0" w:oddHBand="0" w:evenHBand="0" w:firstRowFirstColumn="0" w:firstRowLastColumn="0" w:lastRowFirstColumn="0" w:lastRowLastColumn="0"/>
          <w:tblHeader/>
        </w:trPr>
        <w:tc>
          <w:tcPr>
            <w:tcW w:w="0" w:type="auto"/>
            <w:tcBorders>
              <w:bottom w:val="single" w:sz="2" w:space="0" w:color="808080" w:themeColor="background1" w:themeShade="80"/>
              <w:right w:val="single" w:sz="2" w:space="0" w:color="FFFFFF" w:themeColor="background1"/>
            </w:tcBorders>
            <w:vAlign w:val="center"/>
            <w:hideMark/>
          </w:tcPr>
          <w:p w14:paraId="3038ADF8" w14:textId="77777777" w:rsidR="00277B35" w:rsidRPr="00277B35" w:rsidRDefault="00277B35" w:rsidP="007E014E">
            <w:pPr>
              <w:pStyle w:val="NormalWeb"/>
              <w:rPr>
                <w:color w:val="FFFFFF" w:themeColor="background1"/>
              </w:rPr>
            </w:pPr>
            <w:r w:rsidRPr="00277B35">
              <w:rPr>
                <w:color w:val="FFFFFF" w:themeColor="background1"/>
              </w:rPr>
              <w:t>Diseases</w:t>
            </w:r>
          </w:p>
        </w:tc>
        <w:tc>
          <w:tcPr>
            <w:tcW w:w="996" w:type="dxa"/>
            <w:tcBorders>
              <w:left w:val="single" w:sz="2" w:space="0" w:color="FFFFFF" w:themeColor="background1"/>
              <w:bottom w:val="single" w:sz="2" w:space="0" w:color="808080" w:themeColor="background1" w:themeShade="80"/>
              <w:right w:val="single" w:sz="2" w:space="0" w:color="FFFFFF" w:themeColor="background1"/>
            </w:tcBorders>
            <w:vAlign w:val="center"/>
            <w:hideMark/>
          </w:tcPr>
          <w:p w14:paraId="0976D957" w14:textId="77777777" w:rsidR="00277B35" w:rsidRPr="00277B35" w:rsidRDefault="00277B35" w:rsidP="007E014E">
            <w:pPr>
              <w:pStyle w:val="NormalWeb"/>
              <w:jc w:val="center"/>
              <w:rPr>
                <w:color w:val="FFFFFF" w:themeColor="background1"/>
              </w:rPr>
            </w:pPr>
            <w:r w:rsidRPr="00277B35">
              <w:rPr>
                <w:color w:val="FFFFFF" w:themeColor="background1"/>
              </w:rPr>
              <w:t>2015</w:t>
            </w:r>
          </w:p>
        </w:tc>
        <w:tc>
          <w:tcPr>
            <w:tcW w:w="996" w:type="dxa"/>
            <w:tcBorders>
              <w:left w:val="single" w:sz="2" w:space="0" w:color="FFFFFF" w:themeColor="background1"/>
              <w:bottom w:val="single" w:sz="2" w:space="0" w:color="808080" w:themeColor="background1" w:themeShade="80"/>
              <w:right w:val="single" w:sz="2" w:space="0" w:color="FFFFFF" w:themeColor="background1"/>
            </w:tcBorders>
            <w:vAlign w:val="center"/>
            <w:hideMark/>
          </w:tcPr>
          <w:p w14:paraId="2F7C94B4" w14:textId="77777777" w:rsidR="00277B35" w:rsidRPr="00277B35" w:rsidRDefault="00277B35" w:rsidP="007E014E">
            <w:pPr>
              <w:pStyle w:val="NormalWeb"/>
              <w:jc w:val="center"/>
              <w:rPr>
                <w:color w:val="FFFFFF" w:themeColor="background1"/>
              </w:rPr>
            </w:pPr>
            <w:r w:rsidRPr="00277B35">
              <w:rPr>
                <w:color w:val="FFFFFF" w:themeColor="background1"/>
              </w:rPr>
              <w:t>2016</w:t>
            </w:r>
          </w:p>
        </w:tc>
        <w:tc>
          <w:tcPr>
            <w:tcW w:w="997" w:type="dxa"/>
            <w:tcBorders>
              <w:left w:val="single" w:sz="2" w:space="0" w:color="FFFFFF" w:themeColor="background1"/>
              <w:bottom w:val="single" w:sz="2" w:space="0" w:color="808080" w:themeColor="background1" w:themeShade="80"/>
              <w:right w:val="single" w:sz="2" w:space="0" w:color="FFFFFF" w:themeColor="background1"/>
            </w:tcBorders>
            <w:vAlign w:val="center"/>
            <w:hideMark/>
          </w:tcPr>
          <w:p w14:paraId="59619CC6" w14:textId="77777777" w:rsidR="00277B35" w:rsidRPr="00277B35" w:rsidRDefault="00277B35" w:rsidP="007E014E">
            <w:pPr>
              <w:pStyle w:val="NormalWeb"/>
              <w:jc w:val="center"/>
              <w:rPr>
                <w:color w:val="FFFFFF" w:themeColor="background1"/>
              </w:rPr>
            </w:pPr>
            <w:r w:rsidRPr="00277B35">
              <w:rPr>
                <w:color w:val="FFFFFF" w:themeColor="background1"/>
              </w:rPr>
              <w:t>2017</w:t>
            </w:r>
          </w:p>
        </w:tc>
        <w:tc>
          <w:tcPr>
            <w:tcW w:w="996" w:type="dxa"/>
            <w:tcBorders>
              <w:left w:val="single" w:sz="2" w:space="0" w:color="FFFFFF" w:themeColor="background1"/>
              <w:bottom w:val="single" w:sz="2" w:space="0" w:color="808080" w:themeColor="background1" w:themeShade="80"/>
              <w:right w:val="single" w:sz="2" w:space="0" w:color="FFFFFF" w:themeColor="background1"/>
            </w:tcBorders>
            <w:vAlign w:val="center"/>
            <w:hideMark/>
          </w:tcPr>
          <w:p w14:paraId="10C83A8A" w14:textId="77777777" w:rsidR="00277B35" w:rsidRPr="00277B35" w:rsidRDefault="00277B35" w:rsidP="007E014E">
            <w:pPr>
              <w:pStyle w:val="NormalWeb"/>
              <w:jc w:val="center"/>
              <w:rPr>
                <w:color w:val="FFFFFF" w:themeColor="background1"/>
              </w:rPr>
            </w:pPr>
            <w:r w:rsidRPr="00277B35">
              <w:rPr>
                <w:color w:val="FFFFFF" w:themeColor="background1"/>
              </w:rPr>
              <w:t>2018</w:t>
            </w:r>
          </w:p>
        </w:tc>
        <w:tc>
          <w:tcPr>
            <w:tcW w:w="997" w:type="dxa"/>
            <w:tcBorders>
              <w:left w:val="single" w:sz="2" w:space="0" w:color="FFFFFF" w:themeColor="background1"/>
              <w:bottom w:val="single" w:sz="2" w:space="0" w:color="808080" w:themeColor="background1" w:themeShade="80"/>
              <w:right w:val="single" w:sz="2" w:space="0" w:color="FFFFFF" w:themeColor="background1"/>
            </w:tcBorders>
            <w:vAlign w:val="center"/>
            <w:hideMark/>
          </w:tcPr>
          <w:p w14:paraId="6C7A751B" w14:textId="77777777" w:rsidR="00277B35" w:rsidRPr="00277B35" w:rsidRDefault="00277B35" w:rsidP="007E014E">
            <w:pPr>
              <w:pStyle w:val="NormalWeb"/>
              <w:jc w:val="center"/>
              <w:rPr>
                <w:color w:val="FFFFFF" w:themeColor="background1"/>
              </w:rPr>
            </w:pPr>
            <w:r w:rsidRPr="00277B35">
              <w:rPr>
                <w:color w:val="FFFFFF" w:themeColor="background1"/>
              </w:rPr>
              <w:t>2019</w:t>
            </w:r>
          </w:p>
        </w:tc>
        <w:tc>
          <w:tcPr>
            <w:tcW w:w="2835" w:type="dxa"/>
            <w:tcBorders>
              <w:left w:val="single" w:sz="2" w:space="0" w:color="FFFFFF" w:themeColor="background1"/>
              <w:bottom w:val="single" w:sz="2" w:space="0" w:color="808080" w:themeColor="background1" w:themeShade="80"/>
              <w:right w:val="single" w:sz="2" w:space="0" w:color="FFFFFF" w:themeColor="background1"/>
            </w:tcBorders>
            <w:vAlign w:val="center"/>
            <w:hideMark/>
          </w:tcPr>
          <w:p w14:paraId="30EB76C2" w14:textId="77777777" w:rsidR="00277B35" w:rsidRPr="00277B35" w:rsidRDefault="00277B35" w:rsidP="007E014E">
            <w:pPr>
              <w:pStyle w:val="NormalWeb"/>
              <w:jc w:val="center"/>
              <w:rPr>
                <w:color w:val="FFFFFF" w:themeColor="background1"/>
              </w:rPr>
            </w:pPr>
            <w:r w:rsidRPr="00277B35">
              <w:rPr>
                <w:color w:val="FFFFFF" w:themeColor="background1"/>
              </w:rPr>
              <w:t>5-year average (2015–2019)</w:t>
            </w:r>
          </w:p>
        </w:tc>
        <w:tc>
          <w:tcPr>
            <w:tcW w:w="1516" w:type="dxa"/>
            <w:tcBorders>
              <w:left w:val="single" w:sz="2" w:space="0" w:color="FFFFFF" w:themeColor="background1"/>
              <w:bottom w:val="single" w:sz="2" w:space="0" w:color="808080" w:themeColor="background1" w:themeShade="80"/>
              <w:right w:val="single" w:sz="2" w:space="0" w:color="FFFFFF" w:themeColor="background1"/>
            </w:tcBorders>
            <w:vAlign w:val="center"/>
            <w:hideMark/>
          </w:tcPr>
          <w:p w14:paraId="5437C452" w14:textId="77777777" w:rsidR="00277B35" w:rsidRPr="00277B35" w:rsidRDefault="00277B35" w:rsidP="007E014E">
            <w:pPr>
              <w:pStyle w:val="NormalWeb"/>
              <w:jc w:val="center"/>
              <w:rPr>
                <w:color w:val="FFFFFF" w:themeColor="background1"/>
              </w:rPr>
            </w:pPr>
            <w:r w:rsidRPr="00277B35">
              <w:rPr>
                <w:color w:val="FFFFFF" w:themeColor="background1"/>
              </w:rPr>
              <w:t>2020</w:t>
            </w:r>
          </w:p>
        </w:tc>
        <w:tc>
          <w:tcPr>
            <w:tcW w:w="1517" w:type="dxa"/>
            <w:tcBorders>
              <w:left w:val="single" w:sz="2" w:space="0" w:color="FFFFFF" w:themeColor="background1"/>
              <w:bottom w:val="single" w:sz="2" w:space="0" w:color="808080" w:themeColor="background1" w:themeShade="80"/>
            </w:tcBorders>
            <w:hideMark/>
          </w:tcPr>
          <w:p w14:paraId="7A736171" w14:textId="77777777" w:rsidR="00277B35" w:rsidRPr="00277B35" w:rsidRDefault="00277B35" w:rsidP="00277B35">
            <w:pPr>
              <w:pStyle w:val="NormalWeb"/>
              <w:jc w:val="center"/>
              <w:rPr>
                <w:color w:val="FFFFFF" w:themeColor="background1"/>
              </w:rPr>
            </w:pPr>
            <w:r w:rsidRPr="00277B35">
              <w:rPr>
                <w:color w:val="FFFFFF" w:themeColor="background1"/>
              </w:rPr>
              <w:t xml:space="preserve">Ratio </w:t>
            </w:r>
            <w:r w:rsidR="007E014E">
              <w:rPr>
                <w:color w:val="FFFFFF" w:themeColor="background1"/>
              </w:rPr>
              <w:br/>
            </w:r>
            <w:r w:rsidRPr="00277B35">
              <w:rPr>
                <w:color w:val="FFFFFF" w:themeColor="background1"/>
              </w:rPr>
              <w:t>(2020 vs.</w:t>
            </w:r>
            <w:r w:rsidR="007E014E">
              <w:rPr>
                <w:color w:val="FFFFFF" w:themeColor="background1"/>
              </w:rPr>
              <w:t xml:space="preserve"> </w:t>
            </w:r>
            <w:r w:rsidR="007E014E">
              <w:rPr>
                <w:color w:val="FFFFFF" w:themeColor="background1"/>
              </w:rPr>
              <w:br/>
            </w:r>
            <w:r w:rsidRPr="00277B35">
              <w:rPr>
                <w:color w:val="FFFFFF" w:themeColor="background1"/>
              </w:rPr>
              <w:t>5-year average)</w:t>
            </w:r>
          </w:p>
        </w:tc>
      </w:tr>
      <w:tr w:rsidR="00E202DE" w:rsidRPr="00E202DE" w14:paraId="4FFD6107" w14:textId="77777777" w:rsidTr="0087149D">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808080" w:themeFill="background1" w:themeFillShade="80"/>
            <w:hideMark/>
          </w:tcPr>
          <w:p w14:paraId="163D670A" w14:textId="77777777" w:rsidR="00277B35" w:rsidRPr="00E202DE" w:rsidRDefault="00277B35">
            <w:pPr>
              <w:pStyle w:val="NormalWeb"/>
              <w:rPr>
                <w:b/>
                <w:color w:val="FFFFFF" w:themeColor="background1"/>
              </w:rPr>
            </w:pPr>
            <w:r w:rsidRPr="00E202DE">
              <w:rPr>
                <w:b/>
                <w:color w:val="FFFFFF" w:themeColor="background1"/>
              </w:rPr>
              <w:t>Blood-borne diseases</w:t>
            </w:r>
          </w:p>
        </w:tc>
        <w:tc>
          <w:tcPr>
            <w:tcW w:w="996" w:type="dxa"/>
            <w:tcBorders>
              <w:top w:val="single" w:sz="2" w:space="0" w:color="808080" w:themeColor="background1" w:themeShade="80"/>
              <w:bottom w:val="single" w:sz="2" w:space="0" w:color="808080" w:themeColor="background1" w:themeShade="80"/>
            </w:tcBorders>
            <w:shd w:val="clear" w:color="auto" w:fill="808080" w:themeFill="background1" w:themeFillShade="80"/>
            <w:hideMark/>
          </w:tcPr>
          <w:p w14:paraId="4CA6A42D" w14:textId="77777777" w:rsidR="00277B35" w:rsidRPr="00E202DE" w:rsidRDefault="00277B35" w:rsidP="00277B35">
            <w:pPr>
              <w:jc w:val="center"/>
              <w:rPr>
                <w:b/>
                <w:color w:val="FFFFFF" w:themeColor="background1"/>
              </w:rPr>
            </w:pPr>
          </w:p>
        </w:tc>
        <w:tc>
          <w:tcPr>
            <w:tcW w:w="996" w:type="dxa"/>
            <w:tcBorders>
              <w:top w:val="single" w:sz="2" w:space="0" w:color="808080" w:themeColor="background1" w:themeShade="80"/>
              <w:bottom w:val="single" w:sz="2" w:space="0" w:color="808080" w:themeColor="background1" w:themeShade="80"/>
            </w:tcBorders>
            <w:shd w:val="clear" w:color="auto" w:fill="808080" w:themeFill="background1" w:themeFillShade="80"/>
            <w:hideMark/>
          </w:tcPr>
          <w:p w14:paraId="2FF53F5F" w14:textId="77777777" w:rsidR="00277B35" w:rsidRPr="00E202DE" w:rsidRDefault="00277B35" w:rsidP="00277B35">
            <w:pPr>
              <w:jc w:val="center"/>
              <w:rPr>
                <w:rFonts w:eastAsia="Times New Roman"/>
                <w:b/>
                <w:color w:val="FFFFFF" w:themeColor="background1"/>
                <w:sz w:val="20"/>
                <w:szCs w:val="20"/>
              </w:rPr>
            </w:pPr>
          </w:p>
        </w:tc>
        <w:tc>
          <w:tcPr>
            <w:tcW w:w="997" w:type="dxa"/>
            <w:tcBorders>
              <w:top w:val="single" w:sz="2" w:space="0" w:color="808080" w:themeColor="background1" w:themeShade="80"/>
              <w:bottom w:val="single" w:sz="2" w:space="0" w:color="808080" w:themeColor="background1" w:themeShade="80"/>
            </w:tcBorders>
            <w:shd w:val="clear" w:color="auto" w:fill="808080" w:themeFill="background1" w:themeFillShade="80"/>
            <w:hideMark/>
          </w:tcPr>
          <w:p w14:paraId="6E8CDE00" w14:textId="77777777" w:rsidR="00277B35" w:rsidRPr="00E202DE" w:rsidRDefault="00277B35" w:rsidP="00277B35">
            <w:pPr>
              <w:jc w:val="center"/>
              <w:rPr>
                <w:rFonts w:eastAsia="Times New Roman"/>
                <w:b/>
                <w:color w:val="FFFFFF" w:themeColor="background1"/>
                <w:sz w:val="20"/>
                <w:szCs w:val="20"/>
              </w:rPr>
            </w:pPr>
          </w:p>
        </w:tc>
        <w:tc>
          <w:tcPr>
            <w:tcW w:w="996" w:type="dxa"/>
            <w:tcBorders>
              <w:top w:val="single" w:sz="2" w:space="0" w:color="808080" w:themeColor="background1" w:themeShade="80"/>
              <w:bottom w:val="single" w:sz="2" w:space="0" w:color="808080" w:themeColor="background1" w:themeShade="80"/>
            </w:tcBorders>
            <w:shd w:val="clear" w:color="auto" w:fill="808080" w:themeFill="background1" w:themeFillShade="80"/>
            <w:hideMark/>
          </w:tcPr>
          <w:p w14:paraId="2D2D9293" w14:textId="77777777" w:rsidR="00277B35" w:rsidRPr="00E202DE" w:rsidRDefault="00277B35" w:rsidP="00277B35">
            <w:pPr>
              <w:jc w:val="center"/>
              <w:rPr>
                <w:rFonts w:eastAsia="Times New Roman"/>
                <w:b/>
                <w:color w:val="FFFFFF" w:themeColor="background1"/>
                <w:sz w:val="20"/>
                <w:szCs w:val="20"/>
              </w:rPr>
            </w:pPr>
          </w:p>
        </w:tc>
        <w:tc>
          <w:tcPr>
            <w:tcW w:w="997" w:type="dxa"/>
            <w:tcBorders>
              <w:top w:val="single" w:sz="2" w:space="0" w:color="808080" w:themeColor="background1" w:themeShade="80"/>
              <w:bottom w:val="single" w:sz="2" w:space="0" w:color="808080" w:themeColor="background1" w:themeShade="80"/>
            </w:tcBorders>
            <w:shd w:val="clear" w:color="auto" w:fill="808080" w:themeFill="background1" w:themeFillShade="80"/>
            <w:hideMark/>
          </w:tcPr>
          <w:p w14:paraId="485CCC85" w14:textId="77777777" w:rsidR="00277B35" w:rsidRPr="00E202DE" w:rsidRDefault="00277B35" w:rsidP="00277B35">
            <w:pPr>
              <w:jc w:val="center"/>
              <w:rPr>
                <w:rFonts w:eastAsia="Times New Roman"/>
                <w:b/>
                <w:color w:val="FFFFFF" w:themeColor="background1"/>
                <w:sz w:val="20"/>
                <w:szCs w:val="20"/>
              </w:rPr>
            </w:pPr>
          </w:p>
        </w:tc>
        <w:tc>
          <w:tcPr>
            <w:tcW w:w="2835" w:type="dxa"/>
            <w:tcBorders>
              <w:top w:val="single" w:sz="2" w:space="0" w:color="808080" w:themeColor="background1" w:themeShade="80"/>
              <w:bottom w:val="single" w:sz="2" w:space="0" w:color="808080" w:themeColor="background1" w:themeShade="80"/>
            </w:tcBorders>
            <w:shd w:val="clear" w:color="auto" w:fill="808080" w:themeFill="background1" w:themeFillShade="80"/>
            <w:hideMark/>
          </w:tcPr>
          <w:p w14:paraId="2B1EF038" w14:textId="77777777" w:rsidR="00277B35" w:rsidRPr="00E202DE" w:rsidRDefault="00277B35" w:rsidP="00277B35">
            <w:pPr>
              <w:jc w:val="center"/>
              <w:rPr>
                <w:rFonts w:eastAsia="Times New Roman"/>
                <w:b/>
                <w:color w:val="FFFFFF" w:themeColor="background1"/>
                <w:sz w:val="20"/>
                <w:szCs w:val="20"/>
              </w:rPr>
            </w:pPr>
          </w:p>
        </w:tc>
        <w:tc>
          <w:tcPr>
            <w:tcW w:w="1516" w:type="dxa"/>
            <w:tcBorders>
              <w:top w:val="single" w:sz="2" w:space="0" w:color="808080" w:themeColor="background1" w:themeShade="80"/>
              <w:bottom w:val="single" w:sz="2" w:space="0" w:color="808080" w:themeColor="background1" w:themeShade="80"/>
            </w:tcBorders>
            <w:shd w:val="clear" w:color="auto" w:fill="808080" w:themeFill="background1" w:themeFillShade="80"/>
            <w:hideMark/>
          </w:tcPr>
          <w:p w14:paraId="5CF26F61" w14:textId="77777777" w:rsidR="00277B35" w:rsidRPr="00E202DE" w:rsidRDefault="00277B35" w:rsidP="00277B35">
            <w:pPr>
              <w:jc w:val="center"/>
              <w:rPr>
                <w:rFonts w:eastAsia="Times New Roman"/>
                <w:b/>
                <w:color w:val="FFFFFF" w:themeColor="background1"/>
                <w:sz w:val="20"/>
                <w:szCs w:val="20"/>
              </w:rPr>
            </w:pPr>
          </w:p>
        </w:tc>
        <w:tc>
          <w:tcPr>
            <w:tcW w:w="1517" w:type="dxa"/>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808080" w:themeFill="background1" w:themeFillShade="80"/>
            <w:hideMark/>
          </w:tcPr>
          <w:p w14:paraId="5BA7D0AD" w14:textId="77777777" w:rsidR="00277B35" w:rsidRPr="00E202DE" w:rsidRDefault="00277B35" w:rsidP="00277B35">
            <w:pPr>
              <w:jc w:val="center"/>
              <w:rPr>
                <w:rFonts w:eastAsia="Times New Roman"/>
                <w:b/>
                <w:color w:val="FFFFFF" w:themeColor="background1"/>
                <w:sz w:val="20"/>
                <w:szCs w:val="20"/>
              </w:rPr>
            </w:pPr>
          </w:p>
        </w:tc>
      </w:tr>
      <w:tr w:rsidR="009F4863" w14:paraId="6B8FB7A7" w14:textId="77777777" w:rsidTr="0087149D">
        <w:trPr>
          <w:cnfStyle w:val="000000010000" w:firstRow="0" w:lastRow="0" w:firstColumn="0" w:lastColumn="0" w:oddVBand="0" w:evenVBand="0" w:oddHBand="0" w:evenHBand="1" w:firstRowFirstColumn="0" w:firstRowLastColumn="0" w:lastRowFirstColumn="0" w:lastRowLastColumn="0"/>
        </w:trPr>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6801DC3" w14:textId="77777777" w:rsidR="00277B35" w:rsidRDefault="00277B35">
            <w:pPr>
              <w:pStyle w:val="NormalWeb"/>
              <w:rPr>
                <w:sz w:val="24"/>
                <w:szCs w:val="24"/>
              </w:rPr>
            </w:pPr>
            <w:r>
              <w:t>Hepatitis B (newly acquired)</w:t>
            </w:r>
          </w:p>
        </w:tc>
        <w:tc>
          <w:tcPr>
            <w:tcW w:w="9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C02A1F9" w14:textId="77777777" w:rsidR="00277B35" w:rsidRDefault="00277B35" w:rsidP="00277B35">
            <w:pPr>
              <w:pStyle w:val="NormalWeb"/>
              <w:jc w:val="center"/>
            </w:pPr>
            <w:r>
              <w:t>1</w:t>
            </w:r>
          </w:p>
        </w:tc>
        <w:tc>
          <w:tcPr>
            <w:tcW w:w="9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C0CA905" w14:textId="77777777" w:rsidR="00277B35" w:rsidRDefault="00277B35" w:rsidP="00277B35">
            <w:pPr>
              <w:pStyle w:val="NormalWeb"/>
              <w:jc w:val="center"/>
            </w:pPr>
            <w:r>
              <w:t>1</w:t>
            </w:r>
          </w:p>
        </w:tc>
        <w:tc>
          <w:tcPr>
            <w:tcW w:w="9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CBCFD4F" w14:textId="77777777" w:rsidR="00277B35" w:rsidRDefault="00277B35" w:rsidP="00277B35">
            <w:pPr>
              <w:pStyle w:val="NormalWeb"/>
              <w:jc w:val="center"/>
            </w:pPr>
            <w:r>
              <w:t>1</w:t>
            </w:r>
          </w:p>
        </w:tc>
        <w:tc>
          <w:tcPr>
            <w:tcW w:w="9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94E8709" w14:textId="77777777" w:rsidR="00277B35" w:rsidRDefault="00277B35" w:rsidP="00277B35">
            <w:pPr>
              <w:pStyle w:val="NormalWeb"/>
              <w:jc w:val="center"/>
            </w:pPr>
            <w:r>
              <w:t>0</w:t>
            </w:r>
          </w:p>
        </w:tc>
        <w:tc>
          <w:tcPr>
            <w:tcW w:w="9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49F14BF" w14:textId="77777777" w:rsidR="00277B35" w:rsidRDefault="00277B35" w:rsidP="00277B35">
            <w:pPr>
              <w:pStyle w:val="NormalWeb"/>
              <w:jc w:val="center"/>
            </w:pPr>
            <w:r>
              <w:t>2</w:t>
            </w:r>
          </w:p>
        </w:tc>
        <w:tc>
          <w:tcPr>
            <w:tcW w:w="283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5EBD13C" w14:textId="77777777" w:rsidR="00277B35" w:rsidRDefault="00277B35" w:rsidP="00277B35">
            <w:pPr>
              <w:pStyle w:val="NormalWeb"/>
              <w:jc w:val="center"/>
            </w:pPr>
            <w:r>
              <w:t>1</w:t>
            </w:r>
          </w:p>
        </w:tc>
        <w:tc>
          <w:tcPr>
            <w:tcW w:w="15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2C6A95D" w14:textId="77777777" w:rsidR="00277B35" w:rsidRDefault="00277B35" w:rsidP="00277B35">
            <w:pPr>
              <w:pStyle w:val="NormalWeb"/>
              <w:jc w:val="center"/>
            </w:pPr>
            <w:r>
              <w:t>0</w:t>
            </w:r>
          </w:p>
        </w:tc>
        <w:tc>
          <w:tcPr>
            <w:tcW w:w="151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A5C21F6" w14:textId="77777777" w:rsidR="00277B35" w:rsidRDefault="00277B35" w:rsidP="00277B35">
            <w:pPr>
              <w:pStyle w:val="NormalWeb"/>
              <w:jc w:val="center"/>
            </w:pPr>
            <w:r>
              <w:t>–</w:t>
            </w:r>
          </w:p>
        </w:tc>
      </w:tr>
      <w:tr w:rsidR="00601706" w14:paraId="53A0D20F" w14:textId="77777777" w:rsidTr="0087149D">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38560FB" w14:textId="77777777" w:rsidR="00277B35" w:rsidRDefault="00277B35">
            <w:pPr>
              <w:pStyle w:val="NormalWeb"/>
            </w:pPr>
            <w:r>
              <w:t>Hepatitis B (unspecified)</w:t>
            </w:r>
          </w:p>
        </w:tc>
        <w:tc>
          <w:tcPr>
            <w:tcW w:w="9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EE63275" w14:textId="77777777" w:rsidR="00277B35" w:rsidRDefault="00277B35" w:rsidP="00277B35">
            <w:pPr>
              <w:pStyle w:val="NormalWeb"/>
              <w:jc w:val="center"/>
            </w:pPr>
            <w:r>
              <w:t>9</w:t>
            </w:r>
          </w:p>
        </w:tc>
        <w:tc>
          <w:tcPr>
            <w:tcW w:w="9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02A91F6" w14:textId="77777777" w:rsidR="00277B35" w:rsidRDefault="00277B35" w:rsidP="00277B35">
            <w:pPr>
              <w:pStyle w:val="NormalWeb"/>
              <w:jc w:val="center"/>
            </w:pPr>
            <w:r>
              <w:t>14</w:t>
            </w:r>
          </w:p>
        </w:tc>
        <w:tc>
          <w:tcPr>
            <w:tcW w:w="9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C2E73F2" w14:textId="77777777" w:rsidR="00277B35" w:rsidRDefault="00277B35" w:rsidP="00277B35">
            <w:pPr>
              <w:pStyle w:val="NormalWeb"/>
              <w:jc w:val="center"/>
            </w:pPr>
            <w:r>
              <w:t>6</w:t>
            </w:r>
          </w:p>
        </w:tc>
        <w:tc>
          <w:tcPr>
            <w:tcW w:w="9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D22BBC4" w14:textId="77777777" w:rsidR="00277B35" w:rsidRDefault="00277B35" w:rsidP="00277B35">
            <w:pPr>
              <w:pStyle w:val="NormalWeb"/>
              <w:jc w:val="center"/>
            </w:pPr>
            <w:r>
              <w:t>4</w:t>
            </w:r>
          </w:p>
        </w:tc>
        <w:tc>
          <w:tcPr>
            <w:tcW w:w="9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88A3886" w14:textId="77777777" w:rsidR="00277B35" w:rsidRDefault="00277B35" w:rsidP="00277B35">
            <w:pPr>
              <w:pStyle w:val="NormalWeb"/>
              <w:jc w:val="center"/>
            </w:pPr>
            <w:r>
              <w:t>5</w:t>
            </w:r>
          </w:p>
        </w:tc>
        <w:tc>
          <w:tcPr>
            <w:tcW w:w="283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9A7634B" w14:textId="77777777" w:rsidR="00277B35" w:rsidRDefault="00277B35" w:rsidP="00277B35">
            <w:pPr>
              <w:pStyle w:val="NormalWeb"/>
              <w:jc w:val="center"/>
            </w:pPr>
            <w:r>
              <w:t>8</w:t>
            </w:r>
          </w:p>
        </w:tc>
        <w:tc>
          <w:tcPr>
            <w:tcW w:w="15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598FC54" w14:textId="77777777" w:rsidR="00277B35" w:rsidRDefault="00277B35" w:rsidP="00277B35">
            <w:pPr>
              <w:pStyle w:val="NormalWeb"/>
              <w:jc w:val="center"/>
            </w:pPr>
            <w:r>
              <w:t>10</w:t>
            </w:r>
          </w:p>
        </w:tc>
        <w:tc>
          <w:tcPr>
            <w:tcW w:w="151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914F251" w14:textId="77777777" w:rsidR="00277B35" w:rsidRDefault="00277B35" w:rsidP="00277B35">
            <w:pPr>
              <w:pStyle w:val="NormalWeb"/>
              <w:jc w:val="center"/>
            </w:pPr>
            <w:r>
              <w:t>1.25</w:t>
            </w:r>
          </w:p>
        </w:tc>
      </w:tr>
      <w:tr w:rsidR="009F4863" w14:paraId="7BC44D10" w14:textId="77777777" w:rsidTr="0087149D">
        <w:trPr>
          <w:cnfStyle w:val="000000010000" w:firstRow="0" w:lastRow="0" w:firstColumn="0" w:lastColumn="0" w:oddVBand="0" w:evenVBand="0" w:oddHBand="0" w:evenHBand="1" w:firstRowFirstColumn="0" w:firstRowLastColumn="0" w:lastRowFirstColumn="0" w:lastRowLastColumn="0"/>
        </w:trPr>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BA771F9" w14:textId="77777777" w:rsidR="00277B35" w:rsidRDefault="00277B35">
            <w:pPr>
              <w:pStyle w:val="NormalWeb"/>
            </w:pPr>
            <w:r>
              <w:t>Hepatitis C (newly acquired)</w:t>
            </w:r>
          </w:p>
        </w:tc>
        <w:tc>
          <w:tcPr>
            <w:tcW w:w="9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1CC4635" w14:textId="77777777" w:rsidR="00277B35" w:rsidRDefault="00277B35" w:rsidP="00277B35">
            <w:pPr>
              <w:pStyle w:val="NormalWeb"/>
              <w:jc w:val="center"/>
            </w:pPr>
            <w:r>
              <w:t>13</w:t>
            </w:r>
          </w:p>
        </w:tc>
        <w:tc>
          <w:tcPr>
            <w:tcW w:w="9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4AE368B" w14:textId="77777777" w:rsidR="00277B35" w:rsidRDefault="00277B35" w:rsidP="00277B35">
            <w:pPr>
              <w:pStyle w:val="NormalWeb"/>
              <w:jc w:val="center"/>
            </w:pPr>
            <w:r>
              <w:t>10</w:t>
            </w:r>
          </w:p>
        </w:tc>
        <w:tc>
          <w:tcPr>
            <w:tcW w:w="9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A6F63CA" w14:textId="77777777" w:rsidR="00277B35" w:rsidRDefault="00277B35" w:rsidP="00277B35">
            <w:pPr>
              <w:pStyle w:val="NormalWeb"/>
              <w:jc w:val="center"/>
            </w:pPr>
            <w:r>
              <w:t>22</w:t>
            </w:r>
          </w:p>
        </w:tc>
        <w:tc>
          <w:tcPr>
            <w:tcW w:w="9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E54086F" w14:textId="77777777" w:rsidR="00277B35" w:rsidRDefault="00277B35" w:rsidP="00277B35">
            <w:pPr>
              <w:pStyle w:val="NormalWeb"/>
              <w:jc w:val="center"/>
            </w:pPr>
            <w:r>
              <w:t>12</w:t>
            </w:r>
          </w:p>
        </w:tc>
        <w:tc>
          <w:tcPr>
            <w:tcW w:w="9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8D4722C" w14:textId="77777777" w:rsidR="00277B35" w:rsidRDefault="00277B35" w:rsidP="00277B35">
            <w:pPr>
              <w:pStyle w:val="NormalWeb"/>
              <w:jc w:val="center"/>
            </w:pPr>
            <w:r>
              <w:t>26</w:t>
            </w:r>
          </w:p>
        </w:tc>
        <w:tc>
          <w:tcPr>
            <w:tcW w:w="283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92CF8BE" w14:textId="77777777" w:rsidR="00277B35" w:rsidRDefault="00277B35" w:rsidP="00277B35">
            <w:pPr>
              <w:pStyle w:val="NormalWeb"/>
              <w:jc w:val="center"/>
            </w:pPr>
            <w:r>
              <w:t>17</w:t>
            </w:r>
          </w:p>
        </w:tc>
        <w:tc>
          <w:tcPr>
            <w:tcW w:w="15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D4F8D67" w14:textId="77777777" w:rsidR="00277B35" w:rsidRDefault="00277B35" w:rsidP="00277B35">
            <w:pPr>
              <w:pStyle w:val="NormalWeb"/>
              <w:jc w:val="center"/>
            </w:pPr>
            <w:r>
              <w:t>37</w:t>
            </w:r>
          </w:p>
        </w:tc>
        <w:tc>
          <w:tcPr>
            <w:tcW w:w="151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FF09656" w14:textId="77777777" w:rsidR="00277B35" w:rsidRDefault="00277B35" w:rsidP="00277B35">
            <w:pPr>
              <w:pStyle w:val="NormalWeb"/>
              <w:jc w:val="center"/>
            </w:pPr>
            <w:r>
              <w:t>2.18</w:t>
            </w:r>
          </w:p>
        </w:tc>
      </w:tr>
      <w:tr w:rsidR="00601706" w14:paraId="7B54E966" w14:textId="77777777" w:rsidTr="0087149D">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4CD4757" w14:textId="77777777" w:rsidR="00277B35" w:rsidRDefault="00277B35">
            <w:pPr>
              <w:pStyle w:val="NormalWeb"/>
            </w:pPr>
            <w:r>
              <w:t>Hepatitis C (unspecified)</w:t>
            </w:r>
          </w:p>
        </w:tc>
        <w:tc>
          <w:tcPr>
            <w:tcW w:w="9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2369711" w14:textId="77777777" w:rsidR="00277B35" w:rsidRDefault="00277B35" w:rsidP="00277B35">
            <w:pPr>
              <w:pStyle w:val="NormalWeb"/>
              <w:jc w:val="center"/>
            </w:pPr>
            <w:r>
              <w:t>49</w:t>
            </w:r>
          </w:p>
        </w:tc>
        <w:tc>
          <w:tcPr>
            <w:tcW w:w="9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34E4570" w14:textId="77777777" w:rsidR="00277B35" w:rsidRDefault="00277B35" w:rsidP="00277B35">
            <w:pPr>
              <w:pStyle w:val="NormalWeb"/>
              <w:jc w:val="center"/>
            </w:pPr>
            <w:r>
              <w:t>54</w:t>
            </w:r>
          </w:p>
        </w:tc>
        <w:tc>
          <w:tcPr>
            <w:tcW w:w="9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CCAA07F" w14:textId="77777777" w:rsidR="00277B35" w:rsidRDefault="00277B35" w:rsidP="00277B35">
            <w:pPr>
              <w:pStyle w:val="NormalWeb"/>
              <w:jc w:val="center"/>
            </w:pPr>
            <w:r>
              <w:t>62</w:t>
            </w:r>
          </w:p>
        </w:tc>
        <w:tc>
          <w:tcPr>
            <w:tcW w:w="9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47BF490" w14:textId="77777777" w:rsidR="00277B35" w:rsidRDefault="00277B35" w:rsidP="00277B35">
            <w:pPr>
              <w:pStyle w:val="NormalWeb"/>
              <w:jc w:val="center"/>
            </w:pPr>
            <w:r>
              <w:t>56</w:t>
            </w:r>
          </w:p>
        </w:tc>
        <w:tc>
          <w:tcPr>
            <w:tcW w:w="9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2621CA4" w14:textId="77777777" w:rsidR="00277B35" w:rsidRDefault="00277B35" w:rsidP="00277B35">
            <w:pPr>
              <w:pStyle w:val="NormalWeb"/>
              <w:jc w:val="center"/>
            </w:pPr>
            <w:r>
              <w:t>55</w:t>
            </w:r>
          </w:p>
        </w:tc>
        <w:tc>
          <w:tcPr>
            <w:tcW w:w="283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8F1A1D0" w14:textId="77777777" w:rsidR="00277B35" w:rsidRDefault="00277B35" w:rsidP="00277B35">
            <w:pPr>
              <w:pStyle w:val="NormalWeb"/>
              <w:jc w:val="center"/>
            </w:pPr>
            <w:r>
              <w:t>55</w:t>
            </w:r>
          </w:p>
        </w:tc>
        <w:tc>
          <w:tcPr>
            <w:tcW w:w="15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8D96110" w14:textId="77777777" w:rsidR="00277B35" w:rsidRDefault="00277B35" w:rsidP="00277B35">
            <w:pPr>
              <w:pStyle w:val="NormalWeb"/>
              <w:jc w:val="center"/>
            </w:pPr>
            <w:r>
              <w:t>38</w:t>
            </w:r>
          </w:p>
        </w:tc>
        <w:tc>
          <w:tcPr>
            <w:tcW w:w="151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66D54A5" w14:textId="77777777" w:rsidR="00277B35" w:rsidRDefault="00277B35" w:rsidP="00277B35">
            <w:pPr>
              <w:pStyle w:val="NormalWeb"/>
              <w:jc w:val="center"/>
            </w:pPr>
            <w:r>
              <w:t>0.69</w:t>
            </w:r>
          </w:p>
        </w:tc>
      </w:tr>
      <w:tr w:rsidR="005B16A3" w:rsidRPr="005B16A3" w14:paraId="71828966" w14:textId="77777777" w:rsidTr="0087149D">
        <w:trPr>
          <w:cnfStyle w:val="000000010000" w:firstRow="0" w:lastRow="0" w:firstColumn="0" w:lastColumn="0" w:oddVBand="0" w:evenVBand="0" w:oddHBand="0" w:evenHBand="1" w:firstRowFirstColumn="0" w:firstRowLastColumn="0" w:lastRowFirstColumn="0" w:lastRowLastColumn="0"/>
        </w:trPr>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808080" w:themeFill="background1" w:themeFillShade="80"/>
            <w:hideMark/>
          </w:tcPr>
          <w:p w14:paraId="038AD563" w14:textId="77777777" w:rsidR="00277B35" w:rsidRPr="005B16A3" w:rsidRDefault="00277B35">
            <w:pPr>
              <w:pStyle w:val="NormalWeb"/>
              <w:rPr>
                <w:b/>
                <w:color w:val="FFFFFF" w:themeColor="background1"/>
              </w:rPr>
            </w:pPr>
            <w:r w:rsidRPr="005B16A3">
              <w:rPr>
                <w:b/>
                <w:color w:val="FFFFFF" w:themeColor="background1"/>
              </w:rPr>
              <w:t>Gastrointestinal diseases</w:t>
            </w:r>
          </w:p>
        </w:tc>
        <w:tc>
          <w:tcPr>
            <w:tcW w:w="9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808080" w:themeFill="background1" w:themeFillShade="80"/>
            <w:hideMark/>
          </w:tcPr>
          <w:p w14:paraId="0028D6AA" w14:textId="77777777" w:rsidR="00277B35" w:rsidRPr="005B16A3" w:rsidRDefault="00277B35" w:rsidP="00277B35">
            <w:pPr>
              <w:jc w:val="center"/>
              <w:rPr>
                <w:b/>
                <w:color w:val="FFFFFF" w:themeColor="background1"/>
              </w:rPr>
            </w:pPr>
          </w:p>
        </w:tc>
        <w:tc>
          <w:tcPr>
            <w:tcW w:w="9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808080" w:themeFill="background1" w:themeFillShade="80"/>
            <w:hideMark/>
          </w:tcPr>
          <w:p w14:paraId="39BFE4DE" w14:textId="77777777" w:rsidR="00277B35" w:rsidRPr="005B16A3" w:rsidRDefault="00277B35" w:rsidP="00277B35">
            <w:pPr>
              <w:jc w:val="center"/>
              <w:rPr>
                <w:rFonts w:eastAsia="Times New Roman"/>
                <w:b/>
                <w:color w:val="FFFFFF" w:themeColor="background1"/>
                <w:sz w:val="20"/>
                <w:szCs w:val="20"/>
              </w:rPr>
            </w:pPr>
          </w:p>
        </w:tc>
        <w:tc>
          <w:tcPr>
            <w:tcW w:w="9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808080" w:themeFill="background1" w:themeFillShade="80"/>
            <w:hideMark/>
          </w:tcPr>
          <w:p w14:paraId="11BBD977" w14:textId="77777777" w:rsidR="00277B35" w:rsidRPr="005B16A3" w:rsidRDefault="00277B35" w:rsidP="00277B35">
            <w:pPr>
              <w:jc w:val="center"/>
              <w:rPr>
                <w:rFonts w:eastAsia="Times New Roman"/>
                <w:b/>
                <w:color w:val="FFFFFF" w:themeColor="background1"/>
                <w:sz w:val="20"/>
                <w:szCs w:val="20"/>
              </w:rPr>
            </w:pPr>
          </w:p>
        </w:tc>
        <w:tc>
          <w:tcPr>
            <w:tcW w:w="9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808080" w:themeFill="background1" w:themeFillShade="80"/>
            <w:hideMark/>
          </w:tcPr>
          <w:p w14:paraId="6E9270A9" w14:textId="77777777" w:rsidR="00277B35" w:rsidRPr="005B16A3" w:rsidRDefault="00277B35" w:rsidP="00277B35">
            <w:pPr>
              <w:jc w:val="center"/>
              <w:rPr>
                <w:rFonts w:eastAsia="Times New Roman"/>
                <w:b/>
                <w:color w:val="FFFFFF" w:themeColor="background1"/>
                <w:sz w:val="20"/>
                <w:szCs w:val="20"/>
              </w:rPr>
            </w:pPr>
          </w:p>
        </w:tc>
        <w:tc>
          <w:tcPr>
            <w:tcW w:w="9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808080" w:themeFill="background1" w:themeFillShade="80"/>
            <w:hideMark/>
          </w:tcPr>
          <w:p w14:paraId="02F8F9B6" w14:textId="77777777" w:rsidR="00277B35" w:rsidRPr="005B16A3" w:rsidRDefault="00277B35" w:rsidP="00277B35">
            <w:pPr>
              <w:jc w:val="center"/>
              <w:rPr>
                <w:rFonts w:eastAsia="Times New Roman"/>
                <w:b/>
                <w:color w:val="FFFFFF" w:themeColor="background1"/>
                <w:sz w:val="20"/>
                <w:szCs w:val="20"/>
              </w:rPr>
            </w:pPr>
          </w:p>
        </w:tc>
        <w:tc>
          <w:tcPr>
            <w:tcW w:w="283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808080" w:themeFill="background1" w:themeFillShade="80"/>
            <w:hideMark/>
          </w:tcPr>
          <w:p w14:paraId="24906767" w14:textId="77777777" w:rsidR="00277B35" w:rsidRPr="005B16A3" w:rsidRDefault="00277B35" w:rsidP="00277B35">
            <w:pPr>
              <w:jc w:val="center"/>
              <w:rPr>
                <w:rFonts w:eastAsia="Times New Roman"/>
                <w:b/>
                <w:color w:val="FFFFFF" w:themeColor="background1"/>
                <w:sz w:val="20"/>
                <w:szCs w:val="20"/>
              </w:rPr>
            </w:pPr>
          </w:p>
        </w:tc>
        <w:tc>
          <w:tcPr>
            <w:tcW w:w="15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808080" w:themeFill="background1" w:themeFillShade="80"/>
            <w:hideMark/>
          </w:tcPr>
          <w:p w14:paraId="52DB9B4F" w14:textId="77777777" w:rsidR="00277B35" w:rsidRPr="005B16A3" w:rsidRDefault="00277B35" w:rsidP="00277B35">
            <w:pPr>
              <w:jc w:val="center"/>
              <w:rPr>
                <w:rFonts w:eastAsia="Times New Roman"/>
                <w:b/>
                <w:color w:val="FFFFFF" w:themeColor="background1"/>
                <w:sz w:val="20"/>
                <w:szCs w:val="20"/>
              </w:rPr>
            </w:pPr>
          </w:p>
        </w:tc>
        <w:tc>
          <w:tcPr>
            <w:tcW w:w="151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808080" w:themeFill="background1" w:themeFillShade="80"/>
            <w:hideMark/>
          </w:tcPr>
          <w:p w14:paraId="4DE1FBB7" w14:textId="77777777" w:rsidR="00277B35" w:rsidRPr="005B16A3" w:rsidRDefault="00277B35" w:rsidP="00277B35">
            <w:pPr>
              <w:jc w:val="center"/>
              <w:rPr>
                <w:rFonts w:eastAsia="Times New Roman"/>
                <w:b/>
                <w:color w:val="FFFFFF" w:themeColor="background1"/>
                <w:sz w:val="20"/>
                <w:szCs w:val="20"/>
              </w:rPr>
            </w:pPr>
          </w:p>
        </w:tc>
      </w:tr>
      <w:tr w:rsidR="00601706" w14:paraId="7859E581" w14:textId="77777777" w:rsidTr="0087149D">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7DDF9CD" w14:textId="77777777" w:rsidR="00277B35" w:rsidRDefault="00277B35">
            <w:pPr>
              <w:pStyle w:val="NormalWeb"/>
              <w:rPr>
                <w:sz w:val="24"/>
                <w:szCs w:val="24"/>
              </w:rPr>
            </w:pPr>
            <w:proofErr w:type="spellStart"/>
            <w:r>
              <w:t>Campylobacteriosis</w:t>
            </w:r>
            <w:proofErr w:type="spellEnd"/>
          </w:p>
        </w:tc>
        <w:tc>
          <w:tcPr>
            <w:tcW w:w="9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9C50F1A" w14:textId="77777777" w:rsidR="00277B35" w:rsidRDefault="00277B35" w:rsidP="00277B35">
            <w:pPr>
              <w:pStyle w:val="NormalWeb"/>
              <w:jc w:val="center"/>
            </w:pPr>
            <w:r>
              <w:t>121</w:t>
            </w:r>
          </w:p>
        </w:tc>
        <w:tc>
          <w:tcPr>
            <w:tcW w:w="9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7E14C48" w14:textId="77777777" w:rsidR="00277B35" w:rsidRDefault="00277B35" w:rsidP="00277B35">
            <w:pPr>
              <w:pStyle w:val="NormalWeb"/>
              <w:jc w:val="center"/>
            </w:pPr>
            <w:r>
              <w:t>172</w:t>
            </w:r>
          </w:p>
        </w:tc>
        <w:tc>
          <w:tcPr>
            <w:tcW w:w="9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9385F51" w14:textId="77777777" w:rsidR="00277B35" w:rsidRDefault="00277B35" w:rsidP="00277B35">
            <w:pPr>
              <w:pStyle w:val="NormalWeb"/>
              <w:jc w:val="center"/>
            </w:pPr>
            <w:r>
              <w:t>151</w:t>
            </w:r>
          </w:p>
        </w:tc>
        <w:tc>
          <w:tcPr>
            <w:tcW w:w="9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2AD7554" w14:textId="77777777" w:rsidR="00277B35" w:rsidRDefault="00277B35" w:rsidP="00277B35">
            <w:pPr>
              <w:pStyle w:val="NormalWeb"/>
              <w:jc w:val="center"/>
            </w:pPr>
            <w:r>
              <w:t>165</w:t>
            </w:r>
          </w:p>
        </w:tc>
        <w:tc>
          <w:tcPr>
            <w:tcW w:w="9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37AD541" w14:textId="77777777" w:rsidR="00277B35" w:rsidRDefault="00277B35" w:rsidP="00277B35">
            <w:pPr>
              <w:pStyle w:val="NormalWeb"/>
              <w:jc w:val="center"/>
            </w:pPr>
            <w:r>
              <w:t>181</w:t>
            </w:r>
          </w:p>
        </w:tc>
        <w:tc>
          <w:tcPr>
            <w:tcW w:w="283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A54123A" w14:textId="77777777" w:rsidR="00277B35" w:rsidRDefault="00277B35" w:rsidP="00277B35">
            <w:pPr>
              <w:pStyle w:val="NormalWeb"/>
              <w:jc w:val="center"/>
            </w:pPr>
            <w:r>
              <w:t>158</w:t>
            </w:r>
          </w:p>
        </w:tc>
        <w:tc>
          <w:tcPr>
            <w:tcW w:w="15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64C1F67" w14:textId="77777777" w:rsidR="00277B35" w:rsidRDefault="00277B35" w:rsidP="00277B35">
            <w:pPr>
              <w:pStyle w:val="NormalWeb"/>
              <w:jc w:val="center"/>
            </w:pPr>
            <w:r>
              <w:t>145</w:t>
            </w:r>
          </w:p>
        </w:tc>
        <w:tc>
          <w:tcPr>
            <w:tcW w:w="151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15D6E37" w14:textId="77777777" w:rsidR="00277B35" w:rsidRDefault="00277B35" w:rsidP="00277B35">
            <w:pPr>
              <w:pStyle w:val="NormalWeb"/>
              <w:jc w:val="center"/>
            </w:pPr>
            <w:r>
              <w:t>0.92</w:t>
            </w:r>
          </w:p>
        </w:tc>
      </w:tr>
      <w:tr w:rsidR="009F4863" w14:paraId="3EED35A0" w14:textId="77777777" w:rsidTr="0087149D">
        <w:trPr>
          <w:cnfStyle w:val="000000010000" w:firstRow="0" w:lastRow="0" w:firstColumn="0" w:lastColumn="0" w:oddVBand="0" w:evenVBand="0" w:oddHBand="0" w:evenHBand="1" w:firstRowFirstColumn="0" w:firstRowLastColumn="0" w:lastRowFirstColumn="0" w:lastRowLastColumn="0"/>
        </w:trPr>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BC6888A" w14:textId="77777777" w:rsidR="00277B35" w:rsidRDefault="00277B35">
            <w:pPr>
              <w:pStyle w:val="NormalWeb"/>
            </w:pPr>
            <w:r>
              <w:t>Cryptosporidiosis</w:t>
            </w:r>
          </w:p>
        </w:tc>
        <w:tc>
          <w:tcPr>
            <w:tcW w:w="9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A70F31E" w14:textId="77777777" w:rsidR="00277B35" w:rsidRDefault="00277B35" w:rsidP="00277B35">
            <w:pPr>
              <w:pStyle w:val="NormalWeb"/>
              <w:jc w:val="center"/>
            </w:pPr>
            <w:r>
              <w:t>14</w:t>
            </w:r>
          </w:p>
        </w:tc>
        <w:tc>
          <w:tcPr>
            <w:tcW w:w="9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A2BAFB2" w14:textId="77777777" w:rsidR="00277B35" w:rsidRDefault="00277B35" w:rsidP="00277B35">
            <w:pPr>
              <w:pStyle w:val="NormalWeb"/>
              <w:jc w:val="center"/>
            </w:pPr>
            <w:r>
              <w:t>101</w:t>
            </w:r>
          </w:p>
        </w:tc>
        <w:tc>
          <w:tcPr>
            <w:tcW w:w="9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9002BC9" w14:textId="77777777" w:rsidR="00277B35" w:rsidRDefault="00277B35" w:rsidP="00277B35">
            <w:pPr>
              <w:pStyle w:val="NormalWeb"/>
              <w:jc w:val="center"/>
            </w:pPr>
            <w:r>
              <w:t>41</w:t>
            </w:r>
          </w:p>
        </w:tc>
        <w:tc>
          <w:tcPr>
            <w:tcW w:w="9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69C9BFA" w14:textId="77777777" w:rsidR="00277B35" w:rsidRDefault="00277B35" w:rsidP="00277B35">
            <w:pPr>
              <w:pStyle w:val="NormalWeb"/>
              <w:jc w:val="center"/>
            </w:pPr>
            <w:r>
              <w:t>10</w:t>
            </w:r>
          </w:p>
        </w:tc>
        <w:tc>
          <w:tcPr>
            <w:tcW w:w="9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118BD7A" w14:textId="77777777" w:rsidR="00277B35" w:rsidRDefault="00277B35" w:rsidP="00277B35">
            <w:pPr>
              <w:pStyle w:val="NormalWeb"/>
              <w:jc w:val="center"/>
            </w:pPr>
            <w:r>
              <w:t>34</w:t>
            </w:r>
          </w:p>
        </w:tc>
        <w:tc>
          <w:tcPr>
            <w:tcW w:w="283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D29F4AB" w14:textId="77777777" w:rsidR="00277B35" w:rsidRDefault="00277B35" w:rsidP="00277B35">
            <w:pPr>
              <w:pStyle w:val="NormalWeb"/>
              <w:jc w:val="center"/>
            </w:pPr>
            <w:r>
              <w:t>40</w:t>
            </w:r>
          </w:p>
        </w:tc>
        <w:tc>
          <w:tcPr>
            <w:tcW w:w="15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D9C2DFF" w14:textId="77777777" w:rsidR="00277B35" w:rsidRDefault="00277B35" w:rsidP="00277B35">
            <w:pPr>
              <w:pStyle w:val="NormalWeb"/>
              <w:jc w:val="center"/>
            </w:pPr>
            <w:r>
              <w:t>5</w:t>
            </w:r>
          </w:p>
        </w:tc>
        <w:tc>
          <w:tcPr>
            <w:tcW w:w="151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B9D5C5D" w14:textId="77777777" w:rsidR="00277B35" w:rsidRDefault="00277B35" w:rsidP="00277B35">
            <w:pPr>
              <w:pStyle w:val="NormalWeb"/>
              <w:jc w:val="center"/>
            </w:pPr>
            <w:r>
              <w:t>0.13</w:t>
            </w:r>
          </w:p>
        </w:tc>
      </w:tr>
      <w:tr w:rsidR="00601706" w14:paraId="7976B348" w14:textId="77777777" w:rsidTr="0087149D">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D2F0CCC" w14:textId="77777777" w:rsidR="00277B35" w:rsidRDefault="00277B35">
            <w:pPr>
              <w:pStyle w:val="NormalWeb"/>
            </w:pPr>
            <w:r>
              <w:t>Haemolytic uraemic syndrome (HUS)</w:t>
            </w:r>
          </w:p>
        </w:tc>
        <w:tc>
          <w:tcPr>
            <w:tcW w:w="9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10AC781" w14:textId="77777777" w:rsidR="00277B35" w:rsidRDefault="00277B35" w:rsidP="00277B35">
            <w:pPr>
              <w:pStyle w:val="NormalWeb"/>
              <w:jc w:val="center"/>
            </w:pPr>
            <w:r>
              <w:t>0</w:t>
            </w:r>
          </w:p>
        </w:tc>
        <w:tc>
          <w:tcPr>
            <w:tcW w:w="9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59447BA" w14:textId="77777777" w:rsidR="00277B35" w:rsidRDefault="00277B35" w:rsidP="00277B35">
            <w:pPr>
              <w:pStyle w:val="NormalWeb"/>
              <w:jc w:val="center"/>
            </w:pPr>
            <w:r>
              <w:t>1</w:t>
            </w:r>
          </w:p>
        </w:tc>
        <w:tc>
          <w:tcPr>
            <w:tcW w:w="9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4907652" w14:textId="77777777" w:rsidR="00277B35" w:rsidRDefault="00277B35" w:rsidP="00277B35">
            <w:pPr>
              <w:pStyle w:val="NormalWeb"/>
              <w:jc w:val="center"/>
            </w:pPr>
            <w:r>
              <w:t>1</w:t>
            </w:r>
          </w:p>
        </w:tc>
        <w:tc>
          <w:tcPr>
            <w:tcW w:w="9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51825A1" w14:textId="77777777" w:rsidR="00277B35" w:rsidRDefault="00277B35" w:rsidP="00277B35">
            <w:pPr>
              <w:pStyle w:val="NormalWeb"/>
              <w:jc w:val="center"/>
            </w:pPr>
            <w:r>
              <w:t>0</w:t>
            </w:r>
          </w:p>
        </w:tc>
        <w:tc>
          <w:tcPr>
            <w:tcW w:w="9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A68810E" w14:textId="77777777" w:rsidR="00277B35" w:rsidRDefault="00277B35" w:rsidP="00277B35">
            <w:pPr>
              <w:pStyle w:val="NormalWeb"/>
              <w:jc w:val="center"/>
            </w:pPr>
            <w:r>
              <w:t>0</w:t>
            </w:r>
          </w:p>
        </w:tc>
        <w:tc>
          <w:tcPr>
            <w:tcW w:w="283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62BE1AF" w14:textId="77777777" w:rsidR="00277B35" w:rsidRDefault="00277B35" w:rsidP="00277B35">
            <w:pPr>
              <w:pStyle w:val="NormalWeb"/>
              <w:jc w:val="center"/>
            </w:pPr>
            <w:r>
              <w:t>0</w:t>
            </w:r>
          </w:p>
        </w:tc>
        <w:tc>
          <w:tcPr>
            <w:tcW w:w="15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C7DCA1F" w14:textId="77777777" w:rsidR="00277B35" w:rsidRDefault="00277B35" w:rsidP="00277B35">
            <w:pPr>
              <w:pStyle w:val="NormalWeb"/>
              <w:jc w:val="center"/>
            </w:pPr>
            <w:r>
              <w:t>2</w:t>
            </w:r>
          </w:p>
        </w:tc>
        <w:tc>
          <w:tcPr>
            <w:tcW w:w="151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0BFCF0C" w14:textId="77777777" w:rsidR="00277B35" w:rsidRDefault="00277B35" w:rsidP="00277B35">
            <w:pPr>
              <w:pStyle w:val="NormalWeb"/>
              <w:jc w:val="center"/>
            </w:pPr>
            <w:r>
              <w:t>5.00</w:t>
            </w:r>
          </w:p>
        </w:tc>
      </w:tr>
      <w:tr w:rsidR="009F4863" w14:paraId="36BE1F8E" w14:textId="77777777" w:rsidTr="0087149D">
        <w:trPr>
          <w:cnfStyle w:val="000000010000" w:firstRow="0" w:lastRow="0" w:firstColumn="0" w:lastColumn="0" w:oddVBand="0" w:evenVBand="0" w:oddHBand="0" w:evenHBand="1" w:firstRowFirstColumn="0" w:firstRowLastColumn="0" w:lastRowFirstColumn="0" w:lastRowLastColumn="0"/>
        </w:trPr>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9C8CCA3" w14:textId="77777777" w:rsidR="00277B35" w:rsidRDefault="00277B35">
            <w:pPr>
              <w:pStyle w:val="NormalWeb"/>
            </w:pPr>
            <w:r>
              <w:t>Salmonellosis</w:t>
            </w:r>
          </w:p>
        </w:tc>
        <w:tc>
          <w:tcPr>
            <w:tcW w:w="9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75F703F" w14:textId="77777777" w:rsidR="00277B35" w:rsidRDefault="00277B35" w:rsidP="00277B35">
            <w:pPr>
              <w:pStyle w:val="NormalWeb"/>
              <w:jc w:val="center"/>
            </w:pPr>
            <w:r>
              <w:t>122</w:t>
            </w:r>
          </w:p>
        </w:tc>
        <w:tc>
          <w:tcPr>
            <w:tcW w:w="9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361CAFE" w14:textId="77777777" w:rsidR="00277B35" w:rsidRDefault="00277B35" w:rsidP="00277B35">
            <w:pPr>
              <w:pStyle w:val="NormalWeb"/>
              <w:jc w:val="center"/>
            </w:pPr>
            <w:r>
              <w:t>159</w:t>
            </w:r>
          </w:p>
        </w:tc>
        <w:tc>
          <w:tcPr>
            <w:tcW w:w="9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9B575A0" w14:textId="77777777" w:rsidR="00277B35" w:rsidRDefault="00277B35" w:rsidP="00277B35">
            <w:pPr>
              <w:pStyle w:val="NormalWeb"/>
              <w:jc w:val="center"/>
            </w:pPr>
            <w:r>
              <w:t>122</w:t>
            </w:r>
          </w:p>
        </w:tc>
        <w:tc>
          <w:tcPr>
            <w:tcW w:w="9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16E3EA3" w14:textId="77777777" w:rsidR="00277B35" w:rsidRDefault="00277B35" w:rsidP="00277B35">
            <w:pPr>
              <w:pStyle w:val="NormalWeb"/>
              <w:jc w:val="center"/>
            </w:pPr>
            <w:r>
              <w:t>123</w:t>
            </w:r>
          </w:p>
        </w:tc>
        <w:tc>
          <w:tcPr>
            <w:tcW w:w="9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D65BFF1" w14:textId="77777777" w:rsidR="00277B35" w:rsidRDefault="00277B35" w:rsidP="00277B35">
            <w:pPr>
              <w:pStyle w:val="NormalWeb"/>
              <w:jc w:val="center"/>
            </w:pPr>
            <w:r>
              <w:t>85</w:t>
            </w:r>
          </w:p>
        </w:tc>
        <w:tc>
          <w:tcPr>
            <w:tcW w:w="283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3815A64" w14:textId="77777777" w:rsidR="00277B35" w:rsidRDefault="00277B35" w:rsidP="00277B35">
            <w:pPr>
              <w:pStyle w:val="NormalWeb"/>
              <w:jc w:val="center"/>
            </w:pPr>
            <w:r>
              <w:t>122</w:t>
            </w:r>
          </w:p>
        </w:tc>
        <w:tc>
          <w:tcPr>
            <w:tcW w:w="15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4758001" w14:textId="77777777" w:rsidR="00277B35" w:rsidRDefault="00277B35" w:rsidP="00277B35">
            <w:pPr>
              <w:pStyle w:val="NormalWeb"/>
              <w:jc w:val="center"/>
            </w:pPr>
            <w:r>
              <w:t>90</w:t>
            </w:r>
          </w:p>
        </w:tc>
        <w:tc>
          <w:tcPr>
            <w:tcW w:w="151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ABC5964" w14:textId="77777777" w:rsidR="00277B35" w:rsidRDefault="00277B35" w:rsidP="00277B35">
            <w:pPr>
              <w:pStyle w:val="NormalWeb"/>
              <w:jc w:val="center"/>
            </w:pPr>
            <w:r>
              <w:t>0.74</w:t>
            </w:r>
          </w:p>
        </w:tc>
      </w:tr>
      <w:tr w:rsidR="00601706" w14:paraId="7122ACAC" w14:textId="77777777" w:rsidTr="0087149D">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6CD5657" w14:textId="77777777" w:rsidR="00277B35" w:rsidRDefault="00277B35">
            <w:pPr>
              <w:pStyle w:val="NormalWeb"/>
            </w:pPr>
            <w:r>
              <w:t>Shigellosis</w:t>
            </w:r>
          </w:p>
        </w:tc>
        <w:tc>
          <w:tcPr>
            <w:tcW w:w="9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E761394" w14:textId="77777777" w:rsidR="00277B35" w:rsidRDefault="00277B35" w:rsidP="00277B35">
            <w:pPr>
              <w:pStyle w:val="NormalWeb"/>
              <w:jc w:val="center"/>
            </w:pPr>
            <w:r>
              <w:t>2</w:t>
            </w:r>
          </w:p>
        </w:tc>
        <w:tc>
          <w:tcPr>
            <w:tcW w:w="9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2DA1C04" w14:textId="77777777" w:rsidR="00277B35" w:rsidRDefault="00277B35" w:rsidP="00277B35">
            <w:pPr>
              <w:pStyle w:val="NormalWeb"/>
              <w:jc w:val="center"/>
            </w:pPr>
            <w:r>
              <w:t>0</w:t>
            </w:r>
          </w:p>
        </w:tc>
        <w:tc>
          <w:tcPr>
            <w:tcW w:w="9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47173AF" w14:textId="77777777" w:rsidR="00277B35" w:rsidRDefault="00277B35" w:rsidP="00277B35">
            <w:pPr>
              <w:pStyle w:val="NormalWeb"/>
              <w:jc w:val="center"/>
            </w:pPr>
            <w:r>
              <w:t>15</w:t>
            </w:r>
          </w:p>
        </w:tc>
        <w:tc>
          <w:tcPr>
            <w:tcW w:w="9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F6FDD30" w14:textId="77777777" w:rsidR="00277B35" w:rsidRDefault="00277B35" w:rsidP="00277B35">
            <w:pPr>
              <w:pStyle w:val="NormalWeb"/>
              <w:jc w:val="center"/>
            </w:pPr>
            <w:r>
              <w:t>1</w:t>
            </w:r>
          </w:p>
        </w:tc>
        <w:tc>
          <w:tcPr>
            <w:tcW w:w="9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1854166" w14:textId="77777777" w:rsidR="00277B35" w:rsidRDefault="00277B35" w:rsidP="00277B35">
            <w:pPr>
              <w:pStyle w:val="NormalWeb"/>
              <w:jc w:val="center"/>
            </w:pPr>
            <w:r>
              <w:t>3</w:t>
            </w:r>
          </w:p>
        </w:tc>
        <w:tc>
          <w:tcPr>
            <w:tcW w:w="283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02A9A0F" w14:textId="77777777" w:rsidR="00277B35" w:rsidRDefault="00277B35" w:rsidP="00277B35">
            <w:pPr>
              <w:pStyle w:val="NormalWeb"/>
              <w:jc w:val="center"/>
            </w:pPr>
            <w:r>
              <w:t>4</w:t>
            </w:r>
          </w:p>
        </w:tc>
        <w:tc>
          <w:tcPr>
            <w:tcW w:w="15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D64E72C" w14:textId="77777777" w:rsidR="00277B35" w:rsidRDefault="00277B35" w:rsidP="00277B35">
            <w:pPr>
              <w:pStyle w:val="NormalWeb"/>
              <w:jc w:val="center"/>
            </w:pPr>
            <w:r>
              <w:t>8</w:t>
            </w:r>
          </w:p>
        </w:tc>
        <w:tc>
          <w:tcPr>
            <w:tcW w:w="151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30565E4" w14:textId="77777777" w:rsidR="00277B35" w:rsidRDefault="00277B35" w:rsidP="00277B35">
            <w:pPr>
              <w:pStyle w:val="NormalWeb"/>
              <w:jc w:val="center"/>
            </w:pPr>
            <w:r>
              <w:t>2.00</w:t>
            </w:r>
          </w:p>
        </w:tc>
      </w:tr>
      <w:tr w:rsidR="009F4863" w14:paraId="17AD9204" w14:textId="77777777" w:rsidTr="0087149D">
        <w:trPr>
          <w:cnfStyle w:val="000000010000" w:firstRow="0" w:lastRow="0" w:firstColumn="0" w:lastColumn="0" w:oddVBand="0" w:evenVBand="0" w:oddHBand="0" w:evenHBand="1" w:firstRowFirstColumn="0" w:firstRowLastColumn="0" w:lastRowFirstColumn="0" w:lastRowLastColumn="0"/>
        </w:trPr>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A474250" w14:textId="77777777" w:rsidR="00277B35" w:rsidRDefault="00277B35">
            <w:pPr>
              <w:pStyle w:val="NormalWeb"/>
            </w:pPr>
            <w:r>
              <w:t xml:space="preserve">Shiga toxin-producing </w:t>
            </w:r>
            <w:r w:rsidRPr="007E014E">
              <w:rPr>
                <w:i/>
              </w:rPr>
              <w:t>Escherichia coli</w:t>
            </w:r>
            <w:r>
              <w:t xml:space="preserve"> (STEC)</w:t>
            </w:r>
          </w:p>
        </w:tc>
        <w:tc>
          <w:tcPr>
            <w:tcW w:w="9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AC7CC67" w14:textId="77777777" w:rsidR="00277B35" w:rsidRDefault="00277B35" w:rsidP="00277B35">
            <w:pPr>
              <w:pStyle w:val="NormalWeb"/>
              <w:jc w:val="center"/>
            </w:pPr>
            <w:r>
              <w:t>2</w:t>
            </w:r>
          </w:p>
        </w:tc>
        <w:tc>
          <w:tcPr>
            <w:tcW w:w="9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DF98759" w14:textId="77777777" w:rsidR="00277B35" w:rsidRDefault="00277B35" w:rsidP="00277B35">
            <w:pPr>
              <w:pStyle w:val="NormalWeb"/>
              <w:jc w:val="center"/>
            </w:pPr>
            <w:r>
              <w:t>1</w:t>
            </w:r>
          </w:p>
        </w:tc>
        <w:tc>
          <w:tcPr>
            <w:tcW w:w="9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8CA4BF4" w14:textId="77777777" w:rsidR="00277B35" w:rsidRDefault="00277B35" w:rsidP="00277B35">
            <w:pPr>
              <w:pStyle w:val="NormalWeb"/>
              <w:jc w:val="center"/>
            </w:pPr>
            <w:r>
              <w:t>3</w:t>
            </w:r>
          </w:p>
        </w:tc>
        <w:tc>
          <w:tcPr>
            <w:tcW w:w="9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3D0BBB1" w14:textId="77777777" w:rsidR="00277B35" w:rsidRDefault="00277B35" w:rsidP="00277B35">
            <w:pPr>
              <w:pStyle w:val="NormalWeb"/>
              <w:jc w:val="center"/>
            </w:pPr>
            <w:r>
              <w:t>0</w:t>
            </w:r>
          </w:p>
        </w:tc>
        <w:tc>
          <w:tcPr>
            <w:tcW w:w="9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9BD25EE" w14:textId="77777777" w:rsidR="00277B35" w:rsidRDefault="00277B35" w:rsidP="00277B35">
            <w:pPr>
              <w:pStyle w:val="NormalWeb"/>
              <w:jc w:val="center"/>
            </w:pPr>
            <w:r>
              <w:t>1</w:t>
            </w:r>
          </w:p>
        </w:tc>
        <w:tc>
          <w:tcPr>
            <w:tcW w:w="283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864F0E0" w14:textId="77777777" w:rsidR="00277B35" w:rsidRDefault="00277B35" w:rsidP="00277B35">
            <w:pPr>
              <w:pStyle w:val="NormalWeb"/>
              <w:jc w:val="center"/>
            </w:pPr>
            <w:r>
              <w:t>1</w:t>
            </w:r>
          </w:p>
        </w:tc>
        <w:tc>
          <w:tcPr>
            <w:tcW w:w="15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379C446" w14:textId="77777777" w:rsidR="00277B35" w:rsidRDefault="00277B35" w:rsidP="00277B35">
            <w:pPr>
              <w:pStyle w:val="NormalWeb"/>
              <w:jc w:val="center"/>
            </w:pPr>
            <w:r>
              <w:t>1</w:t>
            </w:r>
          </w:p>
        </w:tc>
        <w:tc>
          <w:tcPr>
            <w:tcW w:w="151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16B97DC" w14:textId="77777777" w:rsidR="00277B35" w:rsidRDefault="00277B35" w:rsidP="00277B35">
            <w:pPr>
              <w:pStyle w:val="NormalWeb"/>
              <w:jc w:val="center"/>
            </w:pPr>
            <w:r>
              <w:t>1.00</w:t>
            </w:r>
          </w:p>
        </w:tc>
      </w:tr>
      <w:tr w:rsidR="00601706" w14:paraId="54B21E3C" w14:textId="77777777" w:rsidTr="0087149D">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8C754AE" w14:textId="77777777" w:rsidR="00277B35" w:rsidRDefault="00277B35">
            <w:pPr>
              <w:pStyle w:val="NormalWeb"/>
            </w:pPr>
            <w:proofErr w:type="spellStart"/>
            <w:r>
              <w:t>Yersiniosis</w:t>
            </w:r>
            <w:proofErr w:type="spellEnd"/>
          </w:p>
        </w:tc>
        <w:tc>
          <w:tcPr>
            <w:tcW w:w="9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2088984" w14:textId="77777777" w:rsidR="00277B35" w:rsidRDefault="00277B35" w:rsidP="00277B35">
            <w:pPr>
              <w:pStyle w:val="NormalWeb"/>
              <w:jc w:val="center"/>
            </w:pPr>
            <w:r>
              <w:t>26</w:t>
            </w:r>
          </w:p>
        </w:tc>
        <w:tc>
          <w:tcPr>
            <w:tcW w:w="9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C905734" w14:textId="77777777" w:rsidR="00277B35" w:rsidRDefault="00277B35" w:rsidP="00277B35">
            <w:pPr>
              <w:pStyle w:val="NormalWeb"/>
              <w:jc w:val="center"/>
            </w:pPr>
            <w:r>
              <w:t>16</w:t>
            </w:r>
          </w:p>
        </w:tc>
        <w:tc>
          <w:tcPr>
            <w:tcW w:w="9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86E6651" w14:textId="77777777" w:rsidR="00277B35" w:rsidRDefault="00277B35" w:rsidP="00277B35">
            <w:pPr>
              <w:pStyle w:val="NormalWeb"/>
              <w:jc w:val="center"/>
            </w:pPr>
            <w:r>
              <w:t>13</w:t>
            </w:r>
          </w:p>
        </w:tc>
        <w:tc>
          <w:tcPr>
            <w:tcW w:w="9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E581827" w14:textId="77777777" w:rsidR="00277B35" w:rsidRDefault="00277B35" w:rsidP="00277B35">
            <w:pPr>
              <w:pStyle w:val="NormalWeb"/>
              <w:jc w:val="center"/>
            </w:pPr>
            <w:r>
              <w:t>8</w:t>
            </w:r>
          </w:p>
        </w:tc>
        <w:tc>
          <w:tcPr>
            <w:tcW w:w="9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4A36B34" w14:textId="77777777" w:rsidR="00277B35" w:rsidRDefault="00277B35" w:rsidP="00277B35">
            <w:pPr>
              <w:pStyle w:val="NormalWeb"/>
              <w:jc w:val="center"/>
            </w:pPr>
            <w:r>
              <w:t>10</w:t>
            </w:r>
          </w:p>
        </w:tc>
        <w:tc>
          <w:tcPr>
            <w:tcW w:w="283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C549E55" w14:textId="77777777" w:rsidR="00277B35" w:rsidRDefault="00277B35" w:rsidP="00277B35">
            <w:pPr>
              <w:pStyle w:val="NormalWeb"/>
              <w:jc w:val="center"/>
            </w:pPr>
            <w:r>
              <w:t>15</w:t>
            </w:r>
          </w:p>
        </w:tc>
        <w:tc>
          <w:tcPr>
            <w:tcW w:w="15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54AE0B1" w14:textId="77777777" w:rsidR="00277B35" w:rsidRDefault="00277B35" w:rsidP="00277B35">
            <w:pPr>
              <w:pStyle w:val="NormalWeb"/>
              <w:jc w:val="center"/>
            </w:pPr>
            <w:r>
              <w:t>8</w:t>
            </w:r>
          </w:p>
        </w:tc>
        <w:tc>
          <w:tcPr>
            <w:tcW w:w="151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49AE0E2" w14:textId="77777777" w:rsidR="00277B35" w:rsidRDefault="00277B35" w:rsidP="00277B35">
            <w:pPr>
              <w:pStyle w:val="NormalWeb"/>
              <w:jc w:val="center"/>
            </w:pPr>
            <w:r>
              <w:t>0.53</w:t>
            </w:r>
          </w:p>
        </w:tc>
      </w:tr>
      <w:tr w:rsidR="008C1927" w:rsidRPr="008C1927" w14:paraId="015CF426" w14:textId="77777777" w:rsidTr="0087149D">
        <w:trPr>
          <w:cnfStyle w:val="000000010000" w:firstRow="0" w:lastRow="0" w:firstColumn="0" w:lastColumn="0" w:oddVBand="0" w:evenVBand="0" w:oddHBand="0" w:evenHBand="1" w:firstRowFirstColumn="0" w:firstRowLastColumn="0" w:lastRowFirstColumn="0" w:lastRowLastColumn="0"/>
        </w:trPr>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808080" w:themeFill="background1" w:themeFillShade="80"/>
            <w:hideMark/>
          </w:tcPr>
          <w:p w14:paraId="503EBF5C" w14:textId="77777777" w:rsidR="00277B35" w:rsidRPr="008C1927" w:rsidRDefault="00277B35">
            <w:pPr>
              <w:pStyle w:val="NormalWeb"/>
              <w:rPr>
                <w:b/>
                <w:color w:val="FFFFFF" w:themeColor="background1"/>
              </w:rPr>
            </w:pPr>
            <w:r w:rsidRPr="008C1927">
              <w:rPr>
                <w:b/>
                <w:color w:val="FFFFFF" w:themeColor="background1"/>
              </w:rPr>
              <w:t>Sexually transmissible infections</w:t>
            </w:r>
          </w:p>
        </w:tc>
        <w:tc>
          <w:tcPr>
            <w:tcW w:w="9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808080" w:themeFill="background1" w:themeFillShade="80"/>
            <w:hideMark/>
          </w:tcPr>
          <w:p w14:paraId="124004EA" w14:textId="77777777" w:rsidR="00277B35" w:rsidRPr="008C1927" w:rsidRDefault="00277B35" w:rsidP="00277B35">
            <w:pPr>
              <w:jc w:val="center"/>
              <w:rPr>
                <w:b/>
                <w:color w:val="FFFFFF" w:themeColor="background1"/>
              </w:rPr>
            </w:pPr>
          </w:p>
        </w:tc>
        <w:tc>
          <w:tcPr>
            <w:tcW w:w="9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808080" w:themeFill="background1" w:themeFillShade="80"/>
            <w:hideMark/>
          </w:tcPr>
          <w:p w14:paraId="3D094C57" w14:textId="77777777" w:rsidR="00277B35" w:rsidRPr="008C1927" w:rsidRDefault="00277B35" w:rsidP="00277B35">
            <w:pPr>
              <w:jc w:val="center"/>
              <w:rPr>
                <w:rFonts w:eastAsia="Times New Roman"/>
                <w:b/>
                <w:color w:val="FFFFFF" w:themeColor="background1"/>
                <w:sz w:val="20"/>
                <w:szCs w:val="20"/>
              </w:rPr>
            </w:pPr>
          </w:p>
        </w:tc>
        <w:tc>
          <w:tcPr>
            <w:tcW w:w="9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808080" w:themeFill="background1" w:themeFillShade="80"/>
            <w:hideMark/>
          </w:tcPr>
          <w:p w14:paraId="28C27C73" w14:textId="77777777" w:rsidR="00277B35" w:rsidRPr="008C1927" w:rsidRDefault="00277B35" w:rsidP="00277B35">
            <w:pPr>
              <w:jc w:val="center"/>
              <w:rPr>
                <w:rFonts w:eastAsia="Times New Roman"/>
                <w:b/>
                <w:color w:val="FFFFFF" w:themeColor="background1"/>
                <w:sz w:val="20"/>
                <w:szCs w:val="20"/>
              </w:rPr>
            </w:pPr>
          </w:p>
        </w:tc>
        <w:tc>
          <w:tcPr>
            <w:tcW w:w="9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808080" w:themeFill="background1" w:themeFillShade="80"/>
            <w:hideMark/>
          </w:tcPr>
          <w:p w14:paraId="482D0F42" w14:textId="77777777" w:rsidR="00277B35" w:rsidRPr="008C1927" w:rsidRDefault="00277B35" w:rsidP="00277B35">
            <w:pPr>
              <w:jc w:val="center"/>
              <w:rPr>
                <w:rFonts w:eastAsia="Times New Roman"/>
                <w:b/>
                <w:color w:val="FFFFFF" w:themeColor="background1"/>
                <w:sz w:val="20"/>
                <w:szCs w:val="20"/>
              </w:rPr>
            </w:pPr>
          </w:p>
        </w:tc>
        <w:tc>
          <w:tcPr>
            <w:tcW w:w="9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808080" w:themeFill="background1" w:themeFillShade="80"/>
            <w:hideMark/>
          </w:tcPr>
          <w:p w14:paraId="03AF3BC2" w14:textId="77777777" w:rsidR="00277B35" w:rsidRPr="008C1927" w:rsidRDefault="00277B35" w:rsidP="00277B35">
            <w:pPr>
              <w:jc w:val="center"/>
              <w:rPr>
                <w:rFonts w:eastAsia="Times New Roman"/>
                <w:b/>
                <w:color w:val="FFFFFF" w:themeColor="background1"/>
                <w:sz w:val="20"/>
                <w:szCs w:val="20"/>
              </w:rPr>
            </w:pPr>
          </w:p>
        </w:tc>
        <w:tc>
          <w:tcPr>
            <w:tcW w:w="283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808080" w:themeFill="background1" w:themeFillShade="80"/>
            <w:hideMark/>
          </w:tcPr>
          <w:p w14:paraId="749440B7" w14:textId="77777777" w:rsidR="00277B35" w:rsidRPr="008C1927" w:rsidRDefault="00277B35" w:rsidP="00277B35">
            <w:pPr>
              <w:jc w:val="center"/>
              <w:rPr>
                <w:rFonts w:eastAsia="Times New Roman"/>
                <w:b/>
                <w:color w:val="FFFFFF" w:themeColor="background1"/>
                <w:sz w:val="20"/>
                <w:szCs w:val="20"/>
              </w:rPr>
            </w:pPr>
          </w:p>
        </w:tc>
        <w:tc>
          <w:tcPr>
            <w:tcW w:w="15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808080" w:themeFill="background1" w:themeFillShade="80"/>
            <w:hideMark/>
          </w:tcPr>
          <w:p w14:paraId="76839201" w14:textId="77777777" w:rsidR="00277B35" w:rsidRPr="008C1927" w:rsidRDefault="00277B35" w:rsidP="00277B35">
            <w:pPr>
              <w:jc w:val="center"/>
              <w:rPr>
                <w:rFonts w:eastAsia="Times New Roman"/>
                <w:b/>
                <w:color w:val="FFFFFF" w:themeColor="background1"/>
                <w:sz w:val="20"/>
                <w:szCs w:val="20"/>
              </w:rPr>
            </w:pPr>
          </w:p>
        </w:tc>
        <w:tc>
          <w:tcPr>
            <w:tcW w:w="151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808080" w:themeFill="background1" w:themeFillShade="80"/>
            <w:hideMark/>
          </w:tcPr>
          <w:p w14:paraId="3085355D" w14:textId="77777777" w:rsidR="00277B35" w:rsidRPr="008C1927" w:rsidRDefault="00277B35" w:rsidP="00277B35">
            <w:pPr>
              <w:jc w:val="center"/>
              <w:rPr>
                <w:rFonts w:eastAsia="Times New Roman"/>
                <w:b/>
                <w:color w:val="FFFFFF" w:themeColor="background1"/>
                <w:sz w:val="20"/>
                <w:szCs w:val="20"/>
              </w:rPr>
            </w:pPr>
          </w:p>
        </w:tc>
      </w:tr>
      <w:tr w:rsidR="00601706" w14:paraId="1B8F94EB" w14:textId="77777777" w:rsidTr="0087149D">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60F1498" w14:textId="77777777" w:rsidR="00277B35" w:rsidRDefault="00277B35">
            <w:pPr>
              <w:pStyle w:val="NormalWeb"/>
              <w:rPr>
                <w:sz w:val="24"/>
                <w:szCs w:val="24"/>
              </w:rPr>
            </w:pPr>
            <w:r>
              <w:t>Chlamydial infection</w:t>
            </w:r>
          </w:p>
        </w:tc>
        <w:tc>
          <w:tcPr>
            <w:tcW w:w="9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B95ED4C" w14:textId="77777777" w:rsidR="00277B35" w:rsidRDefault="00277B35" w:rsidP="00277B35">
            <w:pPr>
              <w:pStyle w:val="NormalWeb"/>
              <w:jc w:val="center"/>
            </w:pPr>
            <w:r>
              <w:t>494</w:t>
            </w:r>
          </w:p>
        </w:tc>
        <w:tc>
          <w:tcPr>
            <w:tcW w:w="9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1BD7F5B" w14:textId="77777777" w:rsidR="00277B35" w:rsidRDefault="00277B35" w:rsidP="00277B35">
            <w:pPr>
              <w:pStyle w:val="NormalWeb"/>
              <w:jc w:val="center"/>
            </w:pPr>
            <w:r>
              <w:t>538</w:t>
            </w:r>
          </w:p>
        </w:tc>
        <w:tc>
          <w:tcPr>
            <w:tcW w:w="9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DCBC4EA" w14:textId="77777777" w:rsidR="00277B35" w:rsidRDefault="00277B35" w:rsidP="00277B35">
            <w:pPr>
              <w:pStyle w:val="NormalWeb"/>
              <w:jc w:val="center"/>
            </w:pPr>
            <w:r>
              <w:t>490</w:t>
            </w:r>
          </w:p>
        </w:tc>
        <w:tc>
          <w:tcPr>
            <w:tcW w:w="9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D4E0C6A" w14:textId="77777777" w:rsidR="00277B35" w:rsidRDefault="00277B35" w:rsidP="00277B35">
            <w:pPr>
              <w:pStyle w:val="NormalWeb"/>
              <w:jc w:val="center"/>
            </w:pPr>
            <w:r>
              <w:t>451</w:t>
            </w:r>
          </w:p>
        </w:tc>
        <w:tc>
          <w:tcPr>
            <w:tcW w:w="9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63F1C52" w14:textId="77777777" w:rsidR="00277B35" w:rsidRDefault="00277B35" w:rsidP="00277B35">
            <w:pPr>
              <w:pStyle w:val="NormalWeb"/>
              <w:jc w:val="center"/>
            </w:pPr>
            <w:r>
              <w:t>521</w:t>
            </w:r>
          </w:p>
        </w:tc>
        <w:tc>
          <w:tcPr>
            <w:tcW w:w="283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E2E3927" w14:textId="77777777" w:rsidR="00277B35" w:rsidRDefault="00277B35" w:rsidP="00277B35">
            <w:pPr>
              <w:pStyle w:val="NormalWeb"/>
              <w:jc w:val="center"/>
            </w:pPr>
            <w:r>
              <w:t>499</w:t>
            </w:r>
          </w:p>
        </w:tc>
        <w:tc>
          <w:tcPr>
            <w:tcW w:w="15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E534BF6" w14:textId="77777777" w:rsidR="00277B35" w:rsidRDefault="00277B35" w:rsidP="00277B35">
            <w:pPr>
              <w:pStyle w:val="NormalWeb"/>
              <w:jc w:val="center"/>
            </w:pPr>
            <w:r>
              <w:t>449</w:t>
            </w:r>
          </w:p>
        </w:tc>
        <w:tc>
          <w:tcPr>
            <w:tcW w:w="151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C95D815" w14:textId="77777777" w:rsidR="00277B35" w:rsidRDefault="00277B35" w:rsidP="00277B35">
            <w:pPr>
              <w:pStyle w:val="NormalWeb"/>
              <w:jc w:val="center"/>
            </w:pPr>
            <w:r>
              <w:t>0.90</w:t>
            </w:r>
          </w:p>
        </w:tc>
      </w:tr>
      <w:tr w:rsidR="009F4863" w14:paraId="5AB607AF" w14:textId="77777777" w:rsidTr="0087149D">
        <w:trPr>
          <w:cnfStyle w:val="000000010000" w:firstRow="0" w:lastRow="0" w:firstColumn="0" w:lastColumn="0" w:oddVBand="0" w:evenVBand="0" w:oddHBand="0" w:evenHBand="1" w:firstRowFirstColumn="0" w:firstRowLastColumn="0" w:lastRowFirstColumn="0" w:lastRowLastColumn="0"/>
        </w:trPr>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E50B570" w14:textId="77777777" w:rsidR="00277B35" w:rsidRDefault="00277B35">
            <w:pPr>
              <w:pStyle w:val="NormalWeb"/>
            </w:pPr>
            <w:r>
              <w:t>Gonococcal infection</w:t>
            </w:r>
          </w:p>
        </w:tc>
        <w:tc>
          <w:tcPr>
            <w:tcW w:w="9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94D8120" w14:textId="77777777" w:rsidR="00277B35" w:rsidRDefault="00277B35" w:rsidP="00277B35">
            <w:pPr>
              <w:pStyle w:val="NormalWeb"/>
              <w:jc w:val="center"/>
            </w:pPr>
            <w:r>
              <w:t>20</w:t>
            </w:r>
          </w:p>
        </w:tc>
        <w:tc>
          <w:tcPr>
            <w:tcW w:w="9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D5F70C9" w14:textId="77777777" w:rsidR="00277B35" w:rsidRDefault="00277B35" w:rsidP="00277B35">
            <w:pPr>
              <w:pStyle w:val="NormalWeb"/>
              <w:jc w:val="center"/>
            </w:pPr>
            <w:r>
              <w:t>50</w:t>
            </w:r>
          </w:p>
        </w:tc>
        <w:tc>
          <w:tcPr>
            <w:tcW w:w="9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1767F6C" w14:textId="77777777" w:rsidR="00277B35" w:rsidRDefault="00277B35" w:rsidP="00277B35">
            <w:pPr>
              <w:pStyle w:val="NormalWeb"/>
              <w:jc w:val="center"/>
            </w:pPr>
            <w:r>
              <w:t>52</w:t>
            </w:r>
          </w:p>
        </w:tc>
        <w:tc>
          <w:tcPr>
            <w:tcW w:w="9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A03391C" w14:textId="77777777" w:rsidR="00277B35" w:rsidRDefault="00277B35" w:rsidP="00277B35">
            <w:pPr>
              <w:pStyle w:val="NormalWeb"/>
              <w:jc w:val="center"/>
            </w:pPr>
            <w:r>
              <w:t>45</w:t>
            </w:r>
          </w:p>
        </w:tc>
        <w:tc>
          <w:tcPr>
            <w:tcW w:w="9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8B2D026" w14:textId="77777777" w:rsidR="00277B35" w:rsidRDefault="00277B35" w:rsidP="00277B35">
            <w:pPr>
              <w:pStyle w:val="NormalWeb"/>
              <w:jc w:val="center"/>
            </w:pPr>
            <w:r>
              <w:t>111</w:t>
            </w:r>
          </w:p>
        </w:tc>
        <w:tc>
          <w:tcPr>
            <w:tcW w:w="283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EE807A4" w14:textId="77777777" w:rsidR="00277B35" w:rsidRDefault="00277B35" w:rsidP="00277B35">
            <w:pPr>
              <w:pStyle w:val="NormalWeb"/>
              <w:jc w:val="center"/>
            </w:pPr>
            <w:r>
              <w:t>56</w:t>
            </w:r>
          </w:p>
        </w:tc>
        <w:tc>
          <w:tcPr>
            <w:tcW w:w="15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679DD25" w14:textId="77777777" w:rsidR="00277B35" w:rsidRDefault="00277B35" w:rsidP="00277B35">
            <w:pPr>
              <w:pStyle w:val="NormalWeb"/>
              <w:jc w:val="center"/>
            </w:pPr>
            <w:r>
              <w:t>156</w:t>
            </w:r>
          </w:p>
        </w:tc>
        <w:tc>
          <w:tcPr>
            <w:tcW w:w="151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C25A19E" w14:textId="77777777" w:rsidR="00277B35" w:rsidRDefault="00277B35" w:rsidP="00277B35">
            <w:pPr>
              <w:pStyle w:val="NormalWeb"/>
              <w:jc w:val="center"/>
            </w:pPr>
            <w:r>
              <w:t>2.79</w:t>
            </w:r>
          </w:p>
        </w:tc>
      </w:tr>
      <w:tr w:rsidR="00601706" w14:paraId="01C2ED25" w14:textId="77777777" w:rsidTr="0087149D">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451A3E3" w14:textId="77777777" w:rsidR="00277B35" w:rsidRDefault="00277B35">
            <w:pPr>
              <w:pStyle w:val="NormalWeb"/>
            </w:pPr>
            <w:r>
              <w:t>Syphilis &lt; 2 years duration</w:t>
            </w:r>
          </w:p>
        </w:tc>
        <w:tc>
          <w:tcPr>
            <w:tcW w:w="9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B08F0BE" w14:textId="77777777" w:rsidR="00277B35" w:rsidRDefault="00277B35" w:rsidP="00277B35">
            <w:pPr>
              <w:pStyle w:val="NormalWeb"/>
              <w:jc w:val="center"/>
            </w:pPr>
            <w:r>
              <w:t>14</w:t>
            </w:r>
          </w:p>
        </w:tc>
        <w:tc>
          <w:tcPr>
            <w:tcW w:w="9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108621E" w14:textId="77777777" w:rsidR="00277B35" w:rsidRDefault="00277B35" w:rsidP="00277B35">
            <w:pPr>
              <w:pStyle w:val="NormalWeb"/>
              <w:jc w:val="center"/>
            </w:pPr>
            <w:r>
              <w:t>6</w:t>
            </w:r>
          </w:p>
        </w:tc>
        <w:tc>
          <w:tcPr>
            <w:tcW w:w="9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9A90278" w14:textId="77777777" w:rsidR="00277B35" w:rsidRDefault="00277B35" w:rsidP="00277B35">
            <w:pPr>
              <w:pStyle w:val="NormalWeb"/>
              <w:jc w:val="center"/>
            </w:pPr>
            <w:r>
              <w:t>13</w:t>
            </w:r>
          </w:p>
        </w:tc>
        <w:tc>
          <w:tcPr>
            <w:tcW w:w="9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3D0B32C" w14:textId="77777777" w:rsidR="00277B35" w:rsidRDefault="00277B35" w:rsidP="00277B35">
            <w:pPr>
              <w:pStyle w:val="NormalWeb"/>
              <w:jc w:val="center"/>
            </w:pPr>
            <w:r>
              <w:t>15</w:t>
            </w:r>
          </w:p>
        </w:tc>
        <w:tc>
          <w:tcPr>
            <w:tcW w:w="9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876894E" w14:textId="77777777" w:rsidR="00277B35" w:rsidRDefault="00277B35" w:rsidP="00277B35">
            <w:pPr>
              <w:pStyle w:val="NormalWeb"/>
              <w:jc w:val="center"/>
            </w:pPr>
            <w:r>
              <w:t>11</w:t>
            </w:r>
          </w:p>
        </w:tc>
        <w:tc>
          <w:tcPr>
            <w:tcW w:w="283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67E6BDF" w14:textId="77777777" w:rsidR="00277B35" w:rsidRDefault="00277B35" w:rsidP="00277B35">
            <w:pPr>
              <w:pStyle w:val="NormalWeb"/>
              <w:jc w:val="center"/>
            </w:pPr>
            <w:r>
              <w:t>12</w:t>
            </w:r>
          </w:p>
        </w:tc>
        <w:tc>
          <w:tcPr>
            <w:tcW w:w="15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AFD317D" w14:textId="77777777" w:rsidR="00277B35" w:rsidRDefault="00277B35" w:rsidP="00277B35">
            <w:pPr>
              <w:pStyle w:val="NormalWeb"/>
              <w:jc w:val="center"/>
            </w:pPr>
            <w:r>
              <w:t>21</w:t>
            </w:r>
          </w:p>
        </w:tc>
        <w:tc>
          <w:tcPr>
            <w:tcW w:w="151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E605C54" w14:textId="77777777" w:rsidR="00277B35" w:rsidRDefault="00277B35" w:rsidP="00277B35">
            <w:pPr>
              <w:pStyle w:val="NormalWeb"/>
              <w:jc w:val="center"/>
            </w:pPr>
            <w:r>
              <w:t>1.75</w:t>
            </w:r>
          </w:p>
        </w:tc>
      </w:tr>
      <w:tr w:rsidR="0045233A" w:rsidRPr="0045233A" w14:paraId="645AFA47" w14:textId="77777777" w:rsidTr="0087149D">
        <w:trPr>
          <w:cnfStyle w:val="000000010000" w:firstRow="0" w:lastRow="0" w:firstColumn="0" w:lastColumn="0" w:oddVBand="0" w:evenVBand="0" w:oddHBand="0" w:evenHBand="1" w:firstRowFirstColumn="0" w:firstRowLastColumn="0" w:lastRowFirstColumn="0" w:lastRowLastColumn="0"/>
        </w:trPr>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808080" w:themeFill="background1" w:themeFillShade="80"/>
            <w:hideMark/>
          </w:tcPr>
          <w:p w14:paraId="2E1043D6" w14:textId="77777777" w:rsidR="00277B35" w:rsidRPr="0045233A" w:rsidRDefault="00277B35">
            <w:pPr>
              <w:pStyle w:val="NormalWeb"/>
              <w:rPr>
                <w:b/>
                <w:color w:val="FFFFFF" w:themeColor="background1"/>
              </w:rPr>
            </w:pPr>
            <w:r w:rsidRPr="0045233A">
              <w:rPr>
                <w:b/>
                <w:color w:val="FFFFFF" w:themeColor="background1"/>
              </w:rPr>
              <w:lastRenderedPageBreak/>
              <w:t>Vaccine-preventable diseases</w:t>
            </w:r>
          </w:p>
        </w:tc>
        <w:tc>
          <w:tcPr>
            <w:tcW w:w="9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808080" w:themeFill="background1" w:themeFillShade="80"/>
            <w:hideMark/>
          </w:tcPr>
          <w:p w14:paraId="410746B4" w14:textId="77777777" w:rsidR="00277B35" w:rsidRPr="0045233A" w:rsidRDefault="00277B35" w:rsidP="00277B35">
            <w:pPr>
              <w:jc w:val="center"/>
              <w:rPr>
                <w:b/>
                <w:color w:val="FFFFFF" w:themeColor="background1"/>
              </w:rPr>
            </w:pPr>
          </w:p>
        </w:tc>
        <w:tc>
          <w:tcPr>
            <w:tcW w:w="9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808080" w:themeFill="background1" w:themeFillShade="80"/>
            <w:hideMark/>
          </w:tcPr>
          <w:p w14:paraId="4F304FB1" w14:textId="77777777" w:rsidR="00277B35" w:rsidRPr="0045233A" w:rsidRDefault="00277B35" w:rsidP="00277B35">
            <w:pPr>
              <w:jc w:val="center"/>
              <w:rPr>
                <w:rFonts w:eastAsia="Times New Roman"/>
                <w:b/>
                <w:color w:val="FFFFFF" w:themeColor="background1"/>
                <w:sz w:val="20"/>
                <w:szCs w:val="20"/>
              </w:rPr>
            </w:pPr>
          </w:p>
        </w:tc>
        <w:tc>
          <w:tcPr>
            <w:tcW w:w="9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808080" w:themeFill="background1" w:themeFillShade="80"/>
            <w:hideMark/>
          </w:tcPr>
          <w:p w14:paraId="0B6E0D26" w14:textId="77777777" w:rsidR="00277B35" w:rsidRPr="0045233A" w:rsidRDefault="00277B35" w:rsidP="00277B35">
            <w:pPr>
              <w:jc w:val="center"/>
              <w:rPr>
                <w:rFonts w:eastAsia="Times New Roman"/>
                <w:b/>
                <w:color w:val="FFFFFF" w:themeColor="background1"/>
                <w:sz w:val="20"/>
                <w:szCs w:val="20"/>
              </w:rPr>
            </w:pPr>
          </w:p>
        </w:tc>
        <w:tc>
          <w:tcPr>
            <w:tcW w:w="9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808080" w:themeFill="background1" w:themeFillShade="80"/>
            <w:hideMark/>
          </w:tcPr>
          <w:p w14:paraId="17FB2819" w14:textId="77777777" w:rsidR="00277B35" w:rsidRPr="0045233A" w:rsidRDefault="00277B35" w:rsidP="00277B35">
            <w:pPr>
              <w:jc w:val="center"/>
              <w:rPr>
                <w:rFonts w:eastAsia="Times New Roman"/>
                <w:b/>
                <w:color w:val="FFFFFF" w:themeColor="background1"/>
                <w:sz w:val="20"/>
                <w:szCs w:val="20"/>
              </w:rPr>
            </w:pPr>
          </w:p>
        </w:tc>
        <w:tc>
          <w:tcPr>
            <w:tcW w:w="9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808080" w:themeFill="background1" w:themeFillShade="80"/>
            <w:hideMark/>
          </w:tcPr>
          <w:p w14:paraId="193E10E4" w14:textId="77777777" w:rsidR="00277B35" w:rsidRPr="0045233A" w:rsidRDefault="00277B35" w:rsidP="00277B35">
            <w:pPr>
              <w:jc w:val="center"/>
              <w:rPr>
                <w:rFonts w:eastAsia="Times New Roman"/>
                <w:b/>
                <w:color w:val="FFFFFF" w:themeColor="background1"/>
                <w:sz w:val="20"/>
                <w:szCs w:val="20"/>
              </w:rPr>
            </w:pPr>
          </w:p>
        </w:tc>
        <w:tc>
          <w:tcPr>
            <w:tcW w:w="283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808080" w:themeFill="background1" w:themeFillShade="80"/>
            <w:hideMark/>
          </w:tcPr>
          <w:p w14:paraId="7D1AAB14" w14:textId="77777777" w:rsidR="00277B35" w:rsidRPr="0045233A" w:rsidRDefault="00277B35" w:rsidP="00277B35">
            <w:pPr>
              <w:jc w:val="center"/>
              <w:rPr>
                <w:rFonts w:eastAsia="Times New Roman"/>
                <w:b/>
                <w:color w:val="FFFFFF" w:themeColor="background1"/>
                <w:sz w:val="20"/>
                <w:szCs w:val="20"/>
              </w:rPr>
            </w:pPr>
          </w:p>
        </w:tc>
        <w:tc>
          <w:tcPr>
            <w:tcW w:w="15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808080" w:themeFill="background1" w:themeFillShade="80"/>
            <w:hideMark/>
          </w:tcPr>
          <w:p w14:paraId="03221D93" w14:textId="77777777" w:rsidR="00277B35" w:rsidRPr="0045233A" w:rsidRDefault="00277B35" w:rsidP="00277B35">
            <w:pPr>
              <w:jc w:val="center"/>
              <w:rPr>
                <w:rFonts w:eastAsia="Times New Roman"/>
                <w:b/>
                <w:color w:val="FFFFFF" w:themeColor="background1"/>
                <w:sz w:val="20"/>
                <w:szCs w:val="20"/>
              </w:rPr>
            </w:pPr>
          </w:p>
        </w:tc>
        <w:tc>
          <w:tcPr>
            <w:tcW w:w="151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808080" w:themeFill="background1" w:themeFillShade="80"/>
            <w:hideMark/>
          </w:tcPr>
          <w:p w14:paraId="4ED534E4" w14:textId="77777777" w:rsidR="00277B35" w:rsidRPr="0045233A" w:rsidRDefault="00277B35" w:rsidP="00277B35">
            <w:pPr>
              <w:jc w:val="center"/>
              <w:rPr>
                <w:rFonts w:eastAsia="Times New Roman"/>
                <w:b/>
                <w:color w:val="FFFFFF" w:themeColor="background1"/>
                <w:sz w:val="20"/>
                <w:szCs w:val="20"/>
              </w:rPr>
            </w:pPr>
          </w:p>
        </w:tc>
      </w:tr>
      <w:tr w:rsidR="00601706" w14:paraId="5B00DFAF" w14:textId="77777777" w:rsidTr="0087149D">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1405268" w14:textId="77777777" w:rsidR="00277B35" w:rsidRDefault="00277B35">
            <w:pPr>
              <w:pStyle w:val="NormalWeb"/>
              <w:rPr>
                <w:sz w:val="24"/>
                <w:szCs w:val="24"/>
              </w:rPr>
            </w:pPr>
            <w:r w:rsidRPr="007E014E">
              <w:rPr>
                <w:i/>
              </w:rPr>
              <w:t xml:space="preserve">Haemophilus </w:t>
            </w:r>
            <w:proofErr w:type="spellStart"/>
            <w:r w:rsidRPr="007E014E">
              <w:rPr>
                <w:i/>
              </w:rPr>
              <w:t>influenzae</w:t>
            </w:r>
            <w:proofErr w:type="spellEnd"/>
            <w:r>
              <w:t xml:space="preserve"> type b</w:t>
            </w:r>
          </w:p>
        </w:tc>
        <w:tc>
          <w:tcPr>
            <w:tcW w:w="9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BA626BC" w14:textId="77777777" w:rsidR="00277B35" w:rsidRDefault="00277B35" w:rsidP="00277B35">
            <w:pPr>
              <w:pStyle w:val="NormalWeb"/>
              <w:jc w:val="center"/>
            </w:pPr>
            <w:r>
              <w:t>0</w:t>
            </w:r>
          </w:p>
        </w:tc>
        <w:tc>
          <w:tcPr>
            <w:tcW w:w="9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028FB06" w14:textId="77777777" w:rsidR="00277B35" w:rsidRDefault="00277B35" w:rsidP="00277B35">
            <w:pPr>
              <w:pStyle w:val="NormalWeb"/>
              <w:jc w:val="center"/>
            </w:pPr>
            <w:r>
              <w:t>0</w:t>
            </w:r>
          </w:p>
        </w:tc>
        <w:tc>
          <w:tcPr>
            <w:tcW w:w="9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F32F16B" w14:textId="77777777" w:rsidR="00277B35" w:rsidRDefault="00277B35" w:rsidP="00277B35">
            <w:pPr>
              <w:pStyle w:val="NormalWeb"/>
              <w:jc w:val="center"/>
            </w:pPr>
            <w:r>
              <w:t>0</w:t>
            </w:r>
          </w:p>
        </w:tc>
        <w:tc>
          <w:tcPr>
            <w:tcW w:w="9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064605B" w14:textId="77777777" w:rsidR="00277B35" w:rsidRDefault="00277B35" w:rsidP="00277B35">
            <w:pPr>
              <w:pStyle w:val="NormalWeb"/>
              <w:jc w:val="center"/>
            </w:pPr>
            <w:r>
              <w:t>2</w:t>
            </w:r>
          </w:p>
        </w:tc>
        <w:tc>
          <w:tcPr>
            <w:tcW w:w="9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5D1254E" w14:textId="77777777" w:rsidR="00277B35" w:rsidRDefault="00277B35" w:rsidP="00277B35">
            <w:pPr>
              <w:pStyle w:val="NormalWeb"/>
              <w:jc w:val="center"/>
            </w:pPr>
            <w:r>
              <w:t>0</w:t>
            </w:r>
          </w:p>
        </w:tc>
        <w:tc>
          <w:tcPr>
            <w:tcW w:w="283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390D530" w14:textId="77777777" w:rsidR="00277B35" w:rsidRDefault="00277B35" w:rsidP="00277B35">
            <w:pPr>
              <w:pStyle w:val="NormalWeb"/>
              <w:jc w:val="center"/>
            </w:pPr>
            <w:r>
              <w:t>0</w:t>
            </w:r>
          </w:p>
        </w:tc>
        <w:tc>
          <w:tcPr>
            <w:tcW w:w="15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64F6EF9" w14:textId="77777777" w:rsidR="00277B35" w:rsidRDefault="00277B35" w:rsidP="00277B35">
            <w:pPr>
              <w:pStyle w:val="NormalWeb"/>
              <w:jc w:val="center"/>
            </w:pPr>
            <w:r>
              <w:t>1</w:t>
            </w:r>
          </w:p>
        </w:tc>
        <w:tc>
          <w:tcPr>
            <w:tcW w:w="151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0612CCE" w14:textId="77777777" w:rsidR="00277B35" w:rsidRDefault="00277B35" w:rsidP="00277B35">
            <w:pPr>
              <w:pStyle w:val="NormalWeb"/>
              <w:jc w:val="center"/>
            </w:pPr>
            <w:r>
              <w:t>–</w:t>
            </w:r>
          </w:p>
        </w:tc>
      </w:tr>
      <w:tr w:rsidR="009F4863" w14:paraId="5622FADE" w14:textId="77777777" w:rsidTr="0087149D">
        <w:trPr>
          <w:cnfStyle w:val="000000010000" w:firstRow="0" w:lastRow="0" w:firstColumn="0" w:lastColumn="0" w:oddVBand="0" w:evenVBand="0" w:oddHBand="0" w:evenHBand="1" w:firstRowFirstColumn="0" w:firstRowLastColumn="0" w:lastRowFirstColumn="0" w:lastRowLastColumn="0"/>
        </w:trPr>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B92185C" w14:textId="77777777" w:rsidR="00277B35" w:rsidRDefault="00277B35">
            <w:pPr>
              <w:pStyle w:val="NormalWeb"/>
            </w:pPr>
            <w:r>
              <w:t>Influenza</w:t>
            </w:r>
          </w:p>
        </w:tc>
        <w:tc>
          <w:tcPr>
            <w:tcW w:w="9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EBD6ED1" w14:textId="77777777" w:rsidR="00277B35" w:rsidRDefault="00277B35" w:rsidP="00277B35">
            <w:pPr>
              <w:pStyle w:val="NormalWeb"/>
              <w:jc w:val="center"/>
            </w:pPr>
            <w:r>
              <w:t>1</w:t>
            </w:r>
            <w:r w:rsidR="007E014E">
              <w:t>,</w:t>
            </w:r>
            <w:r>
              <w:t>079</w:t>
            </w:r>
          </w:p>
        </w:tc>
        <w:tc>
          <w:tcPr>
            <w:tcW w:w="9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4512943" w14:textId="77777777" w:rsidR="00277B35" w:rsidRDefault="00277B35" w:rsidP="00277B35">
            <w:pPr>
              <w:pStyle w:val="NormalWeb"/>
              <w:jc w:val="center"/>
            </w:pPr>
            <w:r>
              <w:t>655</w:t>
            </w:r>
          </w:p>
        </w:tc>
        <w:tc>
          <w:tcPr>
            <w:tcW w:w="9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8A8A0F1" w14:textId="77777777" w:rsidR="00277B35" w:rsidRDefault="00277B35" w:rsidP="00277B35">
            <w:pPr>
              <w:pStyle w:val="NormalWeb"/>
              <w:jc w:val="center"/>
            </w:pPr>
            <w:r>
              <w:t>1</w:t>
            </w:r>
            <w:r w:rsidR="007E014E">
              <w:t>,</w:t>
            </w:r>
            <w:r>
              <w:t>811</w:t>
            </w:r>
          </w:p>
        </w:tc>
        <w:tc>
          <w:tcPr>
            <w:tcW w:w="9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83320D5" w14:textId="77777777" w:rsidR="00277B35" w:rsidRDefault="00277B35" w:rsidP="00277B35">
            <w:pPr>
              <w:pStyle w:val="NormalWeb"/>
              <w:jc w:val="center"/>
            </w:pPr>
            <w:r>
              <w:t>460</w:t>
            </w:r>
          </w:p>
        </w:tc>
        <w:tc>
          <w:tcPr>
            <w:tcW w:w="9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C7F58B5" w14:textId="77777777" w:rsidR="00277B35" w:rsidRDefault="00277B35" w:rsidP="00277B35">
            <w:pPr>
              <w:pStyle w:val="NormalWeb"/>
              <w:jc w:val="center"/>
            </w:pPr>
            <w:r>
              <w:t>3</w:t>
            </w:r>
            <w:r w:rsidR="007E014E">
              <w:t>,</w:t>
            </w:r>
            <w:r>
              <w:t>671</w:t>
            </w:r>
          </w:p>
        </w:tc>
        <w:tc>
          <w:tcPr>
            <w:tcW w:w="283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C7ADC9D" w14:textId="77777777" w:rsidR="00277B35" w:rsidRDefault="00277B35" w:rsidP="00277B35">
            <w:pPr>
              <w:pStyle w:val="NormalWeb"/>
              <w:jc w:val="center"/>
            </w:pPr>
            <w:r>
              <w:t>1</w:t>
            </w:r>
            <w:r w:rsidR="007E014E">
              <w:t>,</w:t>
            </w:r>
            <w:r>
              <w:t>535</w:t>
            </w:r>
          </w:p>
        </w:tc>
        <w:tc>
          <w:tcPr>
            <w:tcW w:w="15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06E4A19" w14:textId="77777777" w:rsidR="00277B35" w:rsidRDefault="00277B35" w:rsidP="00277B35">
            <w:pPr>
              <w:pStyle w:val="NormalWeb"/>
              <w:jc w:val="center"/>
            </w:pPr>
            <w:r>
              <w:t>10</w:t>
            </w:r>
          </w:p>
        </w:tc>
        <w:tc>
          <w:tcPr>
            <w:tcW w:w="151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21DA3D5" w14:textId="77777777" w:rsidR="00277B35" w:rsidRDefault="00277B35" w:rsidP="00277B35">
            <w:pPr>
              <w:pStyle w:val="NormalWeb"/>
              <w:jc w:val="center"/>
            </w:pPr>
            <w:r>
              <w:t>0.01</w:t>
            </w:r>
          </w:p>
        </w:tc>
      </w:tr>
      <w:tr w:rsidR="00601706" w14:paraId="6E09A3B1" w14:textId="77777777" w:rsidTr="0087149D">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6FF0459" w14:textId="77777777" w:rsidR="00277B35" w:rsidRDefault="00277B35">
            <w:pPr>
              <w:pStyle w:val="NormalWeb"/>
            </w:pPr>
            <w:r>
              <w:t>Mumps</w:t>
            </w:r>
          </w:p>
        </w:tc>
        <w:tc>
          <w:tcPr>
            <w:tcW w:w="9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0567ACF" w14:textId="77777777" w:rsidR="00277B35" w:rsidRDefault="00277B35" w:rsidP="00277B35">
            <w:pPr>
              <w:pStyle w:val="NormalWeb"/>
              <w:jc w:val="center"/>
            </w:pPr>
            <w:r>
              <w:t>0</w:t>
            </w:r>
          </w:p>
        </w:tc>
        <w:tc>
          <w:tcPr>
            <w:tcW w:w="9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0B2450C" w14:textId="77777777" w:rsidR="00277B35" w:rsidRDefault="00277B35" w:rsidP="00277B35">
            <w:pPr>
              <w:pStyle w:val="NormalWeb"/>
              <w:jc w:val="center"/>
            </w:pPr>
            <w:r>
              <w:t>0</w:t>
            </w:r>
          </w:p>
        </w:tc>
        <w:tc>
          <w:tcPr>
            <w:tcW w:w="9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20F9BC6" w14:textId="77777777" w:rsidR="00277B35" w:rsidRDefault="00277B35" w:rsidP="00277B35">
            <w:pPr>
              <w:pStyle w:val="NormalWeb"/>
              <w:jc w:val="center"/>
            </w:pPr>
            <w:r>
              <w:t>1</w:t>
            </w:r>
          </w:p>
        </w:tc>
        <w:tc>
          <w:tcPr>
            <w:tcW w:w="9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BD7E088" w14:textId="77777777" w:rsidR="00277B35" w:rsidRDefault="00277B35" w:rsidP="00277B35">
            <w:pPr>
              <w:pStyle w:val="NormalWeb"/>
              <w:jc w:val="center"/>
            </w:pPr>
            <w:r>
              <w:t>22</w:t>
            </w:r>
          </w:p>
        </w:tc>
        <w:tc>
          <w:tcPr>
            <w:tcW w:w="9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3CDA6F0" w14:textId="77777777" w:rsidR="00277B35" w:rsidRDefault="00277B35" w:rsidP="00277B35">
            <w:pPr>
              <w:pStyle w:val="NormalWeb"/>
              <w:jc w:val="center"/>
            </w:pPr>
            <w:r>
              <w:t>1</w:t>
            </w:r>
          </w:p>
        </w:tc>
        <w:tc>
          <w:tcPr>
            <w:tcW w:w="283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389FD63" w14:textId="77777777" w:rsidR="00277B35" w:rsidRDefault="00277B35" w:rsidP="00277B35">
            <w:pPr>
              <w:pStyle w:val="NormalWeb"/>
              <w:jc w:val="center"/>
            </w:pPr>
            <w:r>
              <w:t>5</w:t>
            </w:r>
          </w:p>
        </w:tc>
        <w:tc>
          <w:tcPr>
            <w:tcW w:w="15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FCA7B48" w14:textId="77777777" w:rsidR="00277B35" w:rsidRDefault="00277B35" w:rsidP="00277B35">
            <w:pPr>
              <w:pStyle w:val="NormalWeb"/>
              <w:jc w:val="center"/>
            </w:pPr>
            <w:r>
              <w:t>0</w:t>
            </w:r>
          </w:p>
        </w:tc>
        <w:tc>
          <w:tcPr>
            <w:tcW w:w="151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5E85B76" w14:textId="77777777" w:rsidR="00277B35" w:rsidRDefault="00277B35" w:rsidP="00277B35">
            <w:pPr>
              <w:pStyle w:val="NormalWeb"/>
              <w:jc w:val="center"/>
            </w:pPr>
            <w:r>
              <w:t>–</w:t>
            </w:r>
          </w:p>
        </w:tc>
      </w:tr>
      <w:tr w:rsidR="009F4863" w14:paraId="29B918D0" w14:textId="77777777" w:rsidTr="0087149D">
        <w:trPr>
          <w:cnfStyle w:val="000000010000" w:firstRow="0" w:lastRow="0" w:firstColumn="0" w:lastColumn="0" w:oddVBand="0" w:evenVBand="0" w:oddHBand="0" w:evenHBand="1" w:firstRowFirstColumn="0" w:firstRowLastColumn="0" w:lastRowFirstColumn="0" w:lastRowLastColumn="0"/>
        </w:trPr>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2D9B7D0" w14:textId="77777777" w:rsidR="00277B35" w:rsidRDefault="00277B35">
            <w:pPr>
              <w:pStyle w:val="NormalWeb"/>
            </w:pPr>
            <w:r>
              <w:t>Pertussis</w:t>
            </w:r>
          </w:p>
        </w:tc>
        <w:tc>
          <w:tcPr>
            <w:tcW w:w="9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56D5970" w14:textId="77777777" w:rsidR="00277B35" w:rsidRDefault="00277B35" w:rsidP="00277B35">
            <w:pPr>
              <w:pStyle w:val="NormalWeb"/>
              <w:jc w:val="center"/>
            </w:pPr>
            <w:r>
              <w:t>19</w:t>
            </w:r>
          </w:p>
        </w:tc>
        <w:tc>
          <w:tcPr>
            <w:tcW w:w="9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F0D0457" w14:textId="77777777" w:rsidR="00277B35" w:rsidRDefault="00277B35" w:rsidP="00277B35">
            <w:pPr>
              <w:pStyle w:val="NormalWeb"/>
              <w:jc w:val="center"/>
            </w:pPr>
            <w:r>
              <w:t>28</w:t>
            </w:r>
          </w:p>
        </w:tc>
        <w:tc>
          <w:tcPr>
            <w:tcW w:w="9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16C68AE" w14:textId="77777777" w:rsidR="00277B35" w:rsidRDefault="00277B35" w:rsidP="00277B35">
            <w:pPr>
              <w:pStyle w:val="NormalWeb"/>
              <w:jc w:val="center"/>
            </w:pPr>
            <w:r>
              <w:t>55</w:t>
            </w:r>
          </w:p>
        </w:tc>
        <w:tc>
          <w:tcPr>
            <w:tcW w:w="9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6F8A46B" w14:textId="77777777" w:rsidR="00277B35" w:rsidRDefault="00277B35" w:rsidP="00277B35">
            <w:pPr>
              <w:pStyle w:val="NormalWeb"/>
              <w:jc w:val="center"/>
            </w:pPr>
            <w:r>
              <w:t>15</w:t>
            </w:r>
          </w:p>
        </w:tc>
        <w:tc>
          <w:tcPr>
            <w:tcW w:w="9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BC8621B" w14:textId="77777777" w:rsidR="00277B35" w:rsidRDefault="00277B35" w:rsidP="00277B35">
            <w:pPr>
              <w:pStyle w:val="NormalWeb"/>
              <w:jc w:val="center"/>
            </w:pPr>
            <w:r>
              <w:t>83</w:t>
            </w:r>
          </w:p>
        </w:tc>
        <w:tc>
          <w:tcPr>
            <w:tcW w:w="283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168795B" w14:textId="77777777" w:rsidR="00277B35" w:rsidRDefault="00277B35" w:rsidP="00277B35">
            <w:pPr>
              <w:pStyle w:val="NormalWeb"/>
              <w:jc w:val="center"/>
            </w:pPr>
            <w:r>
              <w:t>40</w:t>
            </w:r>
          </w:p>
        </w:tc>
        <w:tc>
          <w:tcPr>
            <w:tcW w:w="15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0045FD7" w14:textId="77777777" w:rsidR="00277B35" w:rsidRDefault="00277B35" w:rsidP="00277B35">
            <w:pPr>
              <w:pStyle w:val="NormalWeb"/>
              <w:jc w:val="center"/>
            </w:pPr>
            <w:r>
              <w:t>5</w:t>
            </w:r>
          </w:p>
        </w:tc>
        <w:tc>
          <w:tcPr>
            <w:tcW w:w="151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2DD9565" w14:textId="77777777" w:rsidR="00277B35" w:rsidRDefault="00277B35" w:rsidP="00277B35">
            <w:pPr>
              <w:pStyle w:val="NormalWeb"/>
              <w:jc w:val="center"/>
            </w:pPr>
            <w:r>
              <w:t>0.13</w:t>
            </w:r>
          </w:p>
        </w:tc>
      </w:tr>
      <w:tr w:rsidR="00601706" w14:paraId="4BB5983B" w14:textId="77777777" w:rsidTr="0087149D">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CF9A43A" w14:textId="77777777" w:rsidR="00277B35" w:rsidRDefault="00277B35">
            <w:pPr>
              <w:pStyle w:val="NormalWeb"/>
            </w:pPr>
            <w:r>
              <w:t>Pneumococcal disease (invasive)</w:t>
            </w:r>
          </w:p>
        </w:tc>
        <w:tc>
          <w:tcPr>
            <w:tcW w:w="9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01E158B" w14:textId="77777777" w:rsidR="00277B35" w:rsidRDefault="00277B35" w:rsidP="00277B35">
            <w:pPr>
              <w:pStyle w:val="NormalWeb"/>
              <w:jc w:val="center"/>
            </w:pPr>
            <w:r>
              <w:t>9</w:t>
            </w:r>
          </w:p>
        </w:tc>
        <w:tc>
          <w:tcPr>
            <w:tcW w:w="9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D2D527C" w14:textId="77777777" w:rsidR="00277B35" w:rsidRDefault="00277B35" w:rsidP="00277B35">
            <w:pPr>
              <w:pStyle w:val="NormalWeb"/>
              <w:jc w:val="center"/>
            </w:pPr>
            <w:r>
              <w:t>16</w:t>
            </w:r>
          </w:p>
        </w:tc>
        <w:tc>
          <w:tcPr>
            <w:tcW w:w="9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EC2227C" w14:textId="77777777" w:rsidR="00277B35" w:rsidRDefault="00277B35" w:rsidP="00277B35">
            <w:pPr>
              <w:pStyle w:val="NormalWeb"/>
              <w:jc w:val="center"/>
            </w:pPr>
            <w:r>
              <w:t>10</w:t>
            </w:r>
          </w:p>
        </w:tc>
        <w:tc>
          <w:tcPr>
            <w:tcW w:w="9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8B1B4CE" w14:textId="77777777" w:rsidR="00277B35" w:rsidRDefault="00277B35" w:rsidP="00277B35">
            <w:pPr>
              <w:pStyle w:val="NormalWeb"/>
              <w:jc w:val="center"/>
            </w:pPr>
            <w:r>
              <w:t>14</w:t>
            </w:r>
          </w:p>
        </w:tc>
        <w:tc>
          <w:tcPr>
            <w:tcW w:w="9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47220CD" w14:textId="77777777" w:rsidR="00277B35" w:rsidRDefault="00277B35" w:rsidP="00277B35">
            <w:pPr>
              <w:pStyle w:val="NormalWeb"/>
              <w:jc w:val="center"/>
            </w:pPr>
            <w:r>
              <w:t>9</w:t>
            </w:r>
          </w:p>
        </w:tc>
        <w:tc>
          <w:tcPr>
            <w:tcW w:w="283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9610367" w14:textId="77777777" w:rsidR="00277B35" w:rsidRDefault="00277B35" w:rsidP="00277B35">
            <w:pPr>
              <w:pStyle w:val="NormalWeb"/>
              <w:jc w:val="center"/>
            </w:pPr>
            <w:r>
              <w:t>12</w:t>
            </w:r>
          </w:p>
        </w:tc>
        <w:tc>
          <w:tcPr>
            <w:tcW w:w="15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9CC89B2" w14:textId="77777777" w:rsidR="00277B35" w:rsidRDefault="00277B35" w:rsidP="00277B35">
            <w:pPr>
              <w:pStyle w:val="NormalWeb"/>
              <w:jc w:val="center"/>
            </w:pPr>
            <w:r>
              <w:t>10</w:t>
            </w:r>
          </w:p>
        </w:tc>
        <w:tc>
          <w:tcPr>
            <w:tcW w:w="151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6CB2E21" w14:textId="77777777" w:rsidR="00277B35" w:rsidRDefault="00277B35" w:rsidP="00277B35">
            <w:pPr>
              <w:pStyle w:val="NormalWeb"/>
              <w:jc w:val="center"/>
            </w:pPr>
            <w:r>
              <w:t>0.83</w:t>
            </w:r>
          </w:p>
        </w:tc>
      </w:tr>
      <w:tr w:rsidR="009F4863" w14:paraId="1F2ABBB4" w14:textId="77777777" w:rsidTr="0087149D">
        <w:trPr>
          <w:cnfStyle w:val="000000010000" w:firstRow="0" w:lastRow="0" w:firstColumn="0" w:lastColumn="0" w:oddVBand="0" w:evenVBand="0" w:oddHBand="0" w:evenHBand="1" w:firstRowFirstColumn="0" w:firstRowLastColumn="0" w:lastRowFirstColumn="0" w:lastRowLastColumn="0"/>
        </w:trPr>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09DED06" w14:textId="77777777" w:rsidR="00277B35" w:rsidRDefault="00277B35">
            <w:pPr>
              <w:pStyle w:val="NormalWeb"/>
            </w:pPr>
            <w:r>
              <w:t>Rotavirus</w:t>
            </w:r>
          </w:p>
        </w:tc>
        <w:tc>
          <w:tcPr>
            <w:tcW w:w="9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59AADA3" w14:textId="77777777" w:rsidR="00277B35" w:rsidRDefault="00277B35" w:rsidP="00277B35">
            <w:pPr>
              <w:pStyle w:val="NormalWeb"/>
              <w:jc w:val="center"/>
            </w:pPr>
            <w:r>
              <w:t>19</w:t>
            </w:r>
          </w:p>
        </w:tc>
        <w:tc>
          <w:tcPr>
            <w:tcW w:w="9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A04115E" w14:textId="77777777" w:rsidR="00277B35" w:rsidRDefault="00277B35" w:rsidP="00277B35">
            <w:pPr>
              <w:pStyle w:val="NormalWeb"/>
              <w:jc w:val="center"/>
            </w:pPr>
            <w:r>
              <w:t>37</w:t>
            </w:r>
          </w:p>
        </w:tc>
        <w:tc>
          <w:tcPr>
            <w:tcW w:w="9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91B241B" w14:textId="77777777" w:rsidR="00277B35" w:rsidRDefault="00277B35" w:rsidP="00277B35">
            <w:pPr>
              <w:pStyle w:val="NormalWeb"/>
              <w:jc w:val="center"/>
            </w:pPr>
            <w:r>
              <w:t>58</w:t>
            </w:r>
          </w:p>
        </w:tc>
        <w:tc>
          <w:tcPr>
            <w:tcW w:w="9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144FB4B" w14:textId="77777777" w:rsidR="00277B35" w:rsidRDefault="00277B35" w:rsidP="00277B35">
            <w:pPr>
              <w:pStyle w:val="NormalWeb"/>
              <w:jc w:val="center"/>
            </w:pPr>
            <w:r>
              <w:t>19</w:t>
            </w:r>
          </w:p>
        </w:tc>
        <w:tc>
          <w:tcPr>
            <w:tcW w:w="9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E696422" w14:textId="77777777" w:rsidR="00277B35" w:rsidRDefault="00277B35" w:rsidP="00277B35">
            <w:pPr>
              <w:pStyle w:val="NormalWeb"/>
              <w:jc w:val="center"/>
            </w:pPr>
            <w:r>
              <w:t>42</w:t>
            </w:r>
          </w:p>
        </w:tc>
        <w:tc>
          <w:tcPr>
            <w:tcW w:w="283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C3337CF" w14:textId="77777777" w:rsidR="00277B35" w:rsidRDefault="00277B35" w:rsidP="00277B35">
            <w:pPr>
              <w:pStyle w:val="NormalWeb"/>
              <w:jc w:val="center"/>
            </w:pPr>
            <w:r>
              <w:t>35</w:t>
            </w:r>
          </w:p>
        </w:tc>
        <w:tc>
          <w:tcPr>
            <w:tcW w:w="15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3F0B04D" w14:textId="77777777" w:rsidR="00277B35" w:rsidRDefault="00277B35" w:rsidP="00277B35">
            <w:pPr>
              <w:pStyle w:val="NormalWeb"/>
              <w:jc w:val="center"/>
            </w:pPr>
            <w:r>
              <w:t>3</w:t>
            </w:r>
          </w:p>
        </w:tc>
        <w:tc>
          <w:tcPr>
            <w:tcW w:w="151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3A86B56" w14:textId="77777777" w:rsidR="00277B35" w:rsidRDefault="00277B35" w:rsidP="00277B35">
            <w:pPr>
              <w:pStyle w:val="NormalWeb"/>
              <w:jc w:val="center"/>
            </w:pPr>
            <w:r>
              <w:t>0.09</w:t>
            </w:r>
          </w:p>
        </w:tc>
      </w:tr>
      <w:tr w:rsidR="00601706" w14:paraId="093DC385" w14:textId="77777777" w:rsidTr="0087149D">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56FACCD" w14:textId="77777777" w:rsidR="00277B35" w:rsidRDefault="00277B35">
            <w:pPr>
              <w:pStyle w:val="NormalWeb"/>
            </w:pPr>
            <w:r>
              <w:t>Varicella zoster (chickenpox)</w:t>
            </w:r>
          </w:p>
        </w:tc>
        <w:tc>
          <w:tcPr>
            <w:tcW w:w="9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8450817" w14:textId="77777777" w:rsidR="00277B35" w:rsidRDefault="00277B35" w:rsidP="00277B35">
            <w:pPr>
              <w:pStyle w:val="NormalWeb"/>
              <w:jc w:val="center"/>
            </w:pPr>
            <w:r>
              <w:t>6</w:t>
            </w:r>
          </w:p>
        </w:tc>
        <w:tc>
          <w:tcPr>
            <w:tcW w:w="9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B544F78" w14:textId="77777777" w:rsidR="00277B35" w:rsidRDefault="00277B35" w:rsidP="00277B35">
            <w:pPr>
              <w:pStyle w:val="NormalWeb"/>
              <w:jc w:val="center"/>
            </w:pPr>
            <w:r>
              <w:t>3</w:t>
            </w:r>
          </w:p>
        </w:tc>
        <w:tc>
          <w:tcPr>
            <w:tcW w:w="9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C7984C3" w14:textId="77777777" w:rsidR="00277B35" w:rsidRDefault="00277B35" w:rsidP="00277B35">
            <w:pPr>
              <w:pStyle w:val="NormalWeb"/>
              <w:jc w:val="center"/>
            </w:pPr>
            <w:r>
              <w:t>4</w:t>
            </w:r>
          </w:p>
        </w:tc>
        <w:tc>
          <w:tcPr>
            <w:tcW w:w="9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CE70255" w14:textId="77777777" w:rsidR="00277B35" w:rsidRDefault="00277B35" w:rsidP="00277B35">
            <w:pPr>
              <w:pStyle w:val="NormalWeb"/>
              <w:jc w:val="center"/>
            </w:pPr>
            <w:r>
              <w:t>8</w:t>
            </w:r>
          </w:p>
        </w:tc>
        <w:tc>
          <w:tcPr>
            <w:tcW w:w="9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5515A62" w14:textId="77777777" w:rsidR="00277B35" w:rsidRDefault="00277B35" w:rsidP="00277B35">
            <w:pPr>
              <w:pStyle w:val="NormalWeb"/>
              <w:jc w:val="center"/>
            </w:pPr>
            <w:r>
              <w:t>63</w:t>
            </w:r>
          </w:p>
        </w:tc>
        <w:tc>
          <w:tcPr>
            <w:tcW w:w="283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D0543D6" w14:textId="77777777" w:rsidR="00277B35" w:rsidRDefault="00277B35" w:rsidP="00277B35">
            <w:pPr>
              <w:pStyle w:val="NormalWeb"/>
              <w:jc w:val="center"/>
            </w:pPr>
            <w:r>
              <w:t>17</w:t>
            </w:r>
          </w:p>
        </w:tc>
        <w:tc>
          <w:tcPr>
            <w:tcW w:w="15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E08213D" w14:textId="77777777" w:rsidR="00277B35" w:rsidRDefault="00277B35" w:rsidP="00277B35">
            <w:pPr>
              <w:pStyle w:val="NormalWeb"/>
              <w:jc w:val="center"/>
            </w:pPr>
            <w:r>
              <w:t>11</w:t>
            </w:r>
          </w:p>
        </w:tc>
        <w:tc>
          <w:tcPr>
            <w:tcW w:w="151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8EFF959" w14:textId="77777777" w:rsidR="00277B35" w:rsidRDefault="00277B35" w:rsidP="00277B35">
            <w:pPr>
              <w:pStyle w:val="NormalWeb"/>
              <w:jc w:val="center"/>
            </w:pPr>
            <w:r>
              <w:t>0.65</w:t>
            </w:r>
          </w:p>
        </w:tc>
      </w:tr>
      <w:tr w:rsidR="009F4863" w14:paraId="35109D5F" w14:textId="77777777" w:rsidTr="0087149D">
        <w:trPr>
          <w:cnfStyle w:val="000000010000" w:firstRow="0" w:lastRow="0" w:firstColumn="0" w:lastColumn="0" w:oddVBand="0" w:evenVBand="0" w:oddHBand="0" w:evenHBand="1" w:firstRowFirstColumn="0" w:firstRowLastColumn="0" w:lastRowFirstColumn="0" w:lastRowLastColumn="0"/>
        </w:trPr>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1828648" w14:textId="77777777" w:rsidR="00277B35" w:rsidRDefault="00277B35">
            <w:pPr>
              <w:pStyle w:val="NormalWeb"/>
            </w:pPr>
            <w:r>
              <w:t>Varicella zoster (shingles)</w:t>
            </w:r>
          </w:p>
        </w:tc>
        <w:tc>
          <w:tcPr>
            <w:tcW w:w="9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7663E24" w14:textId="77777777" w:rsidR="00277B35" w:rsidRDefault="00277B35" w:rsidP="00277B35">
            <w:pPr>
              <w:pStyle w:val="NormalWeb"/>
              <w:jc w:val="center"/>
            </w:pPr>
            <w:r>
              <w:t>1</w:t>
            </w:r>
          </w:p>
        </w:tc>
        <w:tc>
          <w:tcPr>
            <w:tcW w:w="9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86AB795" w14:textId="77777777" w:rsidR="00277B35" w:rsidRDefault="00277B35" w:rsidP="00277B35">
            <w:pPr>
              <w:pStyle w:val="NormalWeb"/>
              <w:jc w:val="center"/>
            </w:pPr>
            <w:r>
              <w:t>0</w:t>
            </w:r>
          </w:p>
        </w:tc>
        <w:tc>
          <w:tcPr>
            <w:tcW w:w="9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1119410" w14:textId="77777777" w:rsidR="00277B35" w:rsidRDefault="00277B35" w:rsidP="00277B35">
            <w:pPr>
              <w:pStyle w:val="NormalWeb"/>
              <w:jc w:val="center"/>
            </w:pPr>
            <w:r>
              <w:t>2</w:t>
            </w:r>
          </w:p>
        </w:tc>
        <w:tc>
          <w:tcPr>
            <w:tcW w:w="9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A6A07D9" w14:textId="77777777" w:rsidR="00277B35" w:rsidRDefault="00277B35" w:rsidP="00277B35">
            <w:pPr>
              <w:pStyle w:val="NormalWeb"/>
              <w:jc w:val="center"/>
            </w:pPr>
            <w:r>
              <w:t>84</w:t>
            </w:r>
          </w:p>
        </w:tc>
        <w:tc>
          <w:tcPr>
            <w:tcW w:w="9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0BBE819" w14:textId="77777777" w:rsidR="00277B35" w:rsidRDefault="00277B35" w:rsidP="00277B35">
            <w:pPr>
              <w:pStyle w:val="NormalWeb"/>
              <w:jc w:val="center"/>
            </w:pPr>
            <w:r>
              <w:t>105</w:t>
            </w:r>
          </w:p>
        </w:tc>
        <w:tc>
          <w:tcPr>
            <w:tcW w:w="283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3C3DFE0" w14:textId="77777777" w:rsidR="00277B35" w:rsidRDefault="00277B35" w:rsidP="00277B35">
            <w:pPr>
              <w:pStyle w:val="NormalWeb"/>
              <w:jc w:val="center"/>
            </w:pPr>
            <w:r>
              <w:t>38</w:t>
            </w:r>
          </w:p>
        </w:tc>
        <w:tc>
          <w:tcPr>
            <w:tcW w:w="15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C705138" w14:textId="77777777" w:rsidR="00277B35" w:rsidRDefault="00277B35" w:rsidP="00277B35">
            <w:pPr>
              <w:pStyle w:val="NormalWeb"/>
              <w:jc w:val="center"/>
            </w:pPr>
            <w:r>
              <w:t>95</w:t>
            </w:r>
          </w:p>
        </w:tc>
        <w:tc>
          <w:tcPr>
            <w:tcW w:w="151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BE897B3" w14:textId="77777777" w:rsidR="00277B35" w:rsidRDefault="00277B35" w:rsidP="00277B35">
            <w:pPr>
              <w:pStyle w:val="NormalWeb"/>
              <w:jc w:val="center"/>
            </w:pPr>
            <w:r>
              <w:t>2.50</w:t>
            </w:r>
          </w:p>
        </w:tc>
      </w:tr>
      <w:tr w:rsidR="00601706" w14:paraId="603763F5" w14:textId="77777777" w:rsidTr="0087149D">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9721C34" w14:textId="77777777" w:rsidR="00277B35" w:rsidRDefault="00277B35">
            <w:pPr>
              <w:pStyle w:val="NormalWeb"/>
            </w:pPr>
            <w:r>
              <w:t>Varicella zoster (unspecified)</w:t>
            </w:r>
          </w:p>
        </w:tc>
        <w:tc>
          <w:tcPr>
            <w:tcW w:w="9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9B0D6CD" w14:textId="77777777" w:rsidR="00277B35" w:rsidRDefault="00277B35" w:rsidP="00277B35">
            <w:pPr>
              <w:pStyle w:val="NormalWeb"/>
              <w:jc w:val="center"/>
            </w:pPr>
            <w:r>
              <w:t>120</w:t>
            </w:r>
          </w:p>
        </w:tc>
        <w:tc>
          <w:tcPr>
            <w:tcW w:w="9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02D3D21" w14:textId="77777777" w:rsidR="00277B35" w:rsidRDefault="00277B35" w:rsidP="00277B35">
            <w:pPr>
              <w:pStyle w:val="NormalWeb"/>
              <w:jc w:val="center"/>
            </w:pPr>
            <w:r>
              <w:t>138</w:t>
            </w:r>
          </w:p>
        </w:tc>
        <w:tc>
          <w:tcPr>
            <w:tcW w:w="9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28EFFD8" w14:textId="77777777" w:rsidR="00277B35" w:rsidRDefault="00277B35" w:rsidP="00277B35">
            <w:pPr>
              <w:pStyle w:val="NormalWeb"/>
              <w:jc w:val="center"/>
            </w:pPr>
            <w:r>
              <w:t>163</w:t>
            </w:r>
          </w:p>
        </w:tc>
        <w:tc>
          <w:tcPr>
            <w:tcW w:w="9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2F9C7AE" w14:textId="77777777" w:rsidR="00277B35" w:rsidRDefault="00277B35" w:rsidP="00277B35">
            <w:pPr>
              <w:pStyle w:val="NormalWeb"/>
              <w:jc w:val="center"/>
            </w:pPr>
            <w:r>
              <w:t>53</w:t>
            </w:r>
          </w:p>
        </w:tc>
        <w:tc>
          <w:tcPr>
            <w:tcW w:w="9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36E1941" w14:textId="77777777" w:rsidR="00277B35" w:rsidRDefault="00277B35" w:rsidP="00277B35">
            <w:pPr>
              <w:pStyle w:val="NormalWeb"/>
              <w:jc w:val="center"/>
            </w:pPr>
            <w:r>
              <w:t>48</w:t>
            </w:r>
          </w:p>
        </w:tc>
        <w:tc>
          <w:tcPr>
            <w:tcW w:w="283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1CBB18C" w14:textId="77777777" w:rsidR="00277B35" w:rsidRDefault="00277B35" w:rsidP="00277B35">
            <w:pPr>
              <w:pStyle w:val="NormalWeb"/>
              <w:jc w:val="center"/>
            </w:pPr>
            <w:r>
              <w:t>104</w:t>
            </w:r>
          </w:p>
        </w:tc>
        <w:tc>
          <w:tcPr>
            <w:tcW w:w="15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E673E06" w14:textId="77777777" w:rsidR="00277B35" w:rsidRDefault="00277B35" w:rsidP="00277B35">
            <w:pPr>
              <w:pStyle w:val="NormalWeb"/>
              <w:jc w:val="center"/>
            </w:pPr>
            <w:r>
              <w:t>41</w:t>
            </w:r>
          </w:p>
        </w:tc>
        <w:tc>
          <w:tcPr>
            <w:tcW w:w="151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9C330E3" w14:textId="77777777" w:rsidR="00277B35" w:rsidRDefault="00277B35" w:rsidP="00277B35">
            <w:pPr>
              <w:pStyle w:val="NormalWeb"/>
              <w:jc w:val="center"/>
            </w:pPr>
            <w:r>
              <w:t>0.39</w:t>
            </w:r>
          </w:p>
        </w:tc>
      </w:tr>
      <w:tr w:rsidR="0045233A" w:rsidRPr="0045233A" w14:paraId="53EDED9A" w14:textId="77777777" w:rsidTr="0087149D">
        <w:trPr>
          <w:cnfStyle w:val="000000010000" w:firstRow="0" w:lastRow="0" w:firstColumn="0" w:lastColumn="0" w:oddVBand="0" w:evenVBand="0" w:oddHBand="0" w:evenHBand="1" w:firstRowFirstColumn="0" w:firstRowLastColumn="0" w:lastRowFirstColumn="0" w:lastRowLastColumn="0"/>
        </w:trPr>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808080" w:themeFill="background1" w:themeFillShade="80"/>
            <w:hideMark/>
          </w:tcPr>
          <w:p w14:paraId="480292A2" w14:textId="77777777" w:rsidR="00277B35" w:rsidRPr="0045233A" w:rsidRDefault="00277B35">
            <w:pPr>
              <w:pStyle w:val="NormalWeb"/>
              <w:rPr>
                <w:b/>
                <w:color w:val="FFFFFF" w:themeColor="background1"/>
              </w:rPr>
            </w:pPr>
            <w:r w:rsidRPr="0045233A">
              <w:rPr>
                <w:b/>
                <w:color w:val="FFFFFF" w:themeColor="background1"/>
              </w:rPr>
              <w:t>Vector-borne diseases</w:t>
            </w:r>
          </w:p>
        </w:tc>
        <w:tc>
          <w:tcPr>
            <w:tcW w:w="9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808080" w:themeFill="background1" w:themeFillShade="80"/>
            <w:hideMark/>
          </w:tcPr>
          <w:p w14:paraId="25C02885" w14:textId="77777777" w:rsidR="00277B35" w:rsidRPr="0045233A" w:rsidRDefault="00277B35" w:rsidP="00277B35">
            <w:pPr>
              <w:jc w:val="center"/>
              <w:rPr>
                <w:b/>
                <w:color w:val="FFFFFF" w:themeColor="background1"/>
              </w:rPr>
            </w:pPr>
          </w:p>
        </w:tc>
        <w:tc>
          <w:tcPr>
            <w:tcW w:w="9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808080" w:themeFill="background1" w:themeFillShade="80"/>
            <w:hideMark/>
          </w:tcPr>
          <w:p w14:paraId="57DF3DB9" w14:textId="77777777" w:rsidR="00277B35" w:rsidRPr="0045233A" w:rsidRDefault="00277B35" w:rsidP="00277B35">
            <w:pPr>
              <w:jc w:val="center"/>
              <w:rPr>
                <w:rFonts w:eastAsia="Times New Roman"/>
                <w:b/>
                <w:color w:val="FFFFFF" w:themeColor="background1"/>
                <w:sz w:val="20"/>
                <w:szCs w:val="20"/>
              </w:rPr>
            </w:pPr>
          </w:p>
        </w:tc>
        <w:tc>
          <w:tcPr>
            <w:tcW w:w="9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808080" w:themeFill="background1" w:themeFillShade="80"/>
            <w:hideMark/>
          </w:tcPr>
          <w:p w14:paraId="2A4FC005" w14:textId="77777777" w:rsidR="00277B35" w:rsidRPr="0045233A" w:rsidRDefault="00277B35" w:rsidP="00277B35">
            <w:pPr>
              <w:jc w:val="center"/>
              <w:rPr>
                <w:rFonts w:eastAsia="Times New Roman"/>
                <w:b/>
                <w:color w:val="FFFFFF" w:themeColor="background1"/>
                <w:sz w:val="20"/>
                <w:szCs w:val="20"/>
              </w:rPr>
            </w:pPr>
          </w:p>
        </w:tc>
        <w:tc>
          <w:tcPr>
            <w:tcW w:w="9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808080" w:themeFill="background1" w:themeFillShade="80"/>
            <w:hideMark/>
          </w:tcPr>
          <w:p w14:paraId="5086432D" w14:textId="77777777" w:rsidR="00277B35" w:rsidRPr="0045233A" w:rsidRDefault="00277B35" w:rsidP="00277B35">
            <w:pPr>
              <w:jc w:val="center"/>
              <w:rPr>
                <w:rFonts w:eastAsia="Times New Roman"/>
                <w:b/>
                <w:color w:val="FFFFFF" w:themeColor="background1"/>
                <w:sz w:val="20"/>
                <w:szCs w:val="20"/>
              </w:rPr>
            </w:pPr>
          </w:p>
        </w:tc>
        <w:tc>
          <w:tcPr>
            <w:tcW w:w="9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808080" w:themeFill="background1" w:themeFillShade="80"/>
            <w:hideMark/>
          </w:tcPr>
          <w:p w14:paraId="49CBFA80" w14:textId="77777777" w:rsidR="00277B35" w:rsidRPr="0045233A" w:rsidRDefault="00277B35" w:rsidP="00277B35">
            <w:pPr>
              <w:jc w:val="center"/>
              <w:rPr>
                <w:rFonts w:eastAsia="Times New Roman"/>
                <w:b/>
                <w:color w:val="FFFFFF" w:themeColor="background1"/>
                <w:sz w:val="20"/>
                <w:szCs w:val="20"/>
              </w:rPr>
            </w:pPr>
          </w:p>
        </w:tc>
        <w:tc>
          <w:tcPr>
            <w:tcW w:w="283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808080" w:themeFill="background1" w:themeFillShade="80"/>
            <w:hideMark/>
          </w:tcPr>
          <w:p w14:paraId="3155E295" w14:textId="77777777" w:rsidR="00277B35" w:rsidRPr="0045233A" w:rsidRDefault="00277B35" w:rsidP="00277B35">
            <w:pPr>
              <w:jc w:val="center"/>
              <w:rPr>
                <w:rFonts w:eastAsia="Times New Roman"/>
                <w:b/>
                <w:color w:val="FFFFFF" w:themeColor="background1"/>
                <w:sz w:val="20"/>
                <w:szCs w:val="20"/>
              </w:rPr>
            </w:pPr>
          </w:p>
        </w:tc>
        <w:tc>
          <w:tcPr>
            <w:tcW w:w="15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808080" w:themeFill="background1" w:themeFillShade="80"/>
            <w:hideMark/>
          </w:tcPr>
          <w:p w14:paraId="46E23F0D" w14:textId="77777777" w:rsidR="00277B35" w:rsidRPr="0045233A" w:rsidRDefault="00277B35" w:rsidP="00277B35">
            <w:pPr>
              <w:jc w:val="center"/>
              <w:rPr>
                <w:rFonts w:eastAsia="Times New Roman"/>
                <w:b/>
                <w:color w:val="FFFFFF" w:themeColor="background1"/>
                <w:sz w:val="20"/>
                <w:szCs w:val="20"/>
              </w:rPr>
            </w:pPr>
          </w:p>
        </w:tc>
        <w:tc>
          <w:tcPr>
            <w:tcW w:w="151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808080" w:themeFill="background1" w:themeFillShade="80"/>
            <w:hideMark/>
          </w:tcPr>
          <w:p w14:paraId="7099B627" w14:textId="77777777" w:rsidR="00277B35" w:rsidRPr="0045233A" w:rsidRDefault="00277B35" w:rsidP="00277B35">
            <w:pPr>
              <w:jc w:val="center"/>
              <w:rPr>
                <w:rFonts w:eastAsia="Times New Roman"/>
                <w:b/>
                <w:color w:val="FFFFFF" w:themeColor="background1"/>
                <w:sz w:val="20"/>
                <w:szCs w:val="20"/>
              </w:rPr>
            </w:pPr>
          </w:p>
        </w:tc>
      </w:tr>
      <w:tr w:rsidR="00601706" w14:paraId="38C17009" w14:textId="77777777" w:rsidTr="0087149D">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9C11B76" w14:textId="77777777" w:rsidR="00277B35" w:rsidRDefault="00277B35">
            <w:pPr>
              <w:pStyle w:val="NormalWeb"/>
              <w:rPr>
                <w:sz w:val="24"/>
                <w:szCs w:val="24"/>
              </w:rPr>
            </w:pPr>
            <w:r>
              <w:t>Ross River virus</w:t>
            </w:r>
          </w:p>
        </w:tc>
        <w:tc>
          <w:tcPr>
            <w:tcW w:w="9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0477B00" w14:textId="77777777" w:rsidR="00277B35" w:rsidRDefault="00277B35" w:rsidP="00277B35">
            <w:pPr>
              <w:pStyle w:val="NormalWeb"/>
              <w:jc w:val="center"/>
            </w:pPr>
            <w:r>
              <w:t>104</w:t>
            </w:r>
          </w:p>
        </w:tc>
        <w:tc>
          <w:tcPr>
            <w:tcW w:w="9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1466F83" w14:textId="77777777" w:rsidR="00277B35" w:rsidRDefault="00277B35" w:rsidP="00277B35">
            <w:pPr>
              <w:pStyle w:val="NormalWeb"/>
              <w:jc w:val="center"/>
            </w:pPr>
            <w:r>
              <w:t>68</w:t>
            </w:r>
          </w:p>
        </w:tc>
        <w:tc>
          <w:tcPr>
            <w:tcW w:w="9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630DD7D" w14:textId="77777777" w:rsidR="00277B35" w:rsidRDefault="00277B35" w:rsidP="00277B35">
            <w:pPr>
              <w:pStyle w:val="NormalWeb"/>
              <w:jc w:val="center"/>
            </w:pPr>
            <w:r>
              <w:t>100</w:t>
            </w:r>
          </w:p>
        </w:tc>
        <w:tc>
          <w:tcPr>
            <w:tcW w:w="9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BADE9A3" w14:textId="77777777" w:rsidR="00277B35" w:rsidRDefault="00277B35" w:rsidP="00277B35">
            <w:pPr>
              <w:pStyle w:val="NormalWeb"/>
              <w:jc w:val="center"/>
            </w:pPr>
            <w:r>
              <w:t>109</w:t>
            </w:r>
          </w:p>
        </w:tc>
        <w:tc>
          <w:tcPr>
            <w:tcW w:w="9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9E8FB44" w14:textId="77777777" w:rsidR="00277B35" w:rsidRDefault="00277B35" w:rsidP="00277B35">
            <w:pPr>
              <w:pStyle w:val="NormalWeb"/>
              <w:jc w:val="center"/>
            </w:pPr>
            <w:r>
              <w:t>88</w:t>
            </w:r>
          </w:p>
        </w:tc>
        <w:tc>
          <w:tcPr>
            <w:tcW w:w="283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9FC2C81" w14:textId="77777777" w:rsidR="00277B35" w:rsidRDefault="00277B35" w:rsidP="00277B35">
            <w:pPr>
              <w:pStyle w:val="NormalWeb"/>
              <w:jc w:val="center"/>
            </w:pPr>
            <w:r>
              <w:t>94</w:t>
            </w:r>
          </w:p>
        </w:tc>
        <w:tc>
          <w:tcPr>
            <w:tcW w:w="15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A4431AC" w14:textId="77777777" w:rsidR="00277B35" w:rsidRDefault="00277B35" w:rsidP="00277B35">
            <w:pPr>
              <w:pStyle w:val="NormalWeb"/>
              <w:jc w:val="center"/>
            </w:pPr>
            <w:r>
              <w:t>154</w:t>
            </w:r>
          </w:p>
        </w:tc>
        <w:tc>
          <w:tcPr>
            <w:tcW w:w="151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5326109" w14:textId="77777777" w:rsidR="00277B35" w:rsidRDefault="00277B35" w:rsidP="00277B35">
            <w:pPr>
              <w:pStyle w:val="NormalWeb"/>
              <w:jc w:val="center"/>
            </w:pPr>
            <w:r>
              <w:t>1.64</w:t>
            </w:r>
          </w:p>
        </w:tc>
      </w:tr>
      <w:tr w:rsidR="009F4863" w14:paraId="3A7A003A" w14:textId="77777777" w:rsidTr="0087149D">
        <w:trPr>
          <w:cnfStyle w:val="000000010000" w:firstRow="0" w:lastRow="0" w:firstColumn="0" w:lastColumn="0" w:oddVBand="0" w:evenVBand="0" w:oddHBand="0" w:evenHBand="1" w:firstRowFirstColumn="0" w:firstRowLastColumn="0" w:lastRowFirstColumn="0" w:lastRowLastColumn="0"/>
        </w:trPr>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FF3D3F8" w14:textId="77777777" w:rsidR="00277B35" w:rsidRDefault="00277B35">
            <w:pPr>
              <w:pStyle w:val="NormalWeb"/>
            </w:pPr>
            <w:r>
              <w:t>Barmah Forest virus</w:t>
            </w:r>
          </w:p>
        </w:tc>
        <w:tc>
          <w:tcPr>
            <w:tcW w:w="9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817D4F7" w14:textId="77777777" w:rsidR="00277B35" w:rsidRDefault="00277B35" w:rsidP="00277B35">
            <w:pPr>
              <w:pStyle w:val="NormalWeb"/>
              <w:jc w:val="center"/>
            </w:pPr>
            <w:r>
              <w:t>7</w:t>
            </w:r>
          </w:p>
        </w:tc>
        <w:tc>
          <w:tcPr>
            <w:tcW w:w="9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551FBF2" w14:textId="77777777" w:rsidR="00277B35" w:rsidRDefault="00277B35" w:rsidP="00277B35">
            <w:pPr>
              <w:pStyle w:val="NormalWeb"/>
              <w:jc w:val="center"/>
            </w:pPr>
            <w:r>
              <w:t>11</w:t>
            </w:r>
          </w:p>
        </w:tc>
        <w:tc>
          <w:tcPr>
            <w:tcW w:w="9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53B4243" w14:textId="77777777" w:rsidR="00277B35" w:rsidRDefault="00277B35" w:rsidP="00277B35">
            <w:pPr>
              <w:pStyle w:val="NormalWeb"/>
              <w:jc w:val="center"/>
            </w:pPr>
            <w:r>
              <w:t>6</w:t>
            </w:r>
          </w:p>
        </w:tc>
        <w:tc>
          <w:tcPr>
            <w:tcW w:w="9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D69EBE3" w14:textId="77777777" w:rsidR="00277B35" w:rsidRDefault="00277B35" w:rsidP="00277B35">
            <w:pPr>
              <w:pStyle w:val="NormalWeb"/>
              <w:jc w:val="center"/>
            </w:pPr>
            <w:r>
              <w:t>9</w:t>
            </w:r>
          </w:p>
        </w:tc>
        <w:tc>
          <w:tcPr>
            <w:tcW w:w="9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38B64DD" w14:textId="77777777" w:rsidR="00277B35" w:rsidRDefault="00277B35" w:rsidP="00277B35">
            <w:pPr>
              <w:pStyle w:val="NormalWeb"/>
              <w:jc w:val="center"/>
            </w:pPr>
            <w:r>
              <w:t>4</w:t>
            </w:r>
          </w:p>
        </w:tc>
        <w:tc>
          <w:tcPr>
            <w:tcW w:w="283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5A966CC" w14:textId="77777777" w:rsidR="00277B35" w:rsidRDefault="00277B35" w:rsidP="00277B35">
            <w:pPr>
              <w:pStyle w:val="NormalWeb"/>
              <w:jc w:val="center"/>
            </w:pPr>
            <w:r>
              <w:t>7</w:t>
            </w:r>
          </w:p>
        </w:tc>
        <w:tc>
          <w:tcPr>
            <w:tcW w:w="15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ED98B41" w14:textId="77777777" w:rsidR="00277B35" w:rsidRDefault="00277B35" w:rsidP="00277B35">
            <w:pPr>
              <w:pStyle w:val="NormalWeb"/>
              <w:jc w:val="center"/>
            </w:pPr>
            <w:r>
              <w:t>13</w:t>
            </w:r>
          </w:p>
        </w:tc>
        <w:tc>
          <w:tcPr>
            <w:tcW w:w="151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AC03339" w14:textId="77777777" w:rsidR="00277B35" w:rsidRDefault="00277B35" w:rsidP="00277B35">
            <w:pPr>
              <w:pStyle w:val="NormalWeb"/>
              <w:jc w:val="center"/>
            </w:pPr>
            <w:r>
              <w:t>1.86</w:t>
            </w:r>
          </w:p>
        </w:tc>
      </w:tr>
      <w:tr w:rsidR="00601706" w14:paraId="171F4476" w14:textId="77777777" w:rsidTr="0087149D">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56787E9" w14:textId="77777777" w:rsidR="00277B35" w:rsidRDefault="00277B35">
            <w:pPr>
              <w:pStyle w:val="NormalWeb"/>
            </w:pPr>
            <w:r>
              <w:t>Dengue fever</w:t>
            </w:r>
          </w:p>
        </w:tc>
        <w:tc>
          <w:tcPr>
            <w:tcW w:w="9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FD5E37E" w14:textId="77777777" w:rsidR="00277B35" w:rsidRDefault="00277B35" w:rsidP="00277B35">
            <w:pPr>
              <w:pStyle w:val="NormalWeb"/>
              <w:jc w:val="center"/>
            </w:pPr>
            <w:r>
              <w:t>3</w:t>
            </w:r>
          </w:p>
        </w:tc>
        <w:tc>
          <w:tcPr>
            <w:tcW w:w="9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B851756" w14:textId="77777777" w:rsidR="00277B35" w:rsidRDefault="00277B35" w:rsidP="00277B35">
            <w:pPr>
              <w:pStyle w:val="NormalWeb"/>
              <w:jc w:val="center"/>
            </w:pPr>
            <w:r>
              <w:t>6</w:t>
            </w:r>
          </w:p>
        </w:tc>
        <w:tc>
          <w:tcPr>
            <w:tcW w:w="9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BDD31C7" w14:textId="77777777" w:rsidR="00277B35" w:rsidRDefault="00277B35" w:rsidP="00277B35">
            <w:pPr>
              <w:pStyle w:val="NormalWeb"/>
              <w:jc w:val="center"/>
            </w:pPr>
            <w:r>
              <w:t>0</w:t>
            </w:r>
          </w:p>
        </w:tc>
        <w:tc>
          <w:tcPr>
            <w:tcW w:w="9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FCBA318" w14:textId="77777777" w:rsidR="00277B35" w:rsidRDefault="00277B35" w:rsidP="00277B35">
            <w:pPr>
              <w:pStyle w:val="NormalWeb"/>
              <w:jc w:val="center"/>
            </w:pPr>
            <w:r>
              <w:t>1</w:t>
            </w:r>
          </w:p>
        </w:tc>
        <w:tc>
          <w:tcPr>
            <w:tcW w:w="9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23C96AD" w14:textId="77777777" w:rsidR="00277B35" w:rsidRDefault="00277B35" w:rsidP="00277B35">
            <w:pPr>
              <w:pStyle w:val="NormalWeb"/>
              <w:jc w:val="center"/>
            </w:pPr>
            <w:r>
              <w:t>22</w:t>
            </w:r>
          </w:p>
        </w:tc>
        <w:tc>
          <w:tcPr>
            <w:tcW w:w="283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96D4536" w14:textId="77777777" w:rsidR="00277B35" w:rsidRDefault="00277B35" w:rsidP="00277B35">
            <w:pPr>
              <w:pStyle w:val="NormalWeb"/>
              <w:jc w:val="center"/>
            </w:pPr>
            <w:r>
              <w:t>6</w:t>
            </w:r>
          </w:p>
        </w:tc>
        <w:tc>
          <w:tcPr>
            <w:tcW w:w="15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00504B5" w14:textId="77777777" w:rsidR="00277B35" w:rsidRDefault="00277B35" w:rsidP="00277B35">
            <w:pPr>
              <w:pStyle w:val="NormalWeb"/>
              <w:jc w:val="center"/>
            </w:pPr>
            <w:r>
              <w:t>0</w:t>
            </w:r>
          </w:p>
        </w:tc>
        <w:tc>
          <w:tcPr>
            <w:tcW w:w="151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B92504B" w14:textId="77777777" w:rsidR="00277B35" w:rsidRDefault="00277B35" w:rsidP="00277B35">
            <w:pPr>
              <w:pStyle w:val="NormalWeb"/>
              <w:jc w:val="center"/>
            </w:pPr>
            <w:r>
              <w:t>–</w:t>
            </w:r>
          </w:p>
        </w:tc>
      </w:tr>
      <w:tr w:rsidR="009F4863" w14:paraId="486C5393" w14:textId="77777777" w:rsidTr="0087149D">
        <w:trPr>
          <w:cnfStyle w:val="000000010000" w:firstRow="0" w:lastRow="0" w:firstColumn="0" w:lastColumn="0" w:oddVBand="0" w:evenVBand="0" w:oddHBand="0" w:evenHBand="1" w:firstRowFirstColumn="0" w:firstRowLastColumn="0" w:lastRowFirstColumn="0" w:lastRowLastColumn="0"/>
        </w:trPr>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59223D5" w14:textId="77777777" w:rsidR="00277B35" w:rsidRDefault="00277B35">
            <w:pPr>
              <w:pStyle w:val="NormalWeb"/>
            </w:pPr>
            <w:proofErr w:type="spellStart"/>
            <w:r>
              <w:t>Flavivirus</w:t>
            </w:r>
            <w:proofErr w:type="spellEnd"/>
          </w:p>
        </w:tc>
        <w:tc>
          <w:tcPr>
            <w:tcW w:w="9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275685C" w14:textId="77777777" w:rsidR="00277B35" w:rsidRDefault="00277B35" w:rsidP="00277B35">
            <w:pPr>
              <w:pStyle w:val="NormalWeb"/>
              <w:jc w:val="center"/>
            </w:pPr>
            <w:r>
              <w:t>0</w:t>
            </w:r>
          </w:p>
        </w:tc>
        <w:tc>
          <w:tcPr>
            <w:tcW w:w="9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D31844A" w14:textId="77777777" w:rsidR="00277B35" w:rsidRDefault="00277B35" w:rsidP="00277B35">
            <w:pPr>
              <w:pStyle w:val="NormalWeb"/>
              <w:jc w:val="center"/>
            </w:pPr>
            <w:r>
              <w:t>0</w:t>
            </w:r>
          </w:p>
        </w:tc>
        <w:tc>
          <w:tcPr>
            <w:tcW w:w="9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FACCFE5" w14:textId="77777777" w:rsidR="00277B35" w:rsidRDefault="00277B35" w:rsidP="00277B35">
            <w:pPr>
              <w:pStyle w:val="NormalWeb"/>
              <w:jc w:val="center"/>
            </w:pPr>
            <w:r>
              <w:t>0</w:t>
            </w:r>
          </w:p>
        </w:tc>
        <w:tc>
          <w:tcPr>
            <w:tcW w:w="9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3B042D4" w14:textId="77777777" w:rsidR="00277B35" w:rsidRDefault="00277B35" w:rsidP="00277B35">
            <w:pPr>
              <w:pStyle w:val="NormalWeb"/>
              <w:jc w:val="center"/>
            </w:pPr>
            <w:r>
              <w:t>0</w:t>
            </w:r>
          </w:p>
        </w:tc>
        <w:tc>
          <w:tcPr>
            <w:tcW w:w="9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C00B986" w14:textId="77777777" w:rsidR="00277B35" w:rsidRDefault="00277B35" w:rsidP="00277B35">
            <w:pPr>
              <w:pStyle w:val="NormalWeb"/>
              <w:jc w:val="center"/>
            </w:pPr>
            <w:r>
              <w:t>3</w:t>
            </w:r>
          </w:p>
        </w:tc>
        <w:tc>
          <w:tcPr>
            <w:tcW w:w="283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2DA22EB" w14:textId="77777777" w:rsidR="00277B35" w:rsidRDefault="00277B35" w:rsidP="00277B35">
            <w:pPr>
              <w:pStyle w:val="NormalWeb"/>
              <w:jc w:val="center"/>
            </w:pPr>
            <w:r>
              <w:t>1</w:t>
            </w:r>
          </w:p>
        </w:tc>
        <w:tc>
          <w:tcPr>
            <w:tcW w:w="15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57A7807" w14:textId="77777777" w:rsidR="00277B35" w:rsidRDefault="00277B35" w:rsidP="00277B35">
            <w:pPr>
              <w:pStyle w:val="NormalWeb"/>
              <w:jc w:val="center"/>
            </w:pPr>
            <w:r>
              <w:t>3</w:t>
            </w:r>
          </w:p>
        </w:tc>
        <w:tc>
          <w:tcPr>
            <w:tcW w:w="151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65B522D" w14:textId="77777777" w:rsidR="00277B35" w:rsidRDefault="00277B35" w:rsidP="00277B35">
            <w:pPr>
              <w:pStyle w:val="NormalWeb"/>
              <w:jc w:val="center"/>
            </w:pPr>
            <w:r>
              <w:t>3.00</w:t>
            </w:r>
          </w:p>
        </w:tc>
      </w:tr>
      <w:tr w:rsidR="00601706" w14:paraId="48CDAE2C" w14:textId="77777777" w:rsidTr="0087149D">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ECF1653" w14:textId="77777777" w:rsidR="00277B35" w:rsidRDefault="00277B35">
            <w:pPr>
              <w:pStyle w:val="NormalWeb"/>
            </w:pPr>
            <w:r>
              <w:t>Malaria</w:t>
            </w:r>
          </w:p>
        </w:tc>
        <w:tc>
          <w:tcPr>
            <w:tcW w:w="9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9986BE1" w14:textId="77777777" w:rsidR="00277B35" w:rsidRDefault="00277B35" w:rsidP="00277B35">
            <w:pPr>
              <w:pStyle w:val="NormalWeb"/>
              <w:jc w:val="center"/>
            </w:pPr>
            <w:r>
              <w:t>0</w:t>
            </w:r>
          </w:p>
        </w:tc>
        <w:tc>
          <w:tcPr>
            <w:tcW w:w="9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76F8F27" w14:textId="77777777" w:rsidR="00277B35" w:rsidRDefault="00277B35" w:rsidP="00277B35">
            <w:pPr>
              <w:pStyle w:val="NormalWeb"/>
              <w:jc w:val="center"/>
            </w:pPr>
            <w:r>
              <w:t>1</w:t>
            </w:r>
          </w:p>
        </w:tc>
        <w:tc>
          <w:tcPr>
            <w:tcW w:w="9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DD37AAD" w14:textId="77777777" w:rsidR="00277B35" w:rsidRDefault="00277B35" w:rsidP="00277B35">
            <w:pPr>
              <w:pStyle w:val="NormalWeb"/>
              <w:jc w:val="center"/>
            </w:pPr>
            <w:r>
              <w:t>1</w:t>
            </w:r>
          </w:p>
        </w:tc>
        <w:tc>
          <w:tcPr>
            <w:tcW w:w="9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515F878" w14:textId="77777777" w:rsidR="00277B35" w:rsidRDefault="00277B35" w:rsidP="00277B35">
            <w:pPr>
              <w:pStyle w:val="NormalWeb"/>
              <w:jc w:val="center"/>
            </w:pPr>
            <w:r>
              <w:t>2</w:t>
            </w:r>
          </w:p>
        </w:tc>
        <w:tc>
          <w:tcPr>
            <w:tcW w:w="9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6E9E138" w14:textId="77777777" w:rsidR="00277B35" w:rsidRDefault="00277B35" w:rsidP="00277B35">
            <w:pPr>
              <w:pStyle w:val="NormalWeb"/>
              <w:jc w:val="center"/>
            </w:pPr>
            <w:r>
              <w:t>1</w:t>
            </w:r>
          </w:p>
        </w:tc>
        <w:tc>
          <w:tcPr>
            <w:tcW w:w="283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5720213" w14:textId="77777777" w:rsidR="00277B35" w:rsidRDefault="00277B35" w:rsidP="00277B35">
            <w:pPr>
              <w:pStyle w:val="NormalWeb"/>
              <w:jc w:val="center"/>
            </w:pPr>
            <w:r>
              <w:t>1</w:t>
            </w:r>
          </w:p>
        </w:tc>
        <w:tc>
          <w:tcPr>
            <w:tcW w:w="15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1C67FD9" w14:textId="77777777" w:rsidR="00277B35" w:rsidRDefault="00277B35" w:rsidP="00277B35">
            <w:pPr>
              <w:pStyle w:val="NormalWeb"/>
              <w:jc w:val="center"/>
            </w:pPr>
            <w:r>
              <w:t>0</w:t>
            </w:r>
          </w:p>
        </w:tc>
        <w:tc>
          <w:tcPr>
            <w:tcW w:w="151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72385B8" w14:textId="77777777" w:rsidR="00277B35" w:rsidRDefault="00277B35" w:rsidP="00277B35">
            <w:pPr>
              <w:pStyle w:val="NormalWeb"/>
              <w:jc w:val="center"/>
            </w:pPr>
            <w:r>
              <w:t>–</w:t>
            </w:r>
          </w:p>
        </w:tc>
      </w:tr>
      <w:tr w:rsidR="0045233A" w:rsidRPr="0045233A" w14:paraId="6DA6C75C" w14:textId="77777777" w:rsidTr="0087149D">
        <w:trPr>
          <w:cnfStyle w:val="000000010000" w:firstRow="0" w:lastRow="0" w:firstColumn="0" w:lastColumn="0" w:oddVBand="0" w:evenVBand="0" w:oddHBand="0" w:evenHBand="1" w:firstRowFirstColumn="0" w:firstRowLastColumn="0" w:lastRowFirstColumn="0" w:lastRowLastColumn="0"/>
        </w:trPr>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808080" w:themeFill="background1" w:themeFillShade="80"/>
            <w:hideMark/>
          </w:tcPr>
          <w:p w14:paraId="159FAF05" w14:textId="77777777" w:rsidR="00277B35" w:rsidRPr="0045233A" w:rsidRDefault="00277B35">
            <w:pPr>
              <w:pStyle w:val="NormalWeb"/>
              <w:rPr>
                <w:b/>
                <w:color w:val="FFFFFF" w:themeColor="background1"/>
              </w:rPr>
            </w:pPr>
            <w:r w:rsidRPr="0045233A">
              <w:rPr>
                <w:b/>
                <w:color w:val="FFFFFF" w:themeColor="background1"/>
              </w:rPr>
              <w:t>Zoonotic disease</w:t>
            </w:r>
          </w:p>
        </w:tc>
        <w:tc>
          <w:tcPr>
            <w:tcW w:w="9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808080" w:themeFill="background1" w:themeFillShade="80"/>
            <w:hideMark/>
          </w:tcPr>
          <w:p w14:paraId="2A0A0EE9" w14:textId="77777777" w:rsidR="00277B35" w:rsidRPr="0045233A" w:rsidRDefault="00277B35" w:rsidP="00277B35">
            <w:pPr>
              <w:jc w:val="center"/>
              <w:rPr>
                <w:b/>
                <w:color w:val="FFFFFF" w:themeColor="background1"/>
              </w:rPr>
            </w:pPr>
          </w:p>
        </w:tc>
        <w:tc>
          <w:tcPr>
            <w:tcW w:w="9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808080" w:themeFill="background1" w:themeFillShade="80"/>
            <w:hideMark/>
          </w:tcPr>
          <w:p w14:paraId="5EEACE0B" w14:textId="77777777" w:rsidR="00277B35" w:rsidRPr="0045233A" w:rsidRDefault="00277B35" w:rsidP="00277B35">
            <w:pPr>
              <w:jc w:val="center"/>
              <w:rPr>
                <w:rFonts w:eastAsia="Times New Roman"/>
                <w:b/>
                <w:color w:val="FFFFFF" w:themeColor="background1"/>
                <w:sz w:val="20"/>
                <w:szCs w:val="20"/>
              </w:rPr>
            </w:pPr>
          </w:p>
        </w:tc>
        <w:tc>
          <w:tcPr>
            <w:tcW w:w="9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808080" w:themeFill="background1" w:themeFillShade="80"/>
            <w:hideMark/>
          </w:tcPr>
          <w:p w14:paraId="70EF6E2F" w14:textId="77777777" w:rsidR="00277B35" w:rsidRPr="0045233A" w:rsidRDefault="00277B35" w:rsidP="00277B35">
            <w:pPr>
              <w:jc w:val="center"/>
              <w:rPr>
                <w:rFonts w:eastAsia="Times New Roman"/>
                <w:b/>
                <w:color w:val="FFFFFF" w:themeColor="background1"/>
                <w:sz w:val="20"/>
                <w:szCs w:val="20"/>
              </w:rPr>
            </w:pPr>
          </w:p>
        </w:tc>
        <w:tc>
          <w:tcPr>
            <w:tcW w:w="9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808080" w:themeFill="background1" w:themeFillShade="80"/>
            <w:hideMark/>
          </w:tcPr>
          <w:p w14:paraId="2C62FA62" w14:textId="77777777" w:rsidR="00277B35" w:rsidRPr="0045233A" w:rsidRDefault="00277B35" w:rsidP="00277B35">
            <w:pPr>
              <w:jc w:val="center"/>
              <w:rPr>
                <w:rFonts w:eastAsia="Times New Roman"/>
                <w:b/>
                <w:color w:val="FFFFFF" w:themeColor="background1"/>
                <w:sz w:val="20"/>
                <w:szCs w:val="20"/>
              </w:rPr>
            </w:pPr>
          </w:p>
        </w:tc>
        <w:tc>
          <w:tcPr>
            <w:tcW w:w="9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808080" w:themeFill="background1" w:themeFillShade="80"/>
            <w:hideMark/>
          </w:tcPr>
          <w:p w14:paraId="6C2C5E6F" w14:textId="77777777" w:rsidR="00277B35" w:rsidRPr="0045233A" w:rsidRDefault="00277B35" w:rsidP="00277B35">
            <w:pPr>
              <w:jc w:val="center"/>
              <w:rPr>
                <w:rFonts w:eastAsia="Times New Roman"/>
                <w:b/>
                <w:color w:val="FFFFFF" w:themeColor="background1"/>
                <w:sz w:val="20"/>
                <w:szCs w:val="20"/>
              </w:rPr>
            </w:pPr>
          </w:p>
        </w:tc>
        <w:tc>
          <w:tcPr>
            <w:tcW w:w="283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808080" w:themeFill="background1" w:themeFillShade="80"/>
            <w:hideMark/>
          </w:tcPr>
          <w:p w14:paraId="7D2FCA8C" w14:textId="77777777" w:rsidR="00277B35" w:rsidRPr="0045233A" w:rsidRDefault="00277B35" w:rsidP="00277B35">
            <w:pPr>
              <w:jc w:val="center"/>
              <w:rPr>
                <w:rFonts w:eastAsia="Times New Roman"/>
                <w:b/>
                <w:color w:val="FFFFFF" w:themeColor="background1"/>
                <w:sz w:val="20"/>
                <w:szCs w:val="20"/>
              </w:rPr>
            </w:pPr>
          </w:p>
        </w:tc>
        <w:tc>
          <w:tcPr>
            <w:tcW w:w="15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808080" w:themeFill="background1" w:themeFillShade="80"/>
            <w:hideMark/>
          </w:tcPr>
          <w:p w14:paraId="2D7A5160" w14:textId="77777777" w:rsidR="00277B35" w:rsidRPr="0045233A" w:rsidRDefault="00277B35" w:rsidP="00277B35">
            <w:pPr>
              <w:jc w:val="center"/>
              <w:rPr>
                <w:rFonts w:eastAsia="Times New Roman"/>
                <w:b/>
                <w:color w:val="FFFFFF" w:themeColor="background1"/>
                <w:sz w:val="20"/>
                <w:szCs w:val="20"/>
              </w:rPr>
            </w:pPr>
          </w:p>
        </w:tc>
        <w:tc>
          <w:tcPr>
            <w:tcW w:w="151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808080" w:themeFill="background1" w:themeFillShade="80"/>
            <w:hideMark/>
          </w:tcPr>
          <w:p w14:paraId="489094BC" w14:textId="77777777" w:rsidR="00277B35" w:rsidRPr="0045233A" w:rsidRDefault="00277B35" w:rsidP="00277B35">
            <w:pPr>
              <w:jc w:val="center"/>
              <w:rPr>
                <w:rFonts w:eastAsia="Times New Roman"/>
                <w:b/>
                <w:color w:val="FFFFFF" w:themeColor="background1"/>
                <w:sz w:val="20"/>
                <w:szCs w:val="20"/>
              </w:rPr>
            </w:pPr>
          </w:p>
        </w:tc>
      </w:tr>
      <w:tr w:rsidR="00601706" w14:paraId="1FA754A3" w14:textId="77777777" w:rsidTr="0087149D">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23B172C" w14:textId="77777777" w:rsidR="00277B35" w:rsidRDefault="00277B35">
            <w:pPr>
              <w:pStyle w:val="NormalWeb"/>
              <w:rPr>
                <w:sz w:val="24"/>
                <w:szCs w:val="24"/>
              </w:rPr>
            </w:pPr>
            <w:r>
              <w:lastRenderedPageBreak/>
              <w:t>Leptospirosis</w:t>
            </w:r>
          </w:p>
        </w:tc>
        <w:tc>
          <w:tcPr>
            <w:tcW w:w="9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FF4CB7A" w14:textId="77777777" w:rsidR="00277B35" w:rsidRDefault="00277B35" w:rsidP="00277B35">
            <w:pPr>
              <w:pStyle w:val="NormalWeb"/>
              <w:jc w:val="center"/>
            </w:pPr>
            <w:r>
              <w:t>2</w:t>
            </w:r>
          </w:p>
        </w:tc>
        <w:tc>
          <w:tcPr>
            <w:tcW w:w="9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D2ECEA8" w14:textId="77777777" w:rsidR="00277B35" w:rsidRDefault="00277B35" w:rsidP="00277B35">
            <w:pPr>
              <w:pStyle w:val="NormalWeb"/>
              <w:jc w:val="center"/>
            </w:pPr>
            <w:r>
              <w:t>0</w:t>
            </w:r>
          </w:p>
        </w:tc>
        <w:tc>
          <w:tcPr>
            <w:tcW w:w="9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7BAB382" w14:textId="77777777" w:rsidR="00277B35" w:rsidRDefault="00277B35" w:rsidP="00277B35">
            <w:pPr>
              <w:pStyle w:val="NormalWeb"/>
              <w:jc w:val="center"/>
            </w:pPr>
            <w:r>
              <w:t>3</w:t>
            </w:r>
          </w:p>
        </w:tc>
        <w:tc>
          <w:tcPr>
            <w:tcW w:w="9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0857013" w14:textId="77777777" w:rsidR="00277B35" w:rsidRDefault="00277B35" w:rsidP="00277B35">
            <w:pPr>
              <w:pStyle w:val="NormalWeb"/>
              <w:jc w:val="center"/>
            </w:pPr>
            <w:r>
              <w:t>1</w:t>
            </w:r>
          </w:p>
        </w:tc>
        <w:tc>
          <w:tcPr>
            <w:tcW w:w="9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A294752" w14:textId="77777777" w:rsidR="00277B35" w:rsidRDefault="00277B35" w:rsidP="00277B35">
            <w:pPr>
              <w:pStyle w:val="NormalWeb"/>
              <w:jc w:val="center"/>
            </w:pPr>
            <w:r>
              <w:t>0</w:t>
            </w:r>
          </w:p>
        </w:tc>
        <w:tc>
          <w:tcPr>
            <w:tcW w:w="283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CA1D407" w14:textId="77777777" w:rsidR="00277B35" w:rsidRDefault="00277B35" w:rsidP="00277B35">
            <w:pPr>
              <w:pStyle w:val="NormalWeb"/>
              <w:jc w:val="center"/>
            </w:pPr>
            <w:r>
              <w:t>1</w:t>
            </w:r>
          </w:p>
        </w:tc>
        <w:tc>
          <w:tcPr>
            <w:tcW w:w="15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74FF613" w14:textId="77777777" w:rsidR="00277B35" w:rsidRDefault="00277B35" w:rsidP="00277B35">
            <w:pPr>
              <w:pStyle w:val="NormalWeb"/>
              <w:jc w:val="center"/>
            </w:pPr>
            <w:r>
              <w:t>2</w:t>
            </w:r>
          </w:p>
        </w:tc>
        <w:tc>
          <w:tcPr>
            <w:tcW w:w="151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19FEF2C" w14:textId="77777777" w:rsidR="00277B35" w:rsidRDefault="00277B35" w:rsidP="00277B35">
            <w:pPr>
              <w:pStyle w:val="NormalWeb"/>
              <w:jc w:val="center"/>
            </w:pPr>
            <w:r>
              <w:t>2.00</w:t>
            </w:r>
          </w:p>
        </w:tc>
      </w:tr>
      <w:tr w:rsidR="009F4863" w14:paraId="7E041D78" w14:textId="77777777" w:rsidTr="0087149D">
        <w:trPr>
          <w:cnfStyle w:val="000000010000" w:firstRow="0" w:lastRow="0" w:firstColumn="0" w:lastColumn="0" w:oddVBand="0" w:evenVBand="0" w:oddHBand="0" w:evenHBand="1" w:firstRowFirstColumn="0" w:firstRowLastColumn="0" w:lastRowFirstColumn="0" w:lastRowLastColumn="0"/>
        </w:trPr>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166A92F" w14:textId="77777777" w:rsidR="00277B35" w:rsidRDefault="00277B35">
            <w:pPr>
              <w:pStyle w:val="NormalWeb"/>
            </w:pPr>
            <w:r>
              <w:t>Creutzfeldt-Jakob disease</w:t>
            </w:r>
          </w:p>
        </w:tc>
        <w:tc>
          <w:tcPr>
            <w:tcW w:w="9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A756437" w14:textId="77777777" w:rsidR="00277B35" w:rsidRDefault="00277B35" w:rsidP="00277B35">
            <w:pPr>
              <w:pStyle w:val="NormalWeb"/>
              <w:jc w:val="center"/>
            </w:pPr>
            <w:r>
              <w:t>0</w:t>
            </w:r>
          </w:p>
        </w:tc>
        <w:tc>
          <w:tcPr>
            <w:tcW w:w="9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4925A6F" w14:textId="77777777" w:rsidR="00277B35" w:rsidRDefault="00277B35" w:rsidP="00277B35">
            <w:pPr>
              <w:pStyle w:val="NormalWeb"/>
              <w:jc w:val="center"/>
            </w:pPr>
            <w:r>
              <w:t>0</w:t>
            </w:r>
          </w:p>
        </w:tc>
        <w:tc>
          <w:tcPr>
            <w:tcW w:w="9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DA446F8" w14:textId="77777777" w:rsidR="00277B35" w:rsidRDefault="00277B35" w:rsidP="00277B35">
            <w:pPr>
              <w:pStyle w:val="NormalWeb"/>
              <w:jc w:val="center"/>
            </w:pPr>
            <w:r>
              <w:t>0</w:t>
            </w:r>
          </w:p>
        </w:tc>
        <w:tc>
          <w:tcPr>
            <w:tcW w:w="9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243481F" w14:textId="77777777" w:rsidR="00277B35" w:rsidRDefault="00277B35" w:rsidP="00277B35">
            <w:pPr>
              <w:pStyle w:val="NormalWeb"/>
              <w:jc w:val="center"/>
            </w:pPr>
            <w:r>
              <w:t>0</w:t>
            </w:r>
          </w:p>
        </w:tc>
        <w:tc>
          <w:tcPr>
            <w:tcW w:w="9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A32B7AA" w14:textId="77777777" w:rsidR="00277B35" w:rsidRDefault="00277B35" w:rsidP="00277B35">
            <w:pPr>
              <w:pStyle w:val="NormalWeb"/>
              <w:jc w:val="center"/>
            </w:pPr>
            <w:r>
              <w:t>1</w:t>
            </w:r>
          </w:p>
        </w:tc>
        <w:tc>
          <w:tcPr>
            <w:tcW w:w="283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6BCA58A" w14:textId="77777777" w:rsidR="00277B35" w:rsidRDefault="00277B35" w:rsidP="00277B35">
            <w:pPr>
              <w:pStyle w:val="NormalWeb"/>
              <w:jc w:val="center"/>
            </w:pPr>
            <w:r>
              <w:t>0</w:t>
            </w:r>
          </w:p>
        </w:tc>
        <w:tc>
          <w:tcPr>
            <w:tcW w:w="15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E275C20" w14:textId="77777777" w:rsidR="00277B35" w:rsidRDefault="00277B35" w:rsidP="00277B35">
            <w:pPr>
              <w:pStyle w:val="NormalWeb"/>
              <w:jc w:val="center"/>
            </w:pPr>
            <w:r>
              <w:t>1</w:t>
            </w:r>
          </w:p>
        </w:tc>
        <w:tc>
          <w:tcPr>
            <w:tcW w:w="151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7060BEC" w14:textId="77777777" w:rsidR="00277B35" w:rsidRDefault="00277B35" w:rsidP="00277B35">
            <w:pPr>
              <w:pStyle w:val="NormalWeb"/>
              <w:jc w:val="center"/>
            </w:pPr>
            <w:r>
              <w:t>5.00</w:t>
            </w:r>
          </w:p>
        </w:tc>
      </w:tr>
      <w:tr w:rsidR="00601706" w14:paraId="1FAE4FCC" w14:textId="77777777" w:rsidTr="0087149D">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EEB8265" w14:textId="77777777" w:rsidR="00277B35" w:rsidRDefault="00277B35">
            <w:pPr>
              <w:pStyle w:val="NormalWeb"/>
            </w:pPr>
            <w:r>
              <w:t>Q fever</w:t>
            </w:r>
          </w:p>
        </w:tc>
        <w:tc>
          <w:tcPr>
            <w:tcW w:w="9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BF65BFF" w14:textId="77777777" w:rsidR="00277B35" w:rsidRDefault="00277B35" w:rsidP="00277B35">
            <w:pPr>
              <w:pStyle w:val="NormalWeb"/>
              <w:jc w:val="center"/>
            </w:pPr>
            <w:r>
              <w:t>12</w:t>
            </w:r>
          </w:p>
        </w:tc>
        <w:tc>
          <w:tcPr>
            <w:tcW w:w="9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534107E" w14:textId="77777777" w:rsidR="00277B35" w:rsidRDefault="00277B35" w:rsidP="00277B35">
            <w:pPr>
              <w:pStyle w:val="NormalWeb"/>
              <w:jc w:val="center"/>
            </w:pPr>
            <w:r>
              <w:t>3</w:t>
            </w:r>
          </w:p>
        </w:tc>
        <w:tc>
          <w:tcPr>
            <w:tcW w:w="9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96976DB" w14:textId="77777777" w:rsidR="00277B35" w:rsidRDefault="00277B35" w:rsidP="00277B35">
            <w:pPr>
              <w:pStyle w:val="NormalWeb"/>
              <w:jc w:val="center"/>
            </w:pPr>
            <w:r>
              <w:t>4</w:t>
            </w:r>
          </w:p>
        </w:tc>
        <w:tc>
          <w:tcPr>
            <w:tcW w:w="9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E019B88" w14:textId="77777777" w:rsidR="00277B35" w:rsidRDefault="00277B35" w:rsidP="00277B35">
            <w:pPr>
              <w:pStyle w:val="NormalWeb"/>
              <w:jc w:val="center"/>
            </w:pPr>
            <w:r>
              <w:t>3</w:t>
            </w:r>
          </w:p>
        </w:tc>
        <w:tc>
          <w:tcPr>
            <w:tcW w:w="9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EB8806E" w14:textId="77777777" w:rsidR="00277B35" w:rsidRDefault="00277B35" w:rsidP="00277B35">
            <w:pPr>
              <w:pStyle w:val="NormalWeb"/>
              <w:jc w:val="center"/>
            </w:pPr>
            <w:r>
              <w:t>6</w:t>
            </w:r>
          </w:p>
        </w:tc>
        <w:tc>
          <w:tcPr>
            <w:tcW w:w="283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723D580" w14:textId="77777777" w:rsidR="00277B35" w:rsidRDefault="00277B35" w:rsidP="00277B35">
            <w:pPr>
              <w:pStyle w:val="NormalWeb"/>
              <w:jc w:val="center"/>
            </w:pPr>
            <w:r>
              <w:t>6</w:t>
            </w:r>
          </w:p>
        </w:tc>
        <w:tc>
          <w:tcPr>
            <w:tcW w:w="15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4C26BA9" w14:textId="77777777" w:rsidR="00277B35" w:rsidRDefault="00277B35" w:rsidP="00277B35">
            <w:pPr>
              <w:pStyle w:val="NormalWeb"/>
              <w:jc w:val="center"/>
            </w:pPr>
            <w:r>
              <w:t>15</w:t>
            </w:r>
          </w:p>
        </w:tc>
        <w:tc>
          <w:tcPr>
            <w:tcW w:w="151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1A91C45" w14:textId="77777777" w:rsidR="00277B35" w:rsidRDefault="00277B35" w:rsidP="00277B35">
            <w:pPr>
              <w:pStyle w:val="NormalWeb"/>
              <w:jc w:val="center"/>
            </w:pPr>
            <w:r>
              <w:t>2.50</w:t>
            </w:r>
          </w:p>
        </w:tc>
      </w:tr>
      <w:tr w:rsidR="0045233A" w:rsidRPr="0045233A" w14:paraId="2FBDF722" w14:textId="77777777" w:rsidTr="0087149D">
        <w:trPr>
          <w:cnfStyle w:val="000000010000" w:firstRow="0" w:lastRow="0" w:firstColumn="0" w:lastColumn="0" w:oddVBand="0" w:evenVBand="0" w:oddHBand="0" w:evenHBand="1" w:firstRowFirstColumn="0" w:firstRowLastColumn="0" w:lastRowFirstColumn="0" w:lastRowLastColumn="0"/>
        </w:trPr>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808080" w:themeFill="background1" w:themeFillShade="80"/>
            <w:hideMark/>
          </w:tcPr>
          <w:p w14:paraId="7D37F895" w14:textId="77777777" w:rsidR="00277B35" w:rsidRPr="0045233A" w:rsidRDefault="00277B35">
            <w:pPr>
              <w:pStyle w:val="NormalWeb"/>
              <w:rPr>
                <w:b/>
                <w:color w:val="FFFFFF" w:themeColor="background1"/>
              </w:rPr>
            </w:pPr>
            <w:r w:rsidRPr="0045233A">
              <w:rPr>
                <w:b/>
                <w:color w:val="FFFFFF" w:themeColor="background1"/>
              </w:rPr>
              <w:t>Other diseases</w:t>
            </w:r>
          </w:p>
        </w:tc>
        <w:tc>
          <w:tcPr>
            <w:tcW w:w="9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808080" w:themeFill="background1" w:themeFillShade="80"/>
            <w:hideMark/>
          </w:tcPr>
          <w:p w14:paraId="67486429" w14:textId="77777777" w:rsidR="00277B35" w:rsidRPr="0045233A" w:rsidRDefault="00277B35" w:rsidP="00277B35">
            <w:pPr>
              <w:jc w:val="center"/>
              <w:rPr>
                <w:b/>
                <w:color w:val="FFFFFF" w:themeColor="background1"/>
              </w:rPr>
            </w:pPr>
          </w:p>
        </w:tc>
        <w:tc>
          <w:tcPr>
            <w:tcW w:w="9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808080" w:themeFill="background1" w:themeFillShade="80"/>
            <w:hideMark/>
          </w:tcPr>
          <w:p w14:paraId="5F3778CC" w14:textId="77777777" w:rsidR="00277B35" w:rsidRPr="0045233A" w:rsidRDefault="00277B35" w:rsidP="00277B35">
            <w:pPr>
              <w:jc w:val="center"/>
              <w:rPr>
                <w:rFonts w:eastAsia="Times New Roman"/>
                <w:b/>
                <w:color w:val="FFFFFF" w:themeColor="background1"/>
                <w:sz w:val="20"/>
                <w:szCs w:val="20"/>
              </w:rPr>
            </w:pPr>
          </w:p>
        </w:tc>
        <w:tc>
          <w:tcPr>
            <w:tcW w:w="9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808080" w:themeFill="background1" w:themeFillShade="80"/>
            <w:hideMark/>
          </w:tcPr>
          <w:p w14:paraId="6E220645" w14:textId="77777777" w:rsidR="00277B35" w:rsidRPr="0045233A" w:rsidRDefault="00277B35" w:rsidP="00277B35">
            <w:pPr>
              <w:jc w:val="center"/>
              <w:rPr>
                <w:rFonts w:eastAsia="Times New Roman"/>
                <w:b/>
                <w:color w:val="FFFFFF" w:themeColor="background1"/>
                <w:sz w:val="20"/>
                <w:szCs w:val="20"/>
              </w:rPr>
            </w:pPr>
          </w:p>
        </w:tc>
        <w:tc>
          <w:tcPr>
            <w:tcW w:w="9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808080" w:themeFill="background1" w:themeFillShade="80"/>
            <w:hideMark/>
          </w:tcPr>
          <w:p w14:paraId="2A576EF1" w14:textId="77777777" w:rsidR="00277B35" w:rsidRPr="0045233A" w:rsidRDefault="00277B35" w:rsidP="00277B35">
            <w:pPr>
              <w:jc w:val="center"/>
              <w:rPr>
                <w:rFonts w:eastAsia="Times New Roman"/>
                <w:b/>
                <w:color w:val="FFFFFF" w:themeColor="background1"/>
                <w:sz w:val="20"/>
                <w:szCs w:val="20"/>
              </w:rPr>
            </w:pPr>
          </w:p>
        </w:tc>
        <w:tc>
          <w:tcPr>
            <w:tcW w:w="9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808080" w:themeFill="background1" w:themeFillShade="80"/>
            <w:hideMark/>
          </w:tcPr>
          <w:p w14:paraId="7747E059" w14:textId="77777777" w:rsidR="00277B35" w:rsidRPr="0045233A" w:rsidRDefault="00277B35" w:rsidP="00277B35">
            <w:pPr>
              <w:jc w:val="center"/>
              <w:rPr>
                <w:rFonts w:eastAsia="Times New Roman"/>
                <w:b/>
                <w:color w:val="FFFFFF" w:themeColor="background1"/>
                <w:sz w:val="20"/>
                <w:szCs w:val="20"/>
              </w:rPr>
            </w:pPr>
          </w:p>
        </w:tc>
        <w:tc>
          <w:tcPr>
            <w:tcW w:w="283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808080" w:themeFill="background1" w:themeFillShade="80"/>
            <w:hideMark/>
          </w:tcPr>
          <w:p w14:paraId="1B76BD81" w14:textId="77777777" w:rsidR="00277B35" w:rsidRPr="0045233A" w:rsidRDefault="00277B35" w:rsidP="00277B35">
            <w:pPr>
              <w:jc w:val="center"/>
              <w:rPr>
                <w:rFonts w:eastAsia="Times New Roman"/>
                <w:b/>
                <w:color w:val="FFFFFF" w:themeColor="background1"/>
                <w:sz w:val="20"/>
                <w:szCs w:val="20"/>
              </w:rPr>
            </w:pPr>
          </w:p>
        </w:tc>
        <w:tc>
          <w:tcPr>
            <w:tcW w:w="15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808080" w:themeFill="background1" w:themeFillShade="80"/>
            <w:hideMark/>
          </w:tcPr>
          <w:p w14:paraId="3550CB6A" w14:textId="77777777" w:rsidR="00277B35" w:rsidRPr="0045233A" w:rsidRDefault="00277B35" w:rsidP="00277B35">
            <w:pPr>
              <w:jc w:val="center"/>
              <w:rPr>
                <w:rFonts w:eastAsia="Times New Roman"/>
                <w:b/>
                <w:color w:val="FFFFFF" w:themeColor="background1"/>
                <w:sz w:val="20"/>
                <w:szCs w:val="20"/>
              </w:rPr>
            </w:pPr>
          </w:p>
        </w:tc>
        <w:tc>
          <w:tcPr>
            <w:tcW w:w="151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808080" w:themeFill="background1" w:themeFillShade="80"/>
            <w:hideMark/>
          </w:tcPr>
          <w:p w14:paraId="77987B45" w14:textId="77777777" w:rsidR="00277B35" w:rsidRPr="0045233A" w:rsidRDefault="00277B35" w:rsidP="00277B35">
            <w:pPr>
              <w:jc w:val="center"/>
              <w:rPr>
                <w:rFonts w:eastAsia="Times New Roman"/>
                <w:b/>
                <w:color w:val="FFFFFF" w:themeColor="background1"/>
                <w:sz w:val="20"/>
                <w:szCs w:val="20"/>
              </w:rPr>
            </w:pPr>
          </w:p>
        </w:tc>
      </w:tr>
      <w:tr w:rsidR="00601706" w14:paraId="23A37343" w14:textId="77777777" w:rsidTr="0087149D">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5BEB0F0" w14:textId="77777777" w:rsidR="00277B35" w:rsidRDefault="00277B35">
            <w:pPr>
              <w:pStyle w:val="NormalWeb"/>
              <w:rPr>
                <w:sz w:val="24"/>
                <w:szCs w:val="24"/>
              </w:rPr>
            </w:pPr>
            <w:proofErr w:type="spellStart"/>
            <w:r>
              <w:t>Legionellosis</w:t>
            </w:r>
            <w:proofErr w:type="spellEnd"/>
          </w:p>
        </w:tc>
        <w:tc>
          <w:tcPr>
            <w:tcW w:w="9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1F96BC02" w14:textId="77777777" w:rsidR="00277B35" w:rsidRDefault="00277B35" w:rsidP="00277B35">
            <w:pPr>
              <w:pStyle w:val="NormalWeb"/>
              <w:jc w:val="center"/>
            </w:pPr>
            <w:r>
              <w:t>3</w:t>
            </w:r>
          </w:p>
        </w:tc>
        <w:tc>
          <w:tcPr>
            <w:tcW w:w="9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4B763E0" w14:textId="77777777" w:rsidR="00277B35" w:rsidRDefault="00277B35" w:rsidP="00277B35">
            <w:pPr>
              <w:pStyle w:val="NormalWeb"/>
              <w:jc w:val="center"/>
            </w:pPr>
            <w:r>
              <w:t>2</w:t>
            </w:r>
          </w:p>
        </w:tc>
        <w:tc>
          <w:tcPr>
            <w:tcW w:w="9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A7F8FB2" w14:textId="77777777" w:rsidR="00277B35" w:rsidRDefault="00277B35" w:rsidP="00277B35">
            <w:pPr>
              <w:pStyle w:val="NormalWeb"/>
              <w:jc w:val="center"/>
            </w:pPr>
            <w:r>
              <w:t>3</w:t>
            </w:r>
          </w:p>
        </w:tc>
        <w:tc>
          <w:tcPr>
            <w:tcW w:w="9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AB87B4D" w14:textId="77777777" w:rsidR="00277B35" w:rsidRDefault="00277B35" w:rsidP="00277B35">
            <w:pPr>
              <w:pStyle w:val="NormalWeb"/>
              <w:jc w:val="center"/>
            </w:pPr>
            <w:r>
              <w:t>1</w:t>
            </w:r>
          </w:p>
        </w:tc>
        <w:tc>
          <w:tcPr>
            <w:tcW w:w="9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225F186F" w14:textId="77777777" w:rsidR="00277B35" w:rsidRDefault="00277B35" w:rsidP="00277B35">
            <w:pPr>
              <w:pStyle w:val="NormalWeb"/>
              <w:jc w:val="center"/>
            </w:pPr>
            <w:r>
              <w:t>1</w:t>
            </w:r>
          </w:p>
        </w:tc>
        <w:tc>
          <w:tcPr>
            <w:tcW w:w="283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5391D89" w14:textId="77777777" w:rsidR="00277B35" w:rsidRDefault="00277B35" w:rsidP="00277B35">
            <w:pPr>
              <w:pStyle w:val="NormalWeb"/>
              <w:jc w:val="center"/>
            </w:pPr>
            <w:r>
              <w:t>2</w:t>
            </w:r>
          </w:p>
        </w:tc>
        <w:tc>
          <w:tcPr>
            <w:tcW w:w="15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B2EE7FC" w14:textId="77777777" w:rsidR="00277B35" w:rsidRDefault="00277B35" w:rsidP="00277B35">
            <w:pPr>
              <w:pStyle w:val="NormalWeb"/>
              <w:jc w:val="center"/>
            </w:pPr>
            <w:r>
              <w:t>1</w:t>
            </w:r>
          </w:p>
        </w:tc>
        <w:tc>
          <w:tcPr>
            <w:tcW w:w="151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18698E0" w14:textId="77777777" w:rsidR="00277B35" w:rsidRDefault="00277B35" w:rsidP="00277B35">
            <w:pPr>
              <w:pStyle w:val="NormalWeb"/>
              <w:jc w:val="center"/>
            </w:pPr>
            <w:r>
              <w:t>0.50</w:t>
            </w:r>
          </w:p>
        </w:tc>
      </w:tr>
      <w:tr w:rsidR="009F4863" w14:paraId="09366DC4" w14:textId="77777777" w:rsidTr="0087149D">
        <w:trPr>
          <w:cnfStyle w:val="000000010000" w:firstRow="0" w:lastRow="0" w:firstColumn="0" w:lastColumn="0" w:oddVBand="0" w:evenVBand="0" w:oddHBand="0" w:evenHBand="1" w:firstRowFirstColumn="0" w:firstRowLastColumn="0" w:lastRowFirstColumn="0" w:lastRowLastColumn="0"/>
        </w:trPr>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089996C" w14:textId="77777777" w:rsidR="00277B35" w:rsidRDefault="00277B35">
            <w:pPr>
              <w:pStyle w:val="NormalWeb"/>
            </w:pPr>
            <w:r>
              <w:t>Meningococcal disease (invasive)</w:t>
            </w:r>
          </w:p>
        </w:tc>
        <w:tc>
          <w:tcPr>
            <w:tcW w:w="9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9CF9F89" w14:textId="77777777" w:rsidR="00277B35" w:rsidRDefault="00277B35" w:rsidP="00277B35">
            <w:pPr>
              <w:pStyle w:val="NormalWeb"/>
              <w:jc w:val="center"/>
            </w:pPr>
            <w:r>
              <w:t>2</w:t>
            </w:r>
          </w:p>
        </w:tc>
        <w:tc>
          <w:tcPr>
            <w:tcW w:w="9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D281E17" w14:textId="77777777" w:rsidR="00277B35" w:rsidRDefault="00277B35" w:rsidP="00277B35">
            <w:pPr>
              <w:pStyle w:val="NormalWeb"/>
              <w:jc w:val="center"/>
            </w:pPr>
            <w:r>
              <w:t>2</w:t>
            </w:r>
          </w:p>
        </w:tc>
        <w:tc>
          <w:tcPr>
            <w:tcW w:w="9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7173198" w14:textId="77777777" w:rsidR="00277B35" w:rsidRDefault="00277B35" w:rsidP="00277B35">
            <w:pPr>
              <w:pStyle w:val="NormalWeb"/>
              <w:jc w:val="center"/>
            </w:pPr>
            <w:r>
              <w:t>5</w:t>
            </w:r>
          </w:p>
        </w:tc>
        <w:tc>
          <w:tcPr>
            <w:tcW w:w="9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FD67ADE" w14:textId="77777777" w:rsidR="00277B35" w:rsidRDefault="00277B35" w:rsidP="00277B35">
            <w:pPr>
              <w:pStyle w:val="NormalWeb"/>
              <w:jc w:val="center"/>
            </w:pPr>
            <w:r>
              <w:t>3</w:t>
            </w:r>
          </w:p>
        </w:tc>
        <w:tc>
          <w:tcPr>
            <w:tcW w:w="9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2349102" w14:textId="77777777" w:rsidR="00277B35" w:rsidRDefault="00277B35" w:rsidP="00277B35">
            <w:pPr>
              <w:pStyle w:val="NormalWeb"/>
              <w:jc w:val="center"/>
            </w:pPr>
            <w:r>
              <w:t>6</w:t>
            </w:r>
          </w:p>
        </w:tc>
        <w:tc>
          <w:tcPr>
            <w:tcW w:w="283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75ABC4F4" w14:textId="77777777" w:rsidR="00277B35" w:rsidRDefault="00277B35" w:rsidP="00277B35">
            <w:pPr>
              <w:pStyle w:val="NormalWeb"/>
              <w:jc w:val="center"/>
            </w:pPr>
            <w:r>
              <w:t>4</w:t>
            </w:r>
          </w:p>
        </w:tc>
        <w:tc>
          <w:tcPr>
            <w:tcW w:w="15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59AFAC91" w14:textId="77777777" w:rsidR="00277B35" w:rsidRDefault="00277B35" w:rsidP="00277B35">
            <w:pPr>
              <w:pStyle w:val="NormalWeb"/>
              <w:jc w:val="center"/>
            </w:pPr>
            <w:r>
              <w:t>2</w:t>
            </w:r>
          </w:p>
        </w:tc>
        <w:tc>
          <w:tcPr>
            <w:tcW w:w="151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37C0E1E" w14:textId="77777777" w:rsidR="00277B35" w:rsidRDefault="00277B35" w:rsidP="00277B35">
            <w:pPr>
              <w:pStyle w:val="NormalWeb"/>
              <w:jc w:val="center"/>
            </w:pPr>
            <w:r>
              <w:t>0.50</w:t>
            </w:r>
          </w:p>
        </w:tc>
      </w:tr>
    </w:tbl>
    <w:p w14:paraId="081DBC04" w14:textId="77777777" w:rsidR="00277B35" w:rsidRDefault="00277B35">
      <w:pPr>
        <w:pStyle w:val="Heading2"/>
        <w:rPr>
          <w:rFonts w:eastAsia="Times New Roman"/>
        </w:rPr>
        <w:sectPr w:rsidR="00277B35" w:rsidSect="00277B35">
          <w:pgSz w:w="16838" w:h="11906" w:orient="landscape"/>
          <w:pgMar w:top="720" w:right="720" w:bottom="720" w:left="1134" w:header="709" w:footer="284" w:gutter="0"/>
          <w:cols w:space="708"/>
          <w:titlePg/>
          <w:docGrid w:linePitch="360"/>
        </w:sectPr>
      </w:pPr>
    </w:p>
    <w:p w14:paraId="77C2A7B0" w14:textId="77777777" w:rsidR="00277B35" w:rsidRPr="00720AB7" w:rsidRDefault="00277B35" w:rsidP="00720AB7">
      <w:pPr>
        <w:pStyle w:val="Heading2"/>
      </w:pPr>
      <w:r w:rsidRPr="00720AB7">
        <w:lastRenderedPageBreak/>
        <w:t xml:space="preserve">Diseases with decreased notifications </w:t>
      </w:r>
    </w:p>
    <w:p w14:paraId="01A7FAA9" w14:textId="77777777" w:rsidR="00277B35" w:rsidRDefault="00277B35" w:rsidP="009B6758">
      <w:r>
        <w:t>In the six-month period, notifications decreased compared to the 5-year average for gastrointestinal disease: cryptosporidiosis (</w:t>
      </w:r>
      <w:proofErr w:type="gramStart"/>
      <w:r>
        <w:t>5</w:t>
      </w:r>
      <w:proofErr w:type="gramEnd"/>
      <w:r>
        <w:t xml:space="preserve"> vs. 40, decrease = 87%); VPDs: influenza (10 vs. 1535, decrease = 99%), pertussis (5 vs. 40, decrease = 87%), rotavirus (3 vs. 35, decrease = 91%) and varicella zoster-unspecified (41 vs. 104, decrease = 61%). Notifications for these diseases in 2020 were less than in the same period in each of the years 2015 to 2019. </w:t>
      </w:r>
    </w:p>
    <w:p w14:paraId="2447D247" w14:textId="77777777" w:rsidR="00277B35" w:rsidRPr="00720AB7" w:rsidRDefault="00277B35" w:rsidP="00720AB7">
      <w:pPr>
        <w:pStyle w:val="Heading2"/>
      </w:pPr>
      <w:r w:rsidRPr="00720AB7">
        <w:t xml:space="preserve">Diseases with increased notifications </w:t>
      </w:r>
    </w:p>
    <w:p w14:paraId="725AC010" w14:textId="77777777" w:rsidR="00277B35" w:rsidRDefault="00277B35" w:rsidP="009B6758">
      <w:proofErr w:type="gramStart"/>
      <w:r>
        <w:t>Observed notifications from 1 April to 30 September 2020 were more than the 5-year average for the same period for BBV: newly-acquired hepatitis C (37 vs. 17, increase = 118%); STIs: gonococcal infection (156 vs. 56, increase = 179%) and syphilis &lt; 2 years duration (21 vs. 12, increase = 75%); vector-borne diseases: Ross River virus (154 vs. 94, increase = 64%) and Barmah Forest virus (13 vs. 7, increase = 86%); and zoonotic disease – Q fever (15 vs. 6, increase = 150%).</w:t>
      </w:r>
      <w:proofErr w:type="gramEnd"/>
      <w:r>
        <w:t xml:space="preserve"> Notifications for these diseases in 2020 were more than in the same period in each of the years 2015 to</w:t>
      </w:r>
      <w:r w:rsidR="007D7448">
        <w:t> </w:t>
      </w:r>
      <w:r>
        <w:t xml:space="preserve">2019. </w:t>
      </w:r>
    </w:p>
    <w:p w14:paraId="1E871C17" w14:textId="77777777" w:rsidR="00277B35" w:rsidRPr="00720AB7" w:rsidRDefault="00277B35" w:rsidP="00720AB7">
      <w:pPr>
        <w:pStyle w:val="Heading2"/>
      </w:pPr>
      <w:r w:rsidRPr="00720AB7">
        <w:t xml:space="preserve">Zero notification </w:t>
      </w:r>
    </w:p>
    <w:p w14:paraId="404D5A60" w14:textId="77777777" w:rsidR="00277B35" w:rsidRDefault="00277B35" w:rsidP="009B6758">
      <w:r>
        <w:t xml:space="preserve">There was no notification of dengue fever, malaria, </w:t>
      </w:r>
      <w:proofErr w:type="gramStart"/>
      <w:r>
        <w:t>newly-acquired</w:t>
      </w:r>
      <w:proofErr w:type="gramEnd"/>
      <w:r>
        <w:t xml:space="preserve"> hepatitis B or mumps from 1 April to 30 September 2020. </w:t>
      </w:r>
    </w:p>
    <w:p w14:paraId="7290DB4E" w14:textId="77777777" w:rsidR="00277B35" w:rsidRPr="00720AB7" w:rsidRDefault="00277B35" w:rsidP="00720AB7">
      <w:pPr>
        <w:pStyle w:val="Heading1"/>
      </w:pPr>
      <w:r w:rsidRPr="00720AB7">
        <w:t xml:space="preserve">Discussion </w:t>
      </w:r>
    </w:p>
    <w:p w14:paraId="3A3A35A6" w14:textId="77777777" w:rsidR="00277B35" w:rsidRDefault="00277B35" w:rsidP="009B6758">
      <w:r>
        <w:t>To the best of our knowledge, this is the first report to assess the effect of the COVID-19 public health measures on notifiable diseases in any regional area in Australia. This information is important for public health service planning and delivery in regional and rural areas where maintaining routine public health services, along with the COVID-19 pandemic response, is equally important and challenging. This report suggests that the wider lockdown, overseas travel restrictions, social and physical distancing and hygiene etiquettes may have contributed to the reduction in transmission of cryptosporidiosis, influenza, pertussis, rotavirus and varicella zoster (unspecified) in Central Queensland. Decreased notifications for respiratory diseases and rotavirus in Australia were also reported months after the implementation of COVID-19 measures.</w:t>
      </w:r>
      <w:r>
        <w:rPr>
          <w:vertAlign w:val="superscript"/>
        </w:rPr>
        <w:t>3,4</w:t>
      </w:r>
      <w:r>
        <w:t xml:space="preserve"> The observed reduction in 2020 in CQ, particularly for the VPDs, highlights how conventional infection control practices could play a major role in preventing outbreaks of respiratory infections. Wider lockdowns, physical distancing measures, restrictions on larger gatherings, wider use of masks, remote work arrangements, and increased awareness of hand hygiene all may have contributed to the reduction of VPDs in CQ. Further research following findings from this report should identify the most effective measures that contributed to the low numbers of VPDs in CQ. </w:t>
      </w:r>
    </w:p>
    <w:p w14:paraId="6628F3F3" w14:textId="5B60617E" w:rsidR="00277B35" w:rsidRDefault="00277B35" w:rsidP="00720AB7">
      <w:r>
        <w:t xml:space="preserve">On the other hand, notifications increased for blood-borne viruses and sexually </w:t>
      </w:r>
      <w:r w:rsidR="00292EA2">
        <w:t xml:space="preserve">transmissible </w:t>
      </w:r>
      <w:r>
        <w:t xml:space="preserve">infections such as </w:t>
      </w:r>
      <w:proofErr w:type="gramStart"/>
      <w:r>
        <w:t>newly-acquired</w:t>
      </w:r>
      <w:proofErr w:type="gramEnd"/>
      <w:r>
        <w:t xml:space="preserve"> hepatitis C, gonorrhoea (STI), and infectious syphilis (less than 2 years duration). There have been suggestions of a possible future reduction in incidence of STIs as a result of COVID-19 isolation measures</w:t>
      </w:r>
      <w:proofErr w:type="gramStart"/>
      <w:r>
        <w:t>;</w:t>
      </w:r>
      <w:r>
        <w:rPr>
          <w:vertAlign w:val="superscript"/>
        </w:rPr>
        <w:t>5</w:t>
      </w:r>
      <w:proofErr w:type="gramEnd"/>
      <w:r>
        <w:t xml:space="preserve"> however, the current report shows contrary results. This is likely due to ongoing syphilis and gonorrhoea outbreaks in the region since early 2019.</w:t>
      </w:r>
      <w:r>
        <w:rPr>
          <w:vertAlign w:val="superscript"/>
        </w:rPr>
        <w:t>6</w:t>
      </w:r>
      <w:r>
        <w:t xml:space="preserve"> </w:t>
      </w:r>
      <w:proofErr w:type="gramStart"/>
      <w:r>
        <w:t>The</w:t>
      </w:r>
      <w:proofErr w:type="gramEnd"/>
      <w:r>
        <w:t xml:space="preserve"> increase in the number of gonorrhoea and syphilis notifications in CQ is a major concern, potentially indicating that the implemented measures might not have inhibited risky behaviours. Increased testing will lead to a rise in case detection; however, data were unavailable to account for changes in testing rates in 2020 compared to previous years. </w:t>
      </w:r>
    </w:p>
    <w:p w14:paraId="4C239887" w14:textId="1B8902E1" w:rsidR="00277B35" w:rsidRDefault="00277B35" w:rsidP="00720AB7">
      <w:r>
        <w:t xml:space="preserve">We have also observed an increase in vector-borne </w:t>
      </w:r>
      <w:proofErr w:type="gramStart"/>
      <w:r>
        <w:t>infections which</w:t>
      </w:r>
      <w:proofErr w:type="gramEnd"/>
      <w:r>
        <w:t xml:space="preserve"> include Ross River virus, Barmah Forest virus and Q fever in 2020, compared to the same period in 2015–2019. </w:t>
      </w:r>
      <w:proofErr w:type="gramStart"/>
      <w:r>
        <w:t>The implemented COVID-19 restrictions limited movements of people, which potentially may have provided CQ residents with the opportunity to spend more time around their homes and exercising locally outdoors, resulting in increased risk of vector-borne diseases such as Ross River virus and Barmah Forest virus.</w:t>
      </w:r>
      <w:r>
        <w:rPr>
          <w:vertAlign w:val="superscript"/>
        </w:rPr>
        <w:t>7</w:t>
      </w:r>
      <w:r>
        <w:t xml:space="preserve"> Further investigation is required to determine whether increased cases of these </w:t>
      </w:r>
      <w:r>
        <w:lastRenderedPageBreak/>
        <w:t>mosquito-borne diseases may have resulted from an increased mosquito abundance due to favourable environmental conditions, or was perhaps due to changes in human behaviour resulting in increased exposure to mosquitoes.</w:t>
      </w:r>
      <w:r>
        <w:rPr>
          <w:vertAlign w:val="superscript"/>
        </w:rPr>
        <w:t>7</w:t>
      </w:r>
      <w:r>
        <w:t xml:space="preserve"> Also, the increase in notifications of Q </w:t>
      </w:r>
      <w:r w:rsidR="00292EA2">
        <w:t xml:space="preserve">fever </w:t>
      </w:r>
      <w:r>
        <w:t>may be a result of spending more time with livestock and around households where wildlife, such as kangaroos, may be present.</w:t>
      </w:r>
      <w:proofErr w:type="gramEnd"/>
      <w:r>
        <w:t xml:space="preserve"> </w:t>
      </w:r>
    </w:p>
    <w:p w14:paraId="0C9F586D" w14:textId="77777777" w:rsidR="00277B35" w:rsidRDefault="00277B35" w:rsidP="00720AB7">
      <w:r>
        <w:t xml:space="preserve">International travel restrictions have potentially contributed to the zero notifications observed for dengue and malaria. </w:t>
      </w:r>
    </w:p>
    <w:p w14:paraId="580FF7DB" w14:textId="77777777" w:rsidR="00277B35" w:rsidRDefault="00277B35" w:rsidP="00720AB7">
      <w:r>
        <w:t xml:space="preserve">The study’s limitations include a potential decline </w:t>
      </w:r>
      <w:proofErr w:type="gramStart"/>
      <w:r>
        <w:t>in healthcare presentations by individuals for fear of exposure to patients with COVID-19</w:t>
      </w:r>
      <w:proofErr w:type="gramEnd"/>
      <w:r>
        <w:t xml:space="preserve">. </w:t>
      </w:r>
      <w:proofErr w:type="gramStart"/>
      <w:r>
        <w:t>Also</w:t>
      </w:r>
      <w:proofErr w:type="gramEnd"/>
      <w:r>
        <w:t xml:space="preserve">, potentially, there might have been a reduction of testing for other communicable diseases due to the high numbers of COVID-19 test requests. </w:t>
      </w:r>
    </w:p>
    <w:p w14:paraId="77A4777A" w14:textId="77777777" w:rsidR="00277B35" w:rsidRPr="00720AB7" w:rsidRDefault="00277B35" w:rsidP="00720AB7">
      <w:pPr>
        <w:pStyle w:val="Heading1"/>
      </w:pPr>
      <w:r w:rsidRPr="00720AB7">
        <w:t xml:space="preserve">Conclusion </w:t>
      </w:r>
    </w:p>
    <w:p w14:paraId="7B888B3D" w14:textId="77777777" w:rsidR="00277B35" w:rsidRDefault="00277B35" w:rsidP="009B6758">
      <w:r>
        <w:t xml:space="preserve">The implemented COVID-19 public health measures might have contributed to a decrease in some VPDs in CQ. There were increases in several STIs, vector-borne diseases and conditions in other disease groups, suggesting more research is needed into the factors underlying such increases. There was no reported notification for dengue fever and </w:t>
      </w:r>
      <w:proofErr w:type="gramStart"/>
      <w:r>
        <w:t>malaria which</w:t>
      </w:r>
      <w:proofErr w:type="gramEnd"/>
      <w:r>
        <w:t xml:space="preserve"> are mostly acquired from overseas travel. </w:t>
      </w:r>
      <w:proofErr w:type="gramStart"/>
      <w:r>
        <w:t>Long term</w:t>
      </w:r>
      <w:proofErr w:type="gramEnd"/>
      <w:r>
        <w:t xml:space="preserve"> investigation into pattern of disease notifications may provide additional information on the impact of the implemented measures on notifiable diseases</w:t>
      </w:r>
      <w:r w:rsidR="009B6758">
        <w:t> </w:t>
      </w:r>
      <w:r>
        <w:t xml:space="preserve">in CQ. </w:t>
      </w:r>
    </w:p>
    <w:p w14:paraId="4052902E" w14:textId="77777777" w:rsidR="00292EA2" w:rsidRDefault="00292EA2">
      <w:pPr>
        <w:rPr>
          <w:rFonts w:asciiTheme="majorHAnsi" w:eastAsiaTheme="majorEastAsia" w:hAnsiTheme="majorHAnsi" w:cstheme="majorBidi"/>
          <w:b/>
          <w:bCs/>
          <w:sz w:val="32"/>
          <w:szCs w:val="28"/>
        </w:rPr>
      </w:pPr>
      <w:r>
        <w:br w:type="page"/>
      </w:r>
    </w:p>
    <w:p w14:paraId="3A7219A4" w14:textId="77777777" w:rsidR="00277B35" w:rsidRPr="00720AB7" w:rsidRDefault="00277B35" w:rsidP="00720AB7">
      <w:pPr>
        <w:pStyle w:val="Heading1"/>
      </w:pPr>
      <w:r w:rsidRPr="00720AB7">
        <w:lastRenderedPageBreak/>
        <w:t xml:space="preserve">Author details </w:t>
      </w:r>
    </w:p>
    <w:p w14:paraId="464E75C1" w14:textId="77777777" w:rsidR="00292EA2" w:rsidRDefault="00277B35" w:rsidP="00720AB7">
      <w:pPr>
        <w:rPr>
          <w:vertAlign w:val="superscript"/>
        </w:rPr>
      </w:pPr>
      <w:r>
        <w:t xml:space="preserve">Dr </w:t>
      </w:r>
      <w:proofErr w:type="spellStart"/>
      <w:r>
        <w:t>Odewumi</w:t>
      </w:r>
      <w:proofErr w:type="spellEnd"/>
      <w:r>
        <w:t xml:space="preserve"> Adegbija</w:t>
      </w:r>
      <w:r>
        <w:rPr>
          <w:vertAlign w:val="superscript"/>
        </w:rPr>
        <w:t xml:space="preserve">1 </w:t>
      </w:r>
    </w:p>
    <w:p w14:paraId="4B084A66" w14:textId="77777777" w:rsidR="00292EA2" w:rsidRDefault="00277B35" w:rsidP="00720AB7">
      <w:pPr>
        <w:rPr>
          <w:vertAlign w:val="superscript"/>
        </w:rPr>
      </w:pPr>
      <w:r>
        <w:t xml:space="preserve">Ms </w:t>
      </w:r>
      <w:proofErr w:type="spellStart"/>
      <w:r>
        <w:t>Jacina</w:t>
      </w:r>
      <w:proofErr w:type="spellEnd"/>
      <w:r>
        <w:t xml:space="preserve"> Walker</w:t>
      </w:r>
      <w:r>
        <w:rPr>
          <w:vertAlign w:val="superscript"/>
        </w:rPr>
        <w:t xml:space="preserve">1 </w:t>
      </w:r>
    </w:p>
    <w:p w14:paraId="181B0A5E" w14:textId="77777777" w:rsidR="00292EA2" w:rsidRDefault="00277B35" w:rsidP="00720AB7">
      <w:pPr>
        <w:rPr>
          <w:vertAlign w:val="superscript"/>
        </w:rPr>
      </w:pPr>
      <w:r>
        <w:t>Dr Nicolas Smoll</w:t>
      </w:r>
      <w:r>
        <w:rPr>
          <w:vertAlign w:val="superscript"/>
        </w:rPr>
        <w:t xml:space="preserve">1 </w:t>
      </w:r>
    </w:p>
    <w:p w14:paraId="60696D6C" w14:textId="77777777" w:rsidR="00292EA2" w:rsidRDefault="00277B35" w:rsidP="00720AB7">
      <w:pPr>
        <w:rPr>
          <w:vertAlign w:val="superscript"/>
        </w:rPr>
      </w:pPr>
      <w:r>
        <w:t xml:space="preserve">Dr </w:t>
      </w:r>
      <w:proofErr w:type="spellStart"/>
      <w:r>
        <w:t>Arifuzzaman</w:t>
      </w:r>
      <w:proofErr w:type="spellEnd"/>
      <w:r>
        <w:t xml:space="preserve"> Khan</w:t>
      </w:r>
      <w:r>
        <w:rPr>
          <w:vertAlign w:val="superscript"/>
        </w:rPr>
        <w:t>1</w:t>
      </w:r>
      <w:proofErr w:type="gramStart"/>
      <w:r>
        <w:rPr>
          <w:vertAlign w:val="superscript"/>
        </w:rPr>
        <w:t>,2</w:t>
      </w:r>
      <w:proofErr w:type="gramEnd"/>
      <w:r>
        <w:rPr>
          <w:vertAlign w:val="superscript"/>
        </w:rPr>
        <w:t xml:space="preserve"> </w:t>
      </w:r>
    </w:p>
    <w:p w14:paraId="4797A7B1" w14:textId="77777777" w:rsidR="00292EA2" w:rsidRDefault="00277B35" w:rsidP="00720AB7">
      <w:pPr>
        <w:rPr>
          <w:vertAlign w:val="superscript"/>
        </w:rPr>
      </w:pPr>
      <w:r>
        <w:t xml:space="preserve">Dr </w:t>
      </w:r>
      <w:proofErr w:type="spellStart"/>
      <w:r>
        <w:t>Julieanne</w:t>
      </w:r>
      <w:proofErr w:type="spellEnd"/>
      <w:r>
        <w:t xml:space="preserve"> Graham</w:t>
      </w:r>
      <w:r>
        <w:rPr>
          <w:vertAlign w:val="superscript"/>
        </w:rPr>
        <w:t xml:space="preserve">3 </w:t>
      </w:r>
    </w:p>
    <w:p w14:paraId="20091AE1" w14:textId="77777777" w:rsidR="00277B35" w:rsidRDefault="00277B35" w:rsidP="00720AB7">
      <w:r>
        <w:t>Prof Gulam Khandaker</w:t>
      </w:r>
      <w:r>
        <w:rPr>
          <w:vertAlign w:val="superscript"/>
        </w:rPr>
        <w:t>1</w:t>
      </w:r>
      <w:proofErr w:type="gramStart"/>
      <w:r>
        <w:rPr>
          <w:vertAlign w:val="superscript"/>
        </w:rPr>
        <w:t>,4</w:t>
      </w:r>
      <w:proofErr w:type="gramEnd"/>
      <w:r>
        <w:rPr>
          <w:vertAlign w:val="superscript"/>
        </w:rPr>
        <w:t xml:space="preserve"> </w:t>
      </w:r>
    </w:p>
    <w:p w14:paraId="1858DA98" w14:textId="77777777" w:rsidR="00277B35" w:rsidRPr="00720AB7" w:rsidRDefault="00277B35" w:rsidP="00720AB7">
      <w:pPr>
        <w:pStyle w:val="ListParagraph"/>
        <w:numPr>
          <w:ilvl w:val="0"/>
          <w:numId w:val="9"/>
        </w:numPr>
        <w:rPr>
          <w:rFonts w:eastAsia="Times New Roman"/>
        </w:rPr>
      </w:pPr>
      <w:r w:rsidRPr="00720AB7">
        <w:rPr>
          <w:rFonts w:eastAsia="Times New Roman"/>
        </w:rPr>
        <w:t xml:space="preserve">Central Queensland Public Health Unit, Central Queensland Hospital and Health Services, Rockhampton, Australia. </w:t>
      </w:r>
    </w:p>
    <w:p w14:paraId="23C6BD2E" w14:textId="77777777" w:rsidR="00277B35" w:rsidRPr="00720AB7" w:rsidRDefault="00277B35" w:rsidP="00720AB7">
      <w:pPr>
        <w:pStyle w:val="ListParagraph"/>
        <w:numPr>
          <w:ilvl w:val="0"/>
          <w:numId w:val="9"/>
        </w:numPr>
        <w:rPr>
          <w:rFonts w:eastAsia="Times New Roman"/>
        </w:rPr>
      </w:pPr>
      <w:r w:rsidRPr="00720AB7">
        <w:rPr>
          <w:rFonts w:eastAsia="Times New Roman"/>
        </w:rPr>
        <w:t xml:space="preserve">School of Public Health, Faculty of Medicine, The University of Queensland, Australia </w:t>
      </w:r>
    </w:p>
    <w:p w14:paraId="1A545DE3" w14:textId="77777777" w:rsidR="00277B35" w:rsidRPr="00720AB7" w:rsidRDefault="00277B35" w:rsidP="00720AB7">
      <w:pPr>
        <w:pStyle w:val="ListParagraph"/>
        <w:numPr>
          <w:ilvl w:val="0"/>
          <w:numId w:val="9"/>
        </w:numPr>
        <w:rPr>
          <w:rFonts w:eastAsia="Times New Roman"/>
        </w:rPr>
      </w:pPr>
      <w:r w:rsidRPr="00720AB7">
        <w:rPr>
          <w:rFonts w:eastAsia="Times New Roman"/>
        </w:rPr>
        <w:t xml:space="preserve">Medical Services, Central Queensland Hospital and Health Services, Rockhampton, Australia </w:t>
      </w:r>
    </w:p>
    <w:p w14:paraId="31A28E94" w14:textId="77777777" w:rsidR="00277B35" w:rsidRPr="00720AB7" w:rsidRDefault="00277B35" w:rsidP="00720AB7">
      <w:pPr>
        <w:pStyle w:val="ListParagraph"/>
        <w:numPr>
          <w:ilvl w:val="0"/>
          <w:numId w:val="9"/>
        </w:numPr>
        <w:rPr>
          <w:rFonts w:eastAsia="Times New Roman"/>
        </w:rPr>
      </w:pPr>
      <w:r w:rsidRPr="00720AB7">
        <w:rPr>
          <w:rFonts w:eastAsia="Times New Roman"/>
        </w:rPr>
        <w:t xml:space="preserve">Research Division, Central Queensland University, Rockhampton, Australia </w:t>
      </w:r>
    </w:p>
    <w:p w14:paraId="444497AF" w14:textId="77777777" w:rsidR="00277B35" w:rsidRPr="00720AB7" w:rsidRDefault="00277B35" w:rsidP="00720AB7">
      <w:pPr>
        <w:pStyle w:val="Heading1"/>
      </w:pPr>
      <w:r w:rsidRPr="00720AB7">
        <w:t xml:space="preserve">Corresponding author </w:t>
      </w:r>
    </w:p>
    <w:p w14:paraId="167BFF33" w14:textId="77777777" w:rsidR="00277B35" w:rsidRDefault="00277B35" w:rsidP="00720AB7">
      <w:r>
        <w:t xml:space="preserve">Prof Gulam Khandaker </w:t>
      </w:r>
    </w:p>
    <w:p w14:paraId="2DFA0D36" w14:textId="77777777" w:rsidR="00277B35" w:rsidRDefault="00277B35" w:rsidP="00720AB7">
      <w:r>
        <w:t xml:space="preserve">Central Queensland Public Health Unit, Central Queensland Hospital and Health Service, Community Health Building, 82-86 Bolsover Street, Rockhampton, Qld 4700, Australia </w:t>
      </w:r>
    </w:p>
    <w:p w14:paraId="6CD9A79B" w14:textId="77777777" w:rsidR="00720AB7" w:rsidRDefault="00944E2A" w:rsidP="00720AB7">
      <w:r>
        <w:t>Phone: +61 7 4920 6897</w:t>
      </w:r>
      <w:r>
        <w:br/>
      </w:r>
      <w:r w:rsidR="00277B35">
        <w:t xml:space="preserve">Email: Gulam.Khandaker@health.qld.gov.au </w:t>
      </w:r>
    </w:p>
    <w:p w14:paraId="74FFE116" w14:textId="77777777" w:rsidR="00720AB7" w:rsidRDefault="00720AB7" w:rsidP="00720AB7">
      <w:r>
        <w:br w:type="page"/>
      </w:r>
    </w:p>
    <w:p w14:paraId="176B0BE5" w14:textId="77777777" w:rsidR="00277B35" w:rsidRPr="00720AB7" w:rsidRDefault="00277B35" w:rsidP="00720AB7">
      <w:pPr>
        <w:pStyle w:val="Heading1"/>
      </w:pPr>
      <w:r w:rsidRPr="00720AB7">
        <w:lastRenderedPageBreak/>
        <w:t xml:space="preserve">References </w:t>
      </w:r>
    </w:p>
    <w:p w14:paraId="00B41042" w14:textId="77777777" w:rsidR="00277B35" w:rsidRDefault="00277B35" w:rsidP="00277B35">
      <w:pPr>
        <w:numPr>
          <w:ilvl w:val="0"/>
          <w:numId w:val="8"/>
        </w:numPr>
        <w:spacing w:before="100" w:beforeAutospacing="1" w:after="100" w:afterAutospacing="1" w:line="240" w:lineRule="auto"/>
        <w:rPr>
          <w:rFonts w:eastAsia="Times New Roman"/>
        </w:rPr>
      </w:pPr>
      <w:r>
        <w:rPr>
          <w:rFonts w:eastAsia="Times New Roman"/>
        </w:rPr>
        <w:t xml:space="preserve">Aiello AE, </w:t>
      </w:r>
      <w:proofErr w:type="spellStart"/>
      <w:r>
        <w:rPr>
          <w:rFonts w:eastAsia="Times New Roman"/>
        </w:rPr>
        <w:t>Coulborn</w:t>
      </w:r>
      <w:proofErr w:type="spellEnd"/>
      <w:r>
        <w:rPr>
          <w:rFonts w:eastAsia="Times New Roman"/>
        </w:rPr>
        <w:t xml:space="preserve"> RM, Perez V, Larson EL. Effect of hand hygiene on infectious disease risk in the community </w:t>
      </w:r>
      <w:proofErr w:type="gramStart"/>
      <w:r>
        <w:rPr>
          <w:rFonts w:eastAsia="Times New Roman"/>
        </w:rPr>
        <w:t>setting:</w:t>
      </w:r>
      <w:proofErr w:type="gramEnd"/>
      <w:r>
        <w:rPr>
          <w:rFonts w:eastAsia="Times New Roman"/>
        </w:rPr>
        <w:t xml:space="preserve"> a meta-analysis. </w:t>
      </w:r>
      <w:r w:rsidRPr="004D32BE">
        <w:rPr>
          <w:rStyle w:val="Emphasis"/>
          <w:rFonts w:eastAsia="Times New Roman"/>
          <w:b w:val="0"/>
        </w:rPr>
        <w:t>Am J Public Health</w:t>
      </w:r>
      <w:r>
        <w:rPr>
          <w:rFonts w:eastAsia="Times New Roman"/>
        </w:rPr>
        <w:t>. 2008</w:t>
      </w:r>
      <w:proofErr w:type="gramStart"/>
      <w:r>
        <w:rPr>
          <w:rFonts w:eastAsia="Times New Roman"/>
        </w:rPr>
        <w:t>;98</w:t>
      </w:r>
      <w:proofErr w:type="gramEnd"/>
      <w:r>
        <w:rPr>
          <w:rFonts w:eastAsia="Times New Roman"/>
        </w:rPr>
        <w:t xml:space="preserve">(8):1372–81. </w:t>
      </w:r>
    </w:p>
    <w:p w14:paraId="16E07312" w14:textId="77777777" w:rsidR="00277B35" w:rsidRDefault="00277B35" w:rsidP="00277B35">
      <w:pPr>
        <w:numPr>
          <w:ilvl w:val="0"/>
          <w:numId w:val="8"/>
        </w:numPr>
        <w:spacing w:before="100" w:beforeAutospacing="1" w:after="100" w:afterAutospacing="1" w:line="240" w:lineRule="auto"/>
        <w:rPr>
          <w:rFonts w:eastAsia="Times New Roman"/>
        </w:rPr>
      </w:pPr>
      <w:r>
        <w:rPr>
          <w:rFonts w:eastAsia="Times New Roman"/>
        </w:rPr>
        <w:t xml:space="preserve">Britton PN, Hu N, </w:t>
      </w:r>
      <w:proofErr w:type="spellStart"/>
      <w:r>
        <w:rPr>
          <w:rFonts w:eastAsia="Times New Roman"/>
        </w:rPr>
        <w:t>Saravanos</w:t>
      </w:r>
      <w:proofErr w:type="spellEnd"/>
      <w:r>
        <w:rPr>
          <w:rFonts w:eastAsia="Times New Roman"/>
        </w:rPr>
        <w:t xml:space="preserve"> G, Shrapnel J, Davis J, Snelling T et al. COVID-19 public health measures and respiratory syncytial virus. </w:t>
      </w:r>
      <w:r w:rsidRPr="004D32BE">
        <w:rPr>
          <w:rStyle w:val="Emphasis"/>
          <w:rFonts w:eastAsia="Times New Roman"/>
          <w:b w:val="0"/>
        </w:rPr>
        <w:t xml:space="preserve">Lancet Child </w:t>
      </w:r>
      <w:proofErr w:type="spellStart"/>
      <w:r w:rsidRPr="004D32BE">
        <w:rPr>
          <w:rStyle w:val="Emphasis"/>
          <w:rFonts w:eastAsia="Times New Roman"/>
          <w:b w:val="0"/>
        </w:rPr>
        <w:t>Adolesc</w:t>
      </w:r>
      <w:proofErr w:type="spellEnd"/>
      <w:r w:rsidRPr="004D32BE">
        <w:rPr>
          <w:rStyle w:val="Emphasis"/>
          <w:rFonts w:eastAsia="Times New Roman"/>
          <w:b w:val="0"/>
        </w:rPr>
        <w:t xml:space="preserve"> Health</w:t>
      </w:r>
      <w:r>
        <w:rPr>
          <w:rFonts w:eastAsia="Times New Roman"/>
        </w:rPr>
        <w:t>. 2020</w:t>
      </w:r>
      <w:proofErr w:type="gramStart"/>
      <w:r>
        <w:rPr>
          <w:rFonts w:eastAsia="Times New Roman"/>
        </w:rPr>
        <w:t>;4</w:t>
      </w:r>
      <w:proofErr w:type="gramEnd"/>
      <w:r>
        <w:rPr>
          <w:rFonts w:eastAsia="Times New Roman"/>
        </w:rPr>
        <w:t xml:space="preserve">(11):e42–3. </w:t>
      </w:r>
    </w:p>
    <w:p w14:paraId="3BAB2AC5" w14:textId="77777777" w:rsidR="00277B35" w:rsidRDefault="00277B35" w:rsidP="00277B35">
      <w:pPr>
        <w:numPr>
          <w:ilvl w:val="0"/>
          <w:numId w:val="8"/>
        </w:numPr>
        <w:spacing w:before="100" w:beforeAutospacing="1" w:after="100" w:afterAutospacing="1" w:line="240" w:lineRule="auto"/>
        <w:rPr>
          <w:rFonts w:eastAsia="Times New Roman"/>
        </w:rPr>
      </w:pPr>
      <w:r>
        <w:rPr>
          <w:rFonts w:eastAsia="Times New Roman"/>
        </w:rPr>
        <w:t xml:space="preserve">Bright A, Glynn-Robinson AJ, Kane S, Wright R, Saul N. The effect of COVID-19 public health measures on nationally notifiable diseases in Australia: preliminary analysis. </w:t>
      </w:r>
      <w:proofErr w:type="spellStart"/>
      <w:r w:rsidRPr="004D32BE">
        <w:rPr>
          <w:rStyle w:val="Emphasis"/>
          <w:rFonts w:eastAsia="Times New Roman"/>
          <w:b w:val="0"/>
        </w:rPr>
        <w:t>Commun</w:t>
      </w:r>
      <w:proofErr w:type="spellEnd"/>
      <w:r w:rsidRPr="004D32BE">
        <w:rPr>
          <w:rStyle w:val="Emphasis"/>
          <w:rFonts w:eastAsia="Times New Roman"/>
          <w:b w:val="0"/>
        </w:rPr>
        <w:t xml:space="preserve"> Dis </w:t>
      </w:r>
      <w:proofErr w:type="spellStart"/>
      <w:r w:rsidRPr="004D32BE">
        <w:rPr>
          <w:rStyle w:val="Emphasis"/>
          <w:rFonts w:eastAsia="Times New Roman"/>
          <w:b w:val="0"/>
        </w:rPr>
        <w:t>Intell</w:t>
      </w:r>
      <w:proofErr w:type="spellEnd"/>
      <w:r w:rsidRPr="004D32BE">
        <w:rPr>
          <w:rStyle w:val="Emphasis"/>
          <w:rFonts w:eastAsia="Times New Roman"/>
          <w:b w:val="0"/>
        </w:rPr>
        <w:t xml:space="preserve"> (2018)</w:t>
      </w:r>
      <w:r>
        <w:rPr>
          <w:rFonts w:eastAsia="Times New Roman"/>
        </w:rPr>
        <w:t>. 2020</w:t>
      </w:r>
      <w:proofErr w:type="gramStart"/>
      <w:r>
        <w:rPr>
          <w:rFonts w:eastAsia="Times New Roman"/>
        </w:rPr>
        <w:t>;44</w:t>
      </w:r>
      <w:proofErr w:type="gramEnd"/>
      <w:r>
        <w:rPr>
          <w:rFonts w:eastAsia="Times New Roman"/>
        </w:rPr>
        <w:t xml:space="preserve">. </w:t>
      </w:r>
      <w:proofErr w:type="spellStart"/>
      <w:proofErr w:type="gramStart"/>
      <w:r>
        <w:rPr>
          <w:rFonts w:eastAsia="Times New Roman"/>
        </w:rPr>
        <w:t>doi</w:t>
      </w:r>
      <w:proofErr w:type="spellEnd"/>
      <w:proofErr w:type="gramEnd"/>
      <w:r>
        <w:rPr>
          <w:rFonts w:eastAsia="Times New Roman"/>
        </w:rPr>
        <w:t xml:space="preserve">: https://doi.org/10.33321/cdi.2020.44.85. </w:t>
      </w:r>
    </w:p>
    <w:p w14:paraId="30949382" w14:textId="77777777" w:rsidR="00277B35" w:rsidRDefault="00277B35" w:rsidP="00277B35">
      <w:pPr>
        <w:numPr>
          <w:ilvl w:val="0"/>
          <w:numId w:val="8"/>
        </w:numPr>
        <w:spacing w:before="100" w:beforeAutospacing="1" w:after="100" w:afterAutospacing="1" w:line="240" w:lineRule="auto"/>
        <w:rPr>
          <w:rFonts w:eastAsia="Times New Roman"/>
        </w:rPr>
      </w:pPr>
      <w:r>
        <w:rPr>
          <w:rFonts w:eastAsia="Times New Roman"/>
        </w:rPr>
        <w:t xml:space="preserve">Sullivan SG, Carlson S, Cheng AC, Chilver MB, Dwyer DE, Irwin M et al. Where has all the influenza gone? The impact of COVID-19 on the circulation of influenza and other respiratory viruses, Australia, March to September 2020. </w:t>
      </w:r>
      <w:r w:rsidRPr="004D32BE">
        <w:rPr>
          <w:rStyle w:val="Emphasis"/>
          <w:rFonts w:eastAsia="Times New Roman"/>
          <w:b w:val="0"/>
        </w:rPr>
        <w:t xml:space="preserve">Euro </w:t>
      </w:r>
      <w:proofErr w:type="spellStart"/>
      <w:r w:rsidRPr="004D32BE">
        <w:rPr>
          <w:rStyle w:val="Emphasis"/>
          <w:rFonts w:eastAsia="Times New Roman"/>
          <w:b w:val="0"/>
        </w:rPr>
        <w:t>Surveill</w:t>
      </w:r>
      <w:proofErr w:type="spellEnd"/>
      <w:r>
        <w:rPr>
          <w:rFonts w:eastAsia="Times New Roman"/>
        </w:rPr>
        <w:t>. 2020</w:t>
      </w:r>
      <w:proofErr w:type="gramStart"/>
      <w:r>
        <w:rPr>
          <w:rFonts w:eastAsia="Times New Roman"/>
        </w:rPr>
        <w:t>;25</w:t>
      </w:r>
      <w:proofErr w:type="gramEnd"/>
      <w:r>
        <w:rPr>
          <w:rFonts w:eastAsia="Times New Roman"/>
        </w:rPr>
        <w:t xml:space="preserve">(47). </w:t>
      </w:r>
      <w:proofErr w:type="spellStart"/>
      <w:proofErr w:type="gramStart"/>
      <w:r>
        <w:rPr>
          <w:rFonts w:eastAsia="Times New Roman"/>
        </w:rPr>
        <w:t>doi</w:t>
      </w:r>
      <w:proofErr w:type="spellEnd"/>
      <w:proofErr w:type="gramEnd"/>
      <w:r>
        <w:rPr>
          <w:rFonts w:eastAsia="Times New Roman"/>
        </w:rPr>
        <w:t xml:space="preserve">: https://doi.org/10.2807/1560-7917.ES.2020.25.47.2001847. </w:t>
      </w:r>
    </w:p>
    <w:p w14:paraId="4EEBAC68" w14:textId="77777777" w:rsidR="00277B35" w:rsidRDefault="00277B35" w:rsidP="00277B35">
      <w:pPr>
        <w:numPr>
          <w:ilvl w:val="0"/>
          <w:numId w:val="8"/>
        </w:numPr>
        <w:spacing w:before="100" w:beforeAutospacing="1" w:after="100" w:afterAutospacing="1" w:line="240" w:lineRule="auto"/>
        <w:rPr>
          <w:rFonts w:eastAsia="Times New Roman"/>
        </w:rPr>
      </w:pPr>
      <w:proofErr w:type="spellStart"/>
      <w:r>
        <w:rPr>
          <w:rFonts w:eastAsia="Times New Roman"/>
        </w:rPr>
        <w:t>Alpalhão</w:t>
      </w:r>
      <w:proofErr w:type="spellEnd"/>
      <w:r>
        <w:rPr>
          <w:rFonts w:eastAsia="Times New Roman"/>
        </w:rPr>
        <w:t xml:space="preserve"> M, Filipe P. The impacts of isolation measures against SARS-CoV-2 infection on sexual health. </w:t>
      </w:r>
      <w:r w:rsidRPr="004D32BE">
        <w:rPr>
          <w:rStyle w:val="Emphasis"/>
          <w:rFonts w:eastAsia="Times New Roman"/>
          <w:b w:val="0"/>
        </w:rPr>
        <w:t xml:space="preserve">AIDS </w:t>
      </w:r>
      <w:proofErr w:type="spellStart"/>
      <w:r w:rsidRPr="004D32BE">
        <w:rPr>
          <w:rStyle w:val="Emphasis"/>
          <w:rFonts w:eastAsia="Times New Roman"/>
          <w:b w:val="0"/>
        </w:rPr>
        <w:t>Behav</w:t>
      </w:r>
      <w:proofErr w:type="spellEnd"/>
      <w:r>
        <w:rPr>
          <w:rFonts w:eastAsia="Times New Roman"/>
        </w:rPr>
        <w:t>. 2020</w:t>
      </w:r>
      <w:proofErr w:type="gramStart"/>
      <w:r>
        <w:rPr>
          <w:rFonts w:eastAsia="Times New Roman"/>
        </w:rPr>
        <w:t>;24</w:t>
      </w:r>
      <w:proofErr w:type="gramEnd"/>
      <w:r>
        <w:rPr>
          <w:rFonts w:eastAsia="Times New Roman"/>
        </w:rPr>
        <w:t xml:space="preserve">(8):2258–9. </w:t>
      </w:r>
    </w:p>
    <w:p w14:paraId="4241E4E0" w14:textId="77777777" w:rsidR="00277B35" w:rsidRDefault="00277B35" w:rsidP="00277B35">
      <w:pPr>
        <w:numPr>
          <w:ilvl w:val="0"/>
          <w:numId w:val="8"/>
        </w:numPr>
        <w:spacing w:before="100" w:beforeAutospacing="1" w:after="100" w:afterAutospacing="1" w:line="240" w:lineRule="auto"/>
        <w:rPr>
          <w:rFonts w:eastAsia="Times New Roman"/>
        </w:rPr>
      </w:pPr>
      <w:r>
        <w:rPr>
          <w:rFonts w:eastAsia="Times New Roman"/>
        </w:rPr>
        <w:t xml:space="preserve">Queensland Health. </w:t>
      </w:r>
      <w:proofErr w:type="gramStart"/>
      <w:r>
        <w:rPr>
          <w:rFonts w:eastAsia="Times New Roman"/>
        </w:rPr>
        <w:t>Get some?</w:t>
      </w:r>
      <w:proofErr w:type="gramEnd"/>
      <w:r>
        <w:rPr>
          <w:rFonts w:eastAsia="Times New Roman"/>
        </w:rPr>
        <w:t xml:space="preserve"> Get tested: Sexual health awareness after syphilis outbreak. [Internet.] Brisbane: Queensland Government, Queensland Health; 9 May 2019. Available from: https://www.health.qld.gov.au/cq/about/news/articles/get-some-get-tested-sexual-health-awareness-after-syphilis-outbreak. </w:t>
      </w:r>
    </w:p>
    <w:p w14:paraId="74F65012" w14:textId="77777777" w:rsidR="008B5348" w:rsidRPr="001736D0" w:rsidRDefault="00277B35" w:rsidP="001736D0">
      <w:pPr>
        <w:numPr>
          <w:ilvl w:val="0"/>
          <w:numId w:val="8"/>
        </w:numPr>
        <w:spacing w:before="100" w:beforeAutospacing="1" w:after="100" w:afterAutospacing="1" w:line="240" w:lineRule="auto"/>
        <w:rPr>
          <w:rStyle w:val="A10"/>
          <w:rFonts w:eastAsia="Times New Roman" w:cstheme="minorBidi"/>
          <w:color w:val="auto"/>
        </w:rPr>
        <w:sectPr w:rsidR="008B5348" w:rsidRPr="001736D0" w:rsidSect="00A30C37">
          <w:pgSz w:w="11906" w:h="16838"/>
          <w:pgMar w:top="720" w:right="720" w:bottom="1134" w:left="720" w:header="709" w:footer="284" w:gutter="0"/>
          <w:cols w:space="708"/>
          <w:titlePg/>
          <w:docGrid w:linePitch="360"/>
        </w:sectPr>
      </w:pPr>
      <w:r>
        <w:rPr>
          <w:rFonts w:eastAsia="Times New Roman"/>
        </w:rPr>
        <w:t xml:space="preserve">Webb CE. Reflections on a highly unusual summer: bushfires, COVID-19 and mosquito-borne disease in NSW, Australia. </w:t>
      </w:r>
      <w:r w:rsidRPr="004D32BE">
        <w:rPr>
          <w:rStyle w:val="Emphasis"/>
          <w:rFonts w:eastAsia="Times New Roman"/>
          <w:b w:val="0"/>
        </w:rPr>
        <w:t xml:space="preserve">Public Health Res </w:t>
      </w:r>
      <w:proofErr w:type="spellStart"/>
      <w:r w:rsidRPr="004D32BE">
        <w:rPr>
          <w:rStyle w:val="Emphasis"/>
          <w:rFonts w:eastAsia="Times New Roman"/>
          <w:b w:val="0"/>
        </w:rPr>
        <w:t>Pract</w:t>
      </w:r>
      <w:proofErr w:type="spellEnd"/>
      <w:r>
        <w:rPr>
          <w:rFonts w:eastAsia="Times New Roman"/>
        </w:rPr>
        <w:t>. 2020</w:t>
      </w:r>
      <w:proofErr w:type="gramStart"/>
      <w:r>
        <w:rPr>
          <w:rFonts w:eastAsia="Times New Roman"/>
        </w:rPr>
        <w:t>;30</w:t>
      </w:r>
      <w:proofErr w:type="gramEnd"/>
      <w:r>
        <w:rPr>
          <w:rFonts w:eastAsia="Times New Roman"/>
        </w:rPr>
        <w:t xml:space="preserve">(4). </w:t>
      </w:r>
      <w:proofErr w:type="spellStart"/>
      <w:r>
        <w:rPr>
          <w:rFonts w:eastAsia="Times New Roman"/>
        </w:rPr>
        <w:t>doi:https</w:t>
      </w:r>
      <w:proofErr w:type="spellEnd"/>
      <w:r>
        <w:rPr>
          <w:rFonts w:eastAsia="Times New Roman"/>
        </w:rPr>
        <w:t>://doi.org/10.17061/phrp3042027.</w:t>
      </w:r>
    </w:p>
    <w:p w14:paraId="286AB58E"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20C3DB89"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14C9CD2C" w14:textId="77777777" w:rsidR="000A5F42" w:rsidRPr="000606CC" w:rsidRDefault="000A5F42" w:rsidP="000A5F42">
      <w:pPr>
        <w:pStyle w:val="NoSpacing"/>
        <w:rPr>
          <w:rStyle w:val="URI"/>
          <w:rFonts w:cstheme="minorHAnsi"/>
          <w:sz w:val="20"/>
          <w:szCs w:val="18"/>
        </w:rPr>
      </w:pPr>
    </w:p>
    <w:p w14:paraId="1CD0BF84"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w:t>
      </w:r>
      <w:r w:rsidR="000325A0">
        <w:rPr>
          <w:rStyle w:val="Strong"/>
          <w:rFonts w:cs="Calibri"/>
          <w:b w:val="0"/>
          <w:bCs w:val="0"/>
          <w:sz w:val="20"/>
          <w:szCs w:val="18"/>
        </w:rPr>
        <w:t xml:space="preserve"> and Response</w:t>
      </w:r>
      <w:r w:rsidRPr="000606CC">
        <w:rPr>
          <w:rStyle w:val="Strong"/>
          <w:rFonts w:cs="Calibri"/>
          <w:b w:val="0"/>
          <w:bCs w:val="0"/>
          <w:sz w:val="20"/>
          <w:szCs w:val="18"/>
        </w:rPr>
        <w:t>, Department of Health. The journal aims to disseminate information on the epidemiology, surveillance, prevention and control of communicable diseases of relevance to Australia.</w:t>
      </w:r>
    </w:p>
    <w:p w14:paraId="0F4FFD14" w14:textId="77777777" w:rsidR="000A5F42" w:rsidRPr="000606CC" w:rsidRDefault="000A5F42" w:rsidP="000A5F42">
      <w:pPr>
        <w:pStyle w:val="NoSpacing"/>
        <w:rPr>
          <w:rStyle w:val="Strong"/>
          <w:rFonts w:cstheme="minorHAnsi"/>
          <w:sz w:val="20"/>
          <w:szCs w:val="18"/>
        </w:rPr>
      </w:pPr>
    </w:p>
    <w:p w14:paraId="0AAC9EBE"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C42834">
        <w:rPr>
          <w:rFonts w:cstheme="minorHAnsi"/>
          <w:sz w:val="20"/>
          <w:szCs w:val="18"/>
        </w:rPr>
        <w:t>Tanja Farmer</w:t>
      </w:r>
    </w:p>
    <w:p w14:paraId="1B529486"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4A18A6AE"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2EBF3E6C"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Martyn Kirk</w:t>
      </w:r>
      <w:r w:rsidR="00F55648">
        <w:rPr>
          <w:rStyle w:val="nobreak"/>
          <w:rFonts w:cstheme="minorHAnsi"/>
          <w:sz w:val="20"/>
          <w:szCs w:val="18"/>
        </w:rPr>
        <w:t xml:space="preserve"> and Linda Selvey</w:t>
      </w:r>
    </w:p>
    <w:p w14:paraId="79CA8D92" w14:textId="77777777" w:rsidR="000A5F42" w:rsidRPr="000606CC" w:rsidRDefault="000A5F42" w:rsidP="000A5F42">
      <w:pPr>
        <w:pStyle w:val="NoSpacing"/>
        <w:rPr>
          <w:rStyle w:val="Strong"/>
          <w:rFonts w:cstheme="minorHAnsi"/>
          <w:sz w:val="20"/>
          <w:szCs w:val="18"/>
        </w:rPr>
      </w:pPr>
    </w:p>
    <w:p w14:paraId="6AA62029" w14:textId="2D381924"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2"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022CA422" w14:textId="77777777" w:rsidR="000A5F42" w:rsidRPr="000606CC" w:rsidRDefault="000A5F42" w:rsidP="000A5F42">
      <w:pPr>
        <w:pStyle w:val="NoSpacing"/>
        <w:rPr>
          <w:rStyle w:val="Strong"/>
          <w:rFonts w:cstheme="minorHAnsi"/>
          <w:sz w:val="20"/>
          <w:szCs w:val="18"/>
        </w:rPr>
      </w:pPr>
    </w:p>
    <w:p w14:paraId="05A15AA9" w14:textId="77777777"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 xml:space="preserve">CDI is produced by </w:t>
      </w:r>
      <w:r w:rsidR="00E54BBD" w:rsidRPr="00E54BBD">
        <w:rPr>
          <w:rFonts w:cstheme="minorHAnsi"/>
          <w:sz w:val="20"/>
          <w:szCs w:val="18"/>
        </w:rPr>
        <w:t>Environmental Health and Health Protection Policy Branch,</w:t>
      </w:r>
      <w:r w:rsidR="00E54BBD">
        <w:rPr>
          <w:rFonts w:cstheme="minorHAnsi"/>
          <w:sz w:val="20"/>
          <w:szCs w:val="18"/>
        </w:rPr>
        <w:t xml:space="preserve"> </w:t>
      </w:r>
      <w:r w:rsidR="00E54BBD" w:rsidRPr="00E54BBD">
        <w:rPr>
          <w:rFonts w:cstheme="minorHAnsi"/>
          <w:sz w:val="20"/>
          <w:szCs w:val="18"/>
        </w:rPr>
        <w:t>Office of Health Protection and Response, Australian Government Department of Health, GPO Box 9848, (MDP 6) CANBERRA ACT 2601</w:t>
      </w:r>
    </w:p>
    <w:p w14:paraId="1A1FC29E" w14:textId="77777777" w:rsidR="000A5F42" w:rsidRPr="000606CC" w:rsidRDefault="000A5F42" w:rsidP="000A5F42">
      <w:pPr>
        <w:pStyle w:val="NoSpacing"/>
        <w:rPr>
          <w:rStyle w:val="Strong"/>
          <w:rFonts w:cstheme="minorHAnsi"/>
          <w:sz w:val="20"/>
          <w:szCs w:val="18"/>
        </w:rPr>
      </w:pPr>
    </w:p>
    <w:p w14:paraId="4F79DADD" w14:textId="47456768"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3"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10CE3913" w14:textId="77777777" w:rsidR="000A5F42" w:rsidRPr="000606CC" w:rsidRDefault="000A5F42" w:rsidP="000A5F42">
      <w:pPr>
        <w:pStyle w:val="NoSpacing"/>
        <w:rPr>
          <w:rStyle w:val="Strong"/>
          <w:rFonts w:cstheme="minorHAnsi"/>
          <w:sz w:val="20"/>
          <w:szCs w:val="18"/>
        </w:rPr>
      </w:pPr>
    </w:p>
    <w:p w14:paraId="52705588" w14:textId="546F238D" w:rsidR="000A5F42" w:rsidRPr="000606CC" w:rsidRDefault="000A5F42" w:rsidP="000A5F42">
      <w:pPr>
        <w:pStyle w:val="NoSpacing"/>
        <w:rPr>
          <w:rFonts w:cstheme="minorHAnsi"/>
          <w:sz w:val="20"/>
          <w:szCs w:val="18"/>
        </w:rPr>
      </w:pPr>
      <w:r w:rsidRPr="000606CC">
        <w:rPr>
          <w:rStyle w:val="Strong"/>
          <w:rFonts w:cstheme="minorHAnsi"/>
          <w:sz w:val="20"/>
          <w:szCs w:val="18"/>
        </w:rPr>
        <w:t>Submit an Article</w:t>
      </w:r>
      <w:r w:rsidRPr="000606CC">
        <w:rPr>
          <w:rStyle w:val="Strong"/>
          <w:rFonts w:cstheme="minorHAnsi"/>
          <w:sz w:val="20"/>
          <w:szCs w:val="18"/>
        </w:rPr>
        <w:br/>
      </w:r>
      <w:proofErr w:type="gramStart"/>
      <w:r w:rsidRPr="000606CC">
        <w:rPr>
          <w:rFonts w:cstheme="minorHAnsi"/>
          <w:sz w:val="20"/>
          <w:szCs w:val="18"/>
        </w:rPr>
        <w:t>You</w:t>
      </w:r>
      <w:proofErr w:type="gramEnd"/>
      <w:r w:rsidRPr="000606CC">
        <w:rPr>
          <w:rFonts w:cstheme="minorHAnsi"/>
          <w:sz w:val="20"/>
          <w:szCs w:val="18"/>
        </w:rPr>
        <w:t xml:space="preserve"> are invited to submit your next communicable disease related article to the Communicable Diseases Intelligence (CDI) for consideration. More information regarding CDI can be found </w:t>
      </w:r>
      <w:proofErr w:type="gramStart"/>
      <w:r w:rsidRPr="000606CC">
        <w:rPr>
          <w:rFonts w:cstheme="minorHAnsi"/>
          <w:sz w:val="20"/>
          <w:szCs w:val="18"/>
        </w:rPr>
        <w:t>at:</w:t>
      </w:r>
      <w:proofErr w:type="gramEnd"/>
      <w:r w:rsidRPr="000606CC">
        <w:rPr>
          <w:rFonts w:cstheme="minorHAnsi"/>
          <w:sz w:val="20"/>
          <w:szCs w:val="18"/>
        </w:rPr>
        <w:t xml:space="preserve"> </w:t>
      </w:r>
      <w:hyperlink r:id="rId14"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3A8E351F" w14:textId="69FEC941"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w:t>
      </w:r>
      <w:proofErr w:type="gramStart"/>
      <w:r w:rsidRPr="000606CC">
        <w:rPr>
          <w:rFonts w:cstheme="minorHAnsi"/>
          <w:sz w:val="20"/>
          <w:szCs w:val="18"/>
        </w:rPr>
        <w:t>to:</w:t>
      </w:r>
      <w:proofErr w:type="gramEnd"/>
      <w:r w:rsidRPr="000606CC">
        <w:rPr>
          <w:rFonts w:cstheme="minorHAnsi"/>
          <w:sz w:val="20"/>
          <w:szCs w:val="18"/>
        </w:rPr>
        <w:t xml:space="preserve"> </w:t>
      </w:r>
      <w:hyperlink r:id="rId15" w:history="1">
        <w:r w:rsidRPr="000606CC">
          <w:rPr>
            <w:rStyle w:val="Hyperlink"/>
            <w:rFonts w:cstheme="minorHAnsi"/>
            <w:sz w:val="20"/>
            <w:szCs w:val="18"/>
          </w:rPr>
          <w:t>cdi.editor@health.gov.au</w:t>
        </w:r>
      </w:hyperlink>
      <w:r w:rsidRPr="000606CC">
        <w:rPr>
          <w:rFonts w:cstheme="minorHAnsi"/>
          <w:sz w:val="20"/>
          <w:szCs w:val="18"/>
        </w:rPr>
        <w:t>.</w:t>
      </w:r>
    </w:p>
    <w:p w14:paraId="7C98C39E" w14:textId="77777777" w:rsidR="000A5F42" w:rsidRPr="000606CC" w:rsidRDefault="000A5F42" w:rsidP="000A5F42">
      <w:pPr>
        <w:pStyle w:val="NoSpacing"/>
        <w:pBdr>
          <w:bottom w:val="single" w:sz="6" w:space="1" w:color="auto"/>
        </w:pBdr>
        <w:rPr>
          <w:rStyle w:val="Strong"/>
          <w:rFonts w:cstheme="minorHAnsi"/>
          <w:sz w:val="12"/>
          <w:szCs w:val="18"/>
        </w:rPr>
      </w:pPr>
    </w:p>
    <w:p w14:paraId="0B95910B" w14:textId="77777777" w:rsidR="000A5F42" w:rsidRPr="000606CC" w:rsidRDefault="000A5F42" w:rsidP="000A5F42">
      <w:pPr>
        <w:pStyle w:val="NoSpacing"/>
        <w:rPr>
          <w:rFonts w:cstheme="minorHAnsi"/>
          <w:sz w:val="20"/>
          <w:szCs w:val="18"/>
        </w:rPr>
      </w:pPr>
    </w:p>
    <w:p w14:paraId="03EA043A"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is indexed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43B0E582" w14:textId="77777777" w:rsidR="000A5F42" w:rsidRPr="000606CC" w:rsidRDefault="000A5F42" w:rsidP="000A5F42">
      <w:pPr>
        <w:pStyle w:val="NoSpacing"/>
        <w:rPr>
          <w:rFonts w:cstheme="minorHAnsi"/>
          <w:sz w:val="20"/>
          <w:szCs w:val="18"/>
        </w:rPr>
      </w:pPr>
    </w:p>
    <w:p w14:paraId="74618E28"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5D977DE1"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1200CB">
        <w:rPr>
          <w:rFonts w:cstheme="minorHAnsi"/>
          <w:sz w:val="20"/>
          <w:szCs w:val="18"/>
        </w:rPr>
        <w:t>202</w:t>
      </w:r>
      <w:r w:rsidR="0024631C">
        <w:rPr>
          <w:rFonts w:cstheme="minorHAnsi"/>
          <w:sz w:val="20"/>
          <w:szCs w:val="18"/>
        </w:rPr>
        <w:t>1</w:t>
      </w:r>
      <w:r w:rsidRPr="000606CC">
        <w:rPr>
          <w:rFonts w:cstheme="minorHAnsi"/>
          <w:sz w:val="20"/>
          <w:szCs w:val="18"/>
        </w:rPr>
        <w:t xml:space="preserve"> Commonwealth of Australia as represented by the Department of Health</w:t>
      </w:r>
    </w:p>
    <w:p w14:paraId="17C50991" w14:textId="73A8E880"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6"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7D0CB792" w14:textId="77777777" w:rsidR="000A5F42" w:rsidRPr="000606CC" w:rsidRDefault="000A5F42" w:rsidP="000A5F42">
      <w:pPr>
        <w:pStyle w:val="NoSpacing"/>
        <w:rPr>
          <w:rFonts w:cstheme="minorHAnsi"/>
          <w:sz w:val="20"/>
          <w:szCs w:val="18"/>
        </w:rPr>
      </w:pPr>
    </w:p>
    <w:p w14:paraId="6BEB4935"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3C64691F" w14:textId="46607AF5"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7"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73218F45"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logos (including the Department of Health’s logo) and trademarks;</w:t>
      </w:r>
    </w:p>
    <w:p w14:paraId="69822F11"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images; </w:t>
      </w:r>
    </w:p>
    <w:p w14:paraId="425499AF"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4298A7BD" w14:textId="77777777" w:rsidR="000A5F42" w:rsidRPr="000606CC" w:rsidRDefault="000A5F42" w:rsidP="000A5F42">
      <w:pPr>
        <w:pStyle w:val="NoSpacing"/>
        <w:numPr>
          <w:ilvl w:val="0"/>
          <w:numId w:val="6"/>
        </w:numPr>
        <w:rPr>
          <w:rFonts w:cstheme="minorHAnsi"/>
          <w:sz w:val="20"/>
          <w:szCs w:val="18"/>
        </w:rPr>
      </w:pPr>
      <w:proofErr w:type="gramStart"/>
      <w:r w:rsidRPr="000606CC">
        <w:rPr>
          <w:rFonts w:cstheme="minorHAnsi"/>
          <w:sz w:val="20"/>
          <w:szCs w:val="18"/>
        </w:rPr>
        <w:t>any</w:t>
      </w:r>
      <w:proofErr w:type="gramEnd"/>
      <w:r w:rsidRPr="000606CC">
        <w:rPr>
          <w:rFonts w:cstheme="minorHAnsi"/>
          <w:sz w:val="20"/>
          <w:szCs w:val="18"/>
        </w:rPr>
        <w:t xml:space="preserve"> material belonging to third parties. </w:t>
      </w:r>
    </w:p>
    <w:p w14:paraId="7567DD57" w14:textId="77777777" w:rsidR="000A5F42" w:rsidRPr="000606CC" w:rsidRDefault="000A5F42" w:rsidP="000A5F42">
      <w:pPr>
        <w:pStyle w:val="NoSpacing"/>
        <w:rPr>
          <w:rStyle w:val="Strong"/>
          <w:rFonts w:cstheme="minorHAnsi"/>
          <w:sz w:val="20"/>
          <w:szCs w:val="18"/>
        </w:rPr>
      </w:pPr>
    </w:p>
    <w:p w14:paraId="2CA35116"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106A83D9" w14:textId="77777777" w:rsidR="000A5F42" w:rsidRPr="000606CC" w:rsidRDefault="000A5F42" w:rsidP="000A5F42">
      <w:pPr>
        <w:pStyle w:val="NoSpacing"/>
        <w:rPr>
          <w:rStyle w:val="Strong"/>
          <w:rFonts w:cstheme="minorHAnsi"/>
          <w:sz w:val="20"/>
          <w:szCs w:val="18"/>
        </w:rPr>
      </w:pPr>
    </w:p>
    <w:p w14:paraId="6150E0EA" w14:textId="1DAC3C1F"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18"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76D15CFA" w14:textId="77777777" w:rsidR="000A5F42" w:rsidRPr="000606CC" w:rsidRDefault="000A5F42" w:rsidP="000A5F42">
      <w:pPr>
        <w:pStyle w:val="NoSpacing"/>
        <w:rPr>
          <w:rStyle w:val="URI"/>
          <w:rFonts w:cstheme="minorHAnsi"/>
          <w:sz w:val="20"/>
          <w:szCs w:val="18"/>
        </w:rPr>
      </w:pPr>
    </w:p>
    <w:p w14:paraId="58E8D935" w14:textId="4BBE0F9D"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19" w:tooltip="Communicable Diseases Network Australia website" w:history="1">
        <w:r w:rsidRPr="000606CC">
          <w:rPr>
            <w:rStyle w:val="Hyperlink"/>
            <w:rFonts w:cstheme="minorHAnsi"/>
            <w:sz w:val="20"/>
            <w:szCs w:val="18"/>
          </w:rPr>
          <w:t>http://www.health.gov.au/cdna</w:t>
        </w:r>
      </w:hyperlink>
    </w:p>
    <w:p w14:paraId="77E19FCA" w14:textId="77777777" w:rsidR="001B37B8" w:rsidRPr="00E92237" w:rsidRDefault="001B37B8" w:rsidP="001B37B8">
      <w:pPr>
        <w:rPr>
          <w:rFonts w:cs="Myriad Pro"/>
          <w:color w:val="211D1E"/>
          <w:sz w:val="20"/>
          <w:szCs w:val="20"/>
        </w:rPr>
      </w:pPr>
    </w:p>
    <w:sectPr w:rsidR="001B37B8" w:rsidRPr="00E92237" w:rsidSect="002B75A9">
      <w:headerReference w:type="default" r:id="rId20"/>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F99AFA" w14:textId="77777777" w:rsidR="00054591" w:rsidRDefault="00054591" w:rsidP="00E54DBA">
      <w:r>
        <w:separator/>
      </w:r>
    </w:p>
    <w:p w14:paraId="0ABB236B" w14:textId="77777777" w:rsidR="00054591" w:rsidRDefault="00054591"/>
    <w:p w14:paraId="484A807F" w14:textId="77777777" w:rsidR="00054591" w:rsidRDefault="00054591" w:rsidP="008714B0"/>
  </w:endnote>
  <w:endnote w:type="continuationSeparator" w:id="0">
    <w:p w14:paraId="751E6A86" w14:textId="77777777" w:rsidR="00054591" w:rsidRDefault="00054591" w:rsidP="00E54DBA">
      <w:r>
        <w:continuationSeparator/>
      </w:r>
    </w:p>
    <w:p w14:paraId="2AE98FFD" w14:textId="77777777" w:rsidR="00054591" w:rsidRDefault="00054591"/>
    <w:p w14:paraId="5D45B9BF" w14:textId="77777777" w:rsidR="00054591" w:rsidRDefault="00054591"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Arial"/>
    <w:panose1 w:val="020B0503030403020204"/>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76836" w14:textId="105BA4BC" w:rsidR="00054591" w:rsidRPr="0042435E" w:rsidRDefault="00054591"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B27AFF">
      <w:rPr>
        <w:noProof/>
        <w:sz w:val="18"/>
      </w:rPr>
      <w:t>10</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B27AFF">
      <w:rPr>
        <w:noProof/>
        <w:sz w:val="18"/>
      </w:rPr>
      <w:t>10</w:t>
    </w:r>
    <w:r>
      <w:rPr>
        <w:noProof/>
        <w:sz w:val="18"/>
      </w:rPr>
      <w:fldChar w:fldCharType="end"/>
    </w:r>
    <w:r>
      <w:rPr>
        <w:noProof/>
        <w:sz w:val="18"/>
      </w:rPr>
      <w:t xml:space="preserve"> </w:t>
    </w:r>
    <w:r w:rsidRPr="004315F5">
      <w:rPr>
        <w:sz w:val="18"/>
      </w:rPr>
      <w:t xml:space="preserve"> </w:t>
    </w:r>
    <w:r>
      <w:rPr>
        <w:noProof/>
        <w:sz w:val="18"/>
      </w:rPr>
      <w:ptab w:relativeTo="margin" w:alignment="center" w:leader="none"/>
    </w:r>
    <w:r w:rsidRPr="004315F5">
      <w:rPr>
        <w:sz w:val="18"/>
      </w:rPr>
      <w:t xml:space="preserve"> </w:t>
    </w:r>
    <w:proofErr w:type="spellStart"/>
    <w:r w:rsidRPr="004D32BE">
      <w:rPr>
        <w:i/>
        <w:sz w:val="18"/>
      </w:rPr>
      <w:t>Commun</w:t>
    </w:r>
    <w:proofErr w:type="spellEnd"/>
    <w:r w:rsidRPr="004D32BE">
      <w:rPr>
        <w:i/>
        <w:sz w:val="18"/>
      </w:rPr>
      <w:t xml:space="preserve"> Dis </w:t>
    </w:r>
    <w:proofErr w:type="spellStart"/>
    <w:r w:rsidRPr="004D32BE">
      <w:rPr>
        <w:i/>
        <w:sz w:val="18"/>
      </w:rPr>
      <w:t>Intell</w:t>
    </w:r>
    <w:proofErr w:type="spellEnd"/>
    <w:r w:rsidRPr="004D32BE">
      <w:rPr>
        <w:i/>
        <w:sz w:val="18"/>
      </w:rPr>
      <w:t xml:space="preserve">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2021</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45</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B27AFF">
      <w:rPr>
        <w:sz w:val="18"/>
      </w:rPr>
      <w:t>https://doi.org/10.33321/cdi.2021.45.11</w:t>
    </w:r>
    <w:r>
      <w:rPr>
        <w:sz w:val="18"/>
      </w:rPr>
      <w:fldChar w:fldCharType="end"/>
    </w:r>
    <w:r>
      <w:rPr>
        <w:sz w:val="18"/>
      </w:rPr>
      <w:t xml:space="preserve"> </w:t>
    </w:r>
    <w:proofErr w:type="spellStart"/>
    <w:r w:rsidRPr="00155582">
      <w:rPr>
        <w:sz w:val="18"/>
      </w:rPr>
      <w:t>Epub</w:t>
    </w:r>
    <w:proofErr w:type="spellEnd"/>
    <w:r>
      <w:rPr>
        <w:sz w:val="18"/>
      </w:rPr>
      <w:t xml:space="preserve"> </w:t>
    </w:r>
    <w:r>
      <w:rPr>
        <w:sz w:val="18"/>
      </w:rPr>
      <w:fldChar w:fldCharType="begin"/>
    </w:r>
    <w:r>
      <w:rPr>
        <w:sz w:val="18"/>
      </w:rPr>
      <w:instrText xml:space="preserve"> DOCPROPERTY  ePubDate  \* MERGEFORMAT </w:instrText>
    </w:r>
    <w:r>
      <w:rPr>
        <w:sz w:val="18"/>
      </w:rPr>
      <w:fldChar w:fldCharType="separate"/>
    </w:r>
    <w:r w:rsidR="00B27AFF">
      <w:rPr>
        <w:sz w:val="18"/>
      </w:rPr>
      <w:t>26/2/2021</w:t>
    </w:r>
    <w:r>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BE72D" w14:textId="31D836A4" w:rsidR="00054591" w:rsidRPr="00BB5378" w:rsidRDefault="00054591"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B27AFF">
      <w:rPr>
        <w:noProof/>
        <w:sz w:val="18"/>
      </w:rPr>
      <w:t>6</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B27AFF">
      <w:rPr>
        <w:noProof/>
        <w:sz w:val="18"/>
      </w:rPr>
      <w:t>10</w:t>
    </w:r>
    <w:r>
      <w:rPr>
        <w:noProof/>
        <w:sz w:val="18"/>
      </w:rPr>
      <w:fldChar w:fldCharType="end"/>
    </w:r>
    <w:r>
      <w:rPr>
        <w:noProof/>
        <w:sz w:val="18"/>
      </w:rPr>
      <w:t xml:space="preserve"> </w:t>
    </w:r>
    <w:r>
      <w:rPr>
        <w:noProof/>
        <w:sz w:val="18"/>
      </w:rPr>
      <w:ptab w:relativeTo="margin" w:alignment="center" w:leader="none"/>
    </w:r>
    <w:r w:rsidRPr="004315F5">
      <w:rPr>
        <w:sz w:val="18"/>
      </w:rPr>
      <w:t xml:space="preserve"> </w:t>
    </w:r>
    <w:proofErr w:type="spellStart"/>
    <w:r w:rsidRPr="004D32BE">
      <w:rPr>
        <w:i/>
        <w:sz w:val="18"/>
      </w:rPr>
      <w:t>Commun</w:t>
    </w:r>
    <w:proofErr w:type="spellEnd"/>
    <w:r w:rsidRPr="004D32BE">
      <w:rPr>
        <w:i/>
        <w:sz w:val="18"/>
      </w:rPr>
      <w:t xml:space="preserve"> Dis </w:t>
    </w:r>
    <w:proofErr w:type="spellStart"/>
    <w:r w:rsidRPr="004D32BE">
      <w:rPr>
        <w:i/>
        <w:sz w:val="18"/>
      </w:rPr>
      <w:t>Intell</w:t>
    </w:r>
    <w:proofErr w:type="spellEnd"/>
    <w:r w:rsidRPr="004D32BE">
      <w:rPr>
        <w:i/>
        <w:sz w:val="18"/>
      </w:rPr>
      <w:t xml:space="preserve">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2021</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45</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B27AFF">
      <w:rPr>
        <w:sz w:val="18"/>
      </w:rPr>
      <w:t>https://doi.org/10.33321/cdi.2021.45.11</w:t>
    </w:r>
    <w:r>
      <w:rPr>
        <w:sz w:val="18"/>
      </w:rPr>
      <w:fldChar w:fldCharType="end"/>
    </w:r>
    <w:r>
      <w:rPr>
        <w:sz w:val="18"/>
      </w:rPr>
      <w:t xml:space="preserve"> </w:t>
    </w:r>
    <w:proofErr w:type="spellStart"/>
    <w:r w:rsidRPr="00155582">
      <w:rPr>
        <w:sz w:val="18"/>
      </w:rPr>
      <w:t>Epub</w:t>
    </w:r>
    <w:proofErr w:type="spellEnd"/>
    <w:r w:rsidRPr="00155582">
      <w:rPr>
        <w:sz w:val="18"/>
      </w:rPr>
      <w:t xml:space="preserve"> </w:t>
    </w:r>
    <w:r>
      <w:rPr>
        <w:sz w:val="18"/>
      </w:rPr>
      <w:fldChar w:fldCharType="begin"/>
    </w:r>
    <w:r>
      <w:rPr>
        <w:sz w:val="18"/>
      </w:rPr>
      <w:instrText xml:space="preserve"> DOCPROPERTY  ePubDate  \* MERGEFORMAT </w:instrText>
    </w:r>
    <w:r>
      <w:rPr>
        <w:sz w:val="18"/>
      </w:rPr>
      <w:fldChar w:fldCharType="separate"/>
    </w:r>
    <w:r w:rsidR="00B27AFF">
      <w:rPr>
        <w:sz w:val="18"/>
      </w:rPr>
      <w:t>26/2/2021</w:t>
    </w:r>
    <w:r>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56E04B" w14:textId="77777777" w:rsidR="00054591" w:rsidRDefault="00054591" w:rsidP="00E54DBA">
      <w:r>
        <w:separator/>
      </w:r>
    </w:p>
  </w:footnote>
  <w:footnote w:type="continuationSeparator" w:id="0">
    <w:p w14:paraId="4C258FCC" w14:textId="77777777" w:rsidR="00054591" w:rsidRDefault="00054591" w:rsidP="00E54DBA">
      <w:r>
        <w:continuationSeparator/>
      </w:r>
    </w:p>
  </w:footnote>
  <w:footnote w:type="continuationNotice" w:id="1">
    <w:p w14:paraId="2444DB48" w14:textId="77777777" w:rsidR="00054591" w:rsidRPr="00224EFF" w:rsidRDefault="00054591"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D5540" w14:textId="77777777" w:rsidR="00054591" w:rsidRPr="00A153B6" w:rsidRDefault="00B27AFF"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054591">
          <w:t>Surveillance summary</w:t>
        </w:r>
      </w:sdtContent>
    </w:sdt>
    <w:r w:rsidR="00054591">
      <w:ptab w:relativeTo="margin" w:alignment="right" w:leader="none"/>
    </w:r>
    <w:r w:rsidR="00054591"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89B17" w14:textId="77777777" w:rsidR="00054591" w:rsidRPr="000A5F42" w:rsidRDefault="00054591" w:rsidP="000A5F42">
    <w:pPr>
      <w:pStyle w:val="Header"/>
      <w:jc w:val="center"/>
      <w:rPr>
        <w:b/>
      </w:rPr>
    </w:pPr>
    <w:r w:rsidRPr="00E810C5">
      <w:rPr>
        <w:rFonts w:cs="Myriad Pro"/>
        <w:noProof/>
        <w:color w:val="211D1E"/>
        <w:sz w:val="16"/>
      </w:rPr>
      <w:drawing>
        <wp:inline distT="0" distB="0" distL="0" distR="0" wp14:anchorId="5FD1402D" wp14:editId="7997EA77">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B5CE8"/>
    <w:multiLevelType w:val="hybridMultilevel"/>
    <w:tmpl w:val="0E74D2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387D6D"/>
    <w:multiLevelType w:val="multilevel"/>
    <w:tmpl w:val="12941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D31E70"/>
    <w:multiLevelType w:val="multilevel"/>
    <w:tmpl w:val="CBAC3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6"/>
  </w:num>
  <w:num w:numId="4">
    <w:abstractNumId w:val="1"/>
  </w:num>
  <w:num w:numId="5">
    <w:abstractNumId w:val="7"/>
  </w:num>
  <w:num w:numId="6">
    <w:abstractNumId w:val="8"/>
  </w:num>
  <w:num w:numId="7">
    <w:abstractNumId w:val="2"/>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attachedTemplate r:id="rId1"/>
  <w:defaultTabStop w:val="720"/>
  <w:noPunctuationKerning/>
  <w:characterSpacingControl w:val="doNotCompress"/>
  <w:hdrShapeDefaults>
    <o:shapedefaults v:ext="edit" spidmax="8193"/>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557"/>
    <w:rsid w:val="00000B5B"/>
    <w:rsid w:val="00001611"/>
    <w:rsid w:val="000052A8"/>
    <w:rsid w:val="000104A8"/>
    <w:rsid w:val="0001246E"/>
    <w:rsid w:val="000124B1"/>
    <w:rsid w:val="00016FE6"/>
    <w:rsid w:val="00031064"/>
    <w:rsid w:val="00031692"/>
    <w:rsid w:val="00032531"/>
    <w:rsid w:val="000325A0"/>
    <w:rsid w:val="00045F14"/>
    <w:rsid w:val="000471BF"/>
    <w:rsid w:val="00047B68"/>
    <w:rsid w:val="00052600"/>
    <w:rsid w:val="00054591"/>
    <w:rsid w:val="0005643C"/>
    <w:rsid w:val="0006264A"/>
    <w:rsid w:val="00073D77"/>
    <w:rsid w:val="00081655"/>
    <w:rsid w:val="000864E0"/>
    <w:rsid w:val="000969B3"/>
    <w:rsid w:val="000A5F42"/>
    <w:rsid w:val="000B434A"/>
    <w:rsid w:val="000D4B4D"/>
    <w:rsid w:val="00113D58"/>
    <w:rsid w:val="001200CB"/>
    <w:rsid w:val="001378A3"/>
    <w:rsid w:val="00155582"/>
    <w:rsid w:val="00161590"/>
    <w:rsid w:val="00164CEB"/>
    <w:rsid w:val="00171CC0"/>
    <w:rsid w:val="001736D0"/>
    <w:rsid w:val="00175494"/>
    <w:rsid w:val="00175629"/>
    <w:rsid w:val="001830EC"/>
    <w:rsid w:val="00183534"/>
    <w:rsid w:val="001A4A96"/>
    <w:rsid w:val="001A5D05"/>
    <w:rsid w:val="001A796C"/>
    <w:rsid w:val="001B2614"/>
    <w:rsid w:val="001B37B8"/>
    <w:rsid w:val="001B552F"/>
    <w:rsid w:val="001C0893"/>
    <w:rsid w:val="001C1303"/>
    <w:rsid w:val="001C70B2"/>
    <w:rsid w:val="001D37C7"/>
    <w:rsid w:val="001D6888"/>
    <w:rsid w:val="001F5D22"/>
    <w:rsid w:val="00213FD9"/>
    <w:rsid w:val="00224EFF"/>
    <w:rsid w:val="002276DC"/>
    <w:rsid w:val="00227E00"/>
    <w:rsid w:val="002307CB"/>
    <w:rsid w:val="00231046"/>
    <w:rsid w:val="00234F21"/>
    <w:rsid w:val="00242659"/>
    <w:rsid w:val="002428F7"/>
    <w:rsid w:val="0024315F"/>
    <w:rsid w:val="0024631C"/>
    <w:rsid w:val="00252C9A"/>
    <w:rsid w:val="00256309"/>
    <w:rsid w:val="00257484"/>
    <w:rsid w:val="00260636"/>
    <w:rsid w:val="00275C78"/>
    <w:rsid w:val="00277B35"/>
    <w:rsid w:val="00280594"/>
    <w:rsid w:val="00280D42"/>
    <w:rsid w:val="00281EE3"/>
    <w:rsid w:val="00284E4A"/>
    <w:rsid w:val="00292EA2"/>
    <w:rsid w:val="002A3799"/>
    <w:rsid w:val="002A3BCC"/>
    <w:rsid w:val="002A4516"/>
    <w:rsid w:val="002A569F"/>
    <w:rsid w:val="002A7066"/>
    <w:rsid w:val="002B001E"/>
    <w:rsid w:val="002B09B7"/>
    <w:rsid w:val="002B75A9"/>
    <w:rsid w:val="002C21B0"/>
    <w:rsid w:val="002E2FB3"/>
    <w:rsid w:val="002F327B"/>
    <w:rsid w:val="00301626"/>
    <w:rsid w:val="003059EC"/>
    <w:rsid w:val="00316CCD"/>
    <w:rsid w:val="00324F7E"/>
    <w:rsid w:val="003323BC"/>
    <w:rsid w:val="00346D42"/>
    <w:rsid w:val="00346E11"/>
    <w:rsid w:val="003601C0"/>
    <w:rsid w:val="003635F5"/>
    <w:rsid w:val="00372A88"/>
    <w:rsid w:val="00381A0F"/>
    <w:rsid w:val="003A1B3A"/>
    <w:rsid w:val="003A40F5"/>
    <w:rsid w:val="003B5B8C"/>
    <w:rsid w:val="003D79B1"/>
    <w:rsid w:val="003E74EE"/>
    <w:rsid w:val="003F0552"/>
    <w:rsid w:val="003F3BC2"/>
    <w:rsid w:val="00401ED1"/>
    <w:rsid w:val="0040224C"/>
    <w:rsid w:val="00413EE1"/>
    <w:rsid w:val="004164BB"/>
    <w:rsid w:val="00421ECE"/>
    <w:rsid w:val="00422FEB"/>
    <w:rsid w:val="0042435E"/>
    <w:rsid w:val="004315F5"/>
    <w:rsid w:val="00433456"/>
    <w:rsid w:val="00433DFA"/>
    <w:rsid w:val="00435D67"/>
    <w:rsid w:val="0045233A"/>
    <w:rsid w:val="00464A58"/>
    <w:rsid w:val="00473D2D"/>
    <w:rsid w:val="004A2125"/>
    <w:rsid w:val="004A38F6"/>
    <w:rsid w:val="004B4EB6"/>
    <w:rsid w:val="004C083C"/>
    <w:rsid w:val="004C67C6"/>
    <w:rsid w:val="004D29DE"/>
    <w:rsid w:val="004D32BE"/>
    <w:rsid w:val="004F2DD4"/>
    <w:rsid w:val="00510EAC"/>
    <w:rsid w:val="00542A57"/>
    <w:rsid w:val="00565974"/>
    <w:rsid w:val="005732C0"/>
    <w:rsid w:val="0057336D"/>
    <w:rsid w:val="0057489A"/>
    <w:rsid w:val="00574ACF"/>
    <w:rsid w:val="00581588"/>
    <w:rsid w:val="0058540B"/>
    <w:rsid w:val="00587C87"/>
    <w:rsid w:val="00590B80"/>
    <w:rsid w:val="005B16A3"/>
    <w:rsid w:val="005B3134"/>
    <w:rsid w:val="005B4E61"/>
    <w:rsid w:val="005B595A"/>
    <w:rsid w:val="005B66C2"/>
    <w:rsid w:val="005C519A"/>
    <w:rsid w:val="005D2465"/>
    <w:rsid w:val="005E33DD"/>
    <w:rsid w:val="005E4229"/>
    <w:rsid w:val="005E540E"/>
    <w:rsid w:val="005E55FB"/>
    <w:rsid w:val="005F16BB"/>
    <w:rsid w:val="00601706"/>
    <w:rsid w:val="00607115"/>
    <w:rsid w:val="00620768"/>
    <w:rsid w:val="0062594B"/>
    <w:rsid w:val="00631406"/>
    <w:rsid w:val="006324FF"/>
    <w:rsid w:val="006351D6"/>
    <w:rsid w:val="00636E0D"/>
    <w:rsid w:val="0064142F"/>
    <w:rsid w:val="00643CB4"/>
    <w:rsid w:val="00656427"/>
    <w:rsid w:val="00660255"/>
    <w:rsid w:val="006971F3"/>
    <w:rsid w:val="006C74A3"/>
    <w:rsid w:val="006D1381"/>
    <w:rsid w:val="006D31BC"/>
    <w:rsid w:val="006D62C1"/>
    <w:rsid w:val="006E7943"/>
    <w:rsid w:val="006F24EA"/>
    <w:rsid w:val="00704CA9"/>
    <w:rsid w:val="0071048D"/>
    <w:rsid w:val="00710F86"/>
    <w:rsid w:val="007111A8"/>
    <w:rsid w:val="00720AB7"/>
    <w:rsid w:val="00731BC3"/>
    <w:rsid w:val="00741192"/>
    <w:rsid w:val="00743A33"/>
    <w:rsid w:val="00746080"/>
    <w:rsid w:val="0075144A"/>
    <w:rsid w:val="00786329"/>
    <w:rsid w:val="00792C7D"/>
    <w:rsid w:val="00794A4D"/>
    <w:rsid w:val="007A5234"/>
    <w:rsid w:val="007B7854"/>
    <w:rsid w:val="007C56A1"/>
    <w:rsid w:val="007C6454"/>
    <w:rsid w:val="007D7448"/>
    <w:rsid w:val="007E014E"/>
    <w:rsid w:val="007E01E0"/>
    <w:rsid w:val="007F0B93"/>
    <w:rsid w:val="007F2ECA"/>
    <w:rsid w:val="00811708"/>
    <w:rsid w:val="00816B90"/>
    <w:rsid w:val="00817799"/>
    <w:rsid w:val="00822F5F"/>
    <w:rsid w:val="00824FD3"/>
    <w:rsid w:val="00826589"/>
    <w:rsid w:val="00834BCC"/>
    <w:rsid w:val="00850D54"/>
    <w:rsid w:val="0087149D"/>
    <w:rsid w:val="008714B0"/>
    <w:rsid w:val="00876331"/>
    <w:rsid w:val="0088064A"/>
    <w:rsid w:val="00880726"/>
    <w:rsid w:val="008A3544"/>
    <w:rsid w:val="008B48B8"/>
    <w:rsid w:val="008B5348"/>
    <w:rsid w:val="008B58F8"/>
    <w:rsid w:val="008C0712"/>
    <w:rsid w:val="008C1927"/>
    <w:rsid w:val="008C4520"/>
    <w:rsid w:val="008C5F09"/>
    <w:rsid w:val="008D470F"/>
    <w:rsid w:val="008E1F8F"/>
    <w:rsid w:val="008E4768"/>
    <w:rsid w:val="008E761E"/>
    <w:rsid w:val="008F77B3"/>
    <w:rsid w:val="009008F5"/>
    <w:rsid w:val="00904CC1"/>
    <w:rsid w:val="009066AF"/>
    <w:rsid w:val="00912050"/>
    <w:rsid w:val="00912E48"/>
    <w:rsid w:val="0092746F"/>
    <w:rsid w:val="00935DC9"/>
    <w:rsid w:val="009446C0"/>
    <w:rsid w:val="00944E2A"/>
    <w:rsid w:val="0096082E"/>
    <w:rsid w:val="00961347"/>
    <w:rsid w:val="00967410"/>
    <w:rsid w:val="00967D73"/>
    <w:rsid w:val="0098119A"/>
    <w:rsid w:val="00984AAF"/>
    <w:rsid w:val="00991B09"/>
    <w:rsid w:val="0099322A"/>
    <w:rsid w:val="00993CB2"/>
    <w:rsid w:val="009A5166"/>
    <w:rsid w:val="009A76F8"/>
    <w:rsid w:val="009B2B83"/>
    <w:rsid w:val="009B4557"/>
    <w:rsid w:val="009B6758"/>
    <w:rsid w:val="009C49F8"/>
    <w:rsid w:val="009D77CC"/>
    <w:rsid w:val="009E2423"/>
    <w:rsid w:val="009E55D7"/>
    <w:rsid w:val="009F4150"/>
    <w:rsid w:val="009F4863"/>
    <w:rsid w:val="009F5665"/>
    <w:rsid w:val="009F5DAD"/>
    <w:rsid w:val="00A01BCA"/>
    <w:rsid w:val="00A10458"/>
    <w:rsid w:val="00A153B6"/>
    <w:rsid w:val="00A164D5"/>
    <w:rsid w:val="00A273C3"/>
    <w:rsid w:val="00A30C37"/>
    <w:rsid w:val="00A36C65"/>
    <w:rsid w:val="00A41BBE"/>
    <w:rsid w:val="00A45BDD"/>
    <w:rsid w:val="00A46A0A"/>
    <w:rsid w:val="00A553F8"/>
    <w:rsid w:val="00A6708F"/>
    <w:rsid w:val="00A6712F"/>
    <w:rsid w:val="00A71BF6"/>
    <w:rsid w:val="00A86F9A"/>
    <w:rsid w:val="00A974A8"/>
    <w:rsid w:val="00AA35E6"/>
    <w:rsid w:val="00AA50B6"/>
    <w:rsid w:val="00AB3472"/>
    <w:rsid w:val="00AD0762"/>
    <w:rsid w:val="00AE3DCF"/>
    <w:rsid w:val="00AE4452"/>
    <w:rsid w:val="00AE7C38"/>
    <w:rsid w:val="00B01F99"/>
    <w:rsid w:val="00B02B37"/>
    <w:rsid w:val="00B05276"/>
    <w:rsid w:val="00B132DB"/>
    <w:rsid w:val="00B27AFF"/>
    <w:rsid w:val="00B31427"/>
    <w:rsid w:val="00B33861"/>
    <w:rsid w:val="00B40DE2"/>
    <w:rsid w:val="00B50210"/>
    <w:rsid w:val="00B53955"/>
    <w:rsid w:val="00B6408A"/>
    <w:rsid w:val="00B714B8"/>
    <w:rsid w:val="00B82C2C"/>
    <w:rsid w:val="00B8720B"/>
    <w:rsid w:val="00B876EF"/>
    <w:rsid w:val="00BA4697"/>
    <w:rsid w:val="00BB5378"/>
    <w:rsid w:val="00BC0BD3"/>
    <w:rsid w:val="00BC76B1"/>
    <w:rsid w:val="00BD0107"/>
    <w:rsid w:val="00BE0C33"/>
    <w:rsid w:val="00BE262C"/>
    <w:rsid w:val="00BE6C3D"/>
    <w:rsid w:val="00C07606"/>
    <w:rsid w:val="00C12542"/>
    <w:rsid w:val="00C24725"/>
    <w:rsid w:val="00C30BA9"/>
    <w:rsid w:val="00C3541E"/>
    <w:rsid w:val="00C36A8F"/>
    <w:rsid w:val="00C42834"/>
    <w:rsid w:val="00C42FFA"/>
    <w:rsid w:val="00C507D8"/>
    <w:rsid w:val="00C62EAC"/>
    <w:rsid w:val="00C63F9F"/>
    <w:rsid w:val="00C7723C"/>
    <w:rsid w:val="00C838F5"/>
    <w:rsid w:val="00CA1AF4"/>
    <w:rsid w:val="00CA6068"/>
    <w:rsid w:val="00CB15E1"/>
    <w:rsid w:val="00CB3D46"/>
    <w:rsid w:val="00CC242E"/>
    <w:rsid w:val="00CD1A87"/>
    <w:rsid w:val="00CD35F3"/>
    <w:rsid w:val="00CD5C93"/>
    <w:rsid w:val="00CE342B"/>
    <w:rsid w:val="00CF320C"/>
    <w:rsid w:val="00CF3A4B"/>
    <w:rsid w:val="00CF4001"/>
    <w:rsid w:val="00D05837"/>
    <w:rsid w:val="00D12D8A"/>
    <w:rsid w:val="00D13E0C"/>
    <w:rsid w:val="00D25896"/>
    <w:rsid w:val="00D373A1"/>
    <w:rsid w:val="00D37C0F"/>
    <w:rsid w:val="00D45661"/>
    <w:rsid w:val="00D45943"/>
    <w:rsid w:val="00D47D22"/>
    <w:rsid w:val="00D51865"/>
    <w:rsid w:val="00D51D0C"/>
    <w:rsid w:val="00D74140"/>
    <w:rsid w:val="00D911E2"/>
    <w:rsid w:val="00DA6E56"/>
    <w:rsid w:val="00DB329D"/>
    <w:rsid w:val="00DC24E5"/>
    <w:rsid w:val="00DC6705"/>
    <w:rsid w:val="00DD2DE8"/>
    <w:rsid w:val="00DE38B4"/>
    <w:rsid w:val="00DE5D02"/>
    <w:rsid w:val="00E005A9"/>
    <w:rsid w:val="00E1166E"/>
    <w:rsid w:val="00E202DE"/>
    <w:rsid w:val="00E24DC0"/>
    <w:rsid w:val="00E2519C"/>
    <w:rsid w:val="00E25F2A"/>
    <w:rsid w:val="00E41455"/>
    <w:rsid w:val="00E42AD2"/>
    <w:rsid w:val="00E50856"/>
    <w:rsid w:val="00E538CC"/>
    <w:rsid w:val="00E54BBD"/>
    <w:rsid w:val="00E54DBA"/>
    <w:rsid w:val="00E63D7C"/>
    <w:rsid w:val="00E640D5"/>
    <w:rsid w:val="00E66E2E"/>
    <w:rsid w:val="00E67691"/>
    <w:rsid w:val="00E8343D"/>
    <w:rsid w:val="00E92237"/>
    <w:rsid w:val="00E951EF"/>
    <w:rsid w:val="00EA3D54"/>
    <w:rsid w:val="00EA56D9"/>
    <w:rsid w:val="00EA5CE3"/>
    <w:rsid w:val="00EB51C1"/>
    <w:rsid w:val="00EB5AE1"/>
    <w:rsid w:val="00EB5E0B"/>
    <w:rsid w:val="00EC2171"/>
    <w:rsid w:val="00ED442D"/>
    <w:rsid w:val="00ED70C2"/>
    <w:rsid w:val="00EE18FF"/>
    <w:rsid w:val="00EE489F"/>
    <w:rsid w:val="00F0647F"/>
    <w:rsid w:val="00F10CE3"/>
    <w:rsid w:val="00F14F3B"/>
    <w:rsid w:val="00F16362"/>
    <w:rsid w:val="00F207C7"/>
    <w:rsid w:val="00F36B6D"/>
    <w:rsid w:val="00F43FA3"/>
    <w:rsid w:val="00F55648"/>
    <w:rsid w:val="00F70046"/>
    <w:rsid w:val="00F748C2"/>
    <w:rsid w:val="00F76C5C"/>
    <w:rsid w:val="00F77758"/>
    <w:rsid w:val="00F81EF3"/>
    <w:rsid w:val="00F84496"/>
    <w:rsid w:val="00F85DCB"/>
    <w:rsid w:val="00F86F9C"/>
    <w:rsid w:val="00F90D76"/>
    <w:rsid w:val="00FC002E"/>
    <w:rsid w:val="00FC4C23"/>
    <w:rsid w:val="00FC642E"/>
    <w:rsid w:val="00FC7F98"/>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F95A809"/>
  <w15:docId w15:val="{69567442-D813-48A4-9E06-C19432326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styleId="CommentReference">
    <w:name w:val="annotation reference"/>
    <w:basedOn w:val="DefaultParagraphFont"/>
    <w:uiPriority w:val="99"/>
    <w:semiHidden/>
    <w:unhideWhenUsed/>
    <w:rsid w:val="00054591"/>
    <w:rPr>
      <w:sz w:val="16"/>
      <w:szCs w:val="16"/>
    </w:rPr>
  </w:style>
  <w:style w:type="paragraph" w:styleId="CommentText">
    <w:name w:val="annotation text"/>
    <w:basedOn w:val="Normal"/>
    <w:link w:val="CommentTextChar"/>
    <w:uiPriority w:val="99"/>
    <w:semiHidden/>
    <w:unhideWhenUsed/>
    <w:rsid w:val="00054591"/>
    <w:pPr>
      <w:spacing w:line="240" w:lineRule="auto"/>
    </w:pPr>
    <w:rPr>
      <w:sz w:val="20"/>
      <w:szCs w:val="20"/>
    </w:rPr>
  </w:style>
  <w:style w:type="character" w:customStyle="1" w:styleId="CommentTextChar">
    <w:name w:val="Comment Text Char"/>
    <w:basedOn w:val="DefaultParagraphFont"/>
    <w:link w:val="CommentText"/>
    <w:uiPriority w:val="99"/>
    <w:semiHidden/>
    <w:rsid w:val="00054591"/>
    <w:rPr>
      <w:sz w:val="20"/>
      <w:szCs w:val="20"/>
    </w:rPr>
  </w:style>
  <w:style w:type="paragraph" w:styleId="CommentSubject">
    <w:name w:val="annotation subject"/>
    <w:basedOn w:val="CommentText"/>
    <w:next w:val="CommentText"/>
    <w:link w:val="CommentSubjectChar"/>
    <w:uiPriority w:val="99"/>
    <w:semiHidden/>
    <w:unhideWhenUsed/>
    <w:rsid w:val="00054591"/>
    <w:rPr>
      <w:b/>
      <w:bCs/>
    </w:rPr>
  </w:style>
  <w:style w:type="character" w:customStyle="1" w:styleId="CommentSubjectChar">
    <w:name w:val="Comment Subject Char"/>
    <w:basedOn w:val="CommentTextChar"/>
    <w:link w:val="CommentSubject"/>
    <w:uiPriority w:val="99"/>
    <w:semiHidden/>
    <w:rsid w:val="000545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di.editor@health.gov.au" TargetMode="External"/><Relationship Id="rId18" Type="http://schemas.openxmlformats.org/officeDocument/2006/relationships/hyperlink" Target="mailto:copyright@health.gov.au"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health.gov.au/cdi" TargetMode="External"/><Relationship Id="rId17" Type="http://schemas.openxmlformats.org/officeDocument/2006/relationships/hyperlink" Target="http://www.itsanhonour.gov.au/" TargetMode="External"/><Relationship Id="rId2" Type="http://schemas.openxmlformats.org/officeDocument/2006/relationships/customXml" Target="../customXml/item2.xml"/><Relationship Id="rId16" Type="http://schemas.openxmlformats.org/officeDocument/2006/relationships/hyperlink" Target="https://creativecommons.org/licenses/by-nc-nd/4.0/legalcod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cdi.editor@health.gov.au" TargetMode="External"/><Relationship Id="rId10" Type="http://schemas.openxmlformats.org/officeDocument/2006/relationships/footer" Target="footer1.xml"/><Relationship Id="rId19" Type="http://schemas.openxmlformats.org/officeDocument/2006/relationships/hyperlink" Target="http://www.health.gov.au/cdna"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health.gov.au/cdi"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I\OpenCDI\2021\template-202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39AF89E-198C-4A8C-9676-6C30EDDF8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template-2021.dotm</Template>
  <TotalTime>3</TotalTime>
  <Pages>10</Pages>
  <Words>2478</Words>
  <Characters>14915</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Communicable Diseases Intelligence 2021 - Notifiable diseases after implementation of COVID-19 public health prevention measures in Central Queensland, Australia</vt:lpstr>
    </vt:vector>
  </TitlesOfParts>
  <Company>Australian Government, Department of Health</Company>
  <LinksUpToDate>false</LinksUpToDate>
  <CharactersWithSpaces>17359</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2021 - Notifiable diseases after implementation of COVID-19 public health prevention measures in Central Queensland, Australia</dc:title>
  <dc:subject>The current implemented COVID-19 public health preventive measures to control the spread of the disease has contributed to reduced notifications of some communicable diseases in Central Queensland. This report presents notifiable disease data in Central Queensland from period of 1 April to 30 September from 2015 to 2020 to compare current year notifications to those of previous five years.</dc:subject>
  <dc:creator>Odewumi Adegbija, Jacina Walker, Nicolas Smoll, Arifuzzaman Khan, Julieanne Graham, Gulam Khandaker</dc:creator>
  <cp:keywords>COVID-19; public health measures; communicable diseases; Central Queensland; Australia</cp:keywords>
  <dc:description>© Commonwealth of Australia CC BY-NC-ND ISSN: 2209-6051 (Online)</dc:description>
  <cp:lastModifiedBy>YOUSEFI, Kasra</cp:lastModifiedBy>
  <cp:revision>6</cp:revision>
  <cp:lastPrinted>2018-05-10T02:19:00Z</cp:lastPrinted>
  <dcterms:created xsi:type="dcterms:W3CDTF">2021-02-10T22:39:00Z</dcterms:created>
  <dcterms:modified xsi:type="dcterms:W3CDTF">2021-02-23T02:08:00Z</dcterms:modified>
  <cp:category>Surveillance summary</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2021</vt:lpwstr>
  </property>
  <property fmtid="{D5CDD505-2E9C-101B-9397-08002B2CF9AE}" pid="3" name="Vol">
    <vt:i4>45</vt:i4>
  </property>
  <property fmtid="{D5CDD505-2E9C-101B-9397-08002B2CF9AE}" pid="4" name="ePubDate">
    <vt:lpwstr>26/2/2021</vt:lpwstr>
  </property>
  <property fmtid="{D5CDD505-2E9C-101B-9397-08002B2CF9AE}" pid="5" name="DOI">
    <vt:lpwstr>https://doi.org/10.33321/cdi.2021.45.11</vt:lpwstr>
  </property>
</Properties>
</file>