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B758E" w14:textId="77777777" w:rsidR="00633079" w:rsidRPr="00633079" w:rsidRDefault="00633079" w:rsidP="006151AD">
      <w:pPr>
        <w:pStyle w:val="Title"/>
      </w:pPr>
      <w:r w:rsidRPr="00633079">
        <w:t xml:space="preserve">COVID-19 Australia: Epidemiology Report 53 </w:t>
      </w:r>
    </w:p>
    <w:p w14:paraId="4DB98E58" w14:textId="77777777" w:rsidR="00633079" w:rsidRPr="007E392B" w:rsidRDefault="00633079" w:rsidP="0089085A">
      <w:pPr>
        <w:pStyle w:val="Subtitle"/>
        <w:spacing w:after="300" w:line="240" w:lineRule="auto"/>
      </w:pPr>
      <w:r w:rsidRPr="007E392B">
        <w:t xml:space="preserve">Reporting period ending 24 October 2021 </w:t>
      </w:r>
    </w:p>
    <w:p w14:paraId="6296A3ED" w14:textId="5FAFB921" w:rsidR="00633079" w:rsidRDefault="00633079" w:rsidP="0089085A">
      <w:pPr>
        <w:spacing w:after="120"/>
      </w:pPr>
      <w:r>
        <w:t xml:space="preserve">COVID-19 National Incident Room Surveillance Team </w:t>
      </w:r>
    </w:p>
    <w:p w14:paraId="0F73F1F1" w14:textId="00B4873F" w:rsidR="007E392B" w:rsidRDefault="0089085A" w:rsidP="0089085A">
      <w:pPr>
        <w:pStyle w:val="Heading1"/>
        <w:spacing w:before="240"/>
      </w:pPr>
      <w:r w:rsidRPr="006151AD">
        <w:t>Summary</w:t>
      </w:r>
      <w:r w:rsidR="007E392B" w:rsidRPr="00875334">
        <w:rPr>
          <w:rStyle w:val="Heading3Char"/>
          <w:noProof/>
        </w:rPr>
        <mc:AlternateContent>
          <mc:Choice Requires="wps">
            <w:drawing>
              <wp:inline distT="0" distB="0" distL="0" distR="0" wp14:anchorId="6A46FB57" wp14:editId="76C40A0B">
                <wp:extent cx="6629400" cy="73437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343775"/>
                        </a:xfrm>
                        <a:prstGeom prst="rect">
                          <a:avLst/>
                        </a:prstGeom>
                        <a:solidFill>
                          <a:srgbClr val="FFF1D0"/>
                        </a:solidFill>
                        <a:ln w="9525">
                          <a:solidFill>
                            <a:srgbClr val="FFC00F"/>
                          </a:solidFill>
                          <a:miter lim="800000"/>
                          <a:headEnd/>
                          <a:tailEnd/>
                        </a:ln>
                      </wps:spPr>
                      <wps:txbx>
                        <w:txbxContent>
                          <w:p w14:paraId="4D84DE15" w14:textId="77777777" w:rsidR="00E80310" w:rsidRPr="007E392B" w:rsidRDefault="00E80310" w:rsidP="007E392B">
                            <w:r w:rsidRPr="007E392B">
                              <w:rPr>
                                <w:b/>
                                <w:bCs/>
                              </w:rPr>
                              <w:t>Trends</w:t>
                            </w:r>
                            <w:r w:rsidRPr="007E392B">
                              <w:t xml:space="preserve"> – The daily average of 2,195 cases for this reporting period was </w:t>
                            </w:r>
                            <w:proofErr w:type="gramStart"/>
                            <w:r w:rsidRPr="007E392B">
                              <w:t>similar to</w:t>
                            </w:r>
                            <w:proofErr w:type="gramEnd"/>
                            <w:r w:rsidRPr="007E392B">
                              <w:t xml:space="preserve"> the previous fortnight’s daily average of 2,158 cases. There were 30,727 cases of coronavirus disease 2019 (COVID-19) reported this fortnight, bringing the 2021 cumulative case count to 130,980 cases. </w:t>
                            </w:r>
                          </w:p>
                          <w:p w14:paraId="7D48A996" w14:textId="77777777" w:rsidR="00E80310" w:rsidRPr="007E392B" w:rsidRDefault="00E80310" w:rsidP="007E392B">
                            <w:r w:rsidRPr="007E392B">
                              <w:rPr>
                                <w:b/>
                                <w:bCs/>
                              </w:rPr>
                              <w:t>Local cases</w:t>
                            </w:r>
                            <w:r w:rsidRPr="007E392B">
                              <w:t xml:space="preserve"> – More than 99% (30,693/30,727) of COVID-19 cases reported this fortnight are known to be locally acquired (including cases under initial investigation). </w:t>
                            </w:r>
                            <w:proofErr w:type="gramStart"/>
                            <w:r w:rsidRPr="007E392B">
                              <w:t>The majority of</w:t>
                            </w:r>
                            <w:proofErr w:type="gramEnd"/>
                            <w:r w:rsidRPr="007E392B">
                              <w:t xml:space="preserve"> these cases were reported in Victoria (84%; 25,742/30,693), followed by New South Wales (15%; 4,580/30,693). </w:t>
                            </w:r>
                          </w:p>
                          <w:p w14:paraId="679ED727" w14:textId="77777777" w:rsidR="00E80310" w:rsidRPr="007E392B" w:rsidRDefault="00E80310" w:rsidP="007E392B">
                            <w:r w:rsidRPr="007E392B">
                              <w:rPr>
                                <w:b/>
                                <w:bCs/>
                              </w:rPr>
                              <w:t>Clusters and high-risk settings</w:t>
                            </w:r>
                            <w:r w:rsidRPr="007E392B">
                              <w:t xml:space="preserve"> – As at 24 October 2021, there had been 67,910 locally-acquired cases in New South Wales, including 501 deaths, since the first case of the Sydney Metropolitan outbreak was reported on 16 June 2021. Genomic testing showed that the outbreak’s primary case was infected with the ‘Delta’ SARS-CoV-2 variant of concern (B.1.617.2). Several cases in other states had also been linked to this cluster. The fortnightly number of new </w:t>
                            </w:r>
                            <w:proofErr w:type="gramStart"/>
                            <w:r w:rsidRPr="007E392B">
                              <w:t>locally-acquired</w:t>
                            </w:r>
                            <w:proofErr w:type="gramEnd"/>
                            <w:r w:rsidRPr="007E392B">
                              <w:t xml:space="preserve"> cases reported in New South Wales continued to decrease, with 4,580 locally-acquired cases reported this reporting period, compared to 9,242 locally-acquired cases reported in the previous reporting period. At the end of this reporting period, new case numbers were reducing in south-western and western Sydney and increasing case numbers were being seen in some regional and remote areas, particularly in the Hunter New England, Mid-North Coast and Albury-Wodonga regions. </w:t>
                            </w:r>
                          </w:p>
                          <w:p w14:paraId="53B0D027" w14:textId="77777777" w:rsidR="00E80310" w:rsidRPr="007E392B" w:rsidRDefault="00E80310" w:rsidP="007E392B">
                            <w:r w:rsidRPr="007E392B">
                              <w:t xml:space="preserve">As at 24 October 2021, there were 58,798 cases, including 229 deaths, associated with the Victorian outbreaks since the first cases were reported on 5 August 2021. These primary cases involved the Delta variant and were closely associated with the current New South Wales and recent July 2021 Victorian outbreaks. The size of the Victorian outbreak continued to increase during the reporting period, with 25,742 locally acquired cases reported this fortnight compared to 20,441 in the previous fortnight. Most new cases in the outbreak were across several parts of Greater Melbourne; however, there was a considerable increase in the number of cases identified in regional and remote residents in the past few weeks. </w:t>
                            </w:r>
                          </w:p>
                          <w:p w14:paraId="412E51F8" w14:textId="77777777" w:rsidR="00E80310" w:rsidRPr="007E392B" w:rsidRDefault="00E80310" w:rsidP="007E392B">
                            <w:r w:rsidRPr="007E392B">
                              <w:t xml:space="preserve">As at 24 October 2021, a total of 1,595 cases, including eight deaths, had been reported as part of the Australian Capital Territory outbreak. The primary case in the outbreak was reported on 12 August 2021 and was infected with the Delta variant. The number of new cases in the Australian Capital Territory during this reporting period (361) was lower than in the previous reporting period (463). </w:t>
                            </w:r>
                          </w:p>
                          <w:p w14:paraId="290B5CDB" w14:textId="77777777" w:rsidR="00E80310" w:rsidRPr="007E392B" w:rsidRDefault="00E80310" w:rsidP="007E392B">
                            <w:r w:rsidRPr="007E392B">
                              <w:rPr>
                                <w:b/>
                                <w:bCs/>
                              </w:rPr>
                              <w:t>Aboriginal and Torres Strait Islander persons</w:t>
                            </w:r>
                            <w:r w:rsidRPr="007E392B">
                              <w:t xml:space="preserve"> – During the reporting period, 1,152 new cases were notified in Aboriginal and Torres Strait Islander people, of whom 762 were from New South Wales; 320 were from Victoria; and 67 were from the Australian Capital Territory. To date in 2021, there have been 6,084 cases and 13 deaths reported among Aboriginal and Torres Strait Islander people. Of </w:t>
                            </w:r>
                            <w:proofErr w:type="gramStart"/>
                            <w:r w:rsidRPr="007E392B">
                              <w:t>locally-acquired</w:t>
                            </w:r>
                            <w:proofErr w:type="gramEnd"/>
                            <w:r w:rsidRPr="007E392B">
                              <w:t xml:space="preserve"> cases notified in Aboriginal and Torres Strait Islander people in 2021, thirty-three percent (2,013/6,079) lived in a regional or remote area. </w:t>
                            </w:r>
                          </w:p>
                          <w:p w14:paraId="7DCAD0D3" w14:textId="135C19AF" w:rsidR="00E80310" w:rsidRPr="007E392B" w:rsidRDefault="00E80310" w:rsidP="007E392B">
                            <w:r w:rsidRPr="007E392B">
                              <w:rPr>
                                <w:b/>
                                <w:bCs/>
                              </w:rPr>
                              <w:t>Overseas cases</w:t>
                            </w:r>
                            <w:r w:rsidRPr="007E392B">
                              <w:t xml:space="preserve"> – There were 34 overseas-acquired cases this reporting period, with the largest numbers of cases reported in Queensland (29%; 10/34) and New South Wales (26%; 9/34).</w:t>
                            </w:r>
                          </w:p>
                        </w:txbxContent>
                      </wps:txbx>
                      <wps:bodyPr rot="0" vert="horz" wrap="square" lIns="91440" tIns="45720" rIns="91440" bIns="45720" anchor="t" anchorCtr="0">
                        <a:noAutofit/>
                      </wps:bodyPr>
                    </wps:wsp>
                  </a:graphicData>
                </a:graphic>
              </wp:inline>
            </w:drawing>
          </mc:Choice>
          <mc:Fallback>
            <w:pict>
              <v:shapetype w14:anchorId="6A46FB57" id="_x0000_t202" coordsize="21600,21600" o:spt="202" path="m,l,21600r21600,l21600,xe">
                <v:stroke joinstyle="miter"/>
                <v:path gradientshapeok="t" o:connecttype="rect"/>
              </v:shapetype>
              <v:shape id="Text Box 2" o:spid="_x0000_s1026" type="#_x0000_t202" style="width:522pt;height:57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" fillcolor="#fff1d0" strokecolor="#ffc00f">
                <v:textbox>
                  <w:txbxContent>
                    <w:p w14:paraId="4D84DE15" w14:textId="77777777" w:rsidR="00E80310" w:rsidRPr="007E392B" w:rsidRDefault="00E80310" w:rsidP="007E392B">
                      <w:r w:rsidRPr="007E392B">
                        <w:rPr>
                          <w:b/>
                          <w:bCs/>
                        </w:rPr>
                        <w:t>Trends</w:t>
                      </w:r>
                      <w:r w:rsidRPr="007E392B">
                        <w:t xml:space="preserve"> – The daily average of 2,195 cases for this reporting period was similar to the previous fortnight’s daily average of 2,158 cases. There were 30,727 cases of coronavirus disease 2019 (COVID-19) reported this fortnight, bringing the 2021 cumulative case count to 130,980 cases. </w:t>
                      </w:r>
                    </w:p>
                    <w:p w14:paraId="7D48A996" w14:textId="77777777" w:rsidR="00E80310" w:rsidRPr="007E392B" w:rsidRDefault="00E80310" w:rsidP="007E392B">
                      <w:r w:rsidRPr="007E392B">
                        <w:rPr>
                          <w:b/>
                          <w:bCs/>
                        </w:rPr>
                        <w:t>Local cases</w:t>
                      </w:r>
                      <w:r w:rsidRPr="007E392B">
                        <w:t xml:space="preserve"> – More than 99% (30,693/30,727) of COVID-19 cases reported this fortnight are known to be locally acquired (including cases under initial investigation). The majority of these cases were reported in Victoria (84%; 25,742/30,693), followed by New South Wales (15%; 4,580/30,693). </w:t>
                      </w:r>
                    </w:p>
                    <w:p w14:paraId="679ED727" w14:textId="77777777" w:rsidR="00E80310" w:rsidRPr="007E392B" w:rsidRDefault="00E80310" w:rsidP="007E392B">
                      <w:r w:rsidRPr="007E392B">
                        <w:rPr>
                          <w:b/>
                          <w:bCs/>
                        </w:rPr>
                        <w:t>Clusters and high-risk settings</w:t>
                      </w:r>
                      <w:r w:rsidRPr="007E392B">
                        <w:t xml:space="preserve"> – As at 24 October 2021, there had been 67,910 locally-acquired cases in New South Wales, including 501 deaths, since the first case of the Sydney Metropolitan outbreak was reported on 16 June 2021. Genomic testing showed that the outbreak’s primary case was infected with the ‘Delta’ SARS-CoV-2 variant of concern (B.1.617.2). Several cases in other states had also been linked to this cluster. The fortnightly number of new locally-acquired cases reported in New South Wales continued to decrease, with 4,580 locally-acquired cases reported this reporting period, compared to 9,242 locally-acquired cases reported in the previous reporting period. At the end of this reporting period, new case numbers were reducing in south-western and western Sydney and increasing case numbers were being seen in some regional and remote areas, particularly in the Hunter New England, Mid-North Coast and Albury-Wodonga regions. </w:t>
                      </w:r>
                    </w:p>
                    <w:p w14:paraId="53B0D027" w14:textId="77777777" w:rsidR="00E80310" w:rsidRPr="007E392B" w:rsidRDefault="00E80310" w:rsidP="007E392B">
                      <w:r w:rsidRPr="007E392B">
                        <w:t xml:space="preserve">As at 24 October 2021, there were 58,798 cases, including 229 deaths, associated with the Victorian outbreaks since the first cases were reported on 5 August 2021. These primary cases involved the Delta variant and were closely associated with the current New South Wales and recent July 2021 Victorian outbreaks. The size of the Victorian outbreak continued to increase during the reporting period, with 25,742 locally acquired cases reported this fortnight compared to 20,441 in the previous fortnight. Most new cases in the outbreak were across several parts of Greater Melbourne; however, there was a considerable increase in the number of cases identified in regional and remote residents in the past few weeks. </w:t>
                      </w:r>
                    </w:p>
                    <w:p w14:paraId="412E51F8" w14:textId="77777777" w:rsidR="00E80310" w:rsidRPr="007E392B" w:rsidRDefault="00E80310" w:rsidP="007E392B">
                      <w:r w:rsidRPr="007E392B">
                        <w:t xml:space="preserve">As at 24 October 2021, a total of 1,595 cases, including eight deaths, had been reported as part of the Australian Capital Territory outbreak. The primary case in the outbreak was reported on 12 August 2021 and was infected with the Delta variant. The number of new cases in the Australian Capital Territory during this reporting period (361) was lower than in the previous reporting period (463). </w:t>
                      </w:r>
                    </w:p>
                    <w:p w14:paraId="290B5CDB" w14:textId="77777777" w:rsidR="00E80310" w:rsidRPr="007E392B" w:rsidRDefault="00E80310" w:rsidP="007E392B">
                      <w:r w:rsidRPr="007E392B">
                        <w:rPr>
                          <w:b/>
                          <w:bCs/>
                        </w:rPr>
                        <w:t>Aboriginal and Torres Strait Islander persons</w:t>
                      </w:r>
                      <w:r w:rsidRPr="007E392B">
                        <w:t xml:space="preserve"> – During the reporting period, 1,152 new cases were notified in Aboriginal and Torres Strait Islander people, of whom 762 were from New South Wales; 320 were from Victoria; and 67 were from the Australian Capital Territory. To date in 2021, there have been 6,084 cases and 13 deaths reported among Aboriginal and Torres Strait Islander people. Of locally-acquired cases notified in Aboriginal and Torres Strait Islander people in 2021, thirty-three percent (2,013/6,079) lived in a regional or remote area. </w:t>
                      </w:r>
                    </w:p>
                    <w:p w14:paraId="7DCAD0D3" w14:textId="135C19AF" w:rsidR="00E80310" w:rsidRPr="007E392B" w:rsidRDefault="00E80310" w:rsidP="007E392B">
                      <w:r w:rsidRPr="007E392B">
                        <w:rPr>
                          <w:b/>
                          <w:bCs/>
                        </w:rPr>
                        <w:t>Overseas cases</w:t>
                      </w:r>
                      <w:r w:rsidRPr="007E392B">
                        <w:t xml:space="preserve"> – There were 34 overseas-acquired cases this reporting period, with the largest numbers of cases reported in Queensland (29%; 10/34) and New South Wales (26%; 9/34).</w:t>
                      </w:r>
                    </w:p>
                  </w:txbxContent>
                </v:textbox>
                <w10:anchorlock/>
              </v:shape>
            </w:pict>
          </mc:Fallback>
        </mc:AlternateContent>
      </w:r>
    </w:p>
    <w:p w14:paraId="1D69489E" w14:textId="2D45E87F" w:rsidR="007E392B" w:rsidRDefault="007E392B" w:rsidP="006151AD">
      <w:r w:rsidRPr="00875334">
        <w:rPr>
          <w:rStyle w:val="Heading3Char"/>
          <w:noProof/>
        </w:rPr>
        <w:lastRenderedPageBreak/>
        <mc:AlternateContent>
          <mc:Choice Requires="wps">
            <w:drawing>
              <wp:inline distT="0" distB="0" distL="0" distR="0" wp14:anchorId="6DF51DD6" wp14:editId="546F2C1E">
                <wp:extent cx="6629400" cy="21526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52650"/>
                        </a:xfrm>
                        <a:prstGeom prst="rect">
                          <a:avLst/>
                        </a:prstGeom>
                        <a:solidFill>
                          <a:srgbClr val="FFF1D0"/>
                        </a:solidFill>
                        <a:ln w="9525">
                          <a:solidFill>
                            <a:srgbClr val="FFC00F"/>
                          </a:solidFill>
                          <a:miter lim="800000"/>
                          <a:headEnd/>
                          <a:tailEnd/>
                        </a:ln>
                      </wps:spPr>
                      <wps:txbx>
                        <w:txbxContent>
                          <w:p w14:paraId="7C4C2D6F" w14:textId="77777777" w:rsidR="00E80310" w:rsidRPr="007E392B" w:rsidRDefault="00E80310" w:rsidP="007E392B">
                            <w:r w:rsidRPr="007E392B">
                              <w:rPr>
                                <w:b/>
                                <w:bCs/>
                              </w:rPr>
                              <w:t>Severity</w:t>
                            </w:r>
                            <w:r w:rsidRPr="007E392B">
                              <w:t xml:space="preserve"> – In 2021, based on the highest level of severity reported for cases with an illness onset up to 10 October 2021, 0.7% of cases were reported to have died, 1.4% of cases required intensive care and a further 10.4% required admission to hospital, noting that cases may be hospitalised for reasons other than clinical COVID-19 related care. Given the delay between illness onset and severe illness, cases with an onset in the last two weeks were excluded from the analysis on severity. During the reporting period, 180 new COVID-19-associated deaths were notified. </w:t>
                            </w:r>
                          </w:p>
                          <w:p w14:paraId="117803EC" w14:textId="77777777" w:rsidR="00E80310" w:rsidRDefault="00E80310" w:rsidP="007E392B">
                            <w:r w:rsidRPr="007E392B">
                              <w:rPr>
                                <w:b/>
                                <w:bCs/>
                              </w:rPr>
                              <w:t>Vaccinations</w:t>
                            </w:r>
                            <w:r w:rsidRPr="007E392B">
                              <w:t xml:space="preserve"> – As at 24 October 2021, there had been 34,364,950 doses of COVID-19 vaccine administered in Australia. Nationally, 17,899,161 people aged 16 years or over (86.8%) had received at least one dose, including 15,140,516 people aged 16 and over (73.4%) who were fully vaccinated.</w:t>
                            </w:r>
                          </w:p>
                        </w:txbxContent>
                      </wps:txbx>
                      <wps:bodyPr rot="0" vert="horz" wrap="square" lIns="91440" tIns="45720" rIns="91440" bIns="45720" anchor="t" anchorCtr="0">
                        <a:noAutofit/>
                      </wps:bodyPr>
                    </wps:wsp>
                  </a:graphicData>
                </a:graphic>
              </wp:inline>
            </w:drawing>
          </mc:Choice>
          <mc:Fallback>
            <w:pict>
              <v:shape w14:anchorId="6DF51DD6" id="_x0000_s1027" type="#_x0000_t202" style="width:522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" fillcolor="#fff1d0" strokecolor="#ffc00f">
                <v:textbox>
                  <w:txbxContent>
                    <w:p w14:paraId="7C4C2D6F" w14:textId="77777777" w:rsidR="00E80310" w:rsidRPr="007E392B" w:rsidRDefault="00E80310" w:rsidP="007E392B">
                      <w:r w:rsidRPr="007E392B">
                        <w:rPr>
                          <w:b/>
                          <w:bCs/>
                        </w:rPr>
                        <w:t>Severity</w:t>
                      </w:r>
                      <w:r w:rsidRPr="007E392B">
                        <w:t xml:space="preserve"> – In 2021, based on the highest level of severity reported for cases with an illness onset up to 10 October 2021, 0.7% of cases were reported to have died, 1.4% of cases required intensive care and a further 10.4% required admission to hospital, noting that cases may be hospitalised for reasons other than clinical COVID-19 related care. Given the delay between illness onset and severe illness, cases with an onset in the last two weeks were excluded from the analysis on severity. During the reporting period, 180 new COVID-19-associated deaths were notified. </w:t>
                      </w:r>
                    </w:p>
                    <w:p w14:paraId="117803EC" w14:textId="77777777" w:rsidR="00E80310" w:rsidRDefault="00E80310" w:rsidP="007E392B">
                      <w:r w:rsidRPr="007E392B">
                        <w:rPr>
                          <w:b/>
                          <w:bCs/>
                        </w:rPr>
                        <w:t>Vaccinations</w:t>
                      </w:r>
                      <w:r w:rsidRPr="007E392B">
                        <w:t xml:space="preserve"> – As at 24 October 2021, there had been 34,364,950 doses of COVID-19 vaccine administered in Australia. Nationally, 17,899,161 people aged 16 years or over (86.8%) had received at least one dose, including 15,140,516 people aged 16 and over (73.4%) who were fully vaccinated.</w:t>
                      </w:r>
                    </w:p>
                  </w:txbxContent>
                </v:textbox>
                <w10:anchorlock/>
              </v:shape>
            </w:pict>
          </mc:Fallback>
        </mc:AlternateContent>
      </w:r>
    </w:p>
    <w:p w14:paraId="69A59963" w14:textId="77777777" w:rsidR="00633079" w:rsidRDefault="00633079" w:rsidP="006151AD">
      <w:r>
        <w:t xml:space="preserve">Keywords: </w:t>
      </w:r>
      <w:r w:rsidRPr="0098673B">
        <w:rPr>
          <w:rStyle w:val="Emphasis"/>
          <w:b w:val="0"/>
          <w:bCs w:val="0"/>
        </w:rPr>
        <w:t xml:space="preserve">SARS-CoV-2; novel coronavirus; 2019-nCoV; coronavirus disease 2019; </w:t>
      </w:r>
      <w:r>
        <w:t>COVID-19</w:t>
      </w:r>
      <w:r w:rsidRPr="0098673B">
        <w:rPr>
          <w:rStyle w:val="Emphasis"/>
          <w:b w:val="0"/>
          <w:bCs w:val="0"/>
        </w:rPr>
        <w:t xml:space="preserve">; acute respiratory disease; epidemiology; Australia </w:t>
      </w:r>
    </w:p>
    <w:p w14:paraId="10FA4DCC" w14:textId="77777777" w:rsidR="00633079" w:rsidRDefault="00633079" w:rsidP="006151AD">
      <w:r>
        <w:t>This reporting period covers the two-week period 11–24 October 2021, with data for this period compared to that from the previous two-week reporting period (27 September – 10 October 2021).</w:t>
      </w:r>
      <w:r>
        <w:rPr>
          <w:vertAlign w:val="superscript"/>
        </w:rPr>
        <w:t>1</w:t>
      </w:r>
      <w:r>
        <w:t xml:space="preserve"> The focus of this report is on the epidemiological situation in Australia since the beginning of 2021. Readers are encouraged to consult prior reports in this series for information on the epidemiology of cases in Australia in 2020. </w:t>
      </w:r>
    </w:p>
    <w:p w14:paraId="6D8754FC" w14:textId="46075C9D" w:rsidR="00633079" w:rsidRDefault="00633079" w:rsidP="006151AD">
      <w:r>
        <w:t>Acute respiratory illness, testing, public health response measures, virology and the international situation are reported in detail on a four-weekly basis and are not included in this report. The latest information on these topics can be found in Epidemiology Report 52;</w:t>
      </w:r>
      <w:r>
        <w:rPr>
          <w:vertAlign w:val="superscript"/>
        </w:rPr>
        <w:t>1</w:t>
      </w:r>
      <w:r>
        <w:t xml:space="preserve"> state and territory health websites</w:t>
      </w:r>
      <w:r w:rsidR="00E80310">
        <w:t>;</w:t>
      </w:r>
      <w:r w:rsidR="00E4771D">
        <w:rPr>
          <w:rStyle w:val="FootnoteReference"/>
        </w:rPr>
        <w:footnoteReference w:id="2"/>
      </w:r>
      <w:r>
        <w:t xml:space="preserve"> the weekly situation reports of the World Health Organization (WHO);</w:t>
      </w:r>
      <w:r w:rsidR="004D4707">
        <w:rPr>
          <w:rStyle w:val="FootnoteReference"/>
        </w:rPr>
        <w:footnoteReference w:id="3"/>
      </w:r>
      <w:r>
        <w:t xml:space="preserve"> and the Department of Health’s current situation and case numbers webpage.</w:t>
      </w:r>
      <w:r w:rsidR="006F5BC2">
        <w:rPr>
          <w:rStyle w:val="FootnoteReference"/>
        </w:rPr>
        <w:footnoteReference w:id="4"/>
      </w:r>
      <w:r>
        <w:t xml:space="preserve"> </w:t>
      </w:r>
    </w:p>
    <w:p w14:paraId="7BD44B7E" w14:textId="4688D983" w:rsidR="00633079" w:rsidRDefault="00633079" w:rsidP="006151AD">
      <w:r>
        <w:t>From report 46 onward, and unless otherwise specified, tabulated data and data within the text are extracted from the National Interoperable Notifiable Diseases Surveillance System (NINDSS)</w:t>
      </w:r>
      <w:r w:rsidR="00376A6A">
        <w:rPr>
          <w:rStyle w:val="FootnoteReference"/>
        </w:rPr>
        <w:footnoteReference w:id="5"/>
      </w:r>
      <w:r>
        <w:t xml:space="preserve"> based on ‘notification received date’ rather than ‘diagnosis date’ (see the Technical Supplement for definitions).</w:t>
      </w:r>
      <w:r>
        <w:rPr>
          <w:vertAlign w:val="superscript"/>
        </w:rPr>
        <w:t>2</w:t>
      </w:r>
      <w:r>
        <w:t xml:space="preserve"> As a case’s diagnosis date can be several days prior to the date of its notification, there is potential for newly-notified cases to be excluded from the case count in the current reporting period when reporting by ‘diagnosis date’. Using ‘notification received date’ ensures that the case count for the reporting period better reflects the number of </w:t>
      </w:r>
      <w:proofErr w:type="gramStart"/>
      <w:r>
        <w:t>newly-notified</w:t>
      </w:r>
      <w:proofErr w:type="gramEnd"/>
      <w:r>
        <w:t xml:space="preserve"> cases. As the graphs presented in this report, based on NINDSS data, reflect a larger time period (i.e. year to date and entire pandemic), these will continue to be based on diagnosis date to enable a more accurate understanding of infection risk and local transmission. </w:t>
      </w:r>
    </w:p>
    <w:p w14:paraId="1A611C08" w14:textId="77777777" w:rsidR="00633079" w:rsidRPr="00633079" w:rsidRDefault="00633079" w:rsidP="00633079">
      <w:pPr>
        <w:pStyle w:val="Heading2"/>
      </w:pPr>
      <w:r w:rsidRPr="00633079">
        <w:t xml:space="preserve">Background and data sources </w:t>
      </w:r>
    </w:p>
    <w:p w14:paraId="1A7D311B" w14:textId="77777777" w:rsidR="00633079" w:rsidRDefault="00633079" w:rsidP="00633079">
      <w:r>
        <w:t xml:space="preserve">See the Technical Supplement for general information on COVID-19 including modes of transmission, common </w:t>
      </w:r>
      <w:proofErr w:type="gramStart"/>
      <w:r>
        <w:t>symptoms</w:t>
      </w:r>
      <w:proofErr w:type="gramEnd"/>
      <w:r>
        <w:t xml:space="preserve"> and severity.</w:t>
      </w:r>
      <w:r>
        <w:rPr>
          <w:vertAlign w:val="superscript"/>
        </w:rPr>
        <w:t xml:space="preserve">2 </w:t>
      </w:r>
    </w:p>
    <w:p w14:paraId="5D614139" w14:textId="77777777" w:rsidR="00D757BC" w:rsidRDefault="00D757BC">
      <w:pPr>
        <w:rPr>
          <w:rFonts w:asciiTheme="majorHAnsi" w:eastAsiaTheme="majorEastAsia" w:hAnsiTheme="majorHAnsi" w:cstheme="majorBidi"/>
          <w:b/>
          <w:bCs/>
          <w:sz w:val="32"/>
          <w:szCs w:val="28"/>
        </w:rPr>
      </w:pPr>
      <w:r>
        <w:br w:type="page"/>
      </w:r>
    </w:p>
    <w:p w14:paraId="4FD19640" w14:textId="221D6966" w:rsidR="00633079" w:rsidRPr="00633079" w:rsidRDefault="00633079" w:rsidP="00633079">
      <w:pPr>
        <w:pStyle w:val="Heading1"/>
      </w:pPr>
      <w:r w:rsidRPr="00633079">
        <w:lastRenderedPageBreak/>
        <w:t xml:space="preserve">Activity </w:t>
      </w:r>
    </w:p>
    <w:p w14:paraId="367DECFE" w14:textId="77777777" w:rsidR="00633079" w:rsidRPr="00633079" w:rsidRDefault="00633079" w:rsidP="00633079">
      <w:pPr>
        <w:pStyle w:val="Heading2"/>
      </w:pPr>
      <w:r w:rsidRPr="00633079">
        <w:t xml:space="preserve">COVID-19 trends </w:t>
      </w:r>
    </w:p>
    <w:p w14:paraId="17F99AA7" w14:textId="77777777" w:rsidR="00633079" w:rsidRPr="00610063" w:rsidRDefault="00633079" w:rsidP="00633079">
      <w:pPr>
        <w:pStyle w:val="Heading3"/>
        <w:rPr>
          <w:i/>
          <w:iCs/>
        </w:rPr>
      </w:pPr>
      <w:r w:rsidRPr="00610063">
        <w:rPr>
          <w:i/>
          <w:iCs/>
        </w:rPr>
        <w:t xml:space="preserve">(NINDSS and jurisdictional reporting to NIR) </w:t>
      </w:r>
    </w:p>
    <w:p w14:paraId="5DAEABFE" w14:textId="1F00FE6D" w:rsidR="00633079" w:rsidRDefault="00633079" w:rsidP="006151AD">
      <w:r>
        <w:t xml:space="preserve">The number of cases reported this fortnight was </w:t>
      </w:r>
      <w:proofErr w:type="gramStart"/>
      <w:r>
        <w:t>similar to</w:t>
      </w:r>
      <w:proofErr w:type="gramEnd"/>
      <w:r>
        <w:t xml:space="preserve"> the number reported in the previous fortnight. A total of 30,727 cases were notified in this two-week reporting period (an average of 2,195 cases per day), compared to 30,218 cases (an average of 2,158 cases per day) in the previous reporting period. </w:t>
      </w:r>
      <w:proofErr w:type="gramStart"/>
      <w:r>
        <w:t>The majority of</w:t>
      </w:r>
      <w:proofErr w:type="gramEnd"/>
      <w:r>
        <w:t xml:space="preserve"> cases occurred in Victoria (84%; 25,750/30,727), followed by New South Wales (15%; 4,589/30,727) (Table 1).</w:t>
      </w:r>
    </w:p>
    <w:p w14:paraId="5A535128" w14:textId="055B059B" w:rsidR="003A5481" w:rsidRPr="007375C8" w:rsidRDefault="003A5481" w:rsidP="003A5481">
      <w:pPr>
        <w:pStyle w:val="CDIFigures"/>
      </w:pPr>
      <w:r w:rsidRPr="007375C8">
        <w:rPr>
          <w:rStyle w:val="Strong"/>
          <w:b/>
          <w:bCs w:val="0"/>
        </w:rPr>
        <w:t>Table 1: COVID-19 notifications by jurisdiction and source of acquisition, with a notification received date of 11–24</w:t>
      </w:r>
      <w:r w:rsidR="006E65D9">
        <w:rPr>
          <w:rStyle w:val="Strong"/>
          <w:b/>
          <w:bCs w:val="0"/>
        </w:rPr>
        <w:t> </w:t>
      </w:r>
      <w:r w:rsidRPr="007375C8">
        <w:rPr>
          <w:rStyle w:val="Strong"/>
          <w:b/>
          <w:bCs w:val="0"/>
        </w:rPr>
        <w:t>October 2021</w:t>
      </w:r>
      <w:r w:rsidRPr="00D90481">
        <w:rPr>
          <w:rStyle w:val="Strong"/>
          <w:b/>
          <w:bCs w:val="0"/>
          <w:vertAlign w:val="superscript"/>
        </w:rPr>
        <w:t>a</w:t>
      </w:r>
      <w:r w:rsidRPr="007375C8">
        <w:rPr>
          <w:rStyle w:val="Strong"/>
          <w:b/>
          <w:bCs w:val="0"/>
        </w:rPr>
        <w:t xml:space="preserve"> </w:t>
      </w:r>
    </w:p>
    <w:tbl>
      <w:tblPr>
        <w:tblStyle w:val="CDI-StandardTable"/>
        <w:tblW w:w="0" w:type="auto"/>
        <w:tblCellMar>
          <w:top w:w="113" w:type="dxa"/>
          <w:bottom w:w="113" w:type="dxa"/>
        </w:tblCellMar>
        <w:tblLook w:val="04A0" w:firstRow="1" w:lastRow="0" w:firstColumn="1" w:lastColumn="0" w:noHBand="0" w:noVBand="1"/>
        <w:tblDescription w:val="Table 1 shows COVID-19 notifications by jurisdiction and by source of acquisition, for cases with a notification received date within the current fortnightly reporting period. There were 30,727 cases notified in the current reporting period, of which 16,171 were acquired locally within the jurisdiction of notification, 14,508 were under initial investigation but thought to be locally acquired, 34 were acquired overseas and 14 were interstate acquired. Cases were predominantly notified in Victoria (25,750), with most of these cases (25,742) considered to be locally acquired, though a majority of the fortnight’s cases in Victoria remained under investigation at the end of the reporting period. All other jurisdictions reported cases in this reporting period: New South Wales (4,589 cases overall) , the Australian Capital Territory (361), Queensland (11), the Northern Territory (7) , South Australia (6), Western Australia (2) and Tasmania (1)."/>
      </w:tblPr>
      <w:tblGrid>
        <w:gridCol w:w="4532"/>
        <w:gridCol w:w="626"/>
        <w:gridCol w:w="626"/>
        <w:gridCol w:w="626"/>
        <w:gridCol w:w="626"/>
        <w:gridCol w:w="626"/>
        <w:gridCol w:w="626"/>
        <w:gridCol w:w="626"/>
        <w:gridCol w:w="626"/>
        <w:gridCol w:w="910"/>
      </w:tblGrid>
      <w:tr w:rsidR="003A5481" w:rsidRPr="00C53234" w14:paraId="07B5B83D" w14:textId="77777777" w:rsidTr="001365EF">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495D5F4C" w14:textId="77777777" w:rsidR="003A5481" w:rsidRPr="00C53234" w:rsidRDefault="003A5481" w:rsidP="00E80310">
            <w:pPr>
              <w:pStyle w:val="NormalWeb"/>
              <w:rPr>
                <w:color w:val="FFFFFF" w:themeColor="background1"/>
                <w:sz w:val="18"/>
                <w:szCs w:val="18"/>
              </w:rPr>
            </w:pPr>
            <w:proofErr w:type="spellStart"/>
            <w:r w:rsidRPr="00C53234">
              <w:rPr>
                <w:color w:val="FFFFFF" w:themeColor="background1"/>
                <w:sz w:val="18"/>
                <w:szCs w:val="18"/>
              </w:rPr>
              <w:t>Source</w:t>
            </w:r>
            <w:r w:rsidRPr="00C53234">
              <w:rPr>
                <w:color w:val="FFFFFF" w:themeColor="background1"/>
                <w:sz w:val="18"/>
                <w:szCs w:val="18"/>
                <w:vertAlign w:val="superscript"/>
              </w:rPr>
              <w:t>b</w:t>
            </w:r>
            <w:proofErr w:type="spellEnd"/>
          </w:p>
        </w:tc>
        <w:tc>
          <w:tcPr>
            <w:tcW w:w="626" w:type="dxa"/>
            <w:tcBorders>
              <w:left w:val="single" w:sz="2" w:space="0" w:color="FFFFFF" w:themeColor="background1"/>
              <w:right w:val="single" w:sz="2" w:space="0" w:color="FFFFFF" w:themeColor="background1"/>
            </w:tcBorders>
            <w:hideMark/>
          </w:tcPr>
          <w:p w14:paraId="1E1DB270"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ACT</w:t>
            </w:r>
          </w:p>
        </w:tc>
        <w:tc>
          <w:tcPr>
            <w:tcW w:w="626" w:type="dxa"/>
            <w:tcBorders>
              <w:left w:val="single" w:sz="2" w:space="0" w:color="FFFFFF" w:themeColor="background1"/>
              <w:right w:val="single" w:sz="2" w:space="0" w:color="FFFFFF" w:themeColor="background1"/>
            </w:tcBorders>
            <w:hideMark/>
          </w:tcPr>
          <w:p w14:paraId="745345A1"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NSW</w:t>
            </w:r>
          </w:p>
        </w:tc>
        <w:tc>
          <w:tcPr>
            <w:tcW w:w="626" w:type="dxa"/>
            <w:tcBorders>
              <w:left w:val="single" w:sz="2" w:space="0" w:color="FFFFFF" w:themeColor="background1"/>
              <w:right w:val="single" w:sz="2" w:space="0" w:color="FFFFFF" w:themeColor="background1"/>
            </w:tcBorders>
            <w:hideMark/>
          </w:tcPr>
          <w:p w14:paraId="39A3349D"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NT</w:t>
            </w:r>
          </w:p>
        </w:tc>
        <w:tc>
          <w:tcPr>
            <w:tcW w:w="626" w:type="dxa"/>
            <w:tcBorders>
              <w:left w:val="single" w:sz="2" w:space="0" w:color="FFFFFF" w:themeColor="background1"/>
              <w:right w:val="single" w:sz="2" w:space="0" w:color="FFFFFF" w:themeColor="background1"/>
            </w:tcBorders>
            <w:hideMark/>
          </w:tcPr>
          <w:p w14:paraId="45264014"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Qld</w:t>
            </w:r>
          </w:p>
        </w:tc>
        <w:tc>
          <w:tcPr>
            <w:tcW w:w="626" w:type="dxa"/>
            <w:tcBorders>
              <w:left w:val="single" w:sz="2" w:space="0" w:color="FFFFFF" w:themeColor="background1"/>
              <w:right w:val="single" w:sz="2" w:space="0" w:color="FFFFFF" w:themeColor="background1"/>
            </w:tcBorders>
            <w:hideMark/>
          </w:tcPr>
          <w:p w14:paraId="67751F52"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SA</w:t>
            </w:r>
          </w:p>
        </w:tc>
        <w:tc>
          <w:tcPr>
            <w:tcW w:w="626" w:type="dxa"/>
            <w:tcBorders>
              <w:left w:val="single" w:sz="2" w:space="0" w:color="FFFFFF" w:themeColor="background1"/>
              <w:right w:val="single" w:sz="2" w:space="0" w:color="FFFFFF" w:themeColor="background1"/>
            </w:tcBorders>
            <w:hideMark/>
          </w:tcPr>
          <w:p w14:paraId="133F87C0"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Tas.</w:t>
            </w:r>
          </w:p>
        </w:tc>
        <w:tc>
          <w:tcPr>
            <w:tcW w:w="626" w:type="dxa"/>
            <w:tcBorders>
              <w:left w:val="single" w:sz="2" w:space="0" w:color="FFFFFF" w:themeColor="background1"/>
              <w:right w:val="single" w:sz="2" w:space="0" w:color="FFFFFF" w:themeColor="background1"/>
            </w:tcBorders>
            <w:hideMark/>
          </w:tcPr>
          <w:p w14:paraId="07478700"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Vic.</w:t>
            </w:r>
          </w:p>
        </w:tc>
        <w:tc>
          <w:tcPr>
            <w:tcW w:w="626" w:type="dxa"/>
            <w:tcBorders>
              <w:left w:val="single" w:sz="2" w:space="0" w:color="FFFFFF" w:themeColor="background1"/>
              <w:right w:val="single" w:sz="2" w:space="0" w:color="FFFFFF" w:themeColor="background1"/>
            </w:tcBorders>
            <w:hideMark/>
          </w:tcPr>
          <w:p w14:paraId="5E12D1F5"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WA</w:t>
            </w:r>
          </w:p>
        </w:tc>
        <w:tc>
          <w:tcPr>
            <w:tcW w:w="900" w:type="dxa"/>
            <w:tcBorders>
              <w:left w:val="single" w:sz="2" w:space="0" w:color="FFFFFF" w:themeColor="background1"/>
            </w:tcBorders>
            <w:hideMark/>
          </w:tcPr>
          <w:p w14:paraId="130D7E5F" w14:textId="77777777" w:rsidR="003A5481" w:rsidRPr="00C53234" w:rsidRDefault="003A5481" w:rsidP="00E80310">
            <w:pPr>
              <w:pStyle w:val="NormalWeb"/>
              <w:jc w:val="center"/>
              <w:rPr>
                <w:color w:val="FFFFFF" w:themeColor="background1"/>
                <w:sz w:val="18"/>
                <w:szCs w:val="18"/>
              </w:rPr>
            </w:pPr>
            <w:r w:rsidRPr="00C53234">
              <w:rPr>
                <w:color w:val="FFFFFF" w:themeColor="background1"/>
                <w:sz w:val="18"/>
                <w:szCs w:val="18"/>
              </w:rPr>
              <w:t>Australia</w:t>
            </w:r>
          </w:p>
        </w:tc>
      </w:tr>
      <w:tr w:rsidR="00C53234" w:rsidRPr="00C53234" w14:paraId="77C11F6F" w14:textId="77777777" w:rsidTr="001365EF">
        <w:tblPrEx>
          <w:tblCellMar>
            <w:left w:w="57" w:type="dxa"/>
            <w:right w:w="57" w:type="dxa"/>
          </w:tblCellMar>
        </w:tblPrEx>
        <w:tc>
          <w:tcPr>
            <w:tcW w:w="0" w:type="auto"/>
            <w:hideMark/>
          </w:tcPr>
          <w:p w14:paraId="6169B8B3" w14:textId="77777777" w:rsidR="003A5481" w:rsidRPr="00C53234" w:rsidRDefault="003A5481" w:rsidP="00E80310">
            <w:pPr>
              <w:pStyle w:val="NormalWeb"/>
              <w:rPr>
                <w:sz w:val="18"/>
                <w:szCs w:val="18"/>
              </w:rPr>
            </w:pPr>
            <w:r w:rsidRPr="00C53234">
              <w:rPr>
                <w:sz w:val="18"/>
                <w:szCs w:val="18"/>
              </w:rPr>
              <w:t>Overseas</w:t>
            </w:r>
          </w:p>
        </w:tc>
        <w:tc>
          <w:tcPr>
            <w:tcW w:w="626" w:type="dxa"/>
            <w:hideMark/>
          </w:tcPr>
          <w:p w14:paraId="2FDFA23D"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315FD7A0" w14:textId="77777777" w:rsidR="003A5481" w:rsidRPr="00C53234" w:rsidRDefault="003A5481" w:rsidP="00E80310">
            <w:pPr>
              <w:pStyle w:val="NormalWeb"/>
              <w:jc w:val="center"/>
              <w:rPr>
                <w:sz w:val="18"/>
                <w:szCs w:val="18"/>
              </w:rPr>
            </w:pPr>
            <w:r w:rsidRPr="00C53234">
              <w:rPr>
                <w:sz w:val="18"/>
                <w:szCs w:val="18"/>
              </w:rPr>
              <w:t>9</w:t>
            </w:r>
          </w:p>
        </w:tc>
        <w:tc>
          <w:tcPr>
            <w:tcW w:w="626" w:type="dxa"/>
            <w:hideMark/>
          </w:tcPr>
          <w:p w14:paraId="44DFEA52" w14:textId="77777777" w:rsidR="003A5481" w:rsidRPr="00C53234" w:rsidRDefault="003A5481" w:rsidP="00E80310">
            <w:pPr>
              <w:pStyle w:val="NormalWeb"/>
              <w:jc w:val="center"/>
              <w:rPr>
                <w:sz w:val="18"/>
                <w:szCs w:val="18"/>
              </w:rPr>
            </w:pPr>
            <w:r w:rsidRPr="00C53234">
              <w:rPr>
                <w:sz w:val="18"/>
                <w:szCs w:val="18"/>
              </w:rPr>
              <w:t>2</w:t>
            </w:r>
          </w:p>
        </w:tc>
        <w:tc>
          <w:tcPr>
            <w:tcW w:w="626" w:type="dxa"/>
            <w:hideMark/>
          </w:tcPr>
          <w:p w14:paraId="5D2D136B" w14:textId="77777777" w:rsidR="003A5481" w:rsidRPr="00C53234" w:rsidRDefault="003A5481" w:rsidP="00E80310">
            <w:pPr>
              <w:pStyle w:val="NormalWeb"/>
              <w:jc w:val="center"/>
              <w:rPr>
                <w:sz w:val="18"/>
                <w:szCs w:val="18"/>
              </w:rPr>
            </w:pPr>
            <w:r w:rsidRPr="00C53234">
              <w:rPr>
                <w:sz w:val="18"/>
                <w:szCs w:val="18"/>
              </w:rPr>
              <w:t>10</w:t>
            </w:r>
          </w:p>
        </w:tc>
        <w:tc>
          <w:tcPr>
            <w:tcW w:w="626" w:type="dxa"/>
            <w:hideMark/>
          </w:tcPr>
          <w:p w14:paraId="254EE297" w14:textId="77777777" w:rsidR="003A5481" w:rsidRPr="00C53234" w:rsidRDefault="003A5481" w:rsidP="00E80310">
            <w:pPr>
              <w:pStyle w:val="NormalWeb"/>
              <w:jc w:val="center"/>
              <w:rPr>
                <w:sz w:val="18"/>
                <w:szCs w:val="18"/>
              </w:rPr>
            </w:pPr>
            <w:r w:rsidRPr="00C53234">
              <w:rPr>
                <w:sz w:val="18"/>
                <w:szCs w:val="18"/>
              </w:rPr>
              <w:t>3</w:t>
            </w:r>
          </w:p>
        </w:tc>
        <w:tc>
          <w:tcPr>
            <w:tcW w:w="626" w:type="dxa"/>
            <w:hideMark/>
          </w:tcPr>
          <w:p w14:paraId="5E5771DA"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5BB79E79" w14:textId="77777777" w:rsidR="003A5481" w:rsidRPr="00C53234" w:rsidRDefault="003A5481" w:rsidP="00E80310">
            <w:pPr>
              <w:pStyle w:val="NormalWeb"/>
              <w:jc w:val="center"/>
              <w:rPr>
                <w:sz w:val="18"/>
                <w:szCs w:val="18"/>
              </w:rPr>
            </w:pPr>
            <w:r w:rsidRPr="00C53234">
              <w:rPr>
                <w:sz w:val="18"/>
                <w:szCs w:val="18"/>
              </w:rPr>
              <w:t>8</w:t>
            </w:r>
          </w:p>
        </w:tc>
        <w:tc>
          <w:tcPr>
            <w:tcW w:w="626" w:type="dxa"/>
            <w:hideMark/>
          </w:tcPr>
          <w:p w14:paraId="2E475F7A" w14:textId="77777777" w:rsidR="003A5481" w:rsidRPr="00C53234" w:rsidRDefault="003A5481" w:rsidP="00E80310">
            <w:pPr>
              <w:pStyle w:val="NormalWeb"/>
              <w:jc w:val="center"/>
              <w:rPr>
                <w:sz w:val="18"/>
                <w:szCs w:val="18"/>
              </w:rPr>
            </w:pPr>
            <w:r w:rsidRPr="00C53234">
              <w:rPr>
                <w:sz w:val="18"/>
                <w:szCs w:val="18"/>
              </w:rPr>
              <w:t>2</w:t>
            </w:r>
          </w:p>
        </w:tc>
        <w:tc>
          <w:tcPr>
            <w:tcW w:w="900" w:type="dxa"/>
            <w:hideMark/>
          </w:tcPr>
          <w:p w14:paraId="032684CB" w14:textId="77777777" w:rsidR="003A5481" w:rsidRPr="00C53234" w:rsidRDefault="003A5481" w:rsidP="00E80310">
            <w:pPr>
              <w:pStyle w:val="NormalWeb"/>
              <w:jc w:val="center"/>
              <w:rPr>
                <w:sz w:val="18"/>
                <w:szCs w:val="18"/>
              </w:rPr>
            </w:pPr>
            <w:r w:rsidRPr="00C53234">
              <w:rPr>
                <w:sz w:val="18"/>
                <w:szCs w:val="18"/>
              </w:rPr>
              <w:t>34</w:t>
            </w:r>
          </w:p>
        </w:tc>
      </w:tr>
      <w:tr w:rsidR="003A5481" w:rsidRPr="00C53234" w14:paraId="4D80A2A9" w14:textId="77777777" w:rsidTr="001365E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6DFCE4D" w14:textId="77777777" w:rsidR="003A5481" w:rsidRPr="00C53234" w:rsidRDefault="003A5481" w:rsidP="00E80310">
            <w:pPr>
              <w:pStyle w:val="NormalWeb"/>
              <w:rPr>
                <w:sz w:val="18"/>
                <w:szCs w:val="18"/>
              </w:rPr>
            </w:pPr>
            <w:r w:rsidRPr="00C53234">
              <w:rPr>
                <w:sz w:val="18"/>
                <w:szCs w:val="18"/>
              </w:rPr>
              <w:t xml:space="preserve">Locally acquired – acquired within jurisdiction of notification </w:t>
            </w:r>
          </w:p>
        </w:tc>
        <w:tc>
          <w:tcPr>
            <w:tcW w:w="626" w:type="dxa"/>
            <w:hideMark/>
          </w:tcPr>
          <w:p w14:paraId="12FA3CD0" w14:textId="77777777" w:rsidR="003A5481" w:rsidRPr="00C53234" w:rsidRDefault="003A5481" w:rsidP="00E80310">
            <w:pPr>
              <w:pStyle w:val="NormalWeb"/>
              <w:jc w:val="center"/>
              <w:rPr>
                <w:sz w:val="18"/>
                <w:szCs w:val="18"/>
              </w:rPr>
            </w:pPr>
            <w:r w:rsidRPr="00C53234">
              <w:rPr>
                <w:sz w:val="18"/>
                <w:szCs w:val="18"/>
              </w:rPr>
              <w:t>357</w:t>
            </w:r>
          </w:p>
        </w:tc>
        <w:tc>
          <w:tcPr>
            <w:tcW w:w="626" w:type="dxa"/>
            <w:hideMark/>
          </w:tcPr>
          <w:p w14:paraId="24FBAD10" w14:textId="77777777" w:rsidR="003A5481" w:rsidRPr="00C53234" w:rsidRDefault="003A5481" w:rsidP="00E80310">
            <w:pPr>
              <w:pStyle w:val="NormalWeb"/>
              <w:jc w:val="center"/>
              <w:rPr>
                <w:sz w:val="18"/>
                <w:szCs w:val="18"/>
              </w:rPr>
            </w:pPr>
            <w:r w:rsidRPr="00C53234">
              <w:rPr>
                <w:sz w:val="18"/>
                <w:szCs w:val="18"/>
              </w:rPr>
              <w:t>4,576</w:t>
            </w:r>
          </w:p>
        </w:tc>
        <w:tc>
          <w:tcPr>
            <w:tcW w:w="626" w:type="dxa"/>
            <w:hideMark/>
          </w:tcPr>
          <w:p w14:paraId="662B0CD0"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1C9764C7"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7701D844" w14:textId="77777777" w:rsidR="003A5481" w:rsidRPr="00C53234" w:rsidRDefault="003A5481" w:rsidP="00E80310">
            <w:pPr>
              <w:pStyle w:val="NormalWeb"/>
              <w:jc w:val="center"/>
              <w:rPr>
                <w:sz w:val="18"/>
                <w:szCs w:val="18"/>
              </w:rPr>
            </w:pPr>
            <w:r w:rsidRPr="00C53234">
              <w:rPr>
                <w:sz w:val="18"/>
                <w:szCs w:val="18"/>
              </w:rPr>
              <w:t>1</w:t>
            </w:r>
          </w:p>
        </w:tc>
        <w:tc>
          <w:tcPr>
            <w:tcW w:w="626" w:type="dxa"/>
            <w:hideMark/>
          </w:tcPr>
          <w:p w14:paraId="1CD2AED4"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5989B3E3" w14:textId="77777777" w:rsidR="003A5481" w:rsidRPr="00C53234" w:rsidRDefault="003A5481" w:rsidP="00E80310">
            <w:pPr>
              <w:pStyle w:val="NormalWeb"/>
              <w:jc w:val="center"/>
              <w:rPr>
                <w:sz w:val="18"/>
                <w:szCs w:val="18"/>
              </w:rPr>
            </w:pPr>
            <w:r w:rsidRPr="00C53234">
              <w:rPr>
                <w:sz w:val="18"/>
                <w:szCs w:val="18"/>
              </w:rPr>
              <w:t>11,237</w:t>
            </w:r>
          </w:p>
        </w:tc>
        <w:tc>
          <w:tcPr>
            <w:tcW w:w="626" w:type="dxa"/>
            <w:hideMark/>
          </w:tcPr>
          <w:p w14:paraId="12C6E023" w14:textId="77777777" w:rsidR="003A5481" w:rsidRPr="00C53234" w:rsidRDefault="003A5481" w:rsidP="00E80310">
            <w:pPr>
              <w:pStyle w:val="NormalWeb"/>
              <w:jc w:val="center"/>
              <w:rPr>
                <w:sz w:val="18"/>
                <w:szCs w:val="18"/>
              </w:rPr>
            </w:pPr>
            <w:r w:rsidRPr="00C53234">
              <w:rPr>
                <w:sz w:val="18"/>
                <w:szCs w:val="18"/>
              </w:rPr>
              <w:t>0</w:t>
            </w:r>
          </w:p>
        </w:tc>
        <w:tc>
          <w:tcPr>
            <w:tcW w:w="900" w:type="dxa"/>
            <w:hideMark/>
          </w:tcPr>
          <w:p w14:paraId="72915BEE" w14:textId="77777777" w:rsidR="003A5481" w:rsidRPr="00C53234" w:rsidRDefault="003A5481" w:rsidP="00E80310">
            <w:pPr>
              <w:pStyle w:val="NormalWeb"/>
              <w:jc w:val="center"/>
              <w:rPr>
                <w:sz w:val="18"/>
                <w:szCs w:val="18"/>
              </w:rPr>
            </w:pPr>
            <w:r w:rsidRPr="00C53234">
              <w:rPr>
                <w:sz w:val="18"/>
                <w:szCs w:val="18"/>
              </w:rPr>
              <w:t>16,171</w:t>
            </w:r>
          </w:p>
        </w:tc>
      </w:tr>
      <w:tr w:rsidR="00C53234" w:rsidRPr="00C53234" w14:paraId="2BC16285" w14:textId="77777777" w:rsidTr="001365EF">
        <w:tblPrEx>
          <w:tblCellMar>
            <w:left w:w="57" w:type="dxa"/>
            <w:right w:w="57" w:type="dxa"/>
          </w:tblCellMar>
        </w:tblPrEx>
        <w:tc>
          <w:tcPr>
            <w:tcW w:w="0" w:type="auto"/>
            <w:hideMark/>
          </w:tcPr>
          <w:p w14:paraId="5AED0822" w14:textId="77777777" w:rsidR="003A5481" w:rsidRPr="00C53234" w:rsidRDefault="003A5481" w:rsidP="00E80310">
            <w:pPr>
              <w:pStyle w:val="NormalWeb"/>
              <w:rPr>
                <w:sz w:val="18"/>
                <w:szCs w:val="18"/>
              </w:rPr>
            </w:pPr>
            <w:r w:rsidRPr="00C53234">
              <w:rPr>
                <w:sz w:val="18"/>
                <w:szCs w:val="18"/>
              </w:rPr>
              <w:t>Locally acquired – acquired interstate</w:t>
            </w:r>
          </w:p>
        </w:tc>
        <w:tc>
          <w:tcPr>
            <w:tcW w:w="626" w:type="dxa"/>
            <w:hideMark/>
          </w:tcPr>
          <w:p w14:paraId="525DD8EA" w14:textId="77777777" w:rsidR="003A5481" w:rsidRPr="00C53234" w:rsidRDefault="003A5481" w:rsidP="00E80310">
            <w:pPr>
              <w:pStyle w:val="NormalWeb"/>
              <w:jc w:val="center"/>
              <w:rPr>
                <w:sz w:val="18"/>
                <w:szCs w:val="18"/>
              </w:rPr>
            </w:pPr>
            <w:r w:rsidRPr="00C53234">
              <w:rPr>
                <w:sz w:val="18"/>
                <w:szCs w:val="18"/>
              </w:rPr>
              <w:t>4</w:t>
            </w:r>
          </w:p>
        </w:tc>
        <w:tc>
          <w:tcPr>
            <w:tcW w:w="626" w:type="dxa"/>
            <w:hideMark/>
          </w:tcPr>
          <w:p w14:paraId="75577DAB" w14:textId="77777777" w:rsidR="003A5481" w:rsidRPr="00C53234" w:rsidRDefault="003A5481" w:rsidP="00E80310">
            <w:pPr>
              <w:pStyle w:val="NormalWeb"/>
              <w:jc w:val="center"/>
              <w:rPr>
                <w:sz w:val="18"/>
                <w:szCs w:val="18"/>
              </w:rPr>
            </w:pPr>
            <w:r w:rsidRPr="00C53234">
              <w:rPr>
                <w:sz w:val="18"/>
                <w:szCs w:val="18"/>
              </w:rPr>
              <w:t>1</w:t>
            </w:r>
          </w:p>
        </w:tc>
        <w:tc>
          <w:tcPr>
            <w:tcW w:w="626" w:type="dxa"/>
            <w:hideMark/>
          </w:tcPr>
          <w:p w14:paraId="387D0235" w14:textId="77777777" w:rsidR="003A5481" w:rsidRPr="00C53234" w:rsidRDefault="003A5481" w:rsidP="00E80310">
            <w:pPr>
              <w:pStyle w:val="NormalWeb"/>
              <w:jc w:val="center"/>
              <w:rPr>
                <w:sz w:val="18"/>
                <w:szCs w:val="18"/>
              </w:rPr>
            </w:pPr>
            <w:r w:rsidRPr="00C53234">
              <w:rPr>
                <w:sz w:val="18"/>
                <w:szCs w:val="18"/>
              </w:rPr>
              <w:t>5</w:t>
            </w:r>
          </w:p>
        </w:tc>
        <w:tc>
          <w:tcPr>
            <w:tcW w:w="626" w:type="dxa"/>
            <w:hideMark/>
          </w:tcPr>
          <w:p w14:paraId="2ECA731D" w14:textId="77777777" w:rsidR="003A5481" w:rsidRPr="00C53234" w:rsidRDefault="003A5481" w:rsidP="00E80310">
            <w:pPr>
              <w:pStyle w:val="NormalWeb"/>
              <w:jc w:val="center"/>
              <w:rPr>
                <w:sz w:val="18"/>
                <w:szCs w:val="18"/>
              </w:rPr>
            </w:pPr>
            <w:r w:rsidRPr="00C53234">
              <w:rPr>
                <w:sz w:val="18"/>
                <w:szCs w:val="18"/>
              </w:rPr>
              <w:t>1</w:t>
            </w:r>
          </w:p>
        </w:tc>
        <w:tc>
          <w:tcPr>
            <w:tcW w:w="626" w:type="dxa"/>
            <w:hideMark/>
          </w:tcPr>
          <w:p w14:paraId="27AEDA6E" w14:textId="77777777" w:rsidR="003A5481" w:rsidRPr="00C53234" w:rsidRDefault="003A5481" w:rsidP="00E80310">
            <w:pPr>
              <w:pStyle w:val="NormalWeb"/>
              <w:jc w:val="center"/>
              <w:rPr>
                <w:sz w:val="18"/>
                <w:szCs w:val="18"/>
              </w:rPr>
            </w:pPr>
            <w:r w:rsidRPr="00C53234">
              <w:rPr>
                <w:sz w:val="18"/>
                <w:szCs w:val="18"/>
              </w:rPr>
              <w:t>2</w:t>
            </w:r>
          </w:p>
        </w:tc>
        <w:tc>
          <w:tcPr>
            <w:tcW w:w="626" w:type="dxa"/>
            <w:hideMark/>
          </w:tcPr>
          <w:p w14:paraId="79FE7EF5" w14:textId="77777777" w:rsidR="003A5481" w:rsidRPr="00C53234" w:rsidRDefault="003A5481" w:rsidP="00E80310">
            <w:pPr>
              <w:pStyle w:val="NormalWeb"/>
              <w:jc w:val="center"/>
              <w:rPr>
                <w:sz w:val="18"/>
                <w:szCs w:val="18"/>
              </w:rPr>
            </w:pPr>
            <w:r w:rsidRPr="00C53234">
              <w:rPr>
                <w:sz w:val="18"/>
                <w:szCs w:val="18"/>
              </w:rPr>
              <w:t>1</w:t>
            </w:r>
          </w:p>
        </w:tc>
        <w:tc>
          <w:tcPr>
            <w:tcW w:w="626" w:type="dxa"/>
            <w:hideMark/>
          </w:tcPr>
          <w:p w14:paraId="33596468"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076DB6BD" w14:textId="77777777" w:rsidR="003A5481" w:rsidRPr="00C53234" w:rsidRDefault="003A5481" w:rsidP="00E80310">
            <w:pPr>
              <w:pStyle w:val="NormalWeb"/>
              <w:jc w:val="center"/>
              <w:rPr>
                <w:sz w:val="18"/>
                <w:szCs w:val="18"/>
              </w:rPr>
            </w:pPr>
            <w:r w:rsidRPr="00C53234">
              <w:rPr>
                <w:sz w:val="18"/>
                <w:szCs w:val="18"/>
              </w:rPr>
              <w:t>0</w:t>
            </w:r>
          </w:p>
        </w:tc>
        <w:tc>
          <w:tcPr>
            <w:tcW w:w="900" w:type="dxa"/>
            <w:hideMark/>
          </w:tcPr>
          <w:p w14:paraId="170812AE" w14:textId="77777777" w:rsidR="003A5481" w:rsidRPr="00C53234" w:rsidRDefault="003A5481" w:rsidP="00E80310">
            <w:pPr>
              <w:pStyle w:val="NormalWeb"/>
              <w:jc w:val="center"/>
              <w:rPr>
                <w:sz w:val="18"/>
                <w:szCs w:val="18"/>
              </w:rPr>
            </w:pPr>
            <w:r w:rsidRPr="00C53234">
              <w:rPr>
                <w:sz w:val="18"/>
                <w:szCs w:val="18"/>
              </w:rPr>
              <w:t>14</w:t>
            </w:r>
          </w:p>
        </w:tc>
      </w:tr>
      <w:tr w:rsidR="003A5481" w:rsidRPr="00C53234" w14:paraId="26BAA64D" w14:textId="77777777" w:rsidTr="001365E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4ED62D5" w14:textId="77777777" w:rsidR="003A5481" w:rsidRPr="00C53234" w:rsidRDefault="003A5481" w:rsidP="00E80310">
            <w:pPr>
              <w:pStyle w:val="NormalWeb"/>
              <w:rPr>
                <w:sz w:val="18"/>
                <w:szCs w:val="18"/>
              </w:rPr>
            </w:pPr>
            <w:r w:rsidRPr="00C53234">
              <w:rPr>
                <w:sz w:val="18"/>
                <w:szCs w:val="18"/>
              </w:rPr>
              <w:t>Under initial investigation</w:t>
            </w:r>
          </w:p>
        </w:tc>
        <w:tc>
          <w:tcPr>
            <w:tcW w:w="626" w:type="dxa"/>
            <w:hideMark/>
          </w:tcPr>
          <w:p w14:paraId="11F5490B"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09FFDF4D" w14:textId="77777777" w:rsidR="003A5481" w:rsidRPr="00C53234" w:rsidRDefault="003A5481" w:rsidP="00E80310">
            <w:pPr>
              <w:pStyle w:val="NormalWeb"/>
              <w:jc w:val="center"/>
              <w:rPr>
                <w:sz w:val="18"/>
                <w:szCs w:val="18"/>
              </w:rPr>
            </w:pPr>
            <w:r w:rsidRPr="00C53234">
              <w:rPr>
                <w:sz w:val="18"/>
                <w:szCs w:val="18"/>
              </w:rPr>
              <w:t>3</w:t>
            </w:r>
          </w:p>
        </w:tc>
        <w:tc>
          <w:tcPr>
            <w:tcW w:w="626" w:type="dxa"/>
            <w:hideMark/>
          </w:tcPr>
          <w:p w14:paraId="38263835"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2D471BAD"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1BFD8E32"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6944DF8A"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1240A700" w14:textId="77777777" w:rsidR="003A5481" w:rsidRPr="00C53234" w:rsidRDefault="003A5481" w:rsidP="00E80310">
            <w:pPr>
              <w:pStyle w:val="NormalWeb"/>
              <w:jc w:val="center"/>
              <w:rPr>
                <w:sz w:val="18"/>
                <w:szCs w:val="18"/>
              </w:rPr>
            </w:pPr>
            <w:r w:rsidRPr="00C53234">
              <w:rPr>
                <w:sz w:val="18"/>
                <w:szCs w:val="18"/>
              </w:rPr>
              <w:t>14,505</w:t>
            </w:r>
          </w:p>
        </w:tc>
        <w:tc>
          <w:tcPr>
            <w:tcW w:w="626" w:type="dxa"/>
            <w:hideMark/>
          </w:tcPr>
          <w:p w14:paraId="555353C3" w14:textId="77777777" w:rsidR="003A5481" w:rsidRPr="00C53234" w:rsidRDefault="003A5481" w:rsidP="00E80310">
            <w:pPr>
              <w:pStyle w:val="NormalWeb"/>
              <w:jc w:val="center"/>
              <w:rPr>
                <w:sz w:val="18"/>
                <w:szCs w:val="18"/>
              </w:rPr>
            </w:pPr>
            <w:r w:rsidRPr="00C53234">
              <w:rPr>
                <w:sz w:val="18"/>
                <w:szCs w:val="18"/>
              </w:rPr>
              <w:t>0</w:t>
            </w:r>
          </w:p>
        </w:tc>
        <w:tc>
          <w:tcPr>
            <w:tcW w:w="900" w:type="dxa"/>
            <w:hideMark/>
          </w:tcPr>
          <w:p w14:paraId="78C1327C" w14:textId="77777777" w:rsidR="003A5481" w:rsidRPr="00C53234" w:rsidRDefault="003A5481" w:rsidP="00E80310">
            <w:pPr>
              <w:pStyle w:val="NormalWeb"/>
              <w:jc w:val="center"/>
              <w:rPr>
                <w:sz w:val="18"/>
                <w:szCs w:val="18"/>
              </w:rPr>
            </w:pPr>
            <w:r w:rsidRPr="00C53234">
              <w:rPr>
                <w:sz w:val="18"/>
                <w:szCs w:val="18"/>
              </w:rPr>
              <w:t>14,508</w:t>
            </w:r>
          </w:p>
        </w:tc>
      </w:tr>
      <w:tr w:rsidR="00C53234" w:rsidRPr="00C53234" w14:paraId="11198E23" w14:textId="77777777" w:rsidTr="001365EF">
        <w:tblPrEx>
          <w:tblCellMar>
            <w:left w:w="57" w:type="dxa"/>
            <w:right w:w="57" w:type="dxa"/>
          </w:tblCellMar>
        </w:tblPrEx>
        <w:tc>
          <w:tcPr>
            <w:tcW w:w="0" w:type="auto"/>
            <w:hideMark/>
          </w:tcPr>
          <w:p w14:paraId="618A9723" w14:textId="77777777" w:rsidR="003A5481" w:rsidRPr="00C53234" w:rsidRDefault="003A5481" w:rsidP="00E80310">
            <w:pPr>
              <w:pStyle w:val="NormalWeb"/>
              <w:rPr>
                <w:sz w:val="18"/>
                <w:szCs w:val="18"/>
              </w:rPr>
            </w:pPr>
            <w:r w:rsidRPr="00C53234">
              <w:rPr>
                <w:sz w:val="18"/>
                <w:szCs w:val="18"/>
              </w:rPr>
              <w:t>Missing source of acquisition</w:t>
            </w:r>
          </w:p>
        </w:tc>
        <w:tc>
          <w:tcPr>
            <w:tcW w:w="626" w:type="dxa"/>
            <w:hideMark/>
          </w:tcPr>
          <w:p w14:paraId="1CD4F847"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3145781D"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511DAC7A"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7A6EAA25"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028247E1"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5B0C2EB8"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7D693A95" w14:textId="77777777" w:rsidR="003A5481" w:rsidRPr="00C53234" w:rsidRDefault="003A5481" w:rsidP="00E80310">
            <w:pPr>
              <w:pStyle w:val="NormalWeb"/>
              <w:jc w:val="center"/>
              <w:rPr>
                <w:sz w:val="18"/>
                <w:szCs w:val="18"/>
              </w:rPr>
            </w:pPr>
            <w:r w:rsidRPr="00C53234">
              <w:rPr>
                <w:sz w:val="18"/>
                <w:szCs w:val="18"/>
              </w:rPr>
              <w:t>0</w:t>
            </w:r>
          </w:p>
        </w:tc>
        <w:tc>
          <w:tcPr>
            <w:tcW w:w="626" w:type="dxa"/>
            <w:hideMark/>
          </w:tcPr>
          <w:p w14:paraId="48F972FE" w14:textId="77777777" w:rsidR="003A5481" w:rsidRPr="00C53234" w:rsidRDefault="003A5481" w:rsidP="00E80310">
            <w:pPr>
              <w:pStyle w:val="NormalWeb"/>
              <w:jc w:val="center"/>
              <w:rPr>
                <w:sz w:val="18"/>
                <w:szCs w:val="18"/>
              </w:rPr>
            </w:pPr>
            <w:r w:rsidRPr="00C53234">
              <w:rPr>
                <w:sz w:val="18"/>
                <w:szCs w:val="18"/>
              </w:rPr>
              <w:t>0</w:t>
            </w:r>
          </w:p>
        </w:tc>
        <w:tc>
          <w:tcPr>
            <w:tcW w:w="900" w:type="dxa"/>
            <w:hideMark/>
          </w:tcPr>
          <w:p w14:paraId="24BD66B2" w14:textId="77777777" w:rsidR="003A5481" w:rsidRPr="00C53234" w:rsidRDefault="003A5481" w:rsidP="00E80310">
            <w:pPr>
              <w:pStyle w:val="NormalWeb"/>
              <w:jc w:val="center"/>
              <w:rPr>
                <w:sz w:val="18"/>
                <w:szCs w:val="18"/>
              </w:rPr>
            </w:pPr>
            <w:r w:rsidRPr="00C53234">
              <w:rPr>
                <w:sz w:val="18"/>
                <w:szCs w:val="18"/>
              </w:rPr>
              <w:t>0</w:t>
            </w:r>
          </w:p>
        </w:tc>
      </w:tr>
      <w:tr w:rsidR="003A5481" w:rsidRPr="00C53234" w14:paraId="69ADC94D" w14:textId="77777777" w:rsidTr="001365E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1C6E9588" w14:textId="77777777" w:rsidR="003A5481" w:rsidRPr="00C53234" w:rsidRDefault="003A5481" w:rsidP="00E80310">
            <w:pPr>
              <w:pStyle w:val="NormalWeb"/>
              <w:rPr>
                <w:b/>
                <w:bCs/>
                <w:sz w:val="18"/>
                <w:szCs w:val="18"/>
              </w:rPr>
            </w:pPr>
            <w:r w:rsidRPr="00C53234">
              <w:rPr>
                <w:b/>
                <w:bCs/>
                <w:sz w:val="18"/>
                <w:szCs w:val="18"/>
              </w:rPr>
              <w:t>Total</w:t>
            </w:r>
          </w:p>
        </w:tc>
        <w:tc>
          <w:tcPr>
            <w:tcW w:w="626" w:type="dxa"/>
            <w:shd w:val="clear" w:color="auto" w:fill="FDE9D9" w:themeFill="accent6" w:themeFillTint="33"/>
            <w:hideMark/>
          </w:tcPr>
          <w:p w14:paraId="596B3A74" w14:textId="77777777" w:rsidR="003A5481" w:rsidRPr="00C53234" w:rsidRDefault="003A5481" w:rsidP="00E80310">
            <w:pPr>
              <w:pStyle w:val="NormalWeb"/>
              <w:jc w:val="center"/>
              <w:rPr>
                <w:b/>
                <w:bCs/>
                <w:sz w:val="18"/>
                <w:szCs w:val="18"/>
              </w:rPr>
            </w:pPr>
            <w:r w:rsidRPr="00C53234">
              <w:rPr>
                <w:b/>
                <w:bCs/>
                <w:sz w:val="18"/>
                <w:szCs w:val="18"/>
              </w:rPr>
              <w:t>361</w:t>
            </w:r>
          </w:p>
        </w:tc>
        <w:tc>
          <w:tcPr>
            <w:tcW w:w="626" w:type="dxa"/>
            <w:shd w:val="clear" w:color="auto" w:fill="FDE9D9" w:themeFill="accent6" w:themeFillTint="33"/>
            <w:hideMark/>
          </w:tcPr>
          <w:p w14:paraId="01AE48E3" w14:textId="77777777" w:rsidR="003A5481" w:rsidRPr="00C53234" w:rsidRDefault="003A5481" w:rsidP="00E80310">
            <w:pPr>
              <w:pStyle w:val="NormalWeb"/>
              <w:jc w:val="center"/>
              <w:rPr>
                <w:b/>
                <w:bCs/>
                <w:sz w:val="18"/>
                <w:szCs w:val="18"/>
              </w:rPr>
            </w:pPr>
            <w:r w:rsidRPr="00C53234">
              <w:rPr>
                <w:b/>
                <w:bCs/>
                <w:sz w:val="18"/>
                <w:szCs w:val="18"/>
              </w:rPr>
              <w:t>4,589</w:t>
            </w:r>
          </w:p>
        </w:tc>
        <w:tc>
          <w:tcPr>
            <w:tcW w:w="626" w:type="dxa"/>
            <w:shd w:val="clear" w:color="auto" w:fill="FDE9D9" w:themeFill="accent6" w:themeFillTint="33"/>
            <w:hideMark/>
          </w:tcPr>
          <w:p w14:paraId="162EF0A7" w14:textId="77777777" w:rsidR="003A5481" w:rsidRPr="00C53234" w:rsidRDefault="003A5481" w:rsidP="00E80310">
            <w:pPr>
              <w:pStyle w:val="NormalWeb"/>
              <w:jc w:val="center"/>
              <w:rPr>
                <w:b/>
                <w:bCs/>
                <w:sz w:val="18"/>
                <w:szCs w:val="18"/>
              </w:rPr>
            </w:pPr>
            <w:r w:rsidRPr="00C53234">
              <w:rPr>
                <w:b/>
                <w:bCs/>
                <w:sz w:val="18"/>
                <w:szCs w:val="18"/>
              </w:rPr>
              <w:t>7</w:t>
            </w:r>
          </w:p>
        </w:tc>
        <w:tc>
          <w:tcPr>
            <w:tcW w:w="626" w:type="dxa"/>
            <w:shd w:val="clear" w:color="auto" w:fill="FDE9D9" w:themeFill="accent6" w:themeFillTint="33"/>
            <w:hideMark/>
          </w:tcPr>
          <w:p w14:paraId="21D2F563" w14:textId="77777777" w:rsidR="003A5481" w:rsidRPr="00C53234" w:rsidRDefault="003A5481" w:rsidP="00E80310">
            <w:pPr>
              <w:pStyle w:val="NormalWeb"/>
              <w:jc w:val="center"/>
              <w:rPr>
                <w:b/>
                <w:bCs/>
                <w:sz w:val="18"/>
                <w:szCs w:val="18"/>
              </w:rPr>
            </w:pPr>
            <w:r w:rsidRPr="00C53234">
              <w:rPr>
                <w:b/>
                <w:bCs/>
                <w:sz w:val="18"/>
                <w:szCs w:val="18"/>
              </w:rPr>
              <w:t>11</w:t>
            </w:r>
          </w:p>
        </w:tc>
        <w:tc>
          <w:tcPr>
            <w:tcW w:w="626" w:type="dxa"/>
            <w:shd w:val="clear" w:color="auto" w:fill="FDE9D9" w:themeFill="accent6" w:themeFillTint="33"/>
            <w:hideMark/>
          </w:tcPr>
          <w:p w14:paraId="351CA2B8" w14:textId="77777777" w:rsidR="003A5481" w:rsidRPr="00C53234" w:rsidRDefault="003A5481" w:rsidP="00E80310">
            <w:pPr>
              <w:pStyle w:val="NormalWeb"/>
              <w:jc w:val="center"/>
              <w:rPr>
                <w:b/>
                <w:bCs/>
                <w:sz w:val="18"/>
                <w:szCs w:val="18"/>
              </w:rPr>
            </w:pPr>
            <w:r w:rsidRPr="00C53234">
              <w:rPr>
                <w:b/>
                <w:bCs/>
                <w:sz w:val="18"/>
                <w:szCs w:val="18"/>
              </w:rPr>
              <w:t>6</w:t>
            </w:r>
          </w:p>
        </w:tc>
        <w:tc>
          <w:tcPr>
            <w:tcW w:w="626" w:type="dxa"/>
            <w:shd w:val="clear" w:color="auto" w:fill="FDE9D9" w:themeFill="accent6" w:themeFillTint="33"/>
            <w:hideMark/>
          </w:tcPr>
          <w:p w14:paraId="269B38D3" w14:textId="77777777" w:rsidR="003A5481" w:rsidRPr="00C53234" w:rsidRDefault="003A5481" w:rsidP="00E80310">
            <w:pPr>
              <w:pStyle w:val="NormalWeb"/>
              <w:jc w:val="center"/>
              <w:rPr>
                <w:b/>
                <w:bCs/>
                <w:sz w:val="18"/>
                <w:szCs w:val="18"/>
              </w:rPr>
            </w:pPr>
            <w:r w:rsidRPr="00C53234">
              <w:rPr>
                <w:b/>
                <w:bCs/>
                <w:sz w:val="18"/>
                <w:szCs w:val="18"/>
              </w:rPr>
              <w:t>1</w:t>
            </w:r>
          </w:p>
        </w:tc>
        <w:tc>
          <w:tcPr>
            <w:tcW w:w="626" w:type="dxa"/>
            <w:shd w:val="clear" w:color="auto" w:fill="FDE9D9" w:themeFill="accent6" w:themeFillTint="33"/>
            <w:hideMark/>
          </w:tcPr>
          <w:p w14:paraId="2BDFB12C" w14:textId="77777777" w:rsidR="003A5481" w:rsidRPr="00C53234" w:rsidRDefault="003A5481" w:rsidP="00E80310">
            <w:pPr>
              <w:pStyle w:val="NormalWeb"/>
              <w:jc w:val="center"/>
              <w:rPr>
                <w:b/>
                <w:bCs/>
                <w:sz w:val="18"/>
                <w:szCs w:val="18"/>
              </w:rPr>
            </w:pPr>
            <w:r w:rsidRPr="00C53234">
              <w:rPr>
                <w:b/>
                <w:bCs/>
                <w:sz w:val="18"/>
                <w:szCs w:val="18"/>
              </w:rPr>
              <w:t>25,750</w:t>
            </w:r>
          </w:p>
        </w:tc>
        <w:tc>
          <w:tcPr>
            <w:tcW w:w="626" w:type="dxa"/>
            <w:shd w:val="clear" w:color="auto" w:fill="FDE9D9" w:themeFill="accent6" w:themeFillTint="33"/>
            <w:hideMark/>
          </w:tcPr>
          <w:p w14:paraId="3F9CB981" w14:textId="77777777" w:rsidR="003A5481" w:rsidRPr="00C53234" w:rsidRDefault="003A5481" w:rsidP="00E80310">
            <w:pPr>
              <w:pStyle w:val="NormalWeb"/>
              <w:jc w:val="center"/>
              <w:rPr>
                <w:b/>
                <w:bCs/>
                <w:sz w:val="18"/>
                <w:szCs w:val="18"/>
              </w:rPr>
            </w:pPr>
            <w:r w:rsidRPr="00C53234">
              <w:rPr>
                <w:b/>
                <w:bCs/>
                <w:sz w:val="18"/>
                <w:szCs w:val="18"/>
              </w:rPr>
              <w:t>2</w:t>
            </w:r>
          </w:p>
        </w:tc>
        <w:tc>
          <w:tcPr>
            <w:tcW w:w="900" w:type="dxa"/>
            <w:shd w:val="clear" w:color="auto" w:fill="FDE9D9" w:themeFill="accent6" w:themeFillTint="33"/>
            <w:hideMark/>
          </w:tcPr>
          <w:p w14:paraId="7A855F81" w14:textId="77777777" w:rsidR="003A5481" w:rsidRPr="00C53234" w:rsidRDefault="003A5481" w:rsidP="00E80310">
            <w:pPr>
              <w:pStyle w:val="NormalWeb"/>
              <w:jc w:val="center"/>
              <w:rPr>
                <w:b/>
                <w:bCs/>
                <w:sz w:val="18"/>
                <w:szCs w:val="18"/>
              </w:rPr>
            </w:pPr>
            <w:r w:rsidRPr="00C53234">
              <w:rPr>
                <w:b/>
                <w:bCs/>
                <w:sz w:val="18"/>
                <w:szCs w:val="18"/>
              </w:rPr>
              <w:t>30,727</w:t>
            </w:r>
          </w:p>
        </w:tc>
      </w:tr>
    </w:tbl>
    <w:p w14:paraId="4B108F79" w14:textId="77777777" w:rsidR="003A5481" w:rsidRDefault="003A5481" w:rsidP="003A5481">
      <w:pPr>
        <w:pStyle w:val="CDIfootnotes"/>
        <w:rPr>
          <w:lang w:val="en-GB"/>
        </w:rPr>
      </w:pPr>
      <w:r>
        <w:rPr>
          <w:lang w:val="en-GB"/>
        </w:rPr>
        <w:t>a</w:t>
      </w:r>
      <w:r>
        <w:rPr>
          <w:lang w:val="en-GB"/>
        </w:rPr>
        <w:tab/>
        <w:t>Source: NINDSS, extract from 26 October 2021 for notifications to 24 October 2021.</w:t>
      </w:r>
    </w:p>
    <w:p w14:paraId="042D5645" w14:textId="0C3F8523" w:rsidR="003A5481" w:rsidRPr="003A5481" w:rsidRDefault="003A5481" w:rsidP="003A5481">
      <w:pPr>
        <w:pStyle w:val="CDIfootnotes"/>
        <w:rPr>
          <w:lang w:val="en-GB"/>
        </w:rPr>
      </w:pPr>
      <w:r>
        <w:rPr>
          <w:lang w:val="en-GB"/>
        </w:rPr>
        <w:t>b</w:t>
      </w:r>
      <w:r>
        <w:rPr>
          <w:lang w:val="en-GB"/>
        </w:rPr>
        <w:tab/>
        <w:t>ACT: Australian Capital Territory; NSW: New South Wales; NT: Northern Territory; Qld: Queensland; SA: South Australia; Tas.: Tasmania; Vic.: Victoria; WA: Western Australia.</w:t>
      </w:r>
    </w:p>
    <w:p w14:paraId="11091960" w14:textId="77777777" w:rsidR="00633079" w:rsidRDefault="00633079" w:rsidP="006151AD">
      <w:r>
        <w:t xml:space="preserve">In the year to date, from 1 January 2021 to 24 October 2021, there have been 130,980 COVID-19 cases reported nationally. Until the week ending 20 June 2021, the number of weekly cases diagnosed this year had been below 180 cases per week. Since then, cases have increased and there have been over 1,000 cases diagnosed each week since the week ending 25 July 2021 and over 10,000 cases diagnosed each week since the week ending 5 September 2021. In the latest fortnight, case numbers remained at approximately 15,000 per week in the first week, before dropping to approximately 10,000 in the most recent week, noting that this most recent week is likely an underestimate as additional cases may be identified in the coming week that have a diagnosis date in this period (Figure 1). The current peak in 2021 is over 15,000 cases per week, which occurred in the week ending 3 October 2021. This peak considerably surpasses the two distinct peaks experienced in March and July of 2020, when new cases diagnosed per week reached approximately 2,700 and 3,000, respectively (Figure 2). Cumulatively, since the beginning of the epidemic in Australia, there have been 159,393 COVID-19 cases reported in Australia. </w:t>
      </w:r>
    </w:p>
    <w:p w14:paraId="5F272388" w14:textId="77777777" w:rsidR="00885944" w:rsidRDefault="00885944">
      <w:pPr>
        <w:rPr>
          <w:rFonts w:asciiTheme="majorHAnsi" w:eastAsiaTheme="majorEastAsia" w:hAnsiTheme="majorHAnsi" w:cstheme="majorBidi"/>
          <w:b/>
          <w:bCs/>
          <w:sz w:val="26"/>
          <w:szCs w:val="26"/>
        </w:rPr>
      </w:pPr>
      <w:r>
        <w:br w:type="page"/>
      </w:r>
    </w:p>
    <w:p w14:paraId="7B8AF64A" w14:textId="77777777" w:rsidR="00885944" w:rsidRPr="009771FE" w:rsidRDefault="00885944" w:rsidP="009771FE">
      <w:pPr>
        <w:pStyle w:val="CDIFigures"/>
      </w:pPr>
      <w:r w:rsidRPr="009771FE">
        <w:rPr>
          <w:rStyle w:val="Strong"/>
          <w:b/>
          <w:bCs w:val="0"/>
        </w:rPr>
        <w:lastRenderedPageBreak/>
        <w:t>Figure 1: COVID-19 notified cases by source of acquisition and diagnosis date, 28 December 2020 – 24 October 2021</w:t>
      </w:r>
      <w:proofErr w:type="gramStart"/>
      <w:r w:rsidRPr="009771FE">
        <w:rPr>
          <w:rStyle w:val="Strong"/>
          <w:b/>
          <w:bCs w:val="0"/>
          <w:vertAlign w:val="superscript"/>
        </w:rPr>
        <w:t>a,b</w:t>
      </w:r>
      <w:proofErr w:type="gramEnd"/>
    </w:p>
    <w:p w14:paraId="1D176594" w14:textId="77777777" w:rsidR="00885944" w:rsidRDefault="00885944" w:rsidP="00885944">
      <w:pPr>
        <w:rPr>
          <w:rFonts w:eastAsia="Times New Roman"/>
          <w:lang w:val="en-GB"/>
        </w:rPr>
      </w:pPr>
      <w:r>
        <w:rPr>
          <w:rFonts w:eastAsia="Times New Roman"/>
          <w:noProof/>
          <w:lang w:val="en-GB"/>
        </w:rPr>
        <w:drawing>
          <wp:inline distT="0" distB="0" distL="0" distR="0" wp14:anchorId="1988DB0F" wp14:editId="6C5A890A">
            <wp:extent cx="6678034" cy="2981325"/>
            <wp:effectExtent l="0" t="0" r="8890" b="0"/>
            <wp:docPr id="4" name="Picture 4"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across the second half of the calendar year to date, with total cases exceeding 10,000 in each week of the current reporting fort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chart of new case notifications in Australia, by week of illness diagnosis and source of acquisition, for the calendar year to date. For the first 25 weeks of 2021, until the week ending 20 June, weekly case notifications remained below 180 cases per week and were generally dominated by overseas-acquired cases; locally-acquired cases have predominated across the second half of the calendar year to date, with total cases exceeding 10,000 in each week of the current reporting fortnigh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702463" cy="2992231"/>
                    </a:xfrm>
                    <a:prstGeom prst="rect">
                      <a:avLst/>
                    </a:prstGeom>
                  </pic:spPr>
                </pic:pic>
              </a:graphicData>
            </a:graphic>
          </wp:inline>
        </w:drawing>
      </w:r>
    </w:p>
    <w:p w14:paraId="25A09970" w14:textId="77777777" w:rsidR="00885944" w:rsidRDefault="00885944" w:rsidP="00885944">
      <w:pPr>
        <w:pStyle w:val="CDIfootnotes"/>
        <w:rPr>
          <w:lang w:val="en-GB"/>
        </w:rPr>
      </w:pPr>
      <w:r>
        <w:rPr>
          <w:lang w:val="en-GB"/>
        </w:rPr>
        <w:t>a</w:t>
      </w:r>
      <w:r>
        <w:rPr>
          <w:lang w:val="en-GB"/>
        </w:rPr>
        <w:tab/>
        <w:t>Source: NINDSS, extract from 26 October 2021 for notifications to 24 October 2021.</w:t>
      </w:r>
    </w:p>
    <w:p w14:paraId="1D2B19C8" w14:textId="77777777" w:rsidR="00885944" w:rsidRDefault="00885944" w:rsidP="00885944">
      <w:pPr>
        <w:pStyle w:val="CDIfootnotes"/>
        <w:rPr>
          <w:lang w:val="en-GB"/>
        </w:rPr>
      </w:pPr>
      <w:r>
        <w:rPr>
          <w:lang w:val="en-GB"/>
        </w:rPr>
        <w:t>b</w:t>
      </w:r>
      <w:r>
        <w:rPr>
          <w:lang w:val="en-GB"/>
        </w:rPr>
        <w:tab/>
      </w:r>
      <w:proofErr w:type="gramStart"/>
      <w:r>
        <w:rPr>
          <w:lang w:val="en-GB"/>
        </w:rPr>
        <w:t>The</w:t>
      </w:r>
      <w:proofErr w:type="gramEnd"/>
      <w:r>
        <w:rPr>
          <w:lang w:val="en-GB"/>
        </w:rPr>
        <w:t xml:space="preserve"> lighter bar at the right represents the most recent reporting week and should be interpreted with caution as additional cases may be identified in the coming week that have a diagnosis date during this period.</w:t>
      </w:r>
    </w:p>
    <w:p w14:paraId="12B996C7" w14:textId="77777777" w:rsidR="009771FE" w:rsidRPr="009771FE" w:rsidRDefault="009771FE" w:rsidP="009771FE">
      <w:pPr>
        <w:pStyle w:val="CDIFigures"/>
      </w:pPr>
      <w:r w:rsidRPr="009771FE">
        <w:rPr>
          <w:rStyle w:val="Strong"/>
          <w:b/>
          <w:bCs w:val="0"/>
        </w:rPr>
        <w:t>Figure 2: COVID-19 notified cases by source of acquisition and diagnosis date, 2 March 2020 – 24 October 2021</w:t>
      </w:r>
      <w:proofErr w:type="gramStart"/>
      <w:r w:rsidRPr="009771FE">
        <w:rPr>
          <w:rStyle w:val="Strong"/>
          <w:b/>
          <w:bCs w:val="0"/>
          <w:vertAlign w:val="superscript"/>
        </w:rPr>
        <w:t>a,b</w:t>
      </w:r>
      <w:proofErr w:type="gramEnd"/>
    </w:p>
    <w:p w14:paraId="74DA13CD" w14:textId="77777777" w:rsidR="009771FE" w:rsidRDefault="009771FE" w:rsidP="009771FE">
      <w:pPr>
        <w:pStyle w:val="NormalWeb"/>
        <w:rPr>
          <w:lang w:val="en-GB"/>
        </w:rPr>
      </w:pPr>
      <w:r>
        <w:rPr>
          <w:noProof/>
          <w:lang w:val="en-GB"/>
        </w:rPr>
        <w:drawing>
          <wp:inline distT="0" distB="0" distL="0" distR="0" wp14:anchorId="0A8B41EB" wp14:editId="684837CC">
            <wp:extent cx="6702268" cy="3048000"/>
            <wp:effectExtent l="0" t="0" r="3810" b="0"/>
            <wp:docPr id="3" name="Picture 3"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2020) have been reported as locally acquired. After several subsequent months largely dominated by overseas-acquired cases and generally low weekly case numbers, a further escalation in cases (largely locally acquired), starting from the week ending 27 June 2021, is evid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chart of new case notifications in Australia, by week of illness diagnosis and source of acquisition, since the start of the COVID-19 epidemic in Australia. There is an evident peak in notifications in the week ending 22 March 2020, with a majority of cases during this time overseas acquired. In contrast, almost all cases from 1 June to 11 October 2020 (and peaking in the weeks ending 26 July and 2 August 2020) have been reported as locally acquired. After several subsequent months largely dominated by overseas-acquired cases and generally low weekly case numbers, a further escalation in cases (largely locally acquired), starting from the week ending 27 June 2021, is evident.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5094" cy="3053833"/>
                    </a:xfrm>
                    <a:prstGeom prst="rect">
                      <a:avLst/>
                    </a:prstGeom>
                  </pic:spPr>
                </pic:pic>
              </a:graphicData>
            </a:graphic>
          </wp:inline>
        </w:drawing>
      </w:r>
    </w:p>
    <w:p w14:paraId="6D36928F" w14:textId="77777777" w:rsidR="009771FE" w:rsidRDefault="009771FE" w:rsidP="009771FE">
      <w:pPr>
        <w:pStyle w:val="CDIfootnotes"/>
        <w:rPr>
          <w:lang w:val="en-GB"/>
        </w:rPr>
      </w:pPr>
      <w:r>
        <w:rPr>
          <w:lang w:val="en-GB"/>
        </w:rPr>
        <w:t>a</w:t>
      </w:r>
      <w:r>
        <w:rPr>
          <w:lang w:val="en-GB"/>
        </w:rPr>
        <w:tab/>
        <w:t>Source: NINDSS, extract from 26 October 2021 for notifications to 24 October 2021.</w:t>
      </w:r>
    </w:p>
    <w:p w14:paraId="6D3B3051" w14:textId="7D8A049E" w:rsidR="009771FE" w:rsidRPr="009771FE" w:rsidRDefault="009771FE" w:rsidP="009771FE">
      <w:pPr>
        <w:pStyle w:val="CDIfootnotes"/>
        <w:rPr>
          <w:lang w:val="en-GB"/>
        </w:rPr>
      </w:pPr>
      <w:r>
        <w:rPr>
          <w:lang w:val="en-GB"/>
        </w:rPr>
        <w:t>b</w:t>
      </w:r>
      <w:r>
        <w:rPr>
          <w:lang w:val="en-GB"/>
        </w:rPr>
        <w:tab/>
      </w:r>
      <w:proofErr w:type="gramStart"/>
      <w:r>
        <w:rPr>
          <w:lang w:val="en-GB"/>
        </w:rPr>
        <w:t>The</w:t>
      </w:r>
      <w:proofErr w:type="gramEnd"/>
      <w:r>
        <w:rPr>
          <w:lang w:val="en-GB"/>
        </w:rPr>
        <w:t xml:space="preserve"> lighter bar at the right represents the most recent reporting week and should be interpreted with caution as additional cases may be identified in the coming week that have a diagnosis date during this period.</w:t>
      </w:r>
    </w:p>
    <w:p w14:paraId="511C31FB" w14:textId="77777777" w:rsidR="00487832" w:rsidRDefault="00487832">
      <w:pPr>
        <w:rPr>
          <w:rFonts w:asciiTheme="majorHAnsi" w:eastAsiaTheme="majorEastAsia" w:hAnsiTheme="majorHAnsi" w:cstheme="majorBidi"/>
          <w:b/>
          <w:bCs/>
          <w:sz w:val="26"/>
          <w:szCs w:val="26"/>
        </w:rPr>
      </w:pPr>
      <w:r>
        <w:br w:type="page"/>
      </w:r>
    </w:p>
    <w:p w14:paraId="1D3ABF53" w14:textId="77777777" w:rsidR="00487832" w:rsidRPr="00487832" w:rsidRDefault="00487832" w:rsidP="00487832">
      <w:pPr>
        <w:pStyle w:val="CDIFigures"/>
      </w:pPr>
      <w:r w:rsidRPr="00487832">
        <w:rPr>
          <w:rStyle w:val="Strong"/>
          <w:b/>
          <w:bCs w:val="0"/>
        </w:rPr>
        <w:lastRenderedPageBreak/>
        <w:t xml:space="preserve">Table 2: </w:t>
      </w:r>
      <w:proofErr w:type="gramStart"/>
      <w:r w:rsidRPr="00487832">
        <w:rPr>
          <w:rStyle w:val="Strong"/>
          <w:b/>
          <w:bCs w:val="0"/>
        </w:rPr>
        <w:t>Locally-acquired</w:t>
      </w:r>
      <w:proofErr w:type="gramEnd"/>
      <w:r w:rsidRPr="00487832">
        <w:rPr>
          <w:rStyle w:val="Strong"/>
          <w:b/>
          <w:bCs w:val="0"/>
        </w:rPr>
        <w:t xml:space="preserve"> COVID-19 case numbers and rates per 100,000 population by jurisdiction and reporting period, Australia, with a notification received date from 1 January to 24 October 2021</w:t>
      </w:r>
    </w:p>
    <w:tbl>
      <w:tblPr>
        <w:tblStyle w:val="CDI-StandardTable"/>
        <w:tblW w:w="0" w:type="auto"/>
        <w:tblLook w:val="04A0" w:firstRow="1" w:lastRow="0" w:firstColumn="1" w:lastColumn="0" w:noHBand="0" w:noVBand="1"/>
        <w:tblDescription w:val="Table 2 shows the locally-acquired case notifications within each jurisdiction for the current two-week reporting period, the previous two-week reporting period, and the total case numbers and rates per 100,000 population for each jurisdiction for the calendar year to date. For this reporting period, there were 30,693 locally-acquired cases, most of them notified in Victoria (25,742 cases). Other jurisdictions with locally-acquired cases this reporting period were New South Wales (4,580 cases), the Australian Capital Territory (361 cases) , the Northern Territory (5 cases), South Australia (3 cases), Queensland and Tasmania (one case each). Western Australia did not record any locally-acquired cases in this reporting period. Locally-acquired cases reported this fortnight, which nationwide comprised a very similar total to that reported in the previous fortnight, represented a substantial increase in case numbers, over the previous fortnight, in Victoria, a significant decrease in new case numbers in New South Wales and the Australian Capital Territory, and minor fluctuations in case numbers in the remaining jurisdictions. Nationwide, the total number of locally-acquired cases for the calendar year to date is 129,110 cases, with a corresponding locally-acquired case rate of 502.4 cases per 100,000 population, predominantly driven by the case rates this year for Victoria and New South Wales, of 888.7 and 828.5 cases per 100,000 population, respectively."/>
      </w:tblPr>
      <w:tblGrid>
        <w:gridCol w:w="1282"/>
        <w:gridCol w:w="2223"/>
        <w:gridCol w:w="2224"/>
        <w:gridCol w:w="2368"/>
        <w:gridCol w:w="2369"/>
      </w:tblGrid>
      <w:tr w:rsidR="00A9341D" w:rsidRPr="007375C8" w14:paraId="31909AA1" w14:textId="77777777" w:rsidTr="00A9341D">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1CA9696" w14:textId="77777777" w:rsidR="00487832" w:rsidRPr="007375C8" w:rsidRDefault="00487832" w:rsidP="00E80310">
            <w:pPr>
              <w:pStyle w:val="NormalWeb"/>
              <w:rPr>
                <w:color w:val="FFFFFF" w:themeColor="background1"/>
              </w:rPr>
            </w:pPr>
            <w:r w:rsidRPr="007375C8">
              <w:rPr>
                <w:color w:val="FFFFFF" w:themeColor="background1"/>
              </w:rPr>
              <w:t>Jurisdiction</w:t>
            </w:r>
          </w:p>
        </w:tc>
        <w:tc>
          <w:tcPr>
            <w:tcW w:w="2223" w:type="dxa"/>
            <w:tcBorders>
              <w:left w:val="single" w:sz="2" w:space="0" w:color="FFFFFF" w:themeColor="background1"/>
              <w:bottom w:val="single" w:sz="2" w:space="0" w:color="FFFFFF" w:themeColor="background1"/>
              <w:right w:val="single" w:sz="2" w:space="0" w:color="FFFFFF" w:themeColor="background1"/>
            </w:tcBorders>
            <w:hideMark/>
          </w:tcPr>
          <w:p w14:paraId="03FFE49E" w14:textId="77777777" w:rsidR="00487832" w:rsidRPr="007375C8" w:rsidRDefault="00487832" w:rsidP="00E80310">
            <w:pPr>
              <w:pStyle w:val="NormalWeb"/>
              <w:jc w:val="center"/>
              <w:rPr>
                <w:color w:val="FFFFFF" w:themeColor="background1"/>
              </w:rPr>
            </w:pPr>
            <w:r w:rsidRPr="007375C8">
              <w:rPr>
                <w:color w:val="FFFFFF" w:themeColor="background1"/>
              </w:rPr>
              <w:t>Reporting period</w:t>
            </w:r>
          </w:p>
        </w:tc>
        <w:tc>
          <w:tcPr>
            <w:tcW w:w="2224" w:type="dxa"/>
            <w:tcBorders>
              <w:left w:val="single" w:sz="2" w:space="0" w:color="FFFFFF" w:themeColor="background1"/>
              <w:bottom w:val="single" w:sz="2" w:space="0" w:color="FFFFFF" w:themeColor="background1"/>
              <w:right w:val="single" w:sz="2" w:space="0" w:color="FFFFFF" w:themeColor="background1"/>
            </w:tcBorders>
            <w:hideMark/>
          </w:tcPr>
          <w:p w14:paraId="0AF23913" w14:textId="77777777" w:rsidR="00487832" w:rsidRPr="007375C8" w:rsidRDefault="00487832" w:rsidP="00E80310">
            <w:pPr>
              <w:pStyle w:val="NormalWeb"/>
              <w:jc w:val="center"/>
              <w:rPr>
                <w:color w:val="FFFFFF" w:themeColor="background1"/>
              </w:rPr>
            </w:pPr>
            <w:r w:rsidRPr="007375C8">
              <w:rPr>
                <w:color w:val="FFFFFF" w:themeColor="background1"/>
              </w:rPr>
              <w:t>Reporting period</w:t>
            </w:r>
          </w:p>
        </w:tc>
        <w:tc>
          <w:tcPr>
            <w:tcW w:w="4737" w:type="dxa"/>
            <w:gridSpan w:val="2"/>
            <w:tcBorders>
              <w:left w:val="single" w:sz="2" w:space="0" w:color="FFFFFF" w:themeColor="background1"/>
              <w:bottom w:val="single" w:sz="2" w:space="0" w:color="FFFFFF" w:themeColor="background1"/>
            </w:tcBorders>
            <w:hideMark/>
          </w:tcPr>
          <w:p w14:paraId="09843FCF" w14:textId="77777777" w:rsidR="00487832" w:rsidRPr="007375C8" w:rsidRDefault="00487832" w:rsidP="00E80310">
            <w:pPr>
              <w:pStyle w:val="NormalWeb"/>
              <w:jc w:val="center"/>
              <w:rPr>
                <w:color w:val="FFFFFF" w:themeColor="background1"/>
              </w:rPr>
            </w:pPr>
            <w:r w:rsidRPr="007375C8">
              <w:rPr>
                <w:color w:val="FFFFFF" w:themeColor="background1"/>
              </w:rPr>
              <w:t>Cases this year</w:t>
            </w:r>
          </w:p>
        </w:tc>
      </w:tr>
      <w:tr w:rsidR="00A9341D" w:rsidRPr="007375C8" w14:paraId="398D8E78" w14:textId="77777777" w:rsidTr="00A9341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1388CF55" w14:textId="77777777" w:rsidR="00487832" w:rsidRPr="007375C8" w:rsidRDefault="00487832" w:rsidP="00E80310">
            <w:pPr>
              <w:rPr>
                <w:color w:val="FFFFFF" w:themeColor="background1"/>
                <w:sz w:val="24"/>
                <w:szCs w:val="24"/>
              </w:rPr>
            </w:pPr>
          </w:p>
        </w:tc>
        <w:tc>
          <w:tcPr>
            <w:tcW w:w="222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286B63E" w14:textId="77777777" w:rsidR="00487832" w:rsidRPr="007375C8" w:rsidRDefault="00487832" w:rsidP="00E80310">
            <w:pPr>
              <w:pStyle w:val="NormalWeb"/>
              <w:jc w:val="center"/>
              <w:rPr>
                <w:color w:val="FFFFFF" w:themeColor="background1"/>
              </w:rPr>
            </w:pPr>
            <w:r w:rsidRPr="007375C8">
              <w:rPr>
                <w:color w:val="FFFFFF" w:themeColor="background1"/>
              </w:rPr>
              <w:t>11—24 October 2021</w:t>
            </w:r>
          </w:p>
        </w:tc>
        <w:tc>
          <w:tcPr>
            <w:tcW w:w="222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50A0B25" w14:textId="372AFF03" w:rsidR="00487832" w:rsidRPr="007375C8" w:rsidRDefault="00487832" w:rsidP="00E80310">
            <w:pPr>
              <w:pStyle w:val="NormalWeb"/>
              <w:jc w:val="center"/>
              <w:rPr>
                <w:color w:val="FFFFFF" w:themeColor="background1"/>
              </w:rPr>
            </w:pPr>
            <w:r w:rsidRPr="007375C8">
              <w:rPr>
                <w:color w:val="FFFFFF" w:themeColor="background1"/>
              </w:rPr>
              <w:t xml:space="preserve">27 September – </w:t>
            </w:r>
            <w:r w:rsidR="00CB5580">
              <w:rPr>
                <w:color w:val="FFFFFF" w:themeColor="background1"/>
              </w:rPr>
              <w:br/>
            </w:r>
            <w:r w:rsidRPr="007375C8">
              <w:rPr>
                <w:color w:val="FFFFFF" w:themeColor="background1"/>
              </w:rPr>
              <w:t>10 October 2021</w:t>
            </w:r>
          </w:p>
        </w:tc>
        <w:tc>
          <w:tcPr>
            <w:tcW w:w="4737" w:type="dxa"/>
            <w:gridSpan w:val="2"/>
            <w:tcBorders>
              <w:top w:val="single" w:sz="2" w:space="0" w:color="FFFFFF" w:themeColor="background1"/>
              <w:left w:val="single" w:sz="2" w:space="0" w:color="FFFFFF" w:themeColor="background1"/>
              <w:bottom w:val="single" w:sz="2" w:space="0" w:color="FFFFFF" w:themeColor="background1"/>
            </w:tcBorders>
            <w:hideMark/>
          </w:tcPr>
          <w:p w14:paraId="6D5A3AC5" w14:textId="77777777" w:rsidR="00487832" w:rsidRPr="007375C8" w:rsidRDefault="00487832" w:rsidP="00E80310">
            <w:pPr>
              <w:pStyle w:val="NormalWeb"/>
              <w:jc w:val="center"/>
              <w:rPr>
                <w:color w:val="FFFFFF" w:themeColor="background1"/>
              </w:rPr>
            </w:pPr>
            <w:r w:rsidRPr="007375C8">
              <w:rPr>
                <w:color w:val="FFFFFF" w:themeColor="background1"/>
              </w:rPr>
              <w:t>1 January – 24 October 2021</w:t>
            </w:r>
          </w:p>
        </w:tc>
      </w:tr>
      <w:tr w:rsidR="00A9341D" w:rsidRPr="007375C8" w14:paraId="0B202922" w14:textId="77777777" w:rsidTr="00A9341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069F6657" w14:textId="77777777" w:rsidR="00487832" w:rsidRPr="007375C8" w:rsidRDefault="00487832" w:rsidP="00E80310">
            <w:pPr>
              <w:rPr>
                <w:color w:val="FFFFFF" w:themeColor="background1"/>
                <w:sz w:val="24"/>
                <w:szCs w:val="24"/>
              </w:rPr>
            </w:pPr>
          </w:p>
        </w:tc>
        <w:tc>
          <w:tcPr>
            <w:tcW w:w="2223" w:type="dxa"/>
            <w:tcBorders>
              <w:top w:val="single" w:sz="2" w:space="0" w:color="FFFFFF" w:themeColor="background1"/>
              <w:left w:val="single" w:sz="2" w:space="0" w:color="FFFFFF" w:themeColor="background1"/>
              <w:right w:val="single" w:sz="2" w:space="0" w:color="FFFFFF" w:themeColor="background1"/>
            </w:tcBorders>
            <w:hideMark/>
          </w:tcPr>
          <w:p w14:paraId="2C25DBCB" w14:textId="77777777" w:rsidR="00487832" w:rsidRPr="007375C8" w:rsidRDefault="00487832" w:rsidP="00E80310">
            <w:pPr>
              <w:pStyle w:val="NormalWeb"/>
              <w:jc w:val="center"/>
              <w:rPr>
                <w:color w:val="FFFFFF" w:themeColor="background1"/>
              </w:rPr>
            </w:pPr>
            <w:r w:rsidRPr="007375C8">
              <w:rPr>
                <w:color w:val="FFFFFF" w:themeColor="background1"/>
              </w:rPr>
              <w:t xml:space="preserve">Number of </w:t>
            </w:r>
            <w:proofErr w:type="spellStart"/>
            <w:r w:rsidRPr="007375C8">
              <w:rPr>
                <w:color w:val="FFFFFF" w:themeColor="background1"/>
              </w:rPr>
              <w:t>cases</w:t>
            </w:r>
            <w:r w:rsidRPr="00AB7F99">
              <w:rPr>
                <w:color w:val="FFFFFF" w:themeColor="background1"/>
                <w:vertAlign w:val="superscript"/>
              </w:rPr>
              <w:t>b</w:t>
            </w:r>
            <w:proofErr w:type="spellEnd"/>
          </w:p>
        </w:tc>
        <w:tc>
          <w:tcPr>
            <w:tcW w:w="2224" w:type="dxa"/>
            <w:tcBorders>
              <w:top w:val="single" w:sz="2" w:space="0" w:color="FFFFFF" w:themeColor="background1"/>
              <w:left w:val="single" w:sz="2" w:space="0" w:color="FFFFFF" w:themeColor="background1"/>
              <w:right w:val="single" w:sz="2" w:space="0" w:color="FFFFFF" w:themeColor="background1"/>
            </w:tcBorders>
            <w:hideMark/>
          </w:tcPr>
          <w:p w14:paraId="436DB976" w14:textId="77777777" w:rsidR="00487832" w:rsidRPr="007375C8" w:rsidRDefault="00487832" w:rsidP="00E80310">
            <w:pPr>
              <w:pStyle w:val="NormalWeb"/>
              <w:jc w:val="center"/>
              <w:rPr>
                <w:color w:val="FFFFFF" w:themeColor="background1"/>
              </w:rPr>
            </w:pPr>
            <w:r w:rsidRPr="007375C8">
              <w:rPr>
                <w:color w:val="FFFFFF" w:themeColor="background1"/>
              </w:rPr>
              <w:t xml:space="preserve">Number of </w:t>
            </w:r>
            <w:proofErr w:type="spellStart"/>
            <w:r w:rsidRPr="007375C8">
              <w:rPr>
                <w:color w:val="FFFFFF" w:themeColor="background1"/>
              </w:rPr>
              <w:t>cases</w:t>
            </w:r>
            <w:r w:rsidRPr="00AB7F99">
              <w:rPr>
                <w:color w:val="FFFFFF" w:themeColor="background1"/>
                <w:vertAlign w:val="superscript"/>
              </w:rPr>
              <w:t>b</w:t>
            </w:r>
            <w:proofErr w:type="spellEnd"/>
          </w:p>
        </w:tc>
        <w:tc>
          <w:tcPr>
            <w:tcW w:w="2368" w:type="dxa"/>
            <w:tcBorders>
              <w:top w:val="single" w:sz="2" w:space="0" w:color="FFFFFF" w:themeColor="background1"/>
              <w:left w:val="single" w:sz="2" w:space="0" w:color="FFFFFF" w:themeColor="background1"/>
              <w:right w:val="single" w:sz="2" w:space="0" w:color="FFFFFF" w:themeColor="background1"/>
            </w:tcBorders>
            <w:hideMark/>
          </w:tcPr>
          <w:p w14:paraId="6370BEFA" w14:textId="77777777" w:rsidR="00487832" w:rsidRPr="007375C8" w:rsidRDefault="00487832" w:rsidP="00E80310">
            <w:pPr>
              <w:pStyle w:val="NormalWeb"/>
              <w:jc w:val="center"/>
              <w:rPr>
                <w:color w:val="FFFFFF" w:themeColor="background1"/>
              </w:rPr>
            </w:pPr>
            <w:r w:rsidRPr="007375C8">
              <w:rPr>
                <w:color w:val="FFFFFF" w:themeColor="background1"/>
              </w:rPr>
              <w:t xml:space="preserve">Number of </w:t>
            </w:r>
            <w:proofErr w:type="spellStart"/>
            <w:r w:rsidRPr="007375C8">
              <w:rPr>
                <w:color w:val="FFFFFF" w:themeColor="background1"/>
              </w:rPr>
              <w:t>cases</w:t>
            </w:r>
            <w:r w:rsidRPr="00AB7F99">
              <w:rPr>
                <w:color w:val="FFFFFF" w:themeColor="background1"/>
                <w:vertAlign w:val="superscript"/>
              </w:rPr>
              <w:t>b</w:t>
            </w:r>
            <w:proofErr w:type="spellEnd"/>
          </w:p>
        </w:tc>
        <w:tc>
          <w:tcPr>
            <w:tcW w:w="2369" w:type="dxa"/>
            <w:tcBorders>
              <w:top w:val="single" w:sz="2" w:space="0" w:color="FFFFFF" w:themeColor="background1"/>
              <w:left w:val="single" w:sz="2" w:space="0" w:color="FFFFFF" w:themeColor="background1"/>
            </w:tcBorders>
            <w:hideMark/>
          </w:tcPr>
          <w:p w14:paraId="775B7839" w14:textId="77777777" w:rsidR="00487832" w:rsidRPr="007375C8" w:rsidRDefault="00487832" w:rsidP="00E80310">
            <w:pPr>
              <w:pStyle w:val="NormalWeb"/>
              <w:jc w:val="center"/>
              <w:rPr>
                <w:color w:val="FFFFFF" w:themeColor="background1"/>
              </w:rPr>
            </w:pPr>
            <w:r w:rsidRPr="007375C8">
              <w:rPr>
                <w:color w:val="FFFFFF" w:themeColor="background1"/>
              </w:rPr>
              <w:t xml:space="preserve">Rate per 100,000 </w:t>
            </w:r>
            <w:proofErr w:type="spellStart"/>
            <w:r w:rsidRPr="007375C8">
              <w:rPr>
                <w:color w:val="FFFFFF" w:themeColor="background1"/>
              </w:rPr>
              <w:t>population</w:t>
            </w:r>
            <w:r w:rsidRPr="00AB7F99">
              <w:rPr>
                <w:color w:val="FFFFFF" w:themeColor="background1"/>
                <w:vertAlign w:val="superscript"/>
              </w:rPr>
              <w:t>c</w:t>
            </w:r>
            <w:proofErr w:type="spellEnd"/>
          </w:p>
        </w:tc>
      </w:tr>
      <w:tr w:rsidR="00487832" w14:paraId="2C80341D" w14:textId="77777777" w:rsidTr="00A9341D">
        <w:tblPrEx>
          <w:tblCellMar>
            <w:top w:w="57" w:type="dxa"/>
            <w:left w:w="57" w:type="dxa"/>
            <w:bottom w:w="57" w:type="dxa"/>
            <w:right w:w="57" w:type="dxa"/>
          </w:tblCellMar>
        </w:tblPrEx>
        <w:tc>
          <w:tcPr>
            <w:tcW w:w="0" w:type="auto"/>
            <w:hideMark/>
          </w:tcPr>
          <w:p w14:paraId="6BD6ABBB" w14:textId="77777777" w:rsidR="00487832" w:rsidRDefault="00487832" w:rsidP="00E80310">
            <w:pPr>
              <w:pStyle w:val="NormalWeb"/>
            </w:pPr>
            <w:r>
              <w:t>ACT</w:t>
            </w:r>
          </w:p>
        </w:tc>
        <w:tc>
          <w:tcPr>
            <w:tcW w:w="2223" w:type="dxa"/>
            <w:hideMark/>
          </w:tcPr>
          <w:p w14:paraId="25870F7C" w14:textId="77777777" w:rsidR="00487832" w:rsidRDefault="00487832" w:rsidP="00E80310">
            <w:pPr>
              <w:pStyle w:val="NormalWeb"/>
              <w:jc w:val="center"/>
            </w:pPr>
            <w:r>
              <w:t>361</w:t>
            </w:r>
          </w:p>
        </w:tc>
        <w:tc>
          <w:tcPr>
            <w:tcW w:w="2224" w:type="dxa"/>
            <w:hideMark/>
          </w:tcPr>
          <w:p w14:paraId="4969C6E9" w14:textId="77777777" w:rsidR="00487832" w:rsidRDefault="00487832" w:rsidP="00E80310">
            <w:pPr>
              <w:pStyle w:val="NormalWeb"/>
              <w:jc w:val="center"/>
            </w:pPr>
            <w:r>
              <w:t>463</w:t>
            </w:r>
          </w:p>
        </w:tc>
        <w:tc>
          <w:tcPr>
            <w:tcW w:w="2368" w:type="dxa"/>
            <w:hideMark/>
          </w:tcPr>
          <w:p w14:paraId="7A00C1B1" w14:textId="77777777" w:rsidR="00487832" w:rsidRDefault="00487832" w:rsidP="00E80310">
            <w:pPr>
              <w:pStyle w:val="NormalWeb"/>
              <w:jc w:val="center"/>
            </w:pPr>
            <w:r>
              <w:t>1,595</w:t>
            </w:r>
          </w:p>
        </w:tc>
        <w:tc>
          <w:tcPr>
            <w:tcW w:w="2369" w:type="dxa"/>
            <w:hideMark/>
          </w:tcPr>
          <w:p w14:paraId="0A139678" w14:textId="77777777" w:rsidR="00487832" w:rsidRDefault="00487832" w:rsidP="00E80310">
            <w:pPr>
              <w:pStyle w:val="NormalWeb"/>
              <w:jc w:val="center"/>
            </w:pPr>
            <w:r>
              <w:t>369.8</w:t>
            </w:r>
          </w:p>
        </w:tc>
      </w:tr>
      <w:tr w:rsidR="00487832" w14:paraId="1CEE9D86" w14:textId="77777777" w:rsidTr="00A934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D5C110E" w14:textId="77777777" w:rsidR="00487832" w:rsidRDefault="00487832" w:rsidP="00E80310">
            <w:pPr>
              <w:pStyle w:val="NormalWeb"/>
            </w:pPr>
            <w:r>
              <w:t>NSW</w:t>
            </w:r>
          </w:p>
        </w:tc>
        <w:tc>
          <w:tcPr>
            <w:tcW w:w="2223" w:type="dxa"/>
            <w:hideMark/>
          </w:tcPr>
          <w:p w14:paraId="60071BBA" w14:textId="77777777" w:rsidR="00487832" w:rsidRDefault="00487832" w:rsidP="00E80310">
            <w:pPr>
              <w:pStyle w:val="NormalWeb"/>
              <w:jc w:val="center"/>
            </w:pPr>
            <w:r>
              <w:t>4,580</w:t>
            </w:r>
          </w:p>
        </w:tc>
        <w:tc>
          <w:tcPr>
            <w:tcW w:w="2224" w:type="dxa"/>
            <w:hideMark/>
          </w:tcPr>
          <w:p w14:paraId="0BBFA004" w14:textId="77777777" w:rsidR="00487832" w:rsidRDefault="00487832" w:rsidP="00E80310">
            <w:pPr>
              <w:pStyle w:val="NormalWeb"/>
              <w:jc w:val="center"/>
            </w:pPr>
            <w:r>
              <w:t>9,242</w:t>
            </w:r>
          </w:p>
        </w:tc>
        <w:tc>
          <w:tcPr>
            <w:tcW w:w="2368" w:type="dxa"/>
            <w:hideMark/>
          </w:tcPr>
          <w:p w14:paraId="516A6D14" w14:textId="77777777" w:rsidR="00487832" w:rsidRDefault="00487832" w:rsidP="00E80310">
            <w:pPr>
              <w:pStyle w:val="NormalWeb"/>
              <w:jc w:val="center"/>
            </w:pPr>
            <w:r>
              <w:t>67,668</w:t>
            </w:r>
          </w:p>
        </w:tc>
        <w:tc>
          <w:tcPr>
            <w:tcW w:w="2369" w:type="dxa"/>
            <w:hideMark/>
          </w:tcPr>
          <w:p w14:paraId="7AE777DF" w14:textId="77777777" w:rsidR="00487832" w:rsidRDefault="00487832" w:rsidP="00E80310">
            <w:pPr>
              <w:pStyle w:val="NormalWeb"/>
              <w:jc w:val="center"/>
            </w:pPr>
            <w:r>
              <w:t>828.5</w:t>
            </w:r>
          </w:p>
        </w:tc>
      </w:tr>
      <w:tr w:rsidR="00487832" w14:paraId="17C0249C" w14:textId="77777777" w:rsidTr="00A9341D">
        <w:tblPrEx>
          <w:tblCellMar>
            <w:top w:w="57" w:type="dxa"/>
            <w:left w:w="57" w:type="dxa"/>
            <w:bottom w:w="57" w:type="dxa"/>
            <w:right w:w="57" w:type="dxa"/>
          </w:tblCellMar>
        </w:tblPrEx>
        <w:tc>
          <w:tcPr>
            <w:tcW w:w="0" w:type="auto"/>
            <w:hideMark/>
          </w:tcPr>
          <w:p w14:paraId="091DECBC" w14:textId="77777777" w:rsidR="00487832" w:rsidRDefault="00487832" w:rsidP="00E80310">
            <w:pPr>
              <w:pStyle w:val="NormalWeb"/>
            </w:pPr>
            <w:r>
              <w:t>NT</w:t>
            </w:r>
          </w:p>
        </w:tc>
        <w:tc>
          <w:tcPr>
            <w:tcW w:w="2223" w:type="dxa"/>
            <w:hideMark/>
          </w:tcPr>
          <w:p w14:paraId="5C0F8D9C" w14:textId="77777777" w:rsidR="00487832" w:rsidRDefault="00487832" w:rsidP="00E80310">
            <w:pPr>
              <w:pStyle w:val="NormalWeb"/>
              <w:jc w:val="center"/>
            </w:pPr>
            <w:r>
              <w:t>5</w:t>
            </w:r>
          </w:p>
        </w:tc>
        <w:tc>
          <w:tcPr>
            <w:tcW w:w="2224" w:type="dxa"/>
            <w:hideMark/>
          </w:tcPr>
          <w:p w14:paraId="5BB8850B" w14:textId="77777777" w:rsidR="00487832" w:rsidRDefault="00487832" w:rsidP="00E80310">
            <w:pPr>
              <w:pStyle w:val="NormalWeb"/>
              <w:jc w:val="center"/>
            </w:pPr>
            <w:r>
              <w:t>0</w:t>
            </w:r>
          </w:p>
        </w:tc>
        <w:tc>
          <w:tcPr>
            <w:tcW w:w="2368" w:type="dxa"/>
            <w:hideMark/>
          </w:tcPr>
          <w:p w14:paraId="50D4DC00" w14:textId="77777777" w:rsidR="00487832" w:rsidRDefault="00487832" w:rsidP="00E80310">
            <w:pPr>
              <w:pStyle w:val="NormalWeb"/>
              <w:jc w:val="center"/>
            </w:pPr>
            <w:r>
              <w:t>17</w:t>
            </w:r>
          </w:p>
        </w:tc>
        <w:tc>
          <w:tcPr>
            <w:tcW w:w="2369" w:type="dxa"/>
            <w:hideMark/>
          </w:tcPr>
          <w:p w14:paraId="1108C026" w14:textId="77777777" w:rsidR="00487832" w:rsidRDefault="00487832" w:rsidP="00E80310">
            <w:pPr>
              <w:pStyle w:val="NormalWeb"/>
              <w:jc w:val="center"/>
            </w:pPr>
            <w:r>
              <w:t>6.9</w:t>
            </w:r>
          </w:p>
        </w:tc>
      </w:tr>
      <w:tr w:rsidR="00487832" w14:paraId="068E6AE4" w14:textId="77777777" w:rsidTr="00A934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1492DFE" w14:textId="77777777" w:rsidR="00487832" w:rsidRDefault="00487832" w:rsidP="00E80310">
            <w:pPr>
              <w:pStyle w:val="NormalWeb"/>
            </w:pPr>
            <w:r>
              <w:t>Qld</w:t>
            </w:r>
          </w:p>
        </w:tc>
        <w:tc>
          <w:tcPr>
            <w:tcW w:w="2223" w:type="dxa"/>
            <w:hideMark/>
          </w:tcPr>
          <w:p w14:paraId="2F764164" w14:textId="77777777" w:rsidR="00487832" w:rsidRDefault="00487832" w:rsidP="00E80310">
            <w:pPr>
              <w:pStyle w:val="NormalWeb"/>
              <w:jc w:val="center"/>
            </w:pPr>
            <w:r>
              <w:t>1</w:t>
            </w:r>
          </w:p>
        </w:tc>
        <w:tc>
          <w:tcPr>
            <w:tcW w:w="2224" w:type="dxa"/>
            <w:hideMark/>
          </w:tcPr>
          <w:p w14:paraId="66B7642E" w14:textId="77777777" w:rsidR="00487832" w:rsidRDefault="00487832" w:rsidP="00E80310">
            <w:pPr>
              <w:pStyle w:val="NormalWeb"/>
              <w:jc w:val="center"/>
            </w:pPr>
            <w:r>
              <w:t>11</w:t>
            </w:r>
          </w:p>
        </w:tc>
        <w:tc>
          <w:tcPr>
            <w:tcW w:w="2368" w:type="dxa"/>
            <w:hideMark/>
          </w:tcPr>
          <w:p w14:paraId="248B2429" w14:textId="77777777" w:rsidR="00487832" w:rsidRDefault="00487832" w:rsidP="00E80310">
            <w:pPr>
              <w:pStyle w:val="NormalWeb"/>
              <w:jc w:val="center"/>
            </w:pPr>
            <w:r>
              <w:t>254</w:t>
            </w:r>
          </w:p>
        </w:tc>
        <w:tc>
          <w:tcPr>
            <w:tcW w:w="2369" w:type="dxa"/>
            <w:hideMark/>
          </w:tcPr>
          <w:p w14:paraId="08F6FE82" w14:textId="77777777" w:rsidR="00487832" w:rsidRDefault="00487832" w:rsidP="00E80310">
            <w:pPr>
              <w:pStyle w:val="NormalWeb"/>
              <w:jc w:val="center"/>
            </w:pPr>
            <w:r>
              <w:t>4.9</w:t>
            </w:r>
          </w:p>
        </w:tc>
      </w:tr>
      <w:tr w:rsidR="00487832" w14:paraId="24745998" w14:textId="77777777" w:rsidTr="00A9341D">
        <w:tblPrEx>
          <w:tblCellMar>
            <w:top w:w="57" w:type="dxa"/>
            <w:left w:w="57" w:type="dxa"/>
            <w:bottom w:w="57" w:type="dxa"/>
            <w:right w:w="57" w:type="dxa"/>
          </w:tblCellMar>
        </w:tblPrEx>
        <w:tc>
          <w:tcPr>
            <w:tcW w:w="0" w:type="auto"/>
            <w:hideMark/>
          </w:tcPr>
          <w:p w14:paraId="20A76002" w14:textId="77777777" w:rsidR="00487832" w:rsidRDefault="00487832" w:rsidP="00E80310">
            <w:pPr>
              <w:pStyle w:val="NormalWeb"/>
            </w:pPr>
            <w:r>
              <w:t>SA</w:t>
            </w:r>
          </w:p>
        </w:tc>
        <w:tc>
          <w:tcPr>
            <w:tcW w:w="2223" w:type="dxa"/>
            <w:hideMark/>
          </w:tcPr>
          <w:p w14:paraId="501AE286" w14:textId="77777777" w:rsidR="00487832" w:rsidRDefault="00487832" w:rsidP="00E80310">
            <w:pPr>
              <w:pStyle w:val="NormalWeb"/>
              <w:jc w:val="center"/>
            </w:pPr>
            <w:r>
              <w:t>3</w:t>
            </w:r>
          </w:p>
        </w:tc>
        <w:tc>
          <w:tcPr>
            <w:tcW w:w="2224" w:type="dxa"/>
            <w:hideMark/>
          </w:tcPr>
          <w:p w14:paraId="3271188E" w14:textId="77777777" w:rsidR="00487832" w:rsidRDefault="00487832" w:rsidP="00E80310">
            <w:pPr>
              <w:pStyle w:val="NormalWeb"/>
              <w:jc w:val="center"/>
            </w:pPr>
            <w:r>
              <w:t>8</w:t>
            </w:r>
          </w:p>
        </w:tc>
        <w:tc>
          <w:tcPr>
            <w:tcW w:w="2368" w:type="dxa"/>
            <w:hideMark/>
          </w:tcPr>
          <w:p w14:paraId="37C7CC50" w14:textId="77777777" w:rsidR="00487832" w:rsidRDefault="00487832" w:rsidP="00E80310">
            <w:pPr>
              <w:pStyle w:val="NormalWeb"/>
              <w:jc w:val="center"/>
            </w:pPr>
            <w:r>
              <w:t>42</w:t>
            </w:r>
          </w:p>
        </w:tc>
        <w:tc>
          <w:tcPr>
            <w:tcW w:w="2369" w:type="dxa"/>
            <w:hideMark/>
          </w:tcPr>
          <w:p w14:paraId="06F5F2E8" w14:textId="77777777" w:rsidR="00487832" w:rsidRDefault="00487832" w:rsidP="00E80310">
            <w:pPr>
              <w:pStyle w:val="NormalWeb"/>
              <w:jc w:val="center"/>
            </w:pPr>
            <w:r>
              <w:t>2.4</w:t>
            </w:r>
          </w:p>
        </w:tc>
      </w:tr>
      <w:tr w:rsidR="00487832" w14:paraId="4492635B" w14:textId="77777777" w:rsidTr="00A934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E9DCF3F" w14:textId="77777777" w:rsidR="00487832" w:rsidRDefault="00487832" w:rsidP="00E80310">
            <w:pPr>
              <w:pStyle w:val="NormalWeb"/>
            </w:pPr>
            <w:r>
              <w:t>Tas.</w:t>
            </w:r>
          </w:p>
        </w:tc>
        <w:tc>
          <w:tcPr>
            <w:tcW w:w="2223" w:type="dxa"/>
            <w:hideMark/>
          </w:tcPr>
          <w:p w14:paraId="2724721D" w14:textId="77777777" w:rsidR="00487832" w:rsidRDefault="00487832" w:rsidP="00E80310">
            <w:pPr>
              <w:pStyle w:val="NormalWeb"/>
              <w:jc w:val="center"/>
            </w:pPr>
            <w:r>
              <w:t>1</w:t>
            </w:r>
          </w:p>
        </w:tc>
        <w:tc>
          <w:tcPr>
            <w:tcW w:w="2224" w:type="dxa"/>
            <w:hideMark/>
          </w:tcPr>
          <w:p w14:paraId="3C3A8E4A" w14:textId="77777777" w:rsidR="00487832" w:rsidRDefault="00487832" w:rsidP="00E80310">
            <w:pPr>
              <w:pStyle w:val="NormalWeb"/>
              <w:jc w:val="center"/>
            </w:pPr>
            <w:r>
              <w:t>1</w:t>
            </w:r>
          </w:p>
        </w:tc>
        <w:tc>
          <w:tcPr>
            <w:tcW w:w="2368" w:type="dxa"/>
            <w:hideMark/>
          </w:tcPr>
          <w:p w14:paraId="2D7178DD" w14:textId="77777777" w:rsidR="00487832" w:rsidRDefault="00487832" w:rsidP="00E80310">
            <w:pPr>
              <w:pStyle w:val="NormalWeb"/>
              <w:jc w:val="center"/>
            </w:pPr>
            <w:r>
              <w:t>3</w:t>
            </w:r>
          </w:p>
        </w:tc>
        <w:tc>
          <w:tcPr>
            <w:tcW w:w="2369" w:type="dxa"/>
            <w:hideMark/>
          </w:tcPr>
          <w:p w14:paraId="753670CD" w14:textId="77777777" w:rsidR="00487832" w:rsidRDefault="00487832" w:rsidP="00E80310">
            <w:pPr>
              <w:pStyle w:val="NormalWeb"/>
              <w:jc w:val="center"/>
            </w:pPr>
            <w:r>
              <w:t>0.6</w:t>
            </w:r>
          </w:p>
        </w:tc>
      </w:tr>
      <w:tr w:rsidR="00487832" w14:paraId="6E4B862C" w14:textId="77777777" w:rsidTr="00A9341D">
        <w:tblPrEx>
          <w:tblCellMar>
            <w:top w:w="57" w:type="dxa"/>
            <w:left w:w="57" w:type="dxa"/>
            <w:bottom w:w="57" w:type="dxa"/>
            <w:right w:w="57" w:type="dxa"/>
          </w:tblCellMar>
        </w:tblPrEx>
        <w:tc>
          <w:tcPr>
            <w:tcW w:w="0" w:type="auto"/>
            <w:hideMark/>
          </w:tcPr>
          <w:p w14:paraId="3EFA6FB4" w14:textId="77777777" w:rsidR="00487832" w:rsidRDefault="00487832" w:rsidP="00E80310">
            <w:pPr>
              <w:pStyle w:val="NormalWeb"/>
            </w:pPr>
            <w:r>
              <w:t>Vic.</w:t>
            </w:r>
          </w:p>
        </w:tc>
        <w:tc>
          <w:tcPr>
            <w:tcW w:w="2223" w:type="dxa"/>
            <w:hideMark/>
          </w:tcPr>
          <w:p w14:paraId="289C1778" w14:textId="77777777" w:rsidR="00487832" w:rsidRDefault="00487832" w:rsidP="00E80310">
            <w:pPr>
              <w:pStyle w:val="NormalWeb"/>
              <w:jc w:val="center"/>
            </w:pPr>
            <w:r>
              <w:t>25,742</w:t>
            </w:r>
          </w:p>
        </w:tc>
        <w:tc>
          <w:tcPr>
            <w:tcW w:w="2224" w:type="dxa"/>
            <w:hideMark/>
          </w:tcPr>
          <w:p w14:paraId="073D3096" w14:textId="77777777" w:rsidR="00487832" w:rsidRDefault="00487832" w:rsidP="00E80310">
            <w:pPr>
              <w:pStyle w:val="NormalWeb"/>
              <w:jc w:val="center"/>
            </w:pPr>
            <w:r>
              <w:t>20,441</w:t>
            </w:r>
          </w:p>
        </w:tc>
        <w:tc>
          <w:tcPr>
            <w:tcW w:w="2368" w:type="dxa"/>
            <w:hideMark/>
          </w:tcPr>
          <w:p w14:paraId="517DA3BD" w14:textId="77777777" w:rsidR="00487832" w:rsidRDefault="00487832" w:rsidP="00E80310">
            <w:pPr>
              <w:pStyle w:val="NormalWeb"/>
              <w:jc w:val="center"/>
            </w:pPr>
            <w:r>
              <w:t>59,513</w:t>
            </w:r>
          </w:p>
        </w:tc>
        <w:tc>
          <w:tcPr>
            <w:tcW w:w="2369" w:type="dxa"/>
            <w:hideMark/>
          </w:tcPr>
          <w:p w14:paraId="5BFF5ACE" w14:textId="77777777" w:rsidR="00487832" w:rsidRDefault="00487832" w:rsidP="00E80310">
            <w:pPr>
              <w:pStyle w:val="NormalWeb"/>
              <w:jc w:val="center"/>
            </w:pPr>
            <w:r>
              <w:t>888.7</w:t>
            </w:r>
          </w:p>
        </w:tc>
      </w:tr>
      <w:tr w:rsidR="00487832" w14:paraId="791E5331" w14:textId="77777777" w:rsidTr="00A9341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267310E" w14:textId="77777777" w:rsidR="00487832" w:rsidRDefault="00487832" w:rsidP="00E80310">
            <w:pPr>
              <w:pStyle w:val="NormalWeb"/>
            </w:pPr>
            <w:r>
              <w:t>WA</w:t>
            </w:r>
          </w:p>
        </w:tc>
        <w:tc>
          <w:tcPr>
            <w:tcW w:w="2223" w:type="dxa"/>
            <w:hideMark/>
          </w:tcPr>
          <w:p w14:paraId="2BD1D5A8" w14:textId="77777777" w:rsidR="00487832" w:rsidRDefault="00487832" w:rsidP="00E80310">
            <w:pPr>
              <w:pStyle w:val="NormalWeb"/>
              <w:jc w:val="center"/>
            </w:pPr>
            <w:r>
              <w:t>0</w:t>
            </w:r>
          </w:p>
        </w:tc>
        <w:tc>
          <w:tcPr>
            <w:tcW w:w="2224" w:type="dxa"/>
            <w:hideMark/>
          </w:tcPr>
          <w:p w14:paraId="2BFE5344" w14:textId="77777777" w:rsidR="00487832" w:rsidRDefault="00487832" w:rsidP="00E80310">
            <w:pPr>
              <w:pStyle w:val="NormalWeb"/>
              <w:jc w:val="center"/>
            </w:pPr>
            <w:r>
              <w:t>0</w:t>
            </w:r>
          </w:p>
        </w:tc>
        <w:tc>
          <w:tcPr>
            <w:tcW w:w="2368" w:type="dxa"/>
            <w:hideMark/>
          </w:tcPr>
          <w:p w14:paraId="56CD2B3F" w14:textId="77777777" w:rsidR="00487832" w:rsidRDefault="00487832" w:rsidP="00E80310">
            <w:pPr>
              <w:pStyle w:val="NormalWeb"/>
              <w:jc w:val="center"/>
            </w:pPr>
            <w:r>
              <w:t>18</w:t>
            </w:r>
          </w:p>
        </w:tc>
        <w:tc>
          <w:tcPr>
            <w:tcW w:w="2369" w:type="dxa"/>
            <w:hideMark/>
          </w:tcPr>
          <w:p w14:paraId="1800FE09" w14:textId="77777777" w:rsidR="00487832" w:rsidRDefault="00487832" w:rsidP="00E80310">
            <w:pPr>
              <w:pStyle w:val="NormalWeb"/>
              <w:jc w:val="center"/>
            </w:pPr>
            <w:r>
              <w:t>0.7</w:t>
            </w:r>
          </w:p>
        </w:tc>
      </w:tr>
      <w:tr w:rsidR="00A9341D" w:rsidRPr="000F44A4" w14:paraId="36BBCDD3" w14:textId="77777777" w:rsidTr="00A9341D">
        <w:tblPrEx>
          <w:tblCellMar>
            <w:top w:w="57" w:type="dxa"/>
            <w:left w:w="57" w:type="dxa"/>
            <w:bottom w:w="57" w:type="dxa"/>
            <w:right w:w="57" w:type="dxa"/>
          </w:tblCellMar>
        </w:tblPrEx>
        <w:tc>
          <w:tcPr>
            <w:tcW w:w="0" w:type="auto"/>
            <w:shd w:val="clear" w:color="auto" w:fill="FDE9D9" w:themeFill="accent6" w:themeFillTint="33"/>
            <w:hideMark/>
          </w:tcPr>
          <w:p w14:paraId="1B6A7A49" w14:textId="77777777" w:rsidR="00487832" w:rsidRPr="000F44A4" w:rsidRDefault="00487832" w:rsidP="00E80310">
            <w:pPr>
              <w:pStyle w:val="NormalWeb"/>
              <w:rPr>
                <w:b/>
                <w:bCs/>
              </w:rPr>
            </w:pPr>
            <w:r w:rsidRPr="000F44A4">
              <w:rPr>
                <w:b/>
                <w:bCs/>
              </w:rPr>
              <w:t>Australia</w:t>
            </w:r>
          </w:p>
        </w:tc>
        <w:tc>
          <w:tcPr>
            <w:tcW w:w="2223" w:type="dxa"/>
            <w:shd w:val="clear" w:color="auto" w:fill="FDE9D9" w:themeFill="accent6" w:themeFillTint="33"/>
            <w:hideMark/>
          </w:tcPr>
          <w:p w14:paraId="5EE2032E" w14:textId="77777777" w:rsidR="00487832" w:rsidRPr="000F44A4" w:rsidRDefault="00487832" w:rsidP="00E80310">
            <w:pPr>
              <w:pStyle w:val="NormalWeb"/>
              <w:jc w:val="center"/>
              <w:rPr>
                <w:b/>
                <w:bCs/>
              </w:rPr>
            </w:pPr>
            <w:r w:rsidRPr="000F44A4">
              <w:rPr>
                <w:b/>
                <w:bCs/>
              </w:rPr>
              <w:t>30,693</w:t>
            </w:r>
          </w:p>
        </w:tc>
        <w:tc>
          <w:tcPr>
            <w:tcW w:w="2224" w:type="dxa"/>
            <w:shd w:val="clear" w:color="auto" w:fill="FDE9D9" w:themeFill="accent6" w:themeFillTint="33"/>
            <w:hideMark/>
          </w:tcPr>
          <w:p w14:paraId="1FA0F28D" w14:textId="77777777" w:rsidR="00487832" w:rsidRPr="000F44A4" w:rsidRDefault="00487832" w:rsidP="00E80310">
            <w:pPr>
              <w:pStyle w:val="NormalWeb"/>
              <w:jc w:val="center"/>
              <w:rPr>
                <w:b/>
                <w:bCs/>
              </w:rPr>
            </w:pPr>
            <w:r w:rsidRPr="000F44A4">
              <w:rPr>
                <w:b/>
                <w:bCs/>
              </w:rPr>
              <w:t>30,166</w:t>
            </w:r>
          </w:p>
        </w:tc>
        <w:tc>
          <w:tcPr>
            <w:tcW w:w="2368" w:type="dxa"/>
            <w:shd w:val="clear" w:color="auto" w:fill="FDE9D9" w:themeFill="accent6" w:themeFillTint="33"/>
            <w:hideMark/>
          </w:tcPr>
          <w:p w14:paraId="7C85C1D8" w14:textId="77777777" w:rsidR="00487832" w:rsidRPr="000F44A4" w:rsidRDefault="00487832" w:rsidP="00E80310">
            <w:pPr>
              <w:pStyle w:val="NormalWeb"/>
              <w:jc w:val="center"/>
              <w:rPr>
                <w:b/>
                <w:bCs/>
              </w:rPr>
            </w:pPr>
            <w:r w:rsidRPr="000F44A4">
              <w:rPr>
                <w:b/>
                <w:bCs/>
              </w:rPr>
              <w:t>129,110</w:t>
            </w:r>
          </w:p>
        </w:tc>
        <w:tc>
          <w:tcPr>
            <w:tcW w:w="2369" w:type="dxa"/>
            <w:shd w:val="clear" w:color="auto" w:fill="FDE9D9" w:themeFill="accent6" w:themeFillTint="33"/>
            <w:hideMark/>
          </w:tcPr>
          <w:p w14:paraId="326A6545" w14:textId="77777777" w:rsidR="00487832" w:rsidRPr="000F44A4" w:rsidRDefault="00487832" w:rsidP="00E80310">
            <w:pPr>
              <w:pStyle w:val="NormalWeb"/>
              <w:jc w:val="center"/>
              <w:rPr>
                <w:b/>
                <w:bCs/>
              </w:rPr>
            </w:pPr>
            <w:r w:rsidRPr="000F44A4">
              <w:rPr>
                <w:b/>
                <w:bCs/>
              </w:rPr>
              <w:t>502.4</w:t>
            </w:r>
          </w:p>
        </w:tc>
      </w:tr>
    </w:tbl>
    <w:p w14:paraId="5DD3F59C" w14:textId="77777777" w:rsidR="00487832" w:rsidRPr="00487832" w:rsidRDefault="00487832" w:rsidP="00487832">
      <w:pPr>
        <w:pStyle w:val="CDIfootnotes"/>
      </w:pPr>
      <w:r w:rsidRPr="00487832">
        <w:t>a</w:t>
      </w:r>
      <w:r w:rsidRPr="00487832">
        <w:tab/>
        <w:t>Source: NINDSS, extract from 26 October 2021 for notifications to 24 October 2021.</w:t>
      </w:r>
    </w:p>
    <w:p w14:paraId="27825956" w14:textId="77777777" w:rsidR="00487832" w:rsidRPr="00487832" w:rsidRDefault="00487832" w:rsidP="00487832">
      <w:pPr>
        <w:pStyle w:val="CDIfootnotes"/>
      </w:pPr>
      <w:r w:rsidRPr="00487832">
        <w:t>b</w:t>
      </w:r>
      <w:r w:rsidRPr="00487832">
        <w:tab/>
        <w:t>This total includes cases under initial investigation and excludes overseas acquired cases and with a missing source of acquisition. In reports prior to report 51, cases under initial investigation were excluded from this total.</w:t>
      </w:r>
    </w:p>
    <w:p w14:paraId="4EA9EECA" w14:textId="6226E836" w:rsidR="00487832" w:rsidRPr="00487832" w:rsidRDefault="00487832" w:rsidP="00487832">
      <w:pPr>
        <w:pStyle w:val="CDIfootnotes"/>
      </w:pPr>
      <w:r w:rsidRPr="00487832">
        <w:t>c</w:t>
      </w:r>
      <w:r w:rsidRPr="00487832">
        <w:tab/>
        <w:t>Population data based on Australian Bureau of Statistics (ABS) Estimated Resident Population (ERP) as at June 2020. The ABS June 2020 ERP was ACT: 431,325; NSW: 8,168,893; NT: 246,283; Qld: 5,176,044; SA: 1,770,494; Tas.: 540,781; Vic.: 6,696,630; WA: 2,663,976; Australia: 25,698,093</w:t>
      </w:r>
      <w:r w:rsidR="00CB5580">
        <w:t>.</w:t>
      </w:r>
    </w:p>
    <w:p w14:paraId="251F3325" w14:textId="62AAE4E6" w:rsidR="00633079" w:rsidRPr="00633079" w:rsidRDefault="00633079" w:rsidP="00633079">
      <w:pPr>
        <w:pStyle w:val="Heading2"/>
      </w:pPr>
      <w:r w:rsidRPr="00633079">
        <w:t xml:space="preserve">Source of acquisition </w:t>
      </w:r>
    </w:p>
    <w:p w14:paraId="38F9DFEB" w14:textId="77777777" w:rsidR="00633079" w:rsidRPr="00F67CD4" w:rsidRDefault="00633079" w:rsidP="00F67CD4">
      <w:pPr>
        <w:pStyle w:val="Heading3"/>
        <w:rPr>
          <w:i/>
          <w:iCs/>
        </w:rPr>
      </w:pPr>
      <w:r w:rsidRPr="00F67CD4">
        <w:rPr>
          <w:i/>
          <w:iCs/>
        </w:rPr>
        <w:t xml:space="preserve">(NINDSS) </w:t>
      </w:r>
    </w:p>
    <w:p w14:paraId="65100D2A" w14:textId="2A060922" w:rsidR="00633079" w:rsidRDefault="00633079" w:rsidP="00633079">
      <w:r>
        <w:t>In this reporting period, &gt; 99% of cases notified (30,693/30,727) were considered to be acquired within Australia (including cases under initial investigation), comprising 53% (16,171) cases acquired within the reporting jurisdiction, 47% (14,508/30,693) cases under initial investigation and 14 interstate-acquired cases; &lt; 1% of cases (34/30,727) were overseas acquired (Table 1).</w:t>
      </w:r>
      <w:r w:rsidR="00186F08">
        <w:rPr>
          <w:rStyle w:val="FootnoteReference"/>
        </w:rPr>
        <w:footnoteReference w:id="6"/>
      </w:r>
      <w:r>
        <w:t xml:space="preserve"> Victoria reported the majority of locally-acquired cases (84%; 25,742/30,693) in this fortnight, followed by New South Wales (15%; 4,580/30,693) and the Australian Capital Territory (1%; 361/30,693). All </w:t>
      </w:r>
      <w:proofErr w:type="gramStart"/>
      <w:r>
        <w:t>locally-acquired</w:t>
      </w:r>
      <w:proofErr w:type="gramEnd"/>
      <w:r>
        <w:t xml:space="preserve"> cases in the Northern Territory, Queensland and Tasmania during the reporting period were acquired interstate. Western Australia did not report any </w:t>
      </w:r>
      <w:proofErr w:type="gramStart"/>
      <w:r>
        <w:t>locally-acquired</w:t>
      </w:r>
      <w:proofErr w:type="gramEnd"/>
      <w:r>
        <w:t xml:space="preserve"> cases. </w:t>
      </w:r>
    </w:p>
    <w:p w14:paraId="33D5F972" w14:textId="77777777" w:rsidR="00633079" w:rsidRDefault="00633079" w:rsidP="00633079">
      <w:r>
        <w:t xml:space="preserve">For 2021 to date, Victoria had the highest notification rate for locally-acquired cases with 888.7 notifications per 100,000 population, followed by New South Wales with a rate of 828.5 notifications per 100,000 population and the Australian Capital Territory with a rate of 369.8 notifications per 100,000 population (Table 2). </w:t>
      </w:r>
    </w:p>
    <w:p w14:paraId="32CF678D" w14:textId="77777777" w:rsidR="00633079" w:rsidRDefault="00633079" w:rsidP="00633079">
      <w:r>
        <w:lastRenderedPageBreak/>
        <w:t>In the reporting period, Queensland reported the largest number of overseas-acquired cases (29%; 10/34), followed by New South Wales (26%; 9/34) and Victoria (22%; 8/34) (Table 1). In the past 28 days (27 September to 24 October 2021), thirty-six percent (31/86) of confirmed overseas-acquired cases reported to the NINDSS had an unknown country of acquisition. Cases acquired at sea (40%; 22/55) were the most frequent of those with an identified country of acquisition in the past 28 days, followed by cases acquired in the United Kingdom (9%; 5/55) and Pakistan (7%; 4/55). The number of cases acquired in different countries is influenced by travel patterns of returning Australians, travel restrictions, and the prevalence of COVID-19 in the country of travel.</w:t>
      </w:r>
    </w:p>
    <w:p w14:paraId="59C45D98" w14:textId="77777777" w:rsidR="00633079" w:rsidRPr="00633079" w:rsidRDefault="00633079" w:rsidP="00633079">
      <w:pPr>
        <w:pStyle w:val="Heading2"/>
      </w:pPr>
      <w:r w:rsidRPr="00633079">
        <w:t xml:space="preserve">Demographic features </w:t>
      </w:r>
    </w:p>
    <w:p w14:paraId="5D477419" w14:textId="77777777" w:rsidR="00633079" w:rsidRPr="00F67CD4" w:rsidRDefault="00633079" w:rsidP="00F67CD4">
      <w:pPr>
        <w:pStyle w:val="Heading3"/>
        <w:rPr>
          <w:i/>
          <w:iCs/>
        </w:rPr>
      </w:pPr>
      <w:r w:rsidRPr="00F67CD4">
        <w:rPr>
          <w:i/>
          <w:iCs/>
        </w:rPr>
        <w:t xml:space="preserve">(NINDSS) </w:t>
      </w:r>
    </w:p>
    <w:p w14:paraId="193DC1CB" w14:textId="654F6DAC" w:rsidR="00633079" w:rsidRDefault="00633079" w:rsidP="00633079">
      <w:r>
        <w:t>In this reporting period, the largest proportion of cases occurred in those aged 20 to 29 years (19%; 5,745/30,727). For this year, the highest rate of infection has been in those aged 20 to 29 years with a rate of 754.8 infections per 100,000 population (Figure 3; Appendix A, Table A.1). Adults aged 70 to 79 years have had the lowest rate of infection this year.</w:t>
      </w:r>
    </w:p>
    <w:p w14:paraId="3A76E01F" w14:textId="77777777" w:rsidR="004426D3" w:rsidRPr="000F44A4" w:rsidRDefault="004426D3" w:rsidP="004426D3">
      <w:pPr>
        <w:pStyle w:val="CDIFigures"/>
      </w:pPr>
      <w:r w:rsidRPr="000F44A4">
        <w:rPr>
          <w:rStyle w:val="Strong"/>
          <w:b/>
          <w:bCs w:val="0"/>
        </w:rPr>
        <w:t>Figure 3: Cumulative COVID-19 cases for the calendar year to date, by age group and sex, Australia, with a diagnosis date of 1 January 2021 – 24 October 2021</w:t>
      </w:r>
      <w:r w:rsidRPr="00D90481">
        <w:rPr>
          <w:rStyle w:val="Strong"/>
          <w:b/>
          <w:bCs w:val="0"/>
          <w:vertAlign w:val="superscript"/>
        </w:rPr>
        <w:t>a</w:t>
      </w:r>
    </w:p>
    <w:p w14:paraId="332F5905" w14:textId="01DE96C0" w:rsidR="004426D3" w:rsidRDefault="004426D3" w:rsidP="00633079">
      <w:pPr>
        <w:rPr>
          <w:rFonts w:eastAsia="Times New Roman"/>
          <w:lang w:val="en-GB"/>
        </w:rPr>
      </w:pPr>
      <w:r>
        <w:rPr>
          <w:rFonts w:eastAsia="Times New Roman"/>
          <w:noProof/>
          <w:lang w:val="en-GB"/>
        </w:rPr>
        <w:drawing>
          <wp:inline distT="0" distB="0" distL="0" distR="0" wp14:anchorId="5163B7FE" wp14:editId="35916DFE">
            <wp:extent cx="6609359" cy="3228975"/>
            <wp:effectExtent l="0" t="0" r="1270" b="0"/>
            <wp:docPr id="5" name="Picture 5" descr="A bar chart showing the cumulative rates per 100,000 population of confirmed COVID-19 cases, for this calendar year to date, as at 24 October 2021, by 10-year age group and sex. For this calendar year, the highest notification rates have been in the 20 to 29 year age group, followed by the 10 to 19 and 30 to 39 year age groups. In all age groups except those aged 0 to 9 years, males have a higher rate than females among cases notified in 2021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ar chart showing the cumulative rates per 100,000 population of confirmed COVID-19 cases, for this calendar year to date, as at 24 October 2021, by 10-year age group and sex. For this calendar year, the highest notification rates have been in the 20 to 29 year age group, followed by the 10 to 19 and 30 to 39 year age groups. In all age groups except those aged 0 to 9 years, males have a higher rate than females among cases notified in 2021 to dat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16964" cy="3232691"/>
                    </a:xfrm>
                    <a:prstGeom prst="rect">
                      <a:avLst/>
                    </a:prstGeom>
                  </pic:spPr>
                </pic:pic>
              </a:graphicData>
            </a:graphic>
          </wp:inline>
        </w:drawing>
      </w:r>
    </w:p>
    <w:p w14:paraId="5349E95D" w14:textId="52FA1783" w:rsidR="00A84641" w:rsidRPr="00A84641" w:rsidRDefault="00A84641" w:rsidP="00A84641">
      <w:pPr>
        <w:pStyle w:val="CDIfootnotes"/>
      </w:pPr>
      <w:r w:rsidRPr="00A84641">
        <w:t>a</w:t>
      </w:r>
      <w:r w:rsidRPr="00A84641">
        <w:tab/>
        <w:t>Source: NINDSS, extract from 26 October 2021 for notifications to 24 October 2021.</w:t>
      </w:r>
    </w:p>
    <w:p w14:paraId="714052FF" w14:textId="77777777" w:rsidR="00633079" w:rsidRDefault="00633079" w:rsidP="00633079">
      <w:r>
        <w:t>In 2021, notification rates were higher among males than females in most age groups, though rates were similar among males and females in those aged 0 to 19 years and were also similar in those over 90 years old (Figure 3; Appendix A, Table A.1). The median age of cases in this reporting period was 30 years (range: 0 to 101 years; interquartile range, IQR: 16 to 45 years).</w:t>
      </w:r>
    </w:p>
    <w:p w14:paraId="4BBD0110" w14:textId="77777777" w:rsidR="00633079" w:rsidRPr="00633079" w:rsidRDefault="00633079" w:rsidP="00633079">
      <w:pPr>
        <w:pStyle w:val="Heading2"/>
      </w:pPr>
      <w:r w:rsidRPr="00633079">
        <w:t xml:space="preserve">Aboriginal and Torres Strait Islander persons </w:t>
      </w:r>
    </w:p>
    <w:p w14:paraId="2CDEA98A" w14:textId="77777777" w:rsidR="00633079" w:rsidRPr="00F67CD4" w:rsidRDefault="00633079" w:rsidP="00F67CD4">
      <w:pPr>
        <w:pStyle w:val="Heading2"/>
        <w:rPr>
          <w:b w:val="0"/>
          <w:bCs w:val="0"/>
        </w:rPr>
      </w:pPr>
      <w:r w:rsidRPr="00F67CD4">
        <w:rPr>
          <w:rStyle w:val="Emphasis"/>
          <w:b/>
          <w:bCs/>
          <w:spacing w:val="0"/>
        </w:rPr>
        <w:t xml:space="preserve">(NINDSS) </w:t>
      </w:r>
    </w:p>
    <w:p w14:paraId="751AEE18" w14:textId="375DB09C" w:rsidR="00633079" w:rsidRDefault="00633079" w:rsidP="00633079">
      <w:r>
        <w:t xml:space="preserve">During the reporting period, there were 1,152 new cases notified in Aboriginal and Torres Strait Islander people, with 762 from New South Wales, 320 from Victoria, 67 from the Australian Capital Territory and three from the </w:t>
      </w:r>
      <w:r>
        <w:lastRenderedPageBreak/>
        <w:t xml:space="preserve">Northern Territory. Since the beginning of 2021, there have been 6,084 confirmed cases of COVID-19 notified in Aboriginal and Torres Strait Islander people, representing 5% (6,084/130,980) of all confirmed cases this year. Of the </w:t>
      </w:r>
      <w:proofErr w:type="gramStart"/>
      <w:r>
        <w:t>locally-acquired</w:t>
      </w:r>
      <w:proofErr w:type="gramEnd"/>
      <w:r>
        <w:t xml:space="preserve"> cases notified in Aboriginal and Torres Strait Islander people in 2021, thirty-three percent (2,013/6,079) resided in a regional or remote area (Table 3).</w:t>
      </w:r>
    </w:p>
    <w:p w14:paraId="47C71EE8" w14:textId="77777777" w:rsidR="00D318D8" w:rsidRPr="000F44A4" w:rsidRDefault="00D318D8" w:rsidP="00D318D8">
      <w:pPr>
        <w:pStyle w:val="CDIFigures"/>
      </w:pPr>
      <w:r w:rsidRPr="000F44A4">
        <w:rPr>
          <w:rStyle w:val="Strong"/>
          <w:b/>
          <w:bCs w:val="0"/>
        </w:rPr>
        <w:t>Table 3: Confirmed cases of COVID-19 among Aboriginal and Torres Strait Islander peoples by place of acquisition and area of remoteness, 1 January – 24 October 2021</w:t>
      </w:r>
      <w:r w:rsidRPr="00D90481">
        <w:rPr>
          <w:rStyle w:val="Strong"/>
          <w:b/>
          <w:bCs w:val="0"/>
          <w:vertAlign w:val="superscript"/>
        </w:rPr>
        <w:t>a</w:t>
      </w:r>
    </w:p>
    <w:tbl>
      <w:tblPr>
        <w:tblStyle w:val="CDI-StandardTable"/>
        <w:tblW w:w="0" w:type="auto"/>
        <w:tblLook w:val="04A0" w:firstRow="1" w:lastRow="0" w:firstColumn="1" w:lastColumn="0" w:noHBand="0" w:noVBand="1"/>
        <w:tblDescription w:val="Table 3 shows the number of confirmed cases of COVID-19 this year, among Aboriginal and Torres Strait Islander people, by jurisdiction, place of acquisition, and area of remoteness. In the calendar year to date, there have been 6,084 confirmed cases among Aboriginal and Torres Strait Islander people (5,347 in New South Wales, 541 in Victoria, 184 in the Australian Capital Territory, seven in Queensland, three in the Northern Territory and one each in Tasmania and Western Australia). Most cases in Aboriginal and Torres Strait Islander people this year (4,012) have been locally acquired in a ‘major city’ remoteness setting, although numerous cases in Aboriginal and Torres Strait Islander people this year, in New South Wales, have occurred in ‘inner regional’ (1,111 cases), ‘outer regional’ (309 cases) and ‘remote’ settings (342 cases). Other jurisdictions reporting cases this year among Aboriginal and Torres Strait Islander people in an inner regional or outer regional setting are Victoria (120 ‘inner regional’ and 126 ‘outer regional’ cases) and the Northern Territory (three ‘outer regional’ cases).&#10;"/>
      </w:tblPr>
      <w:tblGrid>
        <w:gridCol w:w="1282"/>
        <w:gridCol w:w="970"/>
        <w:gridCol w:w="1236"/>
        <w:gridCol w:w="1259"/>
        <w:gridCol w:w="959"/>
        <w:gridCol w:w="1453"/>
        <w:gridCol w:w="1126"/>
        <w:gridCol w:w="1090"/>
        <w:gridCol w:w="1091"/>
      </w:tblGrid>
      <w:tr w:rsidR="00D318D8" w:rsidRPr="000F44A4" w14:paraId="2FDBED4E" w14:textId="77777777" w:rsidTr="00CB558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3CF973F0" w14:textId="77777777" w:rsidR="00D318D8" w:rsidRPr="000F44A4" w:rsidRDefault="00D318D8" w:rsidP="00E80310">
            <w:pPr>
              <w:pStyle w:val="NormalWeb"/>
              <w:rPr>
                <w:color w:val="FFFFFF" w:themeColor="background1"/>
              </w:rPr>
            </w:pPr>
            <w:r w:rsidRPr="000F44A4">
              <w:rPr>
                <w:color w:val="FFFFFF" w:themeColor="background1"/>
              </w:rPr>
              <w:t>Jurisdiction</w:t>
            </w:r>
          </w:p>
        </w:tc>
        <w:tc>
          <w:tcPr>
            <w:tcW w:w="0" w:type="auto"/>
            <w:gridSpan w:val="6"/>
            <w:tcBorders>
              <w:left w:val="single" w:sz="2" w:space="0" w:color="FFFFFF" w:themeColor="background1"/>
              <w:bottom w:val="single" w:sz="2" w:space="0" w:color="FFFFFF" w:themeColor="background1"/>
              <w:right w:val="single" w:sz="2" w:space="0" w:color="FFFFFF" w:themeColor="background1"/>
            </w:tcBorders>
            <w:hideMark/>
          </w:tcPr>
          <w:p w14:paraId="48E186DE" w14:textId="77777777" w:rsidR="00D318D8" w:rsidRPr="000F44A4" w:rsidRDefault="00D318D8" w:rsidP="00E80310">
            <w:pPr>
              <w:pStyle w:val="NormalWeb"/>
              <w:jc w:val="center"/>
              <w:rPr>
                <w:color w:val="FFFFFF" w:themeColor="background1"/>
              </w:rPr>
            </w:pPr>
            <w:r w:rsidRPr="000F44A4">
              <w:rPr>
                <w:color w:val="FFFFFF" w:themeColor="background1"/>
              </w:rPr>
              <w:t xml:space="preserve">Locally acquired, </w:t>
            </w:r>
            <w:proofErr w:type="spellStart"/>
            <w:r w:rsidRPr="000F44A4">
              <w:rPr>
                <w:color w:val="FFFFFF" w:themeColor="background1"/>
              </w:rPr>
              <w:t>Australia</w:t>
            </w:r>
            <w:r w:rsidRPr="00650C5B">
              <w:rPr>
                <w:color w:val="FFFFFF" w:themeColor="background1"/>
                <w:vertAlign w:val="superscript"/>
              </w:rPr>
              <w:t>a</w:t>
            </w:r>
            <w:proofErr w:type="spellEnd"/>
          </w:p>
        </w:tc>
        <w:tc>
          <w:tcPr>
            <w:tcW w:w="1090"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EFFD3D5" w14:textId="77777777" w:rsidR="00D318D8" w:rsidRPr="000F44A4" w:rsidRDefault="00D318D8" w:rsidP="00E80310">
            <w:pPr>
              <w:pStyle w:val="NormalWeb"/>
              <w:jc w:val="center"/>
              <w:rPr>
                <w:color w:val="FFFFFF" w:themeColor="background1"/>
              </w:rPr>
            </w:pPr>
            <w:r w:rsidRPr="000F44A4">
              <w:rPr>
                <w:color w:val="FFFFFF" w:themeColor="background1"/>
              </w:rPr>
              <w:t>Overseas acquired</w:t>
            </w:r>
          </w:p>
        </w:tc>
        <w:tc>
          <w:tcPr>
            <w:tcW w:w="1091" w:type="dxa"/>
            <w:vMerge w:val="restart"/>
            <w:tcBorders>
              <w:left w:val="single" w:sz="2" w:space="0" w:color="FFFFFF" w:themeColor="background1"/>
              <w:bottom w:val="single" w:sz="2" w:space="0" w:color="FFFFFF" w:themeColor="background1"/>
            </w:tcBorders>
            <w:hideMark/>
          </w:tcPr>
          <w:p w14:paraId="076E5C69" w14:textId="77777777" w:rsidR="00D318D8" w:rsidRPr="000F44A4" w:rsidRDefault="00D318D8" w:rsidP="00E80310">
            <w:pPr>
              <w:pStyle w:val="NormalWeb"/>
              <w:jc w:val="center"/>
              <w:rPr>
                <w:color w:val="FFFFFF" w:themeColor="background1"/>
              </w:rPr>
            </w:pPr>
            <w:r w:rsidRPr="000F44A4">
              <w:rPr>
                <w:color w:val="FFFFFF" w:themeColor="background1"/>
              </w:rPr>
              <w:t>Total</w:t>
            </w:r>
          </w:p>
        </w:tc>
      </w:tr>
      <w:tr w:rsidR="00D318D8" w:rsidRPr="000F44A4" w14:paraId="6F48083C" w14:textId="77777777" w:rsidTr="00CB5580">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232B95EA" w14:textId="77777777" w:rsidR="00D318D8" w:rsidRPr="000F44A4" w:rsidRDefault="00D318D8" w:rsidP="00E80310">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A22FDE9" w14:textId="77777777" w:rsidR="00D318D8" w:rsidRPr="000F44A4" w:rsidRDefault="00D318D8" w:rsidP="00E80310">
            <w:pPr>
              <w:pStyle w:val="NormalWeb"/>
              <w:jc w:val="center"/>
              <w:rPr>
                <w:color w:val="FFFFFF" w:themeColor="background1"/>
              </w:rPr>
            </w:pPr>
            <w:r w:rsidRPr="000F44A4">
              <w:rPr>
                <w:color w:val="FFFFFF" w:themeColor="background1"/>
              </w:rPr>
              <w:t>Major city</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0B73AD90" w14:textId="77777777" w:rsidR="00D318D8" w:rsidRPr="000F44A4" w:rsidRDefault="00D318D8" w:rsidP="00E80310">
            <w:pPr>
              <w:pStyle w:val="NormalWeb"/>
              <w:jc w:val="center"/>
              <w:rPr>
                <w:color w:val="FFFFFF" w:themeColor="background1"/>
              </w:rPr>
            </w:pPr>
            <w:r w:rsidRPr="000F44A4">
              <w:rPr>
                <w:color w:val="FFFFFF" w:themeColor="background1"/>
              </w:rPr>
              <w:t>Inner regional</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6FD61F96" w14:textId="77777777" w:rsidR="00D318D8" w:rsidRPr="000F44A4" w:rsidRDefault="00D318D8" w:rsidP="00E80310">
            <w:pPr>
              <w:pStyle w:val="NormalWeb"/>
              <w:jc w:val="center"/>
              <w:rPr>
                <w:color w:val="FFFFFF" w:themeColor="background1"/>
              </w:rPr>
            </w:pPr>
            <w:r w:rsidRPr="000F44A4">
              <w:rPr>
                <w:color w:val="FFFFFF" w:themeColor="background1"/>
              </w:rPr>
              <w:t>Outer regional</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0486B921" w14:textId="77777777" w:rsidR="00D318D8" w:rsidRPr="000F44A4" w:rsidRDefault="00D318D8" w:rsidP="00E80310">
            <w:pPr>
              <w:pStyle w:val="NormalWeb"/>
              <w:jc w:val="center"/>
              <w:rPr>
                <w:color w:val="FFFFFF" w:themeColor="background1"/>
              </w:rPr>
            </w:pPr>
            <w:r w:rsidRPr="000F44A4">
              <w:rPr>
                <w:color w:val="FFFFFF" w:themeColor="background1"/>
              </w:rPr>
              <w:t>Remote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3F78CF60" w14:textId="77777777" w:rsidR="00D318D8" w:rsidRPr="000F44A4" w:rsidRDefault="00D318D8" w:rsidP="00E80310">
            <w:pPr>
              <w:pStyle w:val="NormalWeb"/>
              <w:jc w:val="center"/>
              <w:rPr>
                <w:color w:val="FFFFFF" w:themeColor="background1"/>
              </w:rPr>
            </w:pPr>
            <w:r w:rsidRPr="000F44A4">
              <w:rPr>
                <w:color w:val="FFFFFF" w:themeColor="background1"/>
              </w:rPr>
              <w:t>Overseas resident</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8B86C0C" w14:textId="77777777" w:rsidR="00D318D8" w:rsidRPr="000F44A4" w:rsidRDefault="00D318D8" w:rsidP="00E80310">
            <w:pPr>
              <w:pStyle w:val="NormalWeb"/>
              <w:jc w:val="center"/>
              <w:rPr>
                <w:color w:val="FFFFFF" w:themeColor="background1"/>
              </w:rPr>
            </w:pPr>
            <w:r w:rsidRPr="000F44A4">
              <w:rPr>
                <w:color w:val="FFFFFF" w:themeColor="background1"/>
              </w:rPr>
              <w:t>Unknown</w:t>
            </w:r>
          </w:p>
        </w:tc>
        <w:tc>
          <w:tcPr>
            <w:tcW w:w="1090" w:type="dxa"/>
            <w:vMerge/>
            <w:tcBorders>
              <w:top w:val="single" w:sz="2" w:space="0" w:color="FFFFFF" w:themeColor="background1"/>
              <w:left w:val="single" w:sz="2" w:space="0" w:color="FFFFFF" w:themeColor="background1"/>
              <w:right w:val="single" w:sz="2" w:space="0" w:color="FFFFFF" w:themeColor="background1"/>
            </w:tcBorders>
            <w:hideMark/>
          </w:tcPr>
          <w:p w14:paraId="7615B77C" w14:textId="77777777" w:rsidR="00D318D8" w:rsidRPr="000F44A4" w:rsidRDefault="00D318D8" w:rsidP="00E80310">
            <w:pPr>
              <w:jc w:val="center"/>
              <w:rPr>
                <w:color w:val="FFFFFF" w:themeColor="background1"/>
                <w:sz w:val="24"/>
                <w:szCs w:val="24"/>
              </w:rPr>
            </w:pPr>
          </w:p>
        </w:tc>
        <w:tc>
          <w:tcPr>
            <w:tcW w:w="1091" w:type="dxa"/>
            <w:vMerge/>
            <w:tcBorders>
              <w:top w:val="single" w:sz="2" w:space="0" w:color="FFFFFF" w:themeColor="background1"/>
              <w:left w:val="single" w:sz="2" w:space="0" w:color="FFFFFF" w:themeColor="background1"/>
            </w:tcBorders>
            <w:hideMark/>
          </w:tcPr>
          <w:p w14:paraId="3A2D19EA" w14:textId="77777777" w:rsidR="00D318D8" w:rsidRPr="000F44A4" w:rsidRDefault="00D318D8" w:rsidP="00E80310">
            <w:pPr>
              <w:jc w:val="center"/>
              <w:rPr>
                <w:color w:val="FFFFFF" w:themeColor="background1"/>
                <w:sz w:val="24"/>
                <w:szCs w:val="24"/>
              </w:rPr>
            </w:pPr>
          </w:p>
        </w:tc>
      </w:tr>
      <w:tr w:rsidR="00D318D8" w14:paraId="3B5B4254" w14:textId="77777777" w:rsidTr="00CB5580">
        <w:tblPrEx>
          <w:tblCellMar>
            <w:top w:w="57" w:type="dxa"/>
            <w:left w:w="57" w:type="dxa"/>
            <w:bottom w:w="57" w:type="dxa"/>
            <w:right w:w="57" w:type="dxa"/>
          </w:tblCellMar>
        </w:tblPrEx>
        <w:tc>
          <w:tcPr>
            <w:tcW w:w="0" w:type="auto"/>
            <w:hideMark/>
          </w:tcPr>
          <w:p w14:paraId="3970EB05" w14:textId="77777777" w:rsidR="00D318D8" w:rsidRDefault="00D318D8" w:rsidP="00E80310">
            <w:pPr>
              <w:pStyle w:val="NormalWeb"/>
            </w:pPr>
            <w:r>
              <w:t>ACT</w:t>
            </w:r>
          </w:p>
        </w:tc>
        <w:tc>
          <w:tcPr>
            <w:tcW w:w="0" w:type="auto"/>
            <w:hideMark/>
          </w:tcPr>
          <w:p w14:paraId="3BF4F728" w14:textId="77777777" w:rsidR="00D318D8" w:rsidRDefault="00D318D8" w:rsidP="00E80310">
            <w:pPr>
              <w:pStyle w:val="NormalWeb"/>
              <w:jc w:val="center"/>
            </w:pPr>
            <w:r>
              <w:t>184</w:t>
            </w:r>
          </w:p>
        </w:tc>
        <w:tc>
          <w:tcPr>
            <w:tcW w:w="0" w:type="auto"/>
            <w:hideMark/>
          </w:tcPr>
          <w:p w14:paraId="3FBA994A" w14:textId="77777777" w:rsidR="00D318D8" w:rsidRDefault="00D318D8" w:rsidP="00E80310">
            <w:pPr>
              <w:pStyle w:val="NormalWeb"/>
              <w:jc w:val="center"/>
            </w:pPr>
            <w:r>
              <w:t>0</w:t>
            </w:r>
          </w:p>
        </w:tc>
        <w:tc>
          <w:tcPr>
            <w:tcW w:w="0" w:type="auto"/>
            <w:hideMark/>
          </w:tcPr>
          <w:p w14:paraId="74978AF7" w14:textId="77777777" w:rsidR="00D318D8" w:rsidRDefault="00D318D8" w:rsidP="00E80310">
            <w:pPr>
              <w:pStyle w:val="NormalWeb"/>
              <w:jc w:val="center"/>
            </w:pPr>
            <w:r>
              <w:t>0</w:t>
            </w:r>
          </w:p>
        </w:tc>
        <w:tc>
          <w:tcPr>
            <w:tcW w:w="0" w:type="auto"/>
            <w:hideMark/>
          </w:tcPr>
          <w:p w14:paraId="74BB12D3" w14:textId="77777777" w:rsidR="00D318D8" w:rsidRDefault="00D318D8" w:rsidP="00E80310">
            <w:pPr>
              <w:pStyle w:val="NormalWeb"/>
              <w:jc w:val="center"/>
            </w:pPr>
            <w:r>
              <w:t>0</w:t>
            </w:r>
          </w:p>
        </w:tc>
        <w:tc>
          <w:tcPr>
            <w:tcW w:w="0" w:type="auto"/>
            <w:hideMark/>
          </w:tcPr>
          <w:p w14:paraId="47CE1479" w14:textId="77777777" w:rsidR="00D318D8" w:rsidRDefault="00D318D8" w:rsidP="00E80310">
            <w:pPr>
              <w:pStyle w:val="NormalWeb"/>
              <w:jc w:val="center"/>
            </w:pPr>
            <w:r>
              <w:t>0</w:t>
            </w:r>
          </w:p>
        </w:tc>
        <w:tc>
          <w:tcPr>
            <w:tcW w:w="0" w:type="auto"/>
            <w:hideMark/>
          </w:tcPr>
          <w:p w14:paraId="47F44E7B" w14:textId="77777777" w:rsidR="00D318D8" w:rsidRDefault="00D318D8" w:rsidP="00E80310">
            <w:pPr>
              <w:pStyle w:val="NormalWeb"/>
              <w:jc w:val="center"/>
            </w:pPr>
            <w:r>
              <w:t>0</w:t>
            </w:r>
          </w:p>
        </w:tc>
        <w:tc>
          <w:tcPr>
            <w:tcW w:w="1090" w:type="dxa"/>
            <w:hideMark/>
          </w:tcPr>
          <w:p w14:paraId="0273AD70" w14:textId="77777777" w:rsidR="00D318D8" w:rsidRDefault="00D318D8" w:rsidP="00E80310">
            <w:pPr>
              <w:pStyle w:val="NormalWeb"/>
              <w:jc w:val="center"/>
            </w:pPr>
            <w:r>
              <w:t>0</w:t>
            </w:r>
          </w:p>
        </w:tc>
        <w:tc>
          <w:tcPr>
            <w:tcW w:w="1091" w:type="dxa"/>
            <w:hideMark/>
          </w:tcPr>
          <w:p w14:paraId="2AD1529E" w14:textId="77777777" w:rsidR="00D318D8" w:rsidRDefault="00D318D8" w:rsidP="00E80310">
            <w:pPr>
              <w:pStyle w:val="NormalWeb"/>
              <w:jc w:val="center"/>
            </w:pPr>
            <w:r>
              <w:t>184</w:t>
            </w:r>
          </w:p>
        </w:tc>
      </w:tr>
      <w:tr w:rsidR="00D318D8" w14:paraId="42188996" w14:textId="77777777" w:rsidTr="00CB558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70C7392" w14:textId="77777777" w:rsidR="00D318D8" w:rsidRDefault="00D318D8" w:rsidP="00E80310">
            <w:pPr>
              <w:pStyle w:val="NormalWeb"/>
            </w:pPr>
            <w:r>
              <w:t>NSW</w:t>
            </w:r>
          </w:p>
        </w:tc>
        <w:tc>
          <w:tcPr>
            <w:tcW w:w="0" w:type="auto"/>
            <w:hideMark/>
          </w:tcPr>
          <w:p w14:paraId="73BA86D2" w14:textId="77777777" w:rsidR="00D318D8" w:rsidRDefault="00D318D8" w:rsidP="00E80310">
            <w:pPr>
              <w:pStyle w:val="NormalWeb"/>
              <w:jc w:val="center"/>
            </w:pPr>
            <w:r>
              <w:t>3,503</w:t>
            </w:r>
          </w:p>
        </w:tc>
        <w:tc>
          <w:tcPr>
            <w:tcW w:w="0" w:type="auto"/>
            <w:hideMark/>
          </w:tcPr>
          <w:p w14:paraId="55D31DE0" w14:textId="77777777" w:rsidR="00D318D8" w:rsidRDefault="00D318D8" w:rsidP="00E80310">
            <w:pPr>
              <w:pStyle w:val="NormalWeb"/>
              <w:jc w:val="center"/>
            </w:pPr>
            <w:r>
              <w:t>1,111</w:t>
            </w:r>
          </w:p>
        </w:tc>
        <w:tc>
          <w:tcPr>
            <w:tcW w:w="0" w:type="auto"/>
            <w:hideMark/>
          </w:tcPr>
          <w:p w14:paraId="1F2DF052" w14:textId="77777777" w:rsidR="00D318D8" w:rsidRDefault="00D318D8" w:rsidP="00E80310">
            <w:pPr>
              <w:pStyle w:val="NormalWeb"/>
              <w:jc w:val="center"/>
            </w:pPr>
            <w:r>
              <w:t>309</w:t>
            </w:r>
          </w:p>
        </w:tc>
        <w:tc>
          <w:tcPr>
            <w:tcW w:w="0" w:type="auto"/>
            <w:hideMark/>
          </w:tcPr>
          <w:p w14:paraId="40693A61" w14:textId="77777777" w:rsidR="00D318D8" w:rsidRDefault="00D318D8" w:rsidP="00E80310">
            <w:pPr>
              <w:pStyle w:val="NormalWeb"/>
              <w:jc w:val="center"/>
            </w:pPr>
            <w:r>
              <w:t>342</w:t>
            </w:r>
          </w:p>
        </w:tc>
        <w:tc>
          <w:tcPr>
            <w:tcW w:w="0" w:type="auto"/>
            <w:hideMark/>
          </w:tcPr>
          <w:p w14:paraId="1FF164BF" w14:textId="77777777" w:rsidR="00D318D8" w:rsidRDefault="00D318D8" w:rsidP="00E80310">
            <w:pPr>
              <w:pStyle w:val="NormalWeb"/>
              <w:jc w:val="center"/>
            </w:pPr>
            <w:r>
              <w:t>5</w:t>
            </w:r>
          </w:p>
        </w:tc>
        <w:tc>
          <w:tcPr>
            <w:tcW w:w="0" w:type="auto"/>
            <w:hideMark/>
          </w:tcPr>
          <w:p w14:paraId="0AB2AE22" w14:textId="77777777" w:rsidR="00D318D8" w:rsidRDefault="00D318D8" w:rsidP="00E80310">
            <w:pPr>
              <w:pStyle w:val="NormalWeb"/>
              <w:jc w:val="center"/>
            </w:pPr>
            <w:r>
              <w:t>49</w:t>
            </w:r>
          </w:p>
        </w:tc>
        <w:tc>
          <w:tcPr>
            <w:tcW w:w="1090" w:type="dxa"/>
            <w:hideMark/>
          </w:tcPr>
          <w:p w14:paraId="03CF116B" w14:textId="77777777" w:rsidR="00D318D8" w:rsidRDefault="00D318D8" w:rsidP="00E80310">
            <w:pPr>
              <w:pStyle w:val="NormalWeb"/>
              <w:jc w:val="center"/>
            </w:pPr>
            <w:r>
              <w:t>1</w:t>
            </w:r>
          </w:p>
        </w:tc>
        <w:tc>
          <w:tcPr>
            <w:tcW w:w="1091" w:type="dxa"/>
            <w:hideMark/>
          </w:tcPr>
          <w:p w14:paraId="39DBD8CA" w14:textId="77777777" w:rsidR="00D318D8" w:rsidRDefault="00D318D8" w:rsidP="00E80310">
            <w:pPr>
              <w:pStyle w:val="NormalWeb"/>
              <w:jc w:val="center"/>
            </w:pPr>
            <w:r>
              <w:t>5,347</w:t>
            </w:r>
          </w:p>
        </w:tc>
      </w:tr>
      <w:tr w:rsidR="00D318D8" w14:paraId="70C4A58E" w14:textId="77777777" w:rsidTr="00CB5580">
        <w:tblPrEx>
          <w:tblCellMar>
            <w:top w:w="57" w:type="dxa"/>
            <w:left w:w="57" w:type="dxa"/>
            <w:bottom w:w="57" w:type="dxa"/>
            <w:right w:w="57" w:type="dxa"/>
          </w:tblCellMar>
        </w:tblPrEx>
        <w:tc>
          <w:tcPr>
            <w:tcW w:w="0" w:type="auto"/>
            <w:hideMark/>
          </w:tcPr>
          <w:p w14:paraId="42630EEB" w14:textId="77777777" w:rsidR="00D318D8" w:rsidRDefault="00D318D8" w:rsidP="00E80310">
            <w:pPr>
              <w:pStyle w:val="NormalWeb"/>
            </w:pPr>
            <w:r>
              <w:t>NT</w:t>
            </w:r>
          </w:p>
        </w:tc>
        <w:tc>
          <w:tcPr>
            <w:tcW w:w="0" w:type="auto"/>
            <w:hideMark/>
          </w:tcPr>
          <w:p w14:paraId="6D401586" w14:textId="77777777" w:rsidR="00D318D8" w:rsidRDefault="00D318D8" w:rsidP="00E80310">
            <w:pPr>
              <w:pStyle w:val="NormalWeb"/>
              <w:jc w:val="center"/>
            </w:pPr>
            <w:r>
              <w:t>0</w:t>
            </w:r>
          </w:p>
        </w:tc>
        <w:tc>
          <w:tcPr>
            <w:tcW w:w="0" w:type="auto"/>
            <w:hideMark/>
          </w:tcPr>
          <w:p w14:paraId="4E86B2CF" w14:textId="77777777" w:rsidR="00D318D8" w:rsidRDefault="00D318D8" w:rsidP="00E80310">
            <w:pPr>
              <w:pStyle w:val="NormalWeb"/>
              <w:jc w:val="center"/>
            </w:pPr>
            <w:r>
              <w:t>0</w:t>
            </w:r>
          </w:p>
        </w:tc>
        <w:tc>
          <w:tcPr>
            <w:tcW w:w="0" w:type="auto"/>
            <w:hideMark/>
          </w:tcPr>
          <w:p w14:paraId="2086963A" w14:textId="77777777" w:rsidR="00D318D8" w:rsidRDefault="00D318D8" w:rsidP="00E80310">
            <w:pPr>
              <w:pStyle w:val="NormalWeb"/>
              <w:jc w:val="center"/>
            </w:pPr>
            <w:r>
              <w:t>3</w:t>
            </w:r>
          </w:p>
        </w:tc>
        <w:tc>
          <w:tcPr>
            <w:tcW w:w="0" w:type="auto"/>
            <w:hideMark/>
          </w:tcPr>
          <w:p w14:paraId="663DFF8B" w14:textId="77777777" w:rsidR="00D318D8" w:rsidRDefault="00D318D8" w:rsidP="00E80310">
            <w:pPr>
              <w:pStyle w:val="NormalWeb"/>
              <w:jc w:val="center"/>
            </w:pPr>
            <w:r>
              <w:t>0</w:t>
            </w:r>
          </w:p>
        </w:tc>
        <w:tc>
          <w:tcPr>
            <w:tcW w:w="0" w:type="auto"/>
            <w:hideMark/>
          </w:tcPr>
          <w:p w14:paraId="7381547B" w14:textId="77777777" w:rsidR="00D318D8" w:rsidRDefault="00D318D8" w:rsidP="00E80310">
            <w:pPr>
              <w:pStyle w:val="NormalWeb"/>
              <w:jc w:val="center"/>
            </w:pPr>
            <w:r>
              <w:t>0</w:t>
            </w:r>
          </w:p>
        </w:tc>
        <w:tc>
          <w:tcPr>
            <w:tcW w:w="0" w:type="auto"/>
            <w:hideMark/>
          </w:tcPr>
          <w:p w14:paraId="4392DC7C" w14:textId="77777777" w:rsidR="00D318D8" w:rsidRDefault="00D318D8" w:rsidP="00E80310">
            <w:pPr>
              <w:pStyle w:val="NormalWeb"/>
              <w:jc w:val="center"/>
            </w:pPr>
            <w:r>
              <w:t>0</w:t>
            </w:r>
          </w:p>
        </w:tc>
        <w:tc>
          <w:tcPr>
            <w:tcW w:w="1090" w:type="dxa"/>
            <w:hideMark/>
          </w:tcPr>
          <w:p w14:paraId="742146CD" w14:textId="77777777" w:rsidR="00D318D8" w:rsidRDefault="00D318D8" w:rsidP="00E80310">
            <w:pPr>
              <w:pStyle w:val="NormalWeb"/>
              <w:jc w:val="center"/>
            </w:pPr>
            <w:r>
              <w:t>0</w:t>
            </w:r>
          </w:p>
        </w:tc>
        <w:tc>
          <w:tcPr>
            <w:tcW w:w="1091" w:type="dxa"/>
            <w:hideMark/>
          </w:tcPr>
          <w:p w14:paraId="3BA62ACC" w14:textId="77777777" w:rsidR="00D318D8" w:rsidRDefault="00D318D8" w:rsidP="00E80310">
            <w:pPr>
              <w:pStyle w:val="NormalWeb"/>
              <w:jc w:val="center"/>
            </w:pPr>
            <w:r>
              <w:t>3</w:t>
            </w:r>
          </w:p>
        </w:tc>
      </w:tr>
      <w:tr w:rsidR="00D318D8" w14:paraId="5943779D" w14:textId="77777777" w:rsidTr="00CB558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310236F" w14:textId="77777777" w:rsidR="00D318D8" w:rsidRDefault="00D318D8" w:rsidP="00E80310">
            <w:pPr>
              <w:pStyle w:val="NormalWeb"/>
            </w:pPr>
            <w:r>
              <w:t>Qld</w:t>
            </w:r>
          </w:p>
        </w:tc>
        <w:tc>
          <w:tcPr>
            <w:tcW w:w="0" w:type="auto"/>
            <w:hideMark/>
          </w:tcPr>
          <w:p w14:paraId="5D2C3410" w14:textId="77777777" w:rsidR="00D318D8" w:rsidRDefault="00D318D8" w:rsidP="00E80310">
            <w:pPr>
              <w:pStyle w:val="NormalWeb"/>
              <w:jc w:val="center"/>
            </w:pPr>
            <w:r>
              <w:t>3</w:t>
            </w:r>
          </w:p>
        </w:tc>
        <w:tc>
          <w:tcPr>
            <w:tcW w:w="0" w:type="auto"/>
            <w:hideMark/>
          </w:tcPr>
          <w:p w14:paraId="03D62262" w14:textId="77777777" w:rsidR="00D318D8" w:rsidRDefault="00D318D8" w:rsidP="00E80310">
            <w:pPr>
              <w:pStyle w:val="NormalWeb"/>
              <w:jc w:val="center"/>
            </w:pPr>
            <w:r>
              <w:t>0</w:t>
            </w:r>
          </w:p>
        </w:tc>
        <w:tc>
          <w:tcPr>
            <w:tcW w:w="0" w:type="auto"/>
            <w:hideMark/>
          </w:tcPr>
          <w:p w14:paraId="48F1B18A" w14:textId="77777777" w:rsidR="00D318D8" w:rsidRDefault="00D318D8" w:rsidP="00E80310">
            <w:pPr>
              <w:pStyle w:val="NormalWeb"/>
              <w:jc w:val="center"/>
            </w:pPr>
            <w:r>
              <w:t>1</w:t>
            </w:r>
          </w:p>
        </w:tc>
        <w:tc>
          <w:tcPr>
            <w:tcW w:w="0" w:type="auto"/>
            <w:hideMark/>
          </w:tcPr>
          <w:p w14:paraId="7B34CDDA" w14:textId="77777777" w:rsidR="00D318D8" w:rsidRDefault="00D318D8" w:rsidP="00E80310">
            <w:pPr>
              <w:pStyle w:val="NormalWeb"/>
              <w:jc w:val="center"/>
            </w:pPr>
            <w:r>
              <w:t>0</w:t>
            </w:r>
          </w:p>
        </w:tc>
        <w:tc>
          <w:tcPr>
            <w:tcW w:w="0" w:type="auto"/>
            <w:hideMark/>
          </w:tcPr>
          <w:p w14:paraId="33CA126A" w14:textId="77777777" w:rsidR="00D318D8" w:rsidRDefault="00D318D8" w:rsidP="00E80310">
            <w:pPr>
              <w:pStyle w:val="NormalWeb"/>
              <w:jc w:val="center"/>
            </w:pPr>
            <w:r>
              <w:t>0</w:t>
            </w:r>
          </w:p>
        </w:tc>
        <w:tc>
          <w:tcPr>
            <w:tcW w:w="0" w:type="auto"/>
            <w:hideMark/>
          </w:tcPr>
          <w:p w14:paraId="6A314DD6" w14:textId="77777777" w:rsidR="00D318D8" w:rsidRDefault="00D318D8" w:rsidP="00E80310">
            <w:pPr>
              <w:pStyle w:val="NormalWeb"/>
              <w:jc w:val="center"/>
            </w:pPr>
            <w:r>
              <w:t>0</w:t>
            </w:r>
          </w:p>
        </w:tc>
        <w:tc>
          <w:tcPr>
            <w:tcW w:w="1090" w:type="dxa"/>
            <w:hideMark/>
          </w:tcPr>
          <w:p w14:paraId="00840913" w14:textId="77777777" w:rsidR="00D318D8" w:rsidRDefault="00D318D8" w:rsidP="00E80310">
            <w:pPr>
              <w:pStyle w:val="NormalWeb"/>
              <w:jc w:val="center"/>
            </w:pPr>
            <w:r>
              <w:t>3</w:t>
            </w:r>
          </w:p>
        </w:tc>
        <w:tc>
          <w:tcPr>
            <w:tcW w:w="1091" w:type="dxa"/>
            <w:hideMark/>
          </w:tcPr>
          <w:p w14:paraId="645CDAD1" w14:textId="77777777" w:rsidR="00D318D8" w:rsidRDefault="00D318D8" w:rsidP="00E80310">
            <w:pPr>
              <w:pStyle w:val="NormalWeb"/>
              <w:jc w:val="center"/>
            </w:pPr>
            <w:r>
              <w:t>7</w:t>
            </w:r>
          </w:p>
        </w:tc>
      </w:tr>
      <w:tr w:rsidR="00D318D8" w14:paraId="1572C22F" w14:textId="77777777" w:rsidTr="00CB5580">
        <w:tblPrEx>
          <w:tblCellMar>
            <w:top w:w="57" w:type="dxa"/>
            <w:left w:w="57" w:type="dxa"/>
            <w:bottom w:w="57" w:type="dxa"/>
            <w:right w:w="57" w:type="dxa"/>
          </w:tblCellMar>
        </w:tblPrEx>
        <w:tc>
          <w:tcPr>
            <w:tcW w:w="0" w:type="auto"/>
            <w:hideMark/>
          </w:tcPr>
          <w:p w14:paraId="0C50B8BA" w14:textId="77777777" w:rsidR="00D318D8" w:rsidRDefault="00D318D8" w:rsidP="00E80310">
            <w:pPr>
              <w:pStyle w:val="NormalWeb"/>
            </w:pPr>
            <w:r>
              <w:t>SA</w:t>
            </w:r>
          </w:p>
        </w:tc>
        <w:tc>
          <w:tcPr>
            <w:tcW w:w="0" w:type="auto"/>
            <w:hideMark/>
          </w:tcPr>
          <w:p w14:paraId="0FCB6042" w14:textId="77777777" w:rsidR="00D318D8" w:rsidRDefault="00D318D8" w:rsidP="00E80310">
            <w:pPr>
              <w:pStyle w:val="NormalWeb"/>
              <w:jc w:val="center"/>
            </w:pPr>
            <w:r>
              <w:t>0</w:t>
            </w:r>
          </w:p>
        </w:tc>
        <w:tc>
          <w:tcPr>
            <w:tcW w:w="0" w:type="auto"/>
            <w:hideMark/>
          </w:tcPr>
          <w:p w14:paraId="08388FA8" w14:textId="77777777" w:rsidR="00D318D8" w:rsidRDefault="00D318D8" w:rsidP="00E80310">
            <w:pPr>
              <w:pStyle w:val="NormalWeb"/>
              <w:jc w:val="center"/>
            </w:pPr>
            <w:r>
              <w:t>0</w:t>
            </w:r>
          </w:p>
        </w:tc>
        <w:tc>
          <w:tcPr>
            <w:tcW w:w="0" w:type="auto"/>
            <w:hideMark/>
          </w:tcPr>
          <w:p w14:paraId="7CEBE509" w14:textId="77777777" w:rsidR="00D318D8" w:rsidRDefault="00D318D8" w:rsidP="00E80310">
            <w:pPr>
              <w:pStyle w:val="NormalWeb"/>
              <w:jc w:val="center"/>
            </w:pPr>
            <w:r>
              <w:t>0</w:t>
            </w:r>
          </w:p>
        </w:tc>
        <w:tc>
          <w:tcPr>
            <w:tcW w:w="0" w:type="auto"/>
            <w:hideMark/>
          </w:tcPr>
          <w:p w14:paraId="00BE95A4" w14:textId="77777777" w:rsidR="00D318D8" w:rsidRDefault="00D318D8" w:rsidP="00E80310">
            <w:pPr>
              <w:pStyle w:val="NormalWeb"/>
              <w:jc w:val="center"/>
            </w:pPr>
            <w:r>
              <w:t>0</w:t>
            </w:r>
          </w:p>
        </w:tc>
        <w:tc>
          <w:tcPr>
            <w:tcW w:w="0" w:type="auto"/>
            <w:hideMark/>
          </w:tcPr>
          <w:p w14:paraId="2A7F625C" w14:textId="77777777" w:rsidR="00D318D8" w:rsidRDefault="00D318D8" w:rsidP="00E80310">
            <w:pPr>
              <w:pStyle w:val="NormalWeb"/>
              <w:jc w:val="center"/>
            </w:pPr>
            <w:r>
              <w:t>0</w:t>
            </w:r>
          </w:p>
        </w:tc>
        <w:tc>
          <w:tcPr>
            <w:tcW w:w="0" w:type="auto"/>
            <w:hideMark/>
          </w:tcPr>
          <w:p w14:paraId="73ED3C96" w14:textId="77777777" w:rsidR="00D318D8" w:rsidRDefault="00D318D8" w:rsidP="00E80310">
            <w:pPr>
              <w:pStyle w:val="NormalWeb"/>
              <w:jc w:val="center"/>
            </w:pPr>
            <w:r>
              <w:t>0</w:t>
            </w:r>
          </w:p>
        </w:tc>
        <w:tc>
          <w:tcPr>
            <w:tcW w:w="1090" w:type="dxa"/>
            <w:hideMark/>
          </w:tcPr>
          <w:p w14:paraId="6F3A31AD" w14:textId="77777777" w:rsidR="00D318D8" w:rsidRDefault="00D318D8" w:rsidP="00E80310">
            <w:pPr>
              <w:pStyle w:val="NormalWeb"/>
              <w:jc w:val="center"/>
            </w:pPr>
            <w:r>
              <w:t>0</w:t>
            </w:r>
          </w:p>
        </w:tc>
        <w:tc>
          <w:tcPr>
            <w:tcW w:w="1091" w:type="dxa"/>
            <w:hideMark/>
          </w:tcPr>
          <w:p w14:paraId="2690A0BA" w14:textId="77777777" w:rsidR="00D318D8" w:rsidRDefault="00D318D8" w:rsidP="00E80310">
            <w:pPr>
              <w:pStyle w:val="NormalWeb"/>
              <w:jc w:val="center"/>
            </w:pPr>
            <w:r>
              <w:t>0</w:t>
            </w:r>
          </w:p>
        </w:tc>
      </w:tr>
      <w:tr w:rsidR="00D318D8" w14:paraId="255706ED" w14:textId="77777777" w:rsidTr="00CB558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E904AE8" w14:textId="77777777" w:rsidR="00D318D8" w:rsidRDefault="00D318D8" w:rsidP="00E80310">
            <w:pPr>
              <w:pStyle w:val="NormalWeb"/>
            </w:pPr>
            <w:r>
              <w:t>Tas.</w:t>
            </w:r>
          </w:p>
        </w:tc>
        <w:tc>
          <w:tcPr>
            <w:tcW w:w="0" w:type="auto"/>
            <w:hideMark/>
          </w:tcPr>
          <w:p w14:paraId="30968B36" w14:textId="77777777" w:rsidR="00D318D8" w:rsidRDefault="00D318D8" w:rsidP="00E80310">
            <w:pPr>
              <w:pStyle w:val="NormalWeb"/>
              <w:jc w:val="center"/>
            </w:pPr>
            <w:r>
              <w:t>0</w:t>
            </w:r>
          </w:p>
        </w:tc>
        <w:tc>
          <w:tcPr>
            <w:tcW w:w="0" w:type="auto"/>
            <w:hideMark/>
          </w:tcPr>
          <w:p w14:paraId="1A6763DF" w14:textId="77777777" w:rsidR="00D318D8" w:rsidRDefault="00D318D8" w:rsidP="00E80310">
            <w:pPr>
              <w:pStyle w:val="NormalWeb"/>
              <w:jc w:val="center"/>
            </w:pPr>
            <w:r>
              <w:t>1</w:t>
            </w:r>
          </w:p>
        </w:tc>
        <w:tc>
          <w:tcPr>
            <w:tcW w:w="0" w:type="auto"/>
            <w:hideMark/>
          </w:tcPr>
          <w:p w14:paraId="0B6F1FE8" w14:textId="77777777" w:rsidR="00D318D8" w:rsidRDefault="00D318D8" w:rsidP="00E80310">
            <w:pPr>
              <w:pStyle w:val="NormalWeb"/>
              <w:jc w:val="center"/>
            </w:pPr>
            <w:r>
              <w:t>0</w:t>
            </w:r>
          </w:p>
        </w:tc>
        <w:tc>
          <w:tcPr>
            <w:tcW w:w="0" w:type="auto"/>
            <w:hideMark/>
          </w:tcPr>
          <w:p w14:paraId="4127BC1B" w14:textId="77777777" w:rsidR="00D318D8" w:rsidRDefault="00D318D8" w:rsidP="00E80310">
            <w:pPr>
              <w:pStyle w:val="NormalWeb"/>
              <w:jc w:val="center"/>
            </w:pPr>
            <w:r>
              <w:t>0</w:t>
            </w:r>
          </w:p>
        </w:tc>
        <w:tc>
          <w:tcPr>
            <w:tcW w:w="0" w:type="auto"/>
            <w:hideMark/>
          </w:tcPr>
          <w:p w14:paraId="2C6833D2" w14:textId="77777777" w:rsidR="00D318D8" w:rsidRDefault="00D318D8" w:rsidP="00E80310">
            <w:pPr>
              <w:pStyle w:val="NormalWeb"/>
              <w:jc w:val="center"/>
            </w:pPr>
            <w:r>
              <w:t>0</w:t>
            </w:r>
          </w:p>
        </w:tc>
        <w:tc>
          <w:tcPr>
            <w:tcW w:w="0" w:type="auto"/>
            <w:hideMark/>
          </w:tcPr>
          <w:p w14:paraId="3498DB3A" w14:textId="77777777" w:rsidR="00D318D8" w:rsidRDefault="00D318D8" w:rsidP="00E80310">
            <w:pPr>
              <w:pStyle w:val="NormalWeb"/>
              <w:jc w:val="center"/>
            </w:pPr>
            <w:r>
              <w:t>0</w:t>
            </w:r>
          </w:p>
        </w:tc>
        <w:tc>
          <w:tcPr>
            <w:tcW w:w="1090" w:type="dxa"/>
            <w:hideMark/>
          </w:tcPr>
          <w:p w14:paraId="671F1509" w14:textId="77777777" w:rsidR="00D318D8" w:rsidRDefault="00D318D8" w:rsidP="00E80310">
            <w:pPr>
              <w:pStyle w:val="NormalWeb"/>
              <w:jc w:val="center"/>
            </w:pPr>
            <w:r>
              <w:t>0</w:t>
            </w:r>
          </w:p>
        </w:tc>
        <w:tc>
          <w:tcPr>
            <w:tcW w:w="1091" w:type="dxa"/>
            <w:hideMark/>
          </w:tcPr>
          <w:p w14:paraId="2E76F9B9" w14:textId="77777777" w:rsidR="00D318D8" w:rsidRDefault="00D318D8" w:rsidP="00E80310">
            <w:pPr>
              <w:pStyle w:val="NormalWeb"/>
              <w:jc w:val="center"/>
            </w:pPr>
            <w:r>
              <w:t>1</w:t>
            </w:r>
          </w:p>
        </w:tc>
      </w:tr>
      <w:tr w:rsidR="00D318D8" w14:paraId="5916C4AA" w14:textId="77777777" w:rsidTr="00CB5580">
        <w:tblPrEx>
          <w:tblCellMar>
            <w:top w:w="57" w:type="dxa"/>
            <w:left w:w="57" w:type="dxa"/>
            <w:bottom w:w="57" w:type="dxa"/>
            <w:right w:w="57" w:type="dxa"/>
          </w:tblCellMar>
        </w:tblPrEx>
        <w:tc>
          <w:tcPr>
            <w:tcW w:w="0" w:type="auto"/>
            <w:hideMark/>
          </w:tcPr>
          <w:p w14:paraId="16B167F9" w14:textId="77777777" w:rsidR="00D318D8" w:rsidRDefault="00D318D8" w:rsidP="00E80310">
            <w:pPr>
              <w:pStyle w:val="NormalWeb"/>
            </w:pPr>
            <w:r>
              <w:t>Vic.</w:t>
            </w:r>
          </w:p>
        </w:tc>
        <w:tc>
          <w:tcPr>
            <w:tcW w:w="0" w:type="auto"/>
            <w:hideMark/>
          </w:tcPr>
          <w:p w14:paraId="2EEE85F0" w14:textId="77777777" w:rsidR="00D318D8" w:rsidRDefault="00D318D8" w:rsidP="00E80310">
            <w:pPr>
              <w:pStyle w:val="NormalWeb"/>
              <w:jc w:val="center"/>
            </w:pPr>
            <w:r>
              <w:t>295</w:t>
            </w:r>
          </w:p>
        </w:tc>
        <w:tc>
          <w:tcPr>
            <w:tcW w:w="0" w:type="auto"/>
            <w:hideMark/>
          </w:tcPr>
          <w:p w14:paraId="0F9510CC" w14:textId="77777777" w:rsidR="00D318D8" w:rsidRDefault="00D318D8" w:rsidP="00E80310">
            <w:pPr>
              <w:pStyle w:val="NormalWeb"/>
              <w:jc w:val="center"/>
            </w:pPr>
            <w:r>
              <w:t>120</w:t>
            </w:r>
          </w:p>
        </w:tc>
        <w:tc>
          <w:tcPr>
            <w:tcW w:w="0" w:type="auto"/>
            <w:hideMark/>
          </w:tcPr>
          <w:p w14:paraId="64B215F5" w14:textId="77777777" w:rsidR="00D318D8" w:rsidRDefault="00D318D8" w:rsidP="00E80310">
            <w:pPr>
              <w:pStyle w:val="NormalWeb"/>
              <w:jc w:val="center"/>
            </w:pPr>
            <w:r>
              <w:t>126</w:t>
            </w:r>
          </w:p>
        </w:tc>
        <w:tc>
          <w:tcPr>
            <w:tcW w:w="0" w:type="auto"/>
            <w:hideMark/>
          </w:tcPr>
          <w:p w14:paraId="1F014C85" w14:textId="77777777" w:rsidR="00D318D8" w:rsidRDefault="00D318D8" w:rsidP="00E80310">
            <w:pPr>
              <w:pStyle w:val="NormalWeb"/>
              <w:jc w:val="center"/>
            </w:pPr>
            <w:r>
              <w:t>0</w:t>
            </w:r>
          </w:p>
        </w:tc>
        <w:tc>
          <w:tcPr>
            <w:tcW w:w="0" w:type="auto"/>
            <w:hideMark/>
          </w:tcPr>
          <w:p w14:paraId="0FE14F1B" w14:textId="77777777" w:rsidR="00D318D8" w:rsidRDefault="00D318D8" w:rsidP="00E80310">
            <w:pPr>
              <w:pStyle w:val="NormalWeb"/>
              <w:jc w:val="center"/>
            </w:pPr>
            <w:r>
              <w:t>0</w:t>
            </w:r>
          </w:p>
        </w:tc>
        <w:tc>
          <w:tcPr>
            <w:tcW w:w="0" w:type="auto"/>
            <w:hideMark/>
          </w:tcPr>
          <w:p w14:paraId="51A4688B" w14:textId="77777777" w:rsidR="00D318D8" w:rsidRDefault="00D318D8" w:rsidP="00E80310">
            <w:pPr>
              <w:pStyle w:val="NormalWeb"/>
              <w:jc w:val="center"/>
            </w:pPr>
            <w:r>
              <w:t>0</w:t>
            </w:r>
          </w:p>
        </w:tc>
        <w:tc>
          <w:tcPr>
            <w:tcW w:w="1090" w:type="dxa"/>
            <w:hideMark/>
          </w:tcPr>
          <w:p w14:paraId="2B4B7D01" w14:textId="77777777" w:rsidR="00D318D8" w:rsidRDefault="00D318D8" w:rsidP="00E80310">
            <w:pPr>
              <w:pStyle w:val="NormalWeb"/>
              <w:jc w:val="center"/>
            </w:pPr>
            <w:r>
              <w:t>0</w:t>
            </w:r>
          </w:p>
        </w:tc>
        <w:tc>
          <w:tcPr>
            <w:tcW w:w="1091" w:type="dxa"/>
            <w:hideMark/>
          </w:tcPr>
          <w:p w14:paraId="0A076768" w14:textId="77777777" w:rsidR="00D318D8" w:rsidRDefault="00D318D8" w:rsidP="00E80310">
            <w:pPr>
              <w:pStyle w:val="NormalWeb"/>
              <w:jc w:val="center"/>
            </w:pPr>
            <w:r>
              <w:t>541</w:t>
            </w:r>
          </w:p>
        </w:tc>
      </w:tr>
      <w:tr w:rsidR="00D318D8" w14:paraId="26AF3281" w14:textId="77777777" w:rsidTr="00CB558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9839D53" w14:textId="77777777" w:rsidR="00D318D8" w:rsidRDefault="00D318D8" w:rsidP="00E80310">
            <w:pPr>
              <w:pStyle w:val="NormalWeb"/>
            </w:pPr>
            <w:r>
              <w:t>WA</w:t>
            </w:r>
          </w:p>
        </w:tc>
        <w:tc>
          <w:tcPr>
            <w:tcW w:w="0" w:type="auto"/>
            <w:hideMark/>
          </w:tcPr>
          <w:p w14:paraId="293764C0" w14:textId="77777777" w:rsidR="00D318D8" w:rsidRDefault="00D318D8" w:rsidP="00E80310">
            <w:pPr>
              <w:pStyle w:val="NormalWeb"/>
              <w:jc w:val="center"/>
            </w:pPr>
            <w:r>
              <w:t>0</w:t>
            </w:r>
          </w:p>
        </w:tc>
        <w:tc>
          <w:tcPr>
            <w:tcW w:w="0" w:type="auto"/>
            <w:hideMark/>
          </w:tcPr>
          <w:p w14:paraId="4D20ED4B" w14:textId="77777777" w:rsidR="00D318D8" w:rsidRDefault="00D318D8" w:rsidP="00E80310">
            <w:pPr>
              <w:pStyle w:val="NormalWeb"/>
              <w:jc w:val="center"/>
            </w:pPr>
            <w:r>
              <w:t>0</w:t>
            </w:r>
          </w:p>
        </w:tc>
        <w:tc>
          <w:tcPr>
            <w:tcW w:w="0" w:type="auto"/>
            <w:hideMark/>
          </w:tcPr>
          <w:p w14:paraId="033C4465" w14:textId="77777777" w:rsidR="00D318D8" w:rsidRDefault="00D318D8" w:rsidP="00E80310">
            <w:pPr>
              <w:pStyle w:val="NormalWeb"/>
              <w:jc w:val="center"/>
            </w:pPr>
            <w:r>
              <w:t>0</w:t>
            </w:r>
          </w:p>
        </w:tc>
        <w:tc>
          <w:tcPr>
            <w:tcW w:w="0" w:type="auto"/>
            <w:hideMark/>
          </w:tcPr>
          <w:p w14:paraId="3A188A9E" w14:textId="77777777" w:rsidR="00D318D8" w:rsidRDefault="00D318D8" w:rsidP="00E80310">
            <w:pPr>
              <w:pStyle w:val="NormalWeb"/>
              <w:jc w:val="center"/>
            </w:pPr>
            <w:r>
              <w:t>0</w:t>
            </w:r>
          </w:p>
        </w:tc>
        <w:tc>
          <w:tcPr>
            <w:tcW w:w="0" w:type="auto"/>
            <w:hideMark/>
          </w:tcPr>
          <w:p w14:paraId="5A8AA485" w14:textId="77777777" w:rsidR="00D318D8" w:rsidRDefault="00D318D8" w:rsidP="00E80310">
            <w:pPr>
              <w:pStyle w:val="NormalWeb"/>
              <w:jc w:val="center"/>
            </w:pPr>
            <w:r>
              <w:t>0</w:t>
            </w:r>
          </w:p>
        </w:tc>
        <w:tc>
          <w:tcPr>
            <w:tcW w:w="0" w:type="auto"/>
            <w:hideMark/>
          </w:tcPr>
          <w:p w14:paraId="13D659FC" w14:textId="77777777" w:rsidR="00D318D8" w:rsidRDefault="00D318D8" w:rsidP="00E80310">
            <w:pPr>
              <w:pStyle w:val="NormalWeb"/>
              <w:jc w:val="center"/>
            </w:pPr>
            <w:r>
              <w:t>0</w:t>
            </w:r>
          </w:p>
        </w:tc>
        <w:tc>
          <w:tcPr>
            <w:tcW w:w="1090" w:type="dxa"/>
            <w:hideMark/>
          </w:tcPr>
          <w:p w14:paraId="2146DFF5" w14:textId="77777777" w:rsidR="00D318D8" w:rsidRDefault="00D318D8" w:rsidP="00E80310">
            <w:pPr>
              <w:pStyle w:val="NormalWeb"/>
              <w:jc w:val="center"/>
            </w:pPr>
            <w:r>
              <w:t>1</w:t>
            </w:r>
          </w:p>
        </w:tc>
        <w:tc>
          <w:tcPr>
            <w:tcW w:w="1091" w:type="dxa"/>
            <w:hideMark/>
          </w:tcPr>
          <w:p w14:paraId="370A7174" w14:textId="77777777" w:rsidR="00D318D8" w:rsidRDefault="00D318D8" w:rsidP="00E80310">
            <w:pPr>
              <w:pStyle w:val="NormalWeb"/>
              <w:jc w:val="center"/>
            </w:pPr>
            <w:r>
              <w:t>1</w:t>
            </w:r>
          </w:p>
        </w:tc>
      </w:tr>
      <w:tr w:rsidR="00D318D8" w:rsidRPr="000F44A4" w14:paraId="6EAA2CF1" w14:textId="77777777" w:rsidTr="00CB5580">
        <w:tblPrEx>
          <w:tblCellMar>
            <w:top w:w="57" w:type="dxa"/>
            <w:left w:w="57" w:type="dxa"/>
            <w:bottom w:w="57" w:type="dxa"/>
            <w:right w:w="57" w:type="dxa"/>
          </w:tblCellMar>
        </w:tblPrEx>
        <w:tc>
          <w:tcPr>
            <w:tcW w:w="0" w:type="auto"/>
            <w:shd w:val="clear" w:color="auto" w:fill="FDE9D9" w:themeFill="accent6" w:themeFillTint="33"/>
            <w:hideMark/>
          </w:tcPr>
          <w:p w14:paraId="2A313DA8" w14:textId="77777777" w:rsidR="00D318D8" w:rsidRPr="000F44A4" w:rsidRDefault="00D318D8" w:rsidP="00E80310">
            <w:pPr>
              <w:pStyle w:val="NormalWeb"/>
              <w:rPr>
                <w:b/>
                <w:bCs/>
              </w:rPr>
            </w:pPr>
            <w:r w:rsidRPr="000F44A4">
              <w:rPr>
                <w:b/>
                <w:bCs/>
              </w:rPr>
              <w:t>Australia</w:t>
            </w:r>
          </w:p>
        </w:tc>
        <w:tc>
          <w:tcPr>
            <w:tcW w:w="0" w:type="auto"/>
            <w:shd w:val="clear" w:color="auto" w:fill="FDE9D9" w:themeFill="accent6" w:themeFillTint="33"/>
            <w:hideMark/>
          </w:tcPr>
          <w:p w14:paraId="3E1711C0" w14:textId="77777777" w:rsidR="00D318D8" w:rsidRPr="000F44A4" w:rsidRDefault="00D318D8" w:rsidP="00E80310">
            <w:pPr>
              <w:pStyle w:val="NormalWeb"/>
              <w:jc w:val="center"/>
              <w:rPr>
                <w:b/>
                <w:bCs/>
              </w:rPr>
            </w:pPr>
            <w:r w:rsidRPr="000F44A4">
              <w:rPr>
                <w:b/>
                <w:bCs/>
              </w:rPr>
              <w:t>4,012</w:t>
            </w:r>
          </w:p>
        </w:tc>
        <w:tc>
          <w:tcPr>
            <w:tcW w:w="0" w:type="auto"/>
            <w:shd w:val="clear" w:color="auto" w:fill="FDE9D9" w:themeFill="accent6" w:themeFillTint="33"/>
            <w:hideMark/>
          </w:tcPr>
          <w:p w14:paraId="1610C3AD" w14:textId="77777777" w:rsidR="00D318D8" w:rsidRPr="000F44A4" w:rsidRDefault="00D318D8" w:rsidP="00E80310">
            <w:pPr>
              <w:pStyle w:val="NormalWeb"/>
              <w:jc w:val="center"/>
              <w:rPr>
                <w:b/>
                <w:bCs/>
              </w:rPr>
            </w:pPr>
            <w:r w:rsidRPr="000F44A4">
              <w:rPr>
                <w:b/>
                <w:bCs/>
              </w:rPr>
              <w:t>1,232</w:t>
            </w:r>
          </w:p>
        </w:tc>
        <w:tc>
          <w:tcPr>
            <w:tcW w:w="0" w:type="auto"/>
            <w:shd w:val="clear" w:color="auto" w:fill="FDE9D9" w:themeFill="accent6" w:themeFillTint="33"/>
            <w:hideMark/>
          </w:tcPr>
          <w:p w14:paraId="1C2F7DEB" w14:textId="77777777" w:rsidR="00D318D8" w:rsidRPr="000F44A4" w:rsidRDefault="00D318D8" w:rsidP="00E80310">
            <w:pPr>
              <w:pStyle w:val="NormalWeb"/>
              <w:jc w:val="center"/>
              <w:rPr>
                <w:b/>
                <w:bCs/>
              </w:rPr>
            </w:pPr>
            <w:r w:rsidRPr="000F44A4">
              <w:rPr>
                <w:b/>
                <w:bCs/>
              </w:rPr>
              <w:t>439</w:t>
            </w:r>
          </w:p>
        </w:tc>
        <w:tc>
          <w:tcPr>
            <w:tcW w:w="0" w:type="auto"/>
            <w:shd w:val="clear" w:color="auto" w:fill="FDE9D9" w:themeFill="accent6" w:themeFillTint="33"/>
            <w:hideMark/>
          </w:tcPr>
          <w:p w14:paraId="64FE7171" w14:textId="77777777" w:rsidR="00D318D8" w:rsidRPr="000F44A4" w:rsidRDefault="00D318D8" w:rsidP="00E80310">
            <w:pPr>
              <w:pStyle w:val="NormalWeb"/>
              <w:jc w:val="center"/>
              <w:rPr>
                <w:b/>
                <w:bCs/>
              </w:rPr>
            </w:pPr>
            <w:r w:rsidRPr="000F44A4">
              <w:rPr>
                <w:b/>
                <w:bCs/>
              </w:rPr>
              <w:t>342</w:t>
            </w:r>
          </w:p>
        </w:tc>
        <w:tc>
          <w:tcPr>
            <w:tcW w:w="0" w:type="auto"/>
            <w:shd w:val="clear" w:color="auto" w:fill="FDE9D9" w:themeFill="accent6" w:themeFillTint="33"/>
            <w:hideMark/>
          </w:tcPr>
          <w:p w14:paraId="1052EA6C" w14:textId="77777777" w:rsidR="00D318D8" w:rsidRPr="000F44A4" w:rsidRDefault="00D318D8" w:rsidP="00E80310">
            <w:pPr>
              <w:pStyle w:val="NormalWeb"/>
              <w:jc w:val="center"/>
              <w:rPr>
                <w:b/>
                <w:bCs/>
              </w:rPr>
            </w:pPr>
            <w:r w:rsidRPr="000F44A4">
              <w:rPr>
                <w:b/>
                <w:bCs/>
              </w:rPr>
              <w:t>5</w:t>
            </w:r>
          </w:p>
        </w:tc>
        <w:tc>
          <w:tcPr>
            <w:tcW w:w="0" w:type="auto"/>
            <w:shd w:val="clear" w:color="auto" w:fill="FDE9D9" w:themeFill="accent6" w:themeFillTint="33"/>
            <w:hideMark/>
          </w:tcPr>
          <w:p w14:paraId="57F7FA10" w14:textId="77777777" w:rsidR="00D318D8" w:rsidRPr="000F44A4" w:rsidRDefault="00D318D8" w:rsidP="00E80310">
            <w:pPr>
              <w:pStyle w:val="NormalWeb"/>
              <w:jc w:val="center"/>
              <w:rPr>
                <w:b/>
                <w:bCs/>
              </w:rPr>
            </w:pPr>
            <w:r w:rsidRPr="000F44A4">
              <w:rPr>
                <w:b/>
                <w:bCs/>
              </w:rPr>
              <w:t>49</w:t>
            </w:r>
          </w:p>
        </w:tc>
        <w:tc>
          <w:tcPr>
            <w:tcW w:w="1090" w:type="dxa"/>
            <w:shd w:val="clear" w:color="auto" w:fill="FDE9D9" w:themeFill="accent6" w:themeFillTint="33"/>
            <w:hideMark/>
          </w:tcPr>
          <w:p w14:paraId="5F4126EE" w14:textId="77777777" w:rsidR="00D318D8" w:rsidRPr="000F44A4" w:rsidRDefault="00D318D8" w:rsidP="00E80310">
            <w:pPr>
              <w:pStyle w:val="NormalWeb"/>
              <w:jc w:val="center"/>
              <w:rPr>
                <w:b/>
                <w:bCs/>
              </w:rPr>
            </w:pPr>
            <w:r w:rsidRPr="000F44A4">
              <w:rPr>
                <w:b/>
                <w:bCs/>
              </w:rPr>
              <w:t>5</w:t>
            </w:r>
          </w:p>
        </w:tc>
        <w:tc>
          <w:tcPr>
            <w:tcW w:w="1091" w:type="dxa"/>
            <w:shd w:val="clear" w:color="auto" w:fill="FDE9D9" w:themeFill="accent6" w:themeFillTint="33"/>
            <w:hideMark/>
          </w:tcPr>
          <w:p w14:paraId="617F609C" w14:textId="77777777" w:rsidR="00D318D8" w:rsidRPr="000F44A4" w:rsidRDefault="00D318D8" w:rsidP="00E80310">
            <w:pPr>
              <w:pStyle w:val="NormalWeb"/>
              <w:jc w:val="center"/>
              <w:rPr>
                <w:b/>
                <w:bCs/>
              </w:rPr>
            </w:pPr>
            <w:r w:rsidRPr="000F44A4">
              <w:rPr>
                <w:b/>
                <w:bCs/>
              </w:rPr>
              <w:t>6,084</w:t>
            </w:r>
          </w:p>
        </w:tc>
      </w:tr>
    </w:tbl>
    <w:p w14:paraId="118B0573" w14:textId="77777777" w:rsidR="00D318D8" w:rsidRDefault="00D318D8" w:rsidP="00D318D8">
      <w:pPr>
        <w:pStyle w:val="CDIfootnotes"/>
        <w:rPr>
          <w:lang w:val="en-GB"/>
        </w:rPr>
      </w:pPr>
      <w:r>
        <w:rPr>
          <w:lang w:val="en-GB"/>
        </w:rPr>
        <w:t>a</w:t>
      </w:r>
      <w:r>
        <w:rPr>
          <w:lang w:val="en-GB"/>
        </w:rPr>
        <w:tab/>
        <w:t>Source: NINDSS, extract from 26 October 2021 for notifications to 24 October 2021.</w:t>
      </w:r>
    </w:p>
    <w:p w14:paraId="1D5CD5D6" w14:textId="77777777" w:rsidR="00D318D8" w:rsidRDefault="00D318D8" w:rsidP="00D318D8">
      <w:pPr>
        <w:pStyle w:val="CDIfootnotes"/>
        <w:rPr>
          <w:lang w:val="en-GB"/>
        </w:rPr>
      </w:pPr>
      <w:r>
        <w:rPr>
          <w:lang w:val="en-GB"/>
        </w:rPr>
        <w:t>b</w:t>
      </w:r>
      <w:r>
        <w:rPr>
          <w:lang w:val="en-GB"/>
        </w:rPr>
        <w:tab/>
        <w:t>‘Locally acquired’ includes cases under initial investigation. Note, in reports prior to report 52, ‘locally acquired’ excluded cases under initial investigation.</w:t>
      </w:r>
    </w:p>
    <w:p w14:paraId="204D1263" w14:textId="55ECE0F2" w:rsidR="00D318D8" w:rsidRPr="00D318D8" w:rsidRDefault="00D318D8" w:rsidP="00D318D8">
      <w:pPr>
        <w:pStyle w:val="CDIfootnotes"/>
        <w:rPr>
          <w:lang w:val="en-GB"/>
        </w:rPr>
      </w:pPr>
      <w:r>
        <w:rPr>
          <w:lang w:val="en-GB"/>
        </w:rPr>
        <w:t>c</w:t>
      </w:r>
      <w:r>
        <w:rPr>
          <w:lang w:val="en-GB"/>
        </w:rPr>
        <w:tab/>
        <w:t>‘Remote’ here also includes areas classified as ‘very remote’.</w:t>
      </w:r>
    </w:p>
    <w:p w14:paraId="252CFC31" w14:textId="77777777" w:rsidR="00633079" w:rsidRDefault="00633079" w:rsidP="00633079">
      <w:proofErr w:type="gramStart"/>
      <w:r>
        <w:t>The majority of</w:t>
      </w:r>
      <w:proofErr w:type="gramEnd"/>
      <w:r>
        <w:t xml:space="preserve"> cases reported in Aboriginal and Torres Strait Islander people in 2021 have been associated with the Sydney metropolitan and western regional outbreaks in New South Wales. There have been 5,345 locally acquired cases reported in Aboriginal and Torres Strait Islander people in New South Wales since 16 June 2021 when the Sydney metropolitan outbreak began. Since the start of the pandemic, there have been 13 COVID-19 associated deaths in Aboriginal and Torres Strait Islander people, all of which were associated with the current outbreaks in New South Wales. There has also been an increasing number of cases in Victoria in recent weeks, particularly in regional areas. In total, there have been 541 locally acquired Aboriginal and Torres Strait Islander cases reported in Victoria since the start of the outbreak on 5 August 2021, with 45% (246/541) of these cases occurring in regional residents. </w:t>
      </w:r>
    </w:p>
    <w:p w14:paraId="49D3A5D0" w14:textId="77777777" w:rsidR="00633079" w:rsidRDefault="00633079" w:rsidP="00633079">
      <w:r>
        <w:t xml:space="preserve">Cumulatively, since the beginning of the epidemic in Australia, there have been 6,233 cases in Aboriginal and Torres Strait Islander people, representing approximately 4% (6,233/159,393) of all confirmed cases in Australia. Indigenous status was unknown for approximately 19% of confirmed cases (29,926/159,393), with the majority of these associated with more </w:t>
      </w:r>
      <w:proofErr w:type="gramStart"/>
      <w:r>
        <w:t>recently-reported</w:t>
      </w:r>
      <w:proofErr w:type="gramEnd"/>
      <w:r>
        <w:t xml:space="preserve"> cases, especially in Victoria and New South Wales. </w:t>
      </w:r>
    </w:p>
    <w:p w14:paraId="578CF760" w14:textId="3FAA4068" w:rsidR="00633079" w:rsidRDefault="00633079" w:rsidP="00633079">
      <w:r>
        <w:t xml:space="preserve">Up to 24 October 2021, it has been 0 days since the last </w:t>
      </w:r>
      <w:proofErr w:type="gramStart"/>
      <w:r>
        <w:t>locally-acquired</w:t>
      </w:r>
      <w:proofErr w:type="gramEnd"/>
      <w:r>
        <w:t xml:space="preserve"> Aboriginal and Torres Strait Islander case was diagnosed and 99 days since the last overseas-acquired Aboriginal and Torres Strait Islander case was diagnosed. To date, the majority of Aboriginal and Torres Strait Islander cases were reported as locally acquired (95%; 5,926/6,233), with 37 cases that were overseas acquired and 270 cases under investigation (most of which are </w:t>
      </w:r>
      <w:r>
        <w:lastRenderedPageBreak/>
        <w:t xml:space="preserve">known to be </w:t>
      </w:r>
      <w:proofErr w:type="gramStart"/>
      <w:r>
        <w:t>locally-acquired</w:t>
      </w:r>
      <w:proofErr w:type="gramEnd"/>
      <w:r>
        <w:t>). The median age of locally-acquired Aboriginal and Torres Strait Islander cases is 21 years old (range 0 to 99 years, IQR: 10 to 35 years), while the median age of overseas-acquired cases is 40 years old (range 7 to 75 years; IQR: 27 to 57 years). Overall, the distribution among males and females was similar at 49% (3,067/6,219) and 51% (3,152/6,219) of cases, respectively, where the denominator is the cases for which sex was</w:t>
      </w:r>
      <w:r w:rsidR="00D757BC">
        <w:t> </w:t>
      </w:r>
      <w:r>
        <w:t xml:space="preserve">known. </w:t>
      </w:r>
    </w:p>
    <w:p w14:paraId="55FAFD68" w14:textId="576C2949" w:rsidR="00633079" w:rsidRDefault="00633079" w:rsidP="00633079">
      <w:r>
        <w:t>Give the delay between onset and severe illness, cases with an onset in the last two weeks were excluded from the following analysis on severity. In 2021, based on the highest level of severity reported for cases with an illness onset up to 10 October, 0.2% of cases in Aboriginal and Torres Strait Islander people were reported to have died, 1.2% of cases required intensive care and a further 10.4% required admission to hospital (Table 4). Note that hospitalisation data in NINDSS should be interpreted with caution: hospitalisation is not always reflective of severe illness, as cases may be hospitalised for reasons other than clinical COVID-19 related care; additionally, hospitalisation and ICU status in NINDSS is likely incomplete.</w:t>
      </w:r>
    </w:p>
    <w:p w14:paraId="0FE94E3A" w14:textId="77777777" w:rsidR="00D318D8" w:rsidRPr="000F44A4" w:rsidRDefault="00D318D8" w:rsidP="00D318D8">
      <w:pPr>
        <w:pStyle w:val="CDIFigures"/>
      </w:pPr>
      <w:r w:rsidRPr="000F44A4">
        <w:rPr>
          <w:rStyle w:val="Strong"/>
          <w:b/>
          <w:bCs w:val="0"/>
        </w:rPr>
        <w:t>Table 4: COVID-19 cases in Aboriginal and Torres Strait Islander people by age group and highest level of illness severity, 1 January 2021 – 10 October 2021</w:t>
      </w:r>
      <w:r w:rsidRPr="00D90481">
        <w:rPr>
          <w:rStyle w:val="Strong"/>
          <w:b/>
          <w:bCs w:val="0"/>
          <w:vertAlign w:val="superscript"/>
        </w:rPr>
        <w:t>a</w:t>
      </w:r>
    </w:p>
    <w:tbl>
      <w:tblPr>
        <w:tblStyle w:val="CDI-StandardTable"/>
        <w:tblW w:w="0" w:type="auto"/>
        <w:tblLook w:val="04A0" w:firstRow="1" w:lastRow="0" w:firstColumn="1" w:lastColumn="0" w:noHBand="0" w:noVBand="1"/>
        <w:tblDescription w:val="Table 4 summarises the total number of cases and the proportions of the highest level of illness severity (hospitalisation, intensive care unit (ICU) admission or death) among Aboriginal and Torres Strait Islander people for the calendar year to 10 October 2021, as a function of age group. While a majority of cases among Aboriginal and Torres Strait Islander people notified this year (3,309/5,110 cases) are under 30 years of age, rates of hospitalisation across this younger age range are comparatively low, with few ICU admissions in cases under 30 years of age and no deaths recorded in cases under 40 years of age this year. The percentages of cases hospitalised or died are highest among those over 80 years of age, while the highest proportion of cases admitted to ICU (but not died) is seen among those in the 70–79 year age bracket.&#10;"/>
      </w:tblPr>
      <w:tblGrid>
        <w:gridCol w:w="1103"/>
        <w:gridCol w:w="1168"/>
        <w:gridCol w:w="1652"/>
        <w:gridCol w:w="1219"/>
        <w:gridCol w:w="662"/>
        <w:gridCol w:w="1000"/>
        <w:gridCol w:w="1749"/>
        <w:gridCol w:w="1251"/>
        <w:gridCol w:w="662"/>
      </w:tblGrid>
      <w:tr w:rsidR="00D318D8" w:rsidRPr="000F44A4" w14:paraId="444BEA79" w14:textId="77777777" w:rsidTr="00F14B7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046ABE4C" w14:textId="77777777" w:rsidR="00D318D8" w:rsidRPr="000F44A4" w:rsidRDefault="00D318D8" w:rsidP="001365EF">
            <w:pPr>
              <w:pStyle w:val="NormalWeb"/>
              <w:rPr>
                <w:color w:val="FFFFFF" w:themeColor="background1"/>
              </w:rPr>
            </w:pPr>
            <w:r w:rsidRPr="000F44A4">
              <w:rPr>
                <w:color w:val="FFFFFF" w:themeColor="background1"/>
              </w:rPr>
              <w:t>Age group</w:t>
            </w:r>
          </w:p>
        </w:tc>
        <w:tc>
          <w:tcPr>
            <w:tcW w:w="5692" w:type="dxa"/>
            <w:gridSpan w:val="5"/>
            <w:tcBorders>
              <w:left w:val="single" w:sz="2" w:space="0" w:color="FFFFFF" w:themeColor="background1"/>
              <w:bottom w:val="single" w:sz="2" w:space="0" w:color="FFFFFF" w:themeColor="background1"/>
              <w:right w:val="single" w:sz="2" w:space="0" w:color="FFFFFF" w:themeColor="background1"/>
            </w:tcBorders>
            <w:hideMark/>
          </w:tcPr>
          <w:p w14:paraId="0E131811" w14:textId="77777777" w:rsidR="00D318D8" w:rsidRPr="000F44A4" w:rsidRDefault="00D318D8" w:rsidP="00E80310">
            <w:pPr>
              <w:pStyle w:val="NormalWeb"/>
              <w:jc w:val="center"/>
              <w:rPr>
                <w:color w:val="FFFFFF" w:themeColor="background1"/>
              </w:rPr>
            </w:pPr>
            <w:r w:rsidRPr="000F44A4">
              <w:rPr>
                <w:color w:val="FFFFFF" w:themeColor="background1"/>
              </w:rPr>
              <w:t>Count</w:t>
            </w:r>
          </w:p>
        </w:tc>
        <w:tc>
          <w:tcPr>
            <w:tcW w:w="3662" w:type="dxa"/>
            <w:gridSpan w:val="3"/>
            <w:tcBorders>
              <w:left w:val="single" w:sz="2" w:space="0" w:color="FFFFFF" w:themeColor="background1"/>
              <w:bottom w:val="single" w:sz="2" w:space="0" w:color="FFFFFF" w:themeColor="background1"/>
            </w:tcBorders>
            <w:hideMark/>
          </w:tcPr>
          <w:p w14:paraId="0D8F0F55" w14:textId="77777777" w:rsidR="00D318D8" w:rsidRPr="000F44A4" w:rsidRDefault="00D318D8" w:rsidP="00E80310">
            <w:pPr>
              <w:pStyle w:val="NormalWeb"/>
              <w:jc w:val="center"/>
              <w:rPr>
                <w:color w:val="FFFFFF" w:themeColor="background1"/>
              </w:rPr>
            </w:pPr>
            <w:r w:rsidRPr="000F44A4">
              <w:rPr>
                <w:color w:val="FFFFFF" w:themeColor="background1"/>
              </w:rPr>
              <w:t>% of total cases by age group</w:t>
            </w:r>
          </w:p>
        </w:tc>
      </w:tr>
      <w:tr w:rsidR="00D318D8" w:rsidRPr="000F44A4" w14:paraId="7847C2A3" w14:textId="77777777" w:rsidTr="00F14B7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2F6EFF72" w14:textId="77777777" w:rsidR="00D318D8" w:rsidRPr="000F44A4" w:rsidRDefault="00D318D8" w:rsidP="00E80310">
            <w:pPr>
              <w:rPr>
                <w:color w:val="FFFFFF" w:themeColor="background1"/>
                <w:sz w:val="24"/>
                <w:szCs w:val="24"/>
              </w:rPr>
            </w:pP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04A89EF" w14:textId="2D8D6D66" w:rsidR="00D318D8" w:rsidRPr="00082A87" w:rsidRDefault="00D318D8" w:rsidP="001365EF">
            <w:pPr>
              <w:pStyle w:val="NormalWeb"/>
              <w:jc w:val="center"/>
              <w:rPr>
                <w:color w:val="FFFFFF" w:themeColor="background1"/>
                <w:vertAlign w:val="superscript"/>
              </w:rPr>
            </w:pPr>
            <w:r w:rsidRPr="000F44A4">
              <w:rPr>
                <w:color w:val="FFFFFF" w:themeColor="background1"/>
              </w:rPr>
              <w:t xml:space="preserve">Not </w:t>
            </w:r>
            <w:proofErr w:type="spellStart"/>
            <w:r w:rsidRPr="000F44A4">
              <w:rPr>
                <w:color w:val="FFFFFF" w:themeColor="background1"/>
              </w:rPr>
              <w:t>severe</w:t>
            </w:r>
            <w:r w:rsidR="00082A87">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69A87A4" w14:textId="77777777" w:rsidR="00D318D8" w:rsidRPr="000F44A4" w:rsidRDefault="00D318D8" w:rsidP="001365EF">
            <w:pPr>
              <w:pStyle w:val="NormalWeb"/>
              <w:jc w:val="center"/>
              <w:rPr>
                <w:color w:val="FFFFFF" w:themeColor="background1"/>
              </w:rPr>
            </w:pPr>
            <w:r w:rsidRPr="000F44A4">
              <w:rPr>
                <w:color w:val="FFFFFF" w:themeColor="background1"/>
              </w:rPr>
              <w:t>Hospitalised only</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152750D" w14:textId="77777777" w:rsidR="00D318D8" w:rsidRPr="000F44A4" w:rsidRDefault="00D318D8" w:rsidP="001365EF">
            <w:pPr>
              <w:pStyle w:val="NormalWeb"/>
              <w:jc w:val="center"/>
              <w:rPr>
                <w:color w:val="FFFFFF" w:themeColor="background1"/>
              </w:rPr>
            </w:pPr>
            <w:r w:rsidRPr="000F44A4">
              <w:rPr>
                <w:color w:val="FFFFFF" w:themeColor="background1"/>
              </w:rPr>
              <w:t>ICU</w:t>
            </w: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361185D" w14:textId="77777777" w:rsidR="00D318D8" w:rsidRPr="000F44A4" w:rsidRDefault="00D318D8" w:rsidP="001365EF">
            <w:pPr>
              <w:pStyle w:val="NormalWeb"/>
              <w:jc w:val="center"/>
              <w:rPr>
                <w:color w:val="FFFFFF" w:themeColor="background1"/>
              </w:rPr>
            </w:pPr>
            <w:r w:rsidRPr="000F44A4">
              <w:rPr>
                <w:color w:val="FFFFFF" w:themeColor="background1"/>
              </w:rPr>
              <w:t>Died</w:t>
            </w:r>
          </w:p>
        </w:tc>
        <w:tc>
          <w:tcPr>
            <w:tcW w:w="100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EF07ACE" w14:textId="77777777" w:rsidR="00D318D8" w:rsidRPr="000F44A4" w:rsidRDefault="00D318D8" w:rsidP="001365EF">
            <w:pPr>
              <w:pStyle w:val="NormalWeb"/>
              <w:jc w:val="center"/>
              <w:rPr>
                <w:color w:val="FFFFFF" w:themeColor="background1"/>
              </w:rPr>
            </w:pPr>
            <w:r w:rsidRPr="000F44A4">
              <w:rPr>
                <w:color w:val="FFFFFF" w:themeColor="background1"/>
              </w:rPr>
              <w:t>Total cases</w:t>
            </w:r>
          </w:p>
        </w:tc>
        <w:tc>
          <w:tcPr>
            <w:tcW w:w="174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AA42007" w14:textId="77777777" w:rsidR="00D318D8" w:rsidRPr="000F44A4" w:rsidRDefault="00D318D8" w:rsidP="001365EF">
            <w:pPr>
              <w:pStyle w:val="NormalWeb"/>
              <w:jc w:val="center"/>
              <w:rPr>
                <w:color w:val="FFFFFF" w:themeColor="background1"/>
              </w:rPr>
            </w:pPr>
            <w:r w:rsidRPr="000F44A4">
              <w:rPr>
                <w:color w:val="FFFFFF" w:themeColor="background1"/>
              </w:rPr>
              <w:t>Hospitalised only</w:t>
            </w:r>
          </w:p>
        </w:tc>
        <w:tc>
          <w:tcPr>
            <w:tcW w:w="12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56D9BAA" w14:textId="77777777" w:rsidR="00D318D8" w:rsidRPr="000F44A4" w:rsidRDefault="00D318D8" w:rsidP="001365EF">
            <w:pPr>
              <w:pStyle w:val="NormalWeb"/>
              <w:jc w:val="center"/>
              <w:rPr>
                <w:color w:val="FFFFFF" w:themeColor="background1"/>
              </w:rPr>
            </w:pPr>
            <w:r w:rsidRPr="000F44A4">
              <w:rPr>
                <w:color w:val="FFFFFF" w:themeColor="background1"/>
              </w:rPr>
              <w:t>ICU</w:t>
            </w:r>
          </w:p>
        </w:tc>
        <w:tc>
          <w:tcPr>
            <w:tcW w:w="0" w:type="auto"/>
            <w:vMerge w:val="restart"/>
            <w:tcBorders>
              <w:top w:val="single" w:sz="2" w:space="0" w:color="FFFFFF" w:themeColor="background1"/>
              <w:left w:val="single" w:sz="2" w:space="0" w:color="FFFFFF" w:themeColor="background1"/>
              <w:bottom w:val="single" w:sz="2" w:space="0" w:color="FFFFFF" w:themeColor="background1"/>
            </w:tcBorders>
            <w:vAlign w:val="center"/>
            <w:hideMark/>
          </w:tcPr>
          <w:p w14:paraId="58F98A9E" w14:textId="77777777" w:rsidR="00D318D8" w:rsidRPr="000F44A4" w:rsidRDefault="00D318D8" w:rsidP="001365EF">
            <w:pPr>
              <w:pStyle w:val="NormalWeb"/>
              <w:jc w:val="center"/>
              <w:rPr>
                <w:color w:val="FFFFFF" w:themeColor="background1"/>
              </w:rPr>
            </w:pPr>
            <w:r w:rsidRPr="000F44A4">
              <w:rPr>
                <w:color w:val="FFFFFF" w:themeColor="background1"/>
              </w:rPr>
              <w:t>Died</w:t>
            </w:r>
          </w:p>
        </w:tc>
      </w:tr>
      <w:tr w:rsidR="00D318D8" w:rsidRPr="000F44A4" w14:paraId="1B500BA9" w14:textId="77777777" w:rsidTr="00F14B7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402CEFD" w14:textId="77777777" w:rsidR="00D318D8" w:rsidRPr="000F44A4" w:rsidRDefault="00D318D8" w:rsidP="00E80310">
            <w:pP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vAlign w:val="center"/>
            <w:hideMark/>
          </w:tcPr>
          <w:p w14:paraId="2ACBAFC8" w14:textId="77777777" w:rsidR="00D318D8" w:rsidRPr="000F44A4" w:rsidRDefault="00D318D8" w:rsidP="001365EF">
            <w:pPr>
              <w:jc w:val="cente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63234679" w14:textId="77777777" w:rsidR="00D318D8" w:rsidRPr="000F44A4" w:rsidRDefault="00D318D8" w:rsidP="001365EF">
            <w:pPr>
              <w:pStyle w:val="NormalWeb"/>
              <w:jc w:val="center"/>
              <w:rPr>
                <w:color w:val="FFFFFF" w:themeColor="background1"/>
              </w:rPr>
            </w:pPr>
            <w:r w:rsidRPr="000F44A4">
              <w:rPr>
                <w:color w:val="FFFFFF" w:themeColor="background1"/>
              </w:rPr>
              <w:t>(not ICU or died)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5B538059" w14:textId="77777777" w:rsidR="00D318D8" w:rsidRPr="000F44A4" w:rsidRDefault="00D318D8" w:rsidP="001365EF">
            <w:pPr>
              <w:pStyle w:val="NormalWeb"/>
              <w:jc w:val="center"/>
              <w:rPr>
                <w:color w:val="FFFFFF" w:themeColor="background1"/>
              </w:rPr>
            </w:pPr>
            <w:r w:rsidRPr="000F44A4">
              <w:rPr>
                <w:color w:val="FFFFFF" w:themeColor="background1"/>
              </w:rPr>
              <w:t>(but not died)</w:t>
            </w:r>
          </w:p>
        </w:tc>
        <w:tc>
          <w:tcPr>
            <w:tcW w:w="0" w:type="auto"/>
            <w:vMerge/>
            <w:tcBorders>
              <w:top w:val="single" w:sz="2" w:space="0" w:color="FFFFFF" w:themeColor="background1"/>
              <w:left w:val="single" w:sz="2" w:space="0" w:color="FFFFFF" w:themeColor="background1"/>
              <w:right w:val="single" w:sz="2" w:space="0" w:color="FFFFFF" w:themeColor="background1"/>
            </w:tcBorders>
            <w:vAlign w:val="center"/>
            <w:hideMark/>
          </w:tcPr>
          <w:p w14:paraId="2D6FC1DB" w14:textId="77777777" w:rsidR="00D318D8" w:rsidRPr="000F44A4" w:rsidRDefault="00D318D8" w:rsidP="001365EF">
            <w:pPr>
              <w:jc w:val="center"/>
              <w:rPr>
                <w:color w:val="FFFFFF" w:themeColor="background1"/>
                <w:sz w:val="24"/>
                <w:szCs w:val="24"/>
              </w:rPr>
            </w:pPr>
          </w:p>
        </w:tc>
        <w:tc>
          <w:tcPr>
            <w:tcW w:w="1000"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336CBB23" w14:textId="77777777" w:rsidR="00D318D8" w:rsidRPr="000F44A4" w:rsidRDefault="00D318D8" w:rsidP="001365EF">
            <w:pPr>
              <w:jc w:val="center"/>
              <w:rPr>
                <w:color w:val="FFFFFF" w:themeColor="background1"/>
                <w:sz w:val="24"/>
                <w:szCs w:val="24"/>
              </w:rPr>
            </w:pPr>
          </w:p>
        </w:tc>
        <w:tc>
          <w:tcPr>
            <w:tcW w:w="1749" w:type="dxa"/>
            <w:tcBorders>
              <w:top w:val="single" w:sz="2" w:space="0" w:color="FFFFFF" w:themeColor="background1"/>
              <w:left w:val="single" w:sz="2" w:space="0" w:color="FFFFFF" w:themeColor="background1"/>
              <w:right w:val="single" w:sz="2" w:space="0" w:color="FFFFFF" w:themeColor="background1"/>
            </w:tcBorders>
            <w:vAlign w:val="center"/>
            <w:hideMark/>
          </w:tcPr>
          <w:p w14:paraId="6D53F99D" w14:textId="77777777" w:rsidR="00D318D8" w:rsidRPr="000F44A4" w:rsidRDefault="00D318D8" w:rsidP="001365EF">
            <w:pPr>
              <w:pStyle w:val="NormalWeb"/>
              <w:jc w:val="center"/>
              <w:rPr>
                <w:color w:val="FFFFFF" w:themeColor="background1"/>
              </w:rPr>
            </w:pPr>
            <w:r w:rsidRPr="000F44A4">
              <w:rPr>
                <w:color w:val="FFFFFF" w:themeColor="background1"/>
              </w:rPr>
              <w:t>(not ICU or died)</w:t>
            </w:r>
          </w:p>
        </w:tc>
        <w:tc>
          <w:tcPr>
            <w:tcW w:w="1251" w:type="dxa"/>
            <w:tcBorders>
              <w:top w:val="single" w:sz="2" w:space="0" w:color="FFFFFF" w:themeColor="background1"/>
              <w:left w:val="single" w:sz="2" w:space="0" w:color="FFFFFF" w:themeColor="background1"/>
              <w:right w:val="single" w:sz="2" w:space="0" w:color="FFFFFF" w:themeColor="background1"/>
            </w:tcBorders>
            <w:vAlign w:val="center"/>
            <w:hideMark/>
          </w:tcPr>
          <w:p w14:paraId="499BFC50" w14:textId="77777777" w:rsidR="00D318D8" w:rsidRPr="000F44A4" w:rsidRDefault="00D318D8" w:rsidP="001365EF">
            <w:pPr>
              <w:pStyle w:val="NormalWeb"/>
              <w:jc w:val="center"/>
              <w:rPr>
                <w:color w:val="FFFFFF" w:themeColor="background1"/>
              </w:rPr>
            </w:pPr>
            <w:r w:rsidRPr="000F44A4">
              <w:rPr>
                <w:color w:val="FFFFFF" w:themeColor="background1"/>
              </w:rPr>
              <w:t>(but not died)</w:t>
            </w:r>
          </w:p>
        </w:tc>
        <w:tc>
          <w:tcPr>
            <w:tcW w:w="0" w:type="auto"/>
            <w:vMerge/>
            <w:tcBorders>
              <w:top w:val="single" w:sz="2" w:space="0" w:color="FFFFFF" w:themeColor="background1"/>
              <w:left w:val="single" w:sz="2" w:space="0" w:color="FFFFFF" w:themeColor="background1"/>
            </w:tcBorders>
            <w:vAlign w:val="center"/>
            <w:hideMark/>
          </w:tcPr>
          <w:p w14:paraId="002B61B5" w14:textId="77777777" w:rsidR="00D318D8" w:rsidRPr="000F44A4" w:rsidRDefault="00D318D8" w:rsidP="001365EF">
            <w:pPr>
              <w:jc w:val="center"/>
              <w:rPr>
                <w:color w:val="FFFFFF" w:themeColor="background1"/>
                <w:sz w:val="24"/>
                <w:szCs w:val="24"/>
              </w:rPr>
            </w:pPr>
          </w:p>
        </w:tc>
      </w:tr>
      <w:tr w:rsidR="00D318D8" w14:paraId="54FAEF36" w14:textId="77777777" w:rsidTr="00F14B7E">
        <w:tblPrEx>
          <w:tblCellMar>
            <w:top w:w="57" w:type="dxa"/>
            <w:left w:w="57" w:type="dxa"/>
            <w:bottom w:w="57" w:type="dxa"/>
            <w:right w:w="57" w:type="dxa"/>
          </w:tblCellMar>
        </w:tblPrEx>
        <w:tc>
          <w:tcPr>
            <w:tcW w:w="0" w:type="auto"/>
            <w:hideMark/>
          </w:tcPr>
          <w:p w14:paraId="68DC20FE" w14:textId="77777777" w:rsidR="00D318D8" w:rsidRDefault="00D318D8" w:rsidP="00E80310">
            <w:pPr>
              <w:pStyle w:val="NormalWeb"/>
            </w:pPr>
            <w:r>
              <w:t>0–4</w:t>
            </w:r>
          </w:p>
        </w:tc>
        <w:tc>
          <w:tcPr>
            <w:tcW w:w="0" w:type="auto"/>
            <w:hideMark/>
          </w:tcPr>
          <w:p w14:paraId="5FEAAD41" w14:textId="77777777" w:rsidR="00D318D8" w:rsidRDefault="00D318D8" w:rsidP="00E80310">
            <w:pPr>
              <w:pStyle w:val="NormalWeb"/>
              <w:jc w:val="center"/>
            </w:pPr>
            <w:r>
              <w:t>584</w:t>
            </w:r>
          </w:p>
        </w:tc>
        <w:tc>
          <w:tcPr>
            <w:tcW w:w="0" w:type="auto"/>
            <w:hideMark/>
          </w:tcPr>
          <w:p w14:paraId="49056F8E" w14:textId="77777777" w:rsidR="00D318D8" w:rsidRDefault="00D318D8" w:rsidP="00E80310">
            <w:pPr>
              <w:pStyle w:val="NormalWeb"/>
              <w:jc w:val="center"/>
            </w:pPr>
            <w:r>
              <w:t>31</w:t>
            </w:r>
          </w:p>
        </w:tc>
        <w:tc>
          <w:tcPr>
            <w:tcW w:w="0" w:type="auto"/>
            <w:hideMark/>
          </w:tcPr>
          <w:p w14:paraId="7095655D" w14:textId="77777777" w:rsidR="00D318D8" w:rsidRDefault="00D318D8" w:rsidP="00E80310">
            <w:pPr>
              <w:pStyle w:val="NormalWeb"/>
              <w:jc w:val="center"/>
            </w:pPr>
            <w:r>
              <w:t>0</w:t>
            </w:r>
          </w:p>
        </w:tc>
        <w:tc>
          <w:tcPr>
            <w:tcW w:w="0" w:type="auto"/>
            <w:hideMark/>
          </w:tcPr>
          <w:p w14:paraId="2E5E8544" w14:textId="77777777" w:rsidR="00D318D8" w:rsidRDefault="00D318D8" w:rsidP="00E80310">
            <w:pPr>
              <w:pStyle w:val="NormalWeb"/>
              <w:jc w:val="center"/>
            </w:pPr>
            <w:r>
              <w:t>0</w:t>
            </w:r>
          </w:p>
        </w:tc>
        <w:tc>
          <w:tcPr>
            <w:tcW w:w="1000" w:type="dxa"/>
            <w:hideMark/>
          </w:tcPr>
          <w:p w14:paraId="7B2B4B81" w14:textId="77777777" w:rsidR="00D318D8" w:rsidRDefault="00D318D8" w:rsidP="00E80310">
            <w:pPr>
              <w:pStyle w:val="NormalWeb"/>
              <w:jc w:val="center"/>
            </w:pPr>
            <w:r>
              <w:t>615</w:t>
            </w:r>
          </w:p>
        </w:tc>
        <w:tc>
          <w:tcPr>
            <w:tcW w:w="1749" w:type="dxa"/>
            <w:hideMark/>
          </w:tcPr>
          <w:p w14:paraId="46FC90D8" w14:textId="77777777" w:rsidR="00D318D8" w:rsidRDefault="00D318D8" w:rsidP="00E80310">
            <w:pPr>
              <w:pStyle w:val="NormalWeb"/>
              <w:jc w:val="center"/>
            </w:pPr>
            <w:r>
              <w:t>5.0%</w:t>
            </w:r>
          </w:p>
        </w:tc>
        <w:tc>
          <w:tcPr>
            <w:tcW w:w="1251" w:type="dxa"/>
            <w:hideMark/>
          </w:tcPr>
          <w:p w14:paraId="624D8768" w14:textId="77777777" w:rsidR="00D318D8" w:rsidRDefault="00D318D8" w:rsidP="00E80310">
            <w:pPr>
              <w:pStyle w:val="NormalWeb"/>
              <w:jc w:val="center"/>
            </w:pPr>
            <w:r>
              <w:t>0.0%</w:t>
            </w:r>
          </w:p>
        </w:tc>
        <w:tc>
          <w:tcPr>
            <w:tcW w:w="0" w:type="auto"/>
            <w:hideMark/>
          </w:tcPr>
          <w:p w14:paraId="535091EC" w14:textId="77777777" w:rsidR="00D318D8" w:rsidRDefault="00D318D8" w:rsidP="00E80310">
            <w:pPr>
              <w:pStyle w:val="NormalWeb"/>
              <w:jc w:val="center"/>
            </w:pPr>
            <w:r>
              <w:t>0.0%</w:t>
            </w:r>
          </w:p>
        </w:tc>
      </w:tr>
      <w:tr w:rsidR="00D318D8" w14:paraId="45D2C6C8"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9B7DAB6" w14:textId="77777777" w:rsidR="00D318D8" w:rsidRDefault="00D318D8" w:rsidP="00E80310">
            <w:pPr>
              <w:pStyle w:val="NormalWeb"/>
            </w:pPr>
            <w:r>
              <w:t>5–11</w:t>
            </w:r>
          </w:p>
        </w:tc>
        <w:tc>
          <w:tcPr>
            <w:tcW w:w="0" w:type="auto"/>
            <w:hideMark/>
          </w:tcPr>
          <w:p w14:paraId="5D4E47C4" w14:textId="77777777" w:rsidR="00D318D8" w:rsidRDefault="00D318D8" w:rsidP="00E80310">
            <w:pPr>
              <w:pStyle w:val="NormalWeb"/>
              <w:jc w:val="center"/>
            </w:pPr>
            <w:r>
              <w:t>777</w:t>
            </w:r>
          </w:p>
        </w:tc>
        <w:tc>
          <w:tcPr>
            <w:tcW w:w="0" w:type="auto"/>
            <w:hideMark/>
          </w:tcPr>
          <w:p w14:paraId="1F240744" w14:textId="77777777" w:rsidR="00D318D8" w:rsidRDefault="00D318D8" w:rsidP="00E80310">
            <w:pPr>
              <w:pStyle w:val="NormalWeb"/>
              <w:jc w:val="center"/>
            </w:pPr>
            <w:r>
              <w:t>23</w:t>
            </w:r>
          </w:p>
        </w:tc>
        <w:tc>
          <w:tcPr>
            <w:tcW w:w="0" w:type="auto"/>
            <w:hideMark/>
          </w:tcPr>
          <w:p w14:paraId="4437861B" w14:textId="77777777" w:rsidR="00D318D8" w:rsidRDefault="00D318D8" w:rsidP="00E80310">
            <w:pPr>
              <w:pStyle w:val="NormalWeb"/>
              <w:jc w:val="center"/>
            </w:pPr>
            <w:r>
              <w:t>1</w:t>
            </w:r>
          </w:p>
        </w:tc>
        <w:tc>
          <w:tcPr>
            <w:tcW w:w="0" w:type="auto"/>
            <w:hideMark/>
          </w:tcPr>
          <w:p w14:paraId="2120A1D0" w14:textId="77777777" w:rsidR="00D318D8" w:rsidRDefault="00D318D8" w:rsidP="00E80310">
            <w:pPr>
              <w:pStyle w:val="NormalWeb"/>
              <w:jc w:val="center"/>
            </w:pPr>
            <w:r>
              <w:t>0</w:t>
            </w:r>
          </w:p>
        </w:tc>
        <w:tc>
          <w:tcPr>
            <w:tcW w:w="1000" w:type="dxa"/>
            <w:hideMark/>
          </w:tcPr>
          <w:p w14:paraId="7BEC6088" w14:textId="77777777" w:rsidR="00D318D8" w:rsidRDefault="00D318D8" w:rsidP="00E80310">
            <w:pPr>
              <w:pStyle w:val="NormalWeb"/>
              <w:jc w:val="center"/>
            </w:pPr>
            <w:r>
              <w:t>801</w:t>
            </w:r>
          </w:p>
        </w:tc>
        <w:tc>
          <w:tcPr>
            <w:tcW w:w="1749" w:type="dxa"/>
            <w:hideMark/>
          </w:tcPr>
          <w:p w14:paraId="3640358C" w14:textId="77777777" w:rsidR="00D318D8" w:rsidRDefault="00D318D8" w:rsidP="00E80310">
            <w:pPr>
              <w:pStyle w:val="NormalWeb"/>
              <w:jc w:val="center"/>
            </w:pPr>
            <w:r>
              <w:t>2.9%</w:t>
            </w:r>
          </w:p>
        </w:tc>
        <w:tc>
          <w:tcPr>
            <w:tcW w:w="1251" w:type="dxa"/>
            <w:hideMark/>
          </w:tcPr>
          <w:p w14:paraId="58530450" w14:textId="77777777" w:rsidR="00D318D8" w:rsidRDefault="00D318D8" w:rsidP="00E80310">
            <w:pPr>
              <w:pStyle w:val="NormalWeb"/>
              <w:jc w:val="center"/>
            </w:pPr>
            <w:r>
              <w:t>0.1%</w:t>
            </w:r>
          </w:p>
        </w:tc>
        <w:tc>
          <w:tcPr>
            <w:tcW w:w="0" w:type="auto"/>
            <w:hideMark/>
          </w:tcPr>
          <w:p w14:paraId="03D963B5" w14:textId="77777777" w:rsidR="00D318D8" w:rsidRDefault="00D318D8" w:rsidP="00E80310">
            <w:pPr>
              <w:pStyle w:val="NormalWeb"/>
              <w:jc w:val="center"/>
            </w:pPr>
            <w:r>
              <w:t>0.0%</w:t>
            </w:r>
          </w:p>
        </w:tc>
      </w:tr>
      <w:tr w:rsidR="00D318D8" w14:paraId="545F3668" w14:textId="77777777" w:rsidTr="00F14B7E">
        <w:tblPrEx>
          <w:tblCellMar>
            <w:top w:w="57" w:type="dxa"/>
            <w:left w:w="57" w:type="dxa"/>
            <w:bottom w:w="57" w:type="dxa"/>
            <w:right w:w="57" w:type="dxa"/>
          </w:tblCellMar>
        </w:tblPrEx>
        <w:tc>
          <w:tcPr>
            <w:tcW w:w="0" w:type="auto"/>
            <w:hideMark/>
          </w:tcPr>
          <w:p w14:paraId="4220D10E" w14:textId="77777777" w:rsidR="00D318D8" w:rsidRDefault="00D318D8" w:rsidP="00E80310">
            <w:pPr>
              <w:pStyle w:val="NormalWeb"/>
            </w:pPr>
            <w:r>
              <w:t>12–15</w:t>
            </w:r>
          </w:p>
        </w:tc>
        <w:tc>
          <w:tcPr>
            <w:tcW w:w="0" w:type="auto"/>
            <w:hideMark/>
          </w:tcPr>
          <w:p w14:paraId="0000DD3B" w14:textId="77777777" w:rsidR="00D318D8" w:rsidRDefault="00D318D8" w:rsidP="00E80310">
            <w:pPr>
              <w:pStyle w:val="NormalWeb"/>
              <w:jc w:val="center"/>
            </w:pPr>
            <w:r>
              <w:t>426</w:t>
            </w:r>
          </w:p>
        </w:tc>
        <w:tc>
          <w:tcPr>
            <w:tcW w:w="0" w:type="auto"/>
            <w:hideMark/>
          </w:tcPr>
          <w:p w14:paraId="3C33DD6D" w14:textId="77777777" w:rsidR="00D318D8" w:rsidRDefault="00D318D8" w:rsidP="00E80310">
            <w:pPr>
              <w:pStyle w:val="NormalWeb"/>
              <w:jc w:val="center"/>
            </w:pPr>
            <w:r>
              <w:t>18</w:t>
            </w:r>
          </w:p>
        </w:tc>
        <w:tc>
          <w:tcPr>
            <w:tcW w:w="0" w:type="auto"/>
            <w:hideMark/>
          </w:tcPr>
          <w:p w14:paraId="2CC272E5" w14:textId="77777777" w:rsidR="00D318D8" w:rsidRDefault="00D318D8" w:rsidP="00E80310">
            <w:pPr>
              <w:pStyle w:val="NormalWeb"/>
              <w:jc w:val="center"/>
            </w:pPr>
            <w:r>
              <w:t>2</w:t>
            </w:r>
          </w:p>
        </w:tc>
        <w:tc>
          <w:tcPr>
            <w:tcW w:w="0" w:type="auto"/>
            <w:hideMark/>
          </w:tcPr>
          <w:p w14:paraId="3ABE89B8" w14:textId="77777777" w:rsidR="00D318D8" w:rsidRDefault="00D318D8" w:rsidP="00E80310">
            <w:pPr>
              <w:pStyle w:val="NormalWeb"/>
              <w:jc w:val="center"/>
            </w:pPr>
            <w:r>
              <w:t>0</w:t>
            </w:r>
          </w:p>
        </w:tc>
        <w:tc>
          <w:tcPr>
            <w:tcW w:w="1000" w:type="dxa"/>
            <w:hideMark/>
          </w:tcPr>
          <w:p w14:paraId="3AB6191B" w14:textId="77777777" w:rsidR="00D318D8" w:rsidRDefault="00D318D8" w:rsidP="00E80310">
            <w:pPr>
              <w:pStyle w:val="NormalWeb"/>
              <w:jc w:val="center"/>
            </w:pPr>
            <w:r>
              <w:t>446</w:t>
            </w:r>
          </w:p>
        </w:tc>
        <w:tc>
          <w:tcPr>
            <w:tcW w:w="1749" w:type="dxa"/>
            <w:hideMark/>
          </w:tcPr>
          <w:p w14:paraId="76EE02A9" w14:textId="77777777" w:rsidR="00D318D8" w:rsidRDefault="00D318D8" w:rsidP="00E80310">
            <w:pPr>
              <w:pStyle w:val="NormalWeb"/>
              <w:jc w:val="center"/>
            </w:pPr>
            <w:r>
              <w:t>4.0%</w:t>
            </w:r>
          </w:p>
        </w:tc>
        <w:tc>
          <w:tcPr>
            <w:tcW w:w="1251" w:type="dxa"/>
            <w:hideMark/>
          </w:tcPr>
          <w:p w14:paraId="23E91624" w14:textId="77777777" w:rsidR="00D318D8" w:rsidRDefault="00D318D8" w:rsidP="00E80310">
            <w:pPr>
              <w:pStyle w:val="NormalWeb"/>
              <w:jc w:val="center"/>
            </w:pPr>
            <w:r>
              <w:t>0.4%</w:t>
            </w:r>
          </w:p>
        </w:tc>
        <w:tc>
          <w:tcPr>
            <w:tcW w:w="0" w:type="auto"/>
            <w:hideMark/>
          </w:tcPr>
          <w:p w14:paraId="40032996" w14:textId="77777777" w:rsidR="00D318D8" w:rsidRDefault="00D318D8" w:rsidP="00E80310">
            <w:pPr>
              <w:pStyle w:val="NormalWeb"/>
              <w:jc w:val="center"/>
            </w:pPr>
            <w:r>
              <w:t>0.0%</w:t>
            </w:r>
          </w:p>
        </w:tc>
      </w:tr>
      <w:tr w:rsidR="00D318D8" w14:paraId="365B9A55"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3B72898" w14:textId="77777777" w:rsidR="00D318D8" w:rsidRDefault="00D318D8" w:rsidP="00E80310">
            <w:pPr>
              <w:pStyle w:val="NormalWeb"/>
            </w:pPr>
            <w:r>
              <w:t>16–17</w:t>
            </w:r>
          </w:p>
        </w:tc>
        <w:tc>
          <w:tcPr>
            <w:tcW w:w="0" w:type="auto"/>
            <w:hideMark/>
          </w:tcPr>
          <w:p w14:paraId="049D2FE1" w14:textId="77777777" w:rsidR="00D318D8" w:rsidRDefault="00D318D8" w:rsidP="00E80310">
            <w:pPr>
              <w:pStyle w:val="NormalWeb"/>
              <w:jc w:val="center"/>
            </w:pPr>
            <w:r>
              <w:t>199</w:t>
            </w:r>
          </w:p>
        </w:tc>
        <w:tc>
          <w:tcPr>
            <w:tcW w:w="0" w:type="auto"/>
            <w:hideMark/>
          </w:tcPr>
          <w:p w14:paraId="1D428A5B" w14:textId="77777777" w:rsidR="00D318D8" w:rsidRDefault="00D318D8" w:rsidP="00E80310">
            <w:pPr>
              <w:pStyle w:val="NormalWeb"/>
              <w:jc w:val="center"/>
            </w:pPr>
            <w:r>
              <w:t>15</w:t>
            </w:r>
          </w:p>
        </w:tc>
        <w:tc>
          <w:tcPr>
            <w:tcW w:w="0" w:type="auto"/>
            <w:hideMark/>
          </w:tcPr>
          <w:p w14:paraId="1CC280B4" w14:textId="77777777" w:rsidR="00D318D8" w:rsidRDefault="00D318D8" w:rsidP="00E80310">
            <w:pPr>
              <w:pStyle w:val="NormalWeb"/>
              <w:jc w:val="center"/>
            </w:pPr>
            <w:r>
              <w:t>2</w:t>
            </w:r>
          </w:p>
        </w:tc>
        <w:tc>
          <w:tcPr>
            <w:tcW w:w="0" w:type="auto"/>
            <w:hideMark/>
          </w:tcPr>
          <w:p w14:paraId="6CD04358" w14:textId="77777777" w:rsidR="00D318D8" w:rsidRDefault="00D318D8" w:rsidP="00E80310">
            <w:pPr>
              <w:pStyle w:val="NormalWeb"/>
              <w:jc w:val="center"/>
            </w:pPr>
            <w:r>
              <w:t>0</w:t>
            </w:r>
          </w:p>
        </w:tc>
        <w:tc>
          <w:tcPr>
            <w:tcW w:w="1000" w:type="dxa"/>
            <w:hideMark/>
          </w:tcPr>
          <w:p w14:paraId="0CB46B87" w14:textId="77777777" w:rsidR="00D318D8" w:rsidRDefault="00D318D8" w:rsidP="00E80310">
            <w:pPr>
              <w:pStyle w:val="NormalWeb"/>
              <w:jc w:val="center"/>
            </w:pPr>
            <w:r>
              <w:t>216</w:t>
            </w:r>
          </w:p>
        </w:tc>
        <w:tc>
          <w:tcPr>
            <w:tcW w:w="1749" w:type="dxa"/>
            <w:hideMark/>
          </w:tcPr>
          <w:p w14:paraId="008DC488" w14:textId="77777777" w:rsidR="00D318D8" w:rsidRDefault="00D318D8" w:rsidP="00E80310">
            <w:pPr>
              <w:pStyle w:val="NormalWeb"/>
              <w:jc w:val="center"/>
            </w:pPr>
            <w:r>
              <w:t>6.9%</w:t>
            </w:r>
          </w:p>
        </w:tc>
        <w:tc>
          <w:tcPr>
            <w:tcW w:w="1251" w:type="dxa"/>
            <w:hideMark/>
          </w:tcPr>
          <w:p w14:paraId="59B94882" w14:textId="77777777" w:rsidR="00D318D8" w:rsidRDefault="00D318D8" w:rsidP="00E80310">
            <w:pPr>
              <w:pStyle w:val="NormalWeb"/>
              <w:jc w:val="center"/>
            </w:pPr>
            <w:r>
              <w:t>0.9%</w:t>
            </w:r>
          </w:p>
        </w:tc>
        <w:tc>
          <w:tcPr>
            <w:tcW w:w="0" w:type="auto"/>
            <w:hideMark/>
          </w:tcPr>
          <w:p w14:paraId="341F786C" w14:textId="77777777" w:rsidR="00D318D8" w:rsidRDefault="00D318D8" w:rsidP="00E80310">
            <w:pPr>
              <w:pStyle w:val="NormalWeb"/>
              <w:jc w:val="center"/>
            </w:pPr>
            <w:r>
              <w:t>0.0%</w:t>
            </w:r>
          </w:p>
        </w:tc>
      </w:tr>
      <w:tr w:rsidR="00D318D8" w14:paraId="04107537" w14:textId="77777777" w:rsidTr="00F14B7E">
        <w:tblPrEx>
          <w:tblCellMar>
            <w:top w:w="57" w:type="dxa"/>
            <w:left w:w="57" w:type="dxa"/>
            <w:bottom w:w="57" w:type="dxa"/>
            <w:right w:w="57" w:type="dxa"/>
          </w:tblCellMar>
        </w:tblPrEx>
        <w:tc>
          <w:tcPr>
            <w:tcW w:w="0" w:type="auto"/>
            <w:hideMark/>
          </w:tcPr>
          <w:p w14:paraId="733C7336" w14:textId="77777777" w:rsidR="00D318D8" w:rsidRDefault="00D318D8" w:rsidP="00E80310">
            <w:pPr>
              <w:pStyle w:val="NormalWeb"/>
            </w:pPr>
            <w:r>
              <w:t>18–29</w:t>
            </w:r>
          </w:p>
        </w:tc>
        <w:tc>
          <w:tcPr>
            <w:tcW w:w="0" w:type="auto"/>
            <w:hideMark/>
          </w:tcPr>
          <w:p w14:paraId="711CD1A1" w14:textId="77777777" w:rsidR="00D318D8" w:rsidRDefault="00D318D8" w:rsidP="00E80310">
            <w:pPr>
              <w:pStyle w:val="NormalWeb"/>
              <w:jc w:val="center"/>
            </w:pPr>
            <w:r>
              <w:t>1,085</w:t>
            </w:r>
          </w:p>
        </w:tc>
        <w:tc>
          <w:tcPr>
            <w:tcW w:w="0" w:type="auto"/>
            <w:hideMark/>
          </w:tcPr>
          <w:p w14:paraId="79A306CB" w14:textId="77777777" w:rsidR="00D318D8" w:rsidRDefault="00D318D8" w:rsidP="00E80310">
            <w:pPr>
              <w:pStyle w:val="NormalWeb"/>
              <w:jc w:val="center"/>
            </w:pPr>
            <w:r>
              <w:t>137</w:t>
            </w:r>
          </w:p>
        </w:tc>
        <w:tc>
          <w:tcPr>
            <w:tcW w:w="0" w:type="auto"/>
            <w:hideMark/>
          </w:tcPr>
          <w:p w14:paraId="7E489CF1" w14:textId="77777777" w:rsidR="00D318D8" w:rsidRDefault="00D318D8" w:rsidP="00E80310">
            <w:pPr>
              <w:pStyle w:val="NormalWeb"/>
              <w:jc w:val="center"/>
            </w:pPr>
            <w:r>
              <w:t>9</w:t>
            </w:r>
          </w:p>
        </w:tc>
        <w:tc>
          <w:tcPr>
            <w:tcW w:w="0" w:type="auto"/>
            <w:hideMark/>
          </w:tcPr>
          <w:p w14:paraId="42B9CBDA" w14:textId="77777777" w:rsidR="00D318D8" w:rsidRDefault="00D318D8" w:rsidP="00E80310">
            <w:pPr>
              <w:pStyle w:val="NormalWeb"/>
              <w:jc w:val="center"/>
            </w:pPr>
            <w:r>
              <w:t>0</w:t>
            </w:r>
          </w:p>
        </w:tc>
        <w:tc>
          <w:tcPr>
            <w:tcW w:w="1000" w:type="dxa"/>
            <w:hideMark/>
          </w:tcPr>
          <w:p w14:paraId="6CCE3F3D" w14:textId="77777777" w:rsidR="00D318D8" w:rsidRDefault="00D318D8" w:rsidP="00E80310">
            <w:pPr>
              <w:pStyle w:val="NormalWeb"/>
              <w:jc w:val="center"/>
            </w:pPr>
            <w:r>
              <w:t>1,231</w:t>
            </w:r>
          </w:p>
        </w:tc>
        <w:tc>
          <w:tcPr>
            <w:tcW w:w="1749" w:type="dxa"/>
            <w:hideMark/>
          </w:tcPr>
          <w:p w14:paraId="3F5CE738" w14:textId="77777777" w:rsidR="00D318D8" w:rsidRDefault="00D318D8" w:rsidP="00E80310">
            <w:pPr>
              <w:pStyle w:val="NormalWeb"/>
              <w:jc w:val="center"/>
            </w:pPr>
            <w:r>
              <w:t>11.1%</w:t>
            </w:r>
          </w:p>
        </w:tc>
        <w:tc>
          <w:tcPr>
            <w:tcW w:w="1251" w:type="dxa"/>
            <w:hideMark/>
          </w:tcPr>
          <w:p w14:paraId="6A1F2416" w14:textId="77777777" w:rsidR="00D318D8" w:rsidRDefault="00D318D8" w:rsidP="00E80310">
            <w:pPr>
              <w:pStyle w:val="NormalWeb"/>
              <w:jc w:val="center"/>
            </w:pPr>
            <w:r>
              <w:t>0.7%</w:t>
            </w:r>
          </w:p>
        </w:tc>
        <w:tc>
          <w:tcPr>
            <w:tcW w:w="0" w:type="auto"/>
            <w:hideMark/>
          </w:tcPr>
          <w:p w14:paraId="47B84A8A" w14:textId="77777777" w:rsidR="00D318D8" w:rsidRDefault="00D318D8" w:rsidP="00E80310">
            <w:pPr>
              <w:pStyle w:val="NormalWeb"/>
              <w:jc w:val="center"/>
            </w:pPr>
            <w:r>
              <w:t>0.0%</w:t>
            </w:r>
          </w:p>
        </w:tc>
      </w:tr>
      <w:tr w:rsidR="00D318D8" w14:paraId="7574528B"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66D73BC" w14:textId="77777777" w:rsidR="00D318D8" w:rsidRDefault="00D318D8" w:rsidP="00E80310">
            <w:pPr>
              <w:pStyle w:val="NormalWeb"/>
            </w:pPr>
            <w:r>
              <w:t>30–39</w:t>
            </w:r>
          </w:p>
        </w:tc>
        <w:tc>
          <w:tcPr>
            <w:tcW w:w="0" w:type="auto"/>
            <w:hideMark/>
          </w:tcPr>
          <w:p w14:paraId="2FFDA1FA" w14:textId="77777777" w:rsidR="00D318D8" w:rsidRDefault="00D318D8" w:rsidP="00E80310">
            <w:pPr>
              <w:pStyle w:val="NormalWeb"/>
              <w:jc w:val="center"/>
            </w:pPr>
            <w:r>
              <w:t>652</w:t>
            </w:r>
          </w:p>
        </w:tc>
        <w:tc>
          <w:tcPr>
            <w:tcW w:w="0" w:type="auto"/>
            <w:hideMark/>
          </w:tcPr>
          <w:p w14:paraId="303BD3E1" w14:textId="77777777" w:rsidR="00D318D8" w:rsidRDefault="00D318D8" w:rsidP="00E80310">
            <w:pPr>
              <w:pStyle w:val="NormalWeb"/>
              <w:jc w:val="center"/>
            </w:pPr>
            <w:r>
              <w:t>104</w:t>
            </w:r>
          </w:p>
        </w:tc>
        <w:tc>
          <w:tcPr>
            <w:tcW w:w="0" w:type="auto"/>
            <w:hideMark/>
          </w:tcPr>
          <w:p w14:paraId="023C3356" w14:textId="77777777" w:rsidR="00D318D8" w:rsidRDefault="00D318D8" w:rsidP="00E80310">
            <w:pPr>
              <w:pStyle w:val="NormalWeb"/>
              <w:jc w:val="center"/>
            </w:pPr>
            <w:r>
              <w:t>9</w:t>
            </w:r>
          </w:p>
        </w:tc>
        <w:tc>
          <w:tcPr>
            <w:tcW w:w="0" w:type="auto"/>
            <w:hideMark/>
          </w:tcPr>
          <w:p w14:paraId="5A8A207D" w14:textId="77777777" w:rsidR="00D318D8" w:rsidRDefault="00D318D8" w:rsidP="00E80310">
            <w:pPr>
              <w:pStyle w:val="NormalWeb"/>
              <w:jc w:val="center"/>
            </w:pPr>
            <w:r>
              <w:t>0</w:t>
            </w:r>
          </w:p>
        </w:tc>
        <w:tc>
          <w:tcPr>
            <w:tcW w:w="1000" w:type="dxa"/>
            <w:hideMark/>
          </w:tcPr>
          <w:p w14:paraId="000D48BD" w14:textId="77777777" w:rsidR="00D318D8" w:rsidRDefault="00D318D8" w:rsidP="00E80310">
            <w:pPr>
              <w:pStyle w:val="NormalWeb"/>
              <w:jc w:val="center"/>
            </w:pPr>
            <w:r>
              <w:t>765</w:t>
            </w:r>
          </w:p>
        </w:tc>
        <w:tc>
          <w:tcPr>
            <w:tcW w:w="1749" w:type="dxa"/>
            <w:hideMark/>
          </w:tcPr>
          <w:p w14:paraId="18AC1F4E" w14:textId="77777777" w:rsidR="00D318D8" w:rsidRDefault="00D318D8" w:rsidP="00E80310">
            <w:pPr>
              <w:pStyle w:val="NormalWeb"/>
              <w:jc w:val="center"/>
            </w:pPr>
            <w:r>
              <w:t>13.6%</w:t>
            </w:r>
          </w:p>
        </w:tc>
        <w:tc>
          <w:tcPr>
            <w:tcW w:w="1251" w:type="dxa"/>
            <w:hideMark/>
          </w:tcPr>
          <w:p w14:paraId="1E399FFF" w14:textId="77777777" w:rsidR="00D318D8" w:rsidRDefault="00D318D8" w:rsidP="00E80310">
            <w:pPr>
              <w:pStyle w:val="NormalWeb"/>
              <w:jc w:val="center"/>
            </w:pPr>
            <w:r>
              <w:t>1.2%</w:t>
            </w:r>
          </w:p>
        </w:tc>
        <w:tc>
          <w:tcPr>
            <w:tcW w:w="0" w:type="auto"/>
            <w:hideMark/>
          </w:tcPr>
          <w:p w14:paraId="23BBC4A9" w14:textId="77777777" w:rsidR="00D318D8" w:rsidRDefault="00D318D8" w:rsidP="00E80310">
            <w:pPr>
              <w:pStyle w:val="NormalWeb"/>
              <w:jc w:val="center"/>
            </w:pPr>
            <w:r>
              <w:t>0.0%</w:t>
            </w:r>
          </w:p>
        </w:tc>
      </w:tr>
      <w:tr w:rsidR="00D318D8" w14:paraId="171B09BF" w14:textId="77777777" w:rsidTr="00F14B7E">
        <w:tblPrEx>
          <w:tblCellMar>
            <w:top w:w="57" w:type="dxa"/>
            <w:left w:w="57" w:type="dxa"/>
            <w:bottom w:w="57" w:type="dxa"/>
            <w:right w:w="57" w:type="dxa"/>
          </w:tblCellMar>
        </w:tblPrEx>
        <w:tc>
          <w:tcPr>
            <w:tcW w:w="0" w:type="auto"/>
            <w:hideMark/>
          </w:tcPr>
          <w:p w14:paraId="0A8FA5D2" w14:textId="77777777" w:rsidR="00D318D8" w:rsidRDefault="00D318D8" w:rsidP="00E80310">
            <w:pPr>
              <w:pStyle w:val="NormalWeb"/>
            </w:pPr>
            <w:r>
              <w:t>40–49</w:t>
            </w:r>
          </w:p>
        </w:tc>
        <w:tc>
          <w:tcPr>
            <w:tcW w:w="0" w:type="auto"/>
            <w:hideMark/>
          </w:tcPr>
          <w:p w14:paraId="43D91E90" w14:textId="77777777" w:rsidR="00D318D8" w:rsidRDefault="00D318D8" w:rsidP="00E80310">
            <w:pPr>
              <w:pStyle w:val="NormalWeb"/>
              <w:jc w:val="center"/>
            </w:pPr>
            <w:r>
              <w:t>422</w:t>
            </w:r>
          </w:p>
        </w:tc>
        <w:tc>
          <w:tcPr>
            <w:tcW w:w="0" w:type="auto"/>
            <w:hideMark/>
          </w:tcPr>
          <w:p w14:paraId="7B7659C5" w14:textId="77777777" w:rsidR="00D318D8" w:rsidRDefault="00D318D8" w:rsidP="00E80310">
            <w:pPr>
              <w:pStyle w:val="NormalWeb"/>
              <w:jc w:val="center"/>
            </w:pPr>
            <w:r>
              <w:t>86</w:t>
            </w:r>
          </w:p>
        </w:tc>
        <w:tc>
          <w:tcPr>
            <w:tcW w:w="0" w:type="auto"/>
            <w:hideMark/>
          </w:tcPr>
          <w:p w14:paraId="065EC425" w14:textId="77777777" w:rsidR="00D318D8" w:rsidRDefault="00D318D8" w:rsidP="00E80310">
            <w:pPr>
              <w:pStyle w:val="NormalWeb"/>
              <w:jc w:val="center"/>
            </w:pPr>
            <w:r>
              <w:t>10</w:t>
            </w:r>
          </w:p>
        </w:tc>
        <w:tc>
          <w:tcPr>
            <w:tcW w:w="0" w:type="auto"/>
            <w:hideMark/>
          </w:tcPr>
          <w:p w14:paraId="7C97705E" w14:textId="77777777" w:rsidR="00D318D8" w:rsidRDefault="00D318D8" w:rsidP="00E80310">
            <w:pPr>
              <w:pStyle w:val="NormalWeb"/>
              <w:jc w:val="center"/>
            </w:pPr>
            <w:r>
              <w:t>2</w:t>
            </w:r>
          </w:p>
        </w:tc>
        <w:tc>
          <w:tcPr>
            <w:tcW w:w="1000" w:type="dxa"/>
            <w:hideMark/>
          </w:tcPr>
          <w:p w14:paraId="58BEB770" w14:textId="77777777" w:rsidR="00D318D8" w:rsidRDefault="00D318D8" w:rsidP="00E80310">
            <w:pPr>
              <w:pStyle w:val="NormalWeb"/>
              <w:jc w:val="center"/>
            </w:pPr>
            <w:r>
              <w:t>520</w:t>
            </w:r>
          </w:p>
        </w:tc>
        <w:tc>
          <w:tcPr>
            <w:tcW w:w="1749" w:type="dxa"/>
            <w:hideMark/>
          </w:tcPr>
          <w:p w14:paraId="2790361B" w14:textId="77777777" w:rsidR="00D318D8" w:rsidRDefault="00D318D8" w:rsidP="00E80310">
            <w:pPr>
              <w:pStyle w:val="NormalWeb"/>
              <w:jc w:val="center"/>
            </w:pPr>
            <w:r>
              <w:t>16.5%</w:t>
            </w:r>
          </w:p>
        </w:tc>
        <w:tc>
          <w:tcPr>
            <w:tcW w:w="1251" w:type="dxa"/>
            <w:hideMark/>
          </w:tcPr>
          <w:p w14:paraId="62786B4B" w14:textId="77777777" w:rsidR="00D318D8" w:rsidRDefault="00D318D8" w:rsidP="00E80310">
            <w:pPr>
              <w:pStyle w:val="NormalWeb"/>
              <w:jc w:val="center"/>
            </w:pPr>
            <w:r>
              <w:t>1.9%</w:t>
            </w:r>
          </w:p>
        </w:tc>
        <w:tc>
          <w:tcPr>
            <w:tcW w:w="0" w:type="auto"/>
            <w:hideMark/>
          </w:tcPr>
          <w:p w14:paraId="40B91302" w14:textId="77777777" w:rsidR="00D318D8" w:rsidRDefault="00D318D8" w:rsidP="00E80310">
            <w:pPr>
              <w:pStyle w:val="NormalWeb"/>
              <w:jc w:val="center"/>
            </w:pPr>
            <w:r>
              <w:t>0.4%</w:t>
            </w:r>
          </w:p>
        </w:tc>
      </w:tr>
      <w:tr w:rsidR="00D318D8" w14:paraId="045C326B"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351ABF3" w14:textId="77777777" w:rsidR="00D318D8" w:rsidRDefault="00D318D8" w:rsidP="00E80310">
            <w:pPr>
              <w:pStyle w:val="NormalWeb"/>
            </w:pPr>
            <w:r>
              <w:t>50–59</w:t>
            </w:r>
          </w:p>
        </w:tc>
        <w:tc>
          <w:tcPr>
            <w:tcW w:w="0" w:type="auto"/>
            <w:hideMark/>
          </w:tcPr>
          <w:p w14:paraId="6F3E284C" w14:textId="77777777" w:rsidR="00D318D8" w:rsidRDefault="00D318D8" w:rsidP="00E80310">
            <w:pPr>
              <w:pStyle w:val="NormalWeb"/>
              <w:jc w:val="center"/>
            </w:pPr>
            <w:r>
              <w:t>260</w:t>
            </w:r>
          </w:p>
        </w:tc>
        <w:tc>
          <w:tcPr>
            <w:tcW w:w="0" w:type="auto"/>
            <w:hideMark/>
          </w:tcPr>
          <w:p w14:paraId="3E9CCD18" w14:textId="77777777" w:rsidR="00D318D8" w:rsidRDefault="00D318D8" w:rsidP="00E80310">
            <w:pPr>
              <w:pStyle w:val="NormalWeb"/>
              <w:jc w:val="center"/>
            </w:pPr>
            <w:r>
              <w:t>60</w:t>
            </w:r>
          </w:p>
        </w:tc>
        <w:tc>
          <w:tcPr>
            <w:tcW w:w="0" w:type="auto"/>
            <w:hideMark/>
          </w:tcPr>
          <w:p w14:paraId="2074E843" w14:textId="77777777" w:rsidR="00D318D8" w:rsidRDefault="00D318D8" w:rsidP="00E80310">
            <w:pPr>
              <w:pStyle w:val="NormalWeb"/>
              <w:jc w:val="center"/>
            </w:pPr>
            <w:r>
              <w:t>13</w:t>
            </w:r>
          </w:p>
        </w:tc>
        <w:tc>
          <w:tcPr>
            <w:tcW w:w="0" w:type="auto"/>
            <w:hideMark/>
          </w:tcPr>
          <w:p w14:paraId="3FFF2450" w14:textId="77777777" w:rsidR="00D318D8" w:rsidRDefault="00D318D8" w:rsidP="00E80310">
            <w:pPr>
              <w:pStyle w:val="NormalWeb"/>
              <w:jc w:val="center"/>
            </w:pPr>
            <w:r>
              <w:t>4</w:t>
            </w:r>
          </w:p>
        </w:tc>
        <w:tc>
          <w:tcPr>
            <w:tcW w:w="1000" w:type="dxa"/>
            <w:hideMark/>
          </w:tcPr>
          <w:p w14:paraId="3A20DFF6" w14:textId="77777777" w:rsidR="00D318D8" w:rsidRDefault="00D318D8" w:rsidP="00E80310">
            <w:pPr>
              <w:pStyle w:val="NormalWeb"/>
              <w:jc w:val="center"/>
            </w:pPr>
            <w:r>
              <w:t>337</w:t>
            </w:r>
          </w:p>
        </w:tc>
        <w:tc>
          <w:tcPr>
            <w:tcW w:w="1749" w:type="dxa"/>
            <w:hideMark/>
          </w:tcPr>
          <w:p w14:paraId="1A3CC479" w14:textId="77777777" w:rsidR="00D318D8" w:rsidRDefault="00D318D8" w:rsidP="00E80310">
            <w:pPr>
              <w:pStyle w:val="NormalWeb"/>
              <w:jc w:val="center"/>
            </w:pPr>
            <w:r>
              <w:t>17.8%</w:t>
            </w:r>
          </w:p>
        </w:tc>
        <w:tc>
          <w:tcPr>
            <w:tcW w:w="1251" w:type="dxa"/>
            <w:hideMark/>
          </w:tcPr>
          <w:p w14:paraId="284A2336" w14:textId="77777777" w:rsidR="00D318D8" w:rsidRDefault="00D318D8" w:rsidP="00E80310">
            <w:pPr>
              <w:pStyle w:val="NormalWeb"/>
              <w:jc w:val="center"/>
            </w:pPr>
            <w:r>
              <w:t>3.9%</w:t>
            </w:r>
          </w:p>
        </w:tc>
        <w:tc>
          <w:tcPr>
            <w:tcW w:w="0" w:type="auto"/>
            <w:hideMark/>
          </w:tcPr>
          <w:p w14:paraId="3F358C82" w14:textId="77777777" w:rsidR="00D318D8" w:rsidRDefault="00D318D8" w:rsidP="00E80310">
            <w:pPr>
              <w:pStyle w:val="NormalWeb"/>
              <w:jc w:val="center"/>
            </w:pPr>
            <w:r>
              <w:t>1.2%</w:t>
            </w:r>
          </w:p>
        </w:tc>
      </w:tr>
      <w:tr w:rsidR="00D318D8" w14:paraId="2C56BEF2" w14:textId="77777777" w:rsidTr="00F14B7E">
        <w:tblPrEx>
          <w:tblCellMar>
            <w:top w:w="57" w:type="dxa"/>
            <w:left w:w="57" w:type="dxa"/>
            <w:bottom w:w="57" w:type="dxa"/>
            <w:right w:w="57" w:type="dxa"/>
          </w:tblCellMar>
        </w:tblPrEx>
        <w:tc>
          <w:tcPr>
            <w:tcW w:w="0" w:type="auto"/>
            <w:hideMark/>
          </w:tcPr>
          <w:p w14:paraId="6006E885" w14:textId="77777777" w:rsidR="00D318D8" w:rsidRDefault="00D318D8" w:rsidP="00E80310">
            <w:pPr>
              <w:pStyle w:val="NormalWeb"/>
            </w:pPr>
            <w:r>
              <w:t>60–69</w:t>
            </w:r>
          </w:p>
        </w:tc>
        <w:tc>
          <w:tcPr>
            <w:tcW w:w="0" w:type="auto"/>
            <w:hideMark/>
          </w:tcPr>
          <w:p w14:paraId="04131242" w14:textId="77777777" w:rsidR="00D318D8" w:rsidRDefault="00D318D8" w:rsidP="00E80310">
            <w:pPr>
              <w:pStyle w:val="NormalWeb"/>
              <w:jc w:val="center"/>
            </w:pPr>
            <w:r>
              <w:t>81</w:t>
            </w:r>
          </w:p>
        </w:tc>
        <w:tc>
          <w:tcPr>
            <w:tcW w:w="0" w:type="auto"/>
            <w:hideMark/>
          </w:tcPr>
          <w:p w14:paraId="6AB01C94" w14:textId="77777777" w:rsidR="00D318D8" w:rsidRDefault="00D318D8" w:rsidP="00E80310">
            <w:pPr>
              <w:pStyle w:val="NormalWeb"/>
              <w:jc w:val="center"/>
            </w:pPr>
            <w:r>
              <w:t>42</w:t>
            </w:r>
          </w:p>
        </w:tc>
        <w:tc>
          <w:tcPr>
            <w:tcW w:w="0" w:type="auto"/>
            <w:hideMark/>
          </w:tcPr>
          <w:p w14:paraId="01455939" w14:textId="77777777" w:rsidR="00D318D8" w:rsidRDefault="00D318D8" w:rsidP="00E80310">
            <w:pPr>
              <w:pStyle w:val="NormalWeb"/>
              <w:jc w:val="center"/>
            </w:pPr>
            <w:r>
              <w:t>9</w:t>
            </w:r>
          </w:p>
        </w:tc>
        <w:tc>
          <w:tcPr>
            <w:tcW w:w="0" w:type="auto"/>
            <w:hideMark/>
          </w:tcPr>
          <w:p w14:paraId="5C7C920F" w14:textId="77777777" w:rsidR="00D318D8" w:rsidRDefault="00D318D8" w:rsidP="00E80310">
            <w:pPr>
              <w:pStyle w:val="NormalWeb"/>
              <w:jc w:val="center"/>
            </w:pPr>
            <w:r>
              <w:t>2</w:t>
            </w:r>
          </w:p>
        </w:tc>
        <w:tc>
          <w:tcPr>
            <w:tcW w:w="1000" w:type="dxa"/>
            <w:hideMark/>
          </w:tcPr>
          <w:p w14:paraId="31FC25B0" w14:textId="77777777" w:rsidR="00D318D8" w:rsidRDefault="00D318D8" w:rsidP="00E80310">
            <w:pPr>
              <w:pStyle w:val="NormalWeb"/>
              <w:jc w:val="center"/>
            </w:pPr>
            <w:r>
              <w:t>134</w:t>
            </w:r>
          </w:p>
        </w:tc>
        <w:tc>
          <w:tcPr>
            <w:tcW w:w="1749" w:type="dxa"/>
            <w:hideMark/>
          </w:tcPr>
          <w:p w14:paraId="313EA6E2" w14:textId="77777777" w:rsidR="00D318D8" w:rsidRDefault="00D318D8" w:rsidP="00E80310">
            <w:pPr>
              <w:pStyle w:val="NormalWeb"/>
              <w:jc w:val="center"/>
            </w:pPr>
            <w:r>
              <w:t>31.3%</w:t>
            </w:r>
          </w:p>
        </w:tc>
        <w:tc>
          <w:tcPr>
            <w:tcW w:w="1251" w:type="dxa"/>
            <w:hideMark/>
          </w:tcPr>
          <w:p w14:paraId="4B94ECB0" w14:textId="77777777" w:rsidR="00D318D8" w:rsidRDefault="00D318D8" w:rsidP="00E80310">
            <w:pPr>
              <w:pStyle w:val="NormalWeb"/>
              <w:jc w:val="center"/>
            </w:pPr>
            <w:r>
              <w:t>6.7%</w:t>
            </w:r>
          </w:p>
        </w:tc>
        <w:tc>
          <w:tcPr>
            <w:tcW w:w="0" w:type="auto"/>
            <w:hideMark/>
          </w:tcPr>
          <w:p w14:paraId="2B490BCF" w14:textId="77777777" w:rsidR="00D318D8" w:rsidRDefault="00D318D8" w:rsidP="00E80310">
            <w:pPr>
              <w:pStyle w:val="NormalWeb"/>
              <w:jc w:val="center"/>
            </w:pPr>
            <w:r>
              <w:t>1.5%</w:t>
            </w:r>
          </w:p>
        </w:tc>
      </w:tr>
      <w:tr w:rsidR="00D318D8" w14:paraId="70BA9163"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6E80CFA" w14:textId="77777777" w:rsidR="00D318D8" w:rsidRDefault="00D318D8" w:rsidP="00E80310">
            <w:pPr>
              <w:pStyle w:val="NormalWeb"/>
            </w:pPr>
            <w:r>
              <w:t>70–79</w:t>
            </w:r>
          </w:p>
        </w:tc>
        <w:tc>
          <w:tcPr>
            <w:tcW w:w="0" w:type="auto"/>
            <w:hideMark/>
          </w:tcPr>
          <w:p w14:paraId="5F469C19" w14:textId="77777777" w:rsidR="00D318D8" w:rsidRDefault="00D318D8" w:rsidP="00E80310">
            <w:pPr>
              <w:pStyle w:val="NormalWeb"/>
              <w:jc w:val="center"/>
            </w:pPr>
            <w:r>
              <w:t>18</w:t>
            </w:r>
          </w:p>
        </w:tc>
        <w:tc>
          <w:tcPr>
            <w:tcW w:w="0" w:type="auto"/>
            <w:hideMark/>
          </w:tcPr>
          <w:p w14:paraId="32DF5DA6" w14:textId="77777777" w:rsidR="00D318D8" w:rsidRDefault="00D318D8" w:rsidP="00E80310">
            <w:pPr>
              <w:pStyle w:val="NormalWeb"/>
              <w:jc w:val="center"/>
            </w:pPr>
            <w:r>
              <w:t>14</w:t>
            </w:r>
          </w:p>
        </w:tc>
        <w:tc>
          <w:tcPr>
            <w:tcW w:w="0" w:type="auto"/>
            <w:hideMark/>
          </w:tcPr>
          <w:p w14:paraId="3E1878BB" w14:textId="77777777" w:rsidR="00D318D8" w:rsidRDefault="00D318D8" w:rsidP="00E80310">
            <w:pPr>
              <w:pStyle w:val="NormalWeb"/>
              <w:jc w:val="center"/>
            </w:pPr>
            <w:r>
              <w:t>4</w:t>
            </w:r>
          </w:p>
        </w:tc>
        <w:tc>
          <w:tcPr>
            <w:tcW w:w="0" w:type="auto"/>
            <w:hideMark/>
          </w:tcPr>
          <w:p w14:paraId="4BDC6617" w14:textId="77777777" w:rsidR="00D318D8" w:rsidRDefault="00D318D8" w:rsidP="00E80310">
            <w:pPr>
              <w:pStyle w:val="NormalWeb"/>
              <w:jc w:val="center"/>
            </w:pPr>
            <w:r>
              <w:t>2</w:t>
            </w:r>
          </w:p>
        </w:tc>
        <w:tc>
          <w:tcPr>
            <w:tcW w:w="1000" w:type="dxa"/>
            <w:hideMark/>
          </w:tcPr>
          <w:p w14:paraId="6145571F" w14:textId="77777777" w:rsidR="00D318D8" w:rsidRDefault="00D318D8" w:rsidP="00E80310">
            <w:pPr>
              <w:pStyle w:val="NormalWeb"/>
              <w:jc w:val="center"/>
            </w:pPr>
            <w:r>
              <w:t>38</w:t>
            </w:r>
          </w:p>
        </w:tc>
        <w:tc>
          <w:tcPr>
            <w:tcW w:w="1749" w:type="dxa"/>
            <w:hideMark/>
          </w:tcPr>
          <w:p w14:paraId="3C2C2724" w14:textId="77777777" w:rsidR="00D318D8" w:rsidRDefault="00D318D8" w:rsidP="00E80310">
            <w:pPr>
              <w:pStyle w:val="NormalWeb"/>
              <w:jc w:val="center"/>
            </w:pPr>
            <w:r>
              <w:t>36.8%</w:t>
            </w:r>
          </w:p>
        </w:tc>
        <w:tc>
          <w:tcPr>
            <w:tcW w:w="1251" w:type="dxa"/>
            <w:hideMark/>
          </w:tcPr>
          <w:p w14:paraId="04E6529E" w14:textId="77777777" w:rsidR="00D318D8" w:rsidRDefault="00D318D8" w:rsidP="00E80310">
            <w:pPr>
              <w:pStyle w:val="NormalWeb"/>
              <w:jc w:val="center"/>
            </w:pPr>
            <w:r>
              <w:t>10.5%</w:t>
            </w:r>
          </w:p>
        </w:tc>
        <w:tc>
          <w:tcPr>
            <w:tcW w:w="0" w:type="auto"/>
            <w:hideMark/>
          </w:tcPr>
          <w:p w14:paraId="12FC3644" w14:textId="77777777" w:rsidR="00D318D8" w:rsidRDefault="00D318D8" w:rsidP="00E80310">
            <w:pPr>
              <w:pStyle w:val="NormalWeb"/>
              <w:jc w:val="center"/>
            </w:pPr>
            <w:r>
              <w:t>5.3%</w:t>
            </w:r>
          </w:p>
        </w:tc>
      </w:tr>
      <w:tr w:rsidR="00D318D8" w14:paraId="50BB1006" w14:textId="77777777" w:rsidTr="00F14B7E">
        <w:tblPrEx>
          <w:tblCellMar>
            <w:top w:w="57" w:type="dxa"/>
            <w:left w:w="57" w:type="dxa"/>
            <w:bottom w:w="57" w:type="dxa"/>
            <w:right w:w="57" w:type="dxa"/>
          </w:tblCellMar>
        </w:tblPrEx>
        <w:tc>
          <w:tcPr>
            <w:tcW w:w="0" w:type="auto"/>
            <w:hideMark/>
          </w:tcPr>
          <w:p w14:paraId="40687621" w14:textId="77777777" w:rsidR="00D318D8" w:rsidRDefault="00D318D8" w:rsidP="00E80310">
            <w:pPr>
              <w:pStyle w:val="NormalWeb"/>
            </w:pPr>
            <w:r>
              <w:t>80–89</w:t>
            </w:r>
          </w:p>
        </w:tc>
        <w:tc>
          <w:tcPr>
            <w:tcW w:w="0" w:type="auto"/>
            <w:hideMark/>
          </w:tcPr>
          <w:p w14:paraId="0288B0E0" w14:textId="77777777" w:rsidR="00D318D8" w:rsidRDefault="00D318D8" w:rsidP="00E80310">
            <w:pPr>
              <w:pStyle w:val="NormalWeb"/>
              <w:jc w:val="center"/>
            </w:pPr>
            <w:r>
              <w:t>1</w:t>
            </w:r>
          </w:p>
        </w:tc>
        <w:tc>
          <w:tcPr>
            <w:tcW w:w="0" w:type="auto"/>
            <w:hideMark/>
          </w:tcPr>
          <w:p w14:paraId="50F62F88" w14:textId="77777777" w:rsidR="00D318D8" w:rsidRDefault="00D318D8" w:rsidP="00E80310">
            <w:pPr>
              <w:pStyle w:val="NormalWeb"/>
              <w:jc w:val="center"/>
            </w:pPr>
            <w:r>
              <w:t>2</w:t>
            </w:r>
          </w:p>
        </w:tc>
        <w:tc>
          <w:tcPr>
            <w:tcW w:w="0" w:type="auto"/>
            <w:hideMark/>
          </w:tcPr>
          <w:p w14:paraId="0F8A4A0E" w14:textId="77777777" w:rsidR="00D318D8" w:rsidRDefault="00D318D8" w:rsidP="00E80310">
            <w:pPr>
              <w:pStyle w:val="NormalWeb"/>
              <w:jc w:val="center"/>
            </w:pPr>
            <w:r>
              <w:t>0</w:t>
            </w:r>
          </w:p>
        </w:tc>
        <w:tc>
          <w:tcPr>
            <w:tcW w:w="0" w:type="auto"/>
            <w:hideMark/>
          </w:tcPr>
          <w:p w14:paraId="4747B6CE" w14:textId="77777777" w:rsidR="00D318D8" w:rsidRDefault="00D318D8" w:rsidP="00E80310">
            <w:pPr>
              <w:pStyle w:val="NormalWeb"/>
              <w:jc w:val="center"/>
            </w:pPr>
            <w:r>
              <w:t>2</w:t>
            </w:r>
          </w:p>
        </w:tc>
        <w:tc>
          <w:tcPr>
            <w:tcW w:w="1000" w:type="dxa"/>
            <w:hideMark/>
          </w:tcPr>
          <w:p w14:paraId="253CCDC3" w14:textId="77777777" w:rsidR="00D318D8" w:rsidRDefault="00D318D8" w:rsidP="00E80310">
            <w:pPr>
              <w:pStyle w:val="NormalWeb"/>
              <w:jc w:val="center"/>
            </w:pPr>
            <w:r>
              <w:t>5</w:t>
            </w:r>
          </w:p>
        </w:tc>
        <w:tc>
          <w:tcPr>
            <w:tcW w:w="1749" w:type="dxa"/>
            <w:hideMark/>
          </w:tcPr>
          <w:p w14:paraId="28AE6BE9" w14:textId="77777777" w:rsidR="00D318D8" w:rsidRDefault="00D318D8" w:rsidP="00E80310">
            <w:pPr>
              <w:pStyle w:val="NormalWeb"/>
              <w:jc w:val="center"/>
            </w:pPr>
            <w:r>
              <w:t>40.0%</w:t>
            </w:r>
          </w:p>
        </w:tc>
        <w:tc>
          <w:tcPr>
            <w:tcW w:w="1251" w:type="dxa"/>
            <w:hideMark/>
          </w:tcPr>
          <w:p w14:paraId="466E9AB8" w14:textId="77777777" w:rsidR="00D318D8" w:rsidRDefault="00D318D8" w:rsidP="00E80310">
            <w:pPr>
              <w:pStyle w:val="NormalWeb"/>
              <w:jc w:val="center"/>
            </w:pPr>
            <w:r>
              <w:t>0.0%</w:t>
            </w:r>
          </w:p>
        </w:tc>
        <w:tc>
          <w:tcPr>
            <w:tcW w:w="0" w:type="auto"/>
            <w:hideMark/>
          </w:tcPr>
          <w:p w14:paraId="1C324CDA" w14:textId="77777777" w:rsidR="00D318D8" w:rsidRDefault="00D318D8" w:rsidP="00E80310">
            <w:pPr>
              <w:pStyle w:val="NormalWeb"/>
              <w:jc w:val="center"/>
            </w:pPr>
            <w:r>
              <w:t>40.0%</w:t>
            </w:r>
          </w:p>
        </w:tc>
      </w:tr>
      <w:tr w:rsidR="00D318D8" w14:paraId="6A304D80"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362A54D" w14:textId="77777777" w:rsidR="00D318D8" w:rsidRDefault="00D318D8" w:rsidP="00E80310">
            <w:pPr>
              <w:pStyle w:val="NormalWeb"/>
            </w:pPr>
            <w:r>
              <w:t>90+</w:t>
            </w:r>
          </w:p>
        </w:tc>
        <w:tc>
          <w:tcPr>
            <w:tcW w:w="0" w:type="auto"/>
            <w:hideMark/>
          </w:tcPr>
          <w:p w14:paraId="6A6C3CC2" w14:textId="77777777" w:rsidR="00D318D8" w:rsidRDefault="00D318D8" w:rsidP="00E80310">
            <w:pPr>
              <w:pStyle w:val="NormalWeb"/>
              <w:jc w:val="center"/>
            </w:pPr>
            <w:r>
              <w:t>1</w:t>
            </w:r>
          </w:p>
        </w:tc>
        <w:tc>
          <w:tcPr>
            <w:tcW w:w="0" w:type="auto"/>
            <w:hideMark/>
          </w:tcPr>
          <w:p w14:paraId="5563CABF" w14:textId="77777777" w:rsidR="00D318D8" w:rsidRDefault="00D318D8" w:rsidP="00E80310">
            <w:pPr>
              <w:pStyle w:val="NormalWeb"/>
              <w:jc w:val="center"/>
            </w:pPr>
            <w:r>
              <w:t>1</w:t>
            </w:r>
          </w:p>
        </w:tc>
        <w:tc>
          <w:tcPr>
            <w:tcW w:w="0" w:type="auto"/>
            <w:hideMark/>
          </w:tcPr>
          <w:p w14:paraId="7065ED48" w14:textId="77777777" w:rsidR="00D318D8" w:rsidRDefault="00D318D8" w:rsidP="00E80310">
            <w:pPr>
              <w:pStyle w:val="NormalWeb"/>
              <w:jc w:val="center"/>
            </w:pPr>
            <w:r>
              <w:t>0</w:t>
            </w:r>
          </w:p>
        </w:tc>
        <w:tc>
          <w:tcPr>
            <w:tcW w:w="0" w:type="auto"/>
            <w:hideMark/>
          </w:tcPr>
          <w:p w14:paraId="114CD294" w14:textId="77777777" w:rsidR="00D318D8" w:rsidRDefault="00D318D8" w:rsidP="00E80310">
            <w:pPr>
              <w:pStyle w:val="NormalWeb"/>
              <w:jc w:val="center"/>
            </w:pPr>
            <w:r>
              <w:t>0</w:t>
            </w:r>
          </w:p>
        </w:tc>
        <w:tc>
          <w:tcPr>
            <w:tcW w:w="1000" w:type="dxa"/>
            <w:hideMark/>
          </w:tcPr>
          <w:p w14:paraId="4B372F23" w14:textId="77777777" w:rsidR="00D318D8" w:rsidRDefault="00D318D8" w:rsidP="00E80310">
            <w:pPr>
              <w:pStyle w:val="NormalWeb"/>
              <w:jc w:val="center"/>
            </w:pPr>
            <w:r>
              <w:t>2</w:t>
            </w:r>
          </w:p>
        </w:tc>
        <w:tc>
          <w:tcPr>
            <w:tcW w:w="1749" w:type="dxa"/>
            <w:hideMark/>
          </w:tcPr>
          <w:p w14:paraId="1F183479" w14:textId="77777777" w:rsidR="00D318D8" w:rsidRDefault="00D318D8" w:rsidP="00E80310">
            <w:pPr>
              <w:pStyle w:val="NormalWeb"/>
              <w:jc w:val="center"/>
            </w:pPr>
            <w:r>
              <w:t>50.0%</w:t>
            </w:r>
          </w:p>
        </w:tc>
        <w:tc>
          <w:tcPr>
            <w:tcW w:w="1251" w:type="dxa"/>
            <w:hideMark/>
          </w:tcPr>
          <w:p w14:paraId="7EA1C8DD" w14:textId="77777777" w:rsidR="00D318D8" w:rsidRDefault="00D318D8" w:rsidP="00E80310">
            <w:pPr>
              <w:pStyle w:val="NormalWeb"/>
              <w:jc w:val="center"/>
            </w:pPr>
            <w:r>
              <w:t>0.0%</w:t>
            </w:r>
          </w:p>
        </w:tc>
        <w:tc>
          <w:tcPr>
            <w:tcW w:w="0" w:type="auto"/>
            <w:hideMark/>
          </w:tcPr>
          <w:p w14:paraId="1FA3CE5B" w14:textId="77777777" w:rsidR="00D318D8" w:rsidRDefault="00D318D8" w:rsidP="00E80310">
            <w:pPr>
              <w:pStyle w:val="NormalWeb"/>
              <w:jc w:val="center"/>
            </w:pPr>
            <w:r>
              <w:t>0.0%</w:t>
            </w:r>
          </w:p>
        </w:tc>
      </w:tr>
      <w:tr w:rsidR="00D318D8" w14:paraId="654494BA" w14:textId="77777777" w:rsidTr="00F14B7E">
        <w:tblPrEx>
          <w:tblCellMar>
            <w:top w:w="57" w:type="dxa"/>
            <w:left w:w="57" w:type="dxa"/>
            <w:bottom w:w="57" w:type="dxa"/>
            <w:right w:w="57" w:type="dxa"/>
          </w:tblCellMar>
        </w:tblPrEx>
        <w:tc>
          <w:tcPr>
            <w:tcW w:w="0" w:type="auto"/>
            <w:hideMark/>
          </w:tcPr>
          <w:p w14:paraId="5A1A1C89" w14:textId="77777777" w:rsidR="00D318D8" w:rsidRDefault="00D318D8" w:rsidP="00E80310">
            <w:pPr>
              <w:pStyle w:val="NormalWeb"/>
            </w:pPr>
            <w:r>
              <w:t>Unknown</w:t>
            </w:r>
          </w:p>
        </w:tc>
        <w:tc>
          <w:tcPr>
            <w:tcW w:w="0" w:type="auto"/>
            <w:hideMark/>
          </w:tcPr>
          <w:p w14:paraId="36C5A955" w14:textId="77777777" w:rsidR="00D318D8" w:rsidRDefault="00D318D8" w:rsidP="00E80310">
            <w:pPr>
              <w:pStyle w:val="NormalWeb"/>
              <w:jc w:val="center"/>
            </w:pPr>
            <w:r>
              <w:t>0</w:t>
            </w:r>
          </w:p>
        </w:tc>
        <w:tc>
          <w:tcPr>
            <w:tcW w:w="0" w:type="auto"/>
            <w:hideMark/>
          </w:tcPr>
          <w:p w14:paraId="57FDFB7E" w14:textId="77777777" w:rsidR="00D318D8" w:rsidRDefault="00D318D8" w:rsidP="00E80310">
            <w:pPr>
              <w:pStyle w:val="NormalWeb"/>
              <w:jc w:val="center"/>
            </w:pPr>
            <w:r>
              <w:t>0</w:t>
            </w:r>
          </w:p>
        </w:tc>
        <w:tc>
          <w:tcPr>
            <w:tcW w:w="0" w:type="auto"/>
            <w:hideMark/>
          </w:tcPr>
          <w:p w14:paraId="45A5F3E7" w14:textId="77777777" w:rsidR="00D318D8" w:rsidRDefault="00D318D8" w:rsidP="00E80310">
            <w:pPr>
              <w:pStyle w:val="NormalWeb"/>
              <w:jc w:val="center"/>
            </w:pPr>
            <w:r>
              <w:t>0</w:t>
            </w:r>
          </w:p>
        </w:tc>
        <w:tc>
          <w:tcPr>
            <w:tcW w:w="0" w:type="auto"/>
            <w:hideMark/>
          </w:tcPr>
          <w:p w14:paraId="0A8ACAAD" w14:textId="77777777" w:rsidR="00D318D8" w:rsidRDefault="00D318D8" w:rsidP="00E80310">
            <w:pPr>
              <w:pStyle w:val="NormalWeb"/>
              <w:jc w:val="center"/>
            </w:pPr>
            <w:r>
              <w:t>0</w:t>
            </w:r>
          </w:p>
        </w:tc>
        <w:tc>
          <w:tcPr>
            <w:tcW w:w="1000" w:type="dxa"/>
            <w:hideMark/>
          </w:tcPr>
          <w:p w14:paraId="098DF597" w14:textId="77777777" w:rsidR="00D318D8" w:rsidRDefault="00D318D8" w:rsidP="00E80310">
            <w:pPr>
              <w:pStyle w:val="NormalWeb"/>
              <w:jc w:val="center"/>
            </w:pPr>
            <w:r>
              <w:t>0</w:t>
            </w:r>
          </w:p>
        </w:tc>
        <w:tc>
          <w:tcPr>
            <w:tcW w:w="1749" w:type="dxa"/>
            <w:hideMark/>
          </w:tcPr>
          <w:p w14:paraId="261351D0" w14:textId="77777777" w:rsidR="00D318D8" w:rsidRDefault="00D318D8" w:rsidP="00E80310">
            <w:pPr>
              <w:pStyle w:val="NormalWeb"/>
              <w:jc w:val="center"/>
            </w:pPr>
            <w:r>
              <w:t>0.0%</w:t>
            </w:r>
          </w:p>
        </w:tc>
        <w:tc>
          <w:tcPr>
            <w:tcW w:w="1251" w:type="dxa"/>
            <w:hideMark/>
          </w:tcPr>
          <w:p w14:paraId="4E3655A1" w14:textId="77777777" w:rsidR="00D318D8" w:rsidRDefault="00D318D8" w:rsidP="00E80310">
            <w:pPr>
              <w:pStyle w:val="NormalWeb"/>
              <w:jc w:val="center"/>
            </w:pPr>
            <w:r>
              <w:t>0.0%</w:t>
            </w:r>
          </w:p>
        </w:tc>
        <w:tc>
          <w:tcPr>
            <w:tcW w:w="0" w:type="auto"/>
            <w:hideMark/>
          </w:tcPr>
          <w:p w14:paraId="157FDCC1" w14:textId="77777777" w:rsidR="00D318D8" w:rsidRDefault="00D318D8" w:rsidP="00E80310">
            <w:pPr>
              <w:pStyle w:val="NormalWeb"/>
              <w:jc w:val="center"/>
            </w:pPr>
            <w:r>
              <w:t>0.0%</w:t>
            </w:r>
          </w:p>
        </w:tc>
      </w:tr>
      <w:tr w:rsidR="00D318D8" w:rsidRPr="000F44A4" w14:paraId="77614B84" w14:textId="77777777" w:rsidTr="00F14B7E">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130AA1C1" w14:textId="77777777" w:rsidR="00D318D8" w:rsidRPr="000F44A4" w:rsidRDefault="00D318D8" w:rsidP="00E80310">
            <w:pPr>
              <w:pStyle w:val="NormalWeb"/>
              <w:rPr>
                <w:b/>
                <w:bCs/>
              </w:rPr>
            </w:pPr>
            <w:r w:rsidRPr="000F44A4">
              <w:rPr>
                <w:b/>
                <w:bCs/>
              </w:rPr>
              <w:t>Total</w:t>
            </w:r>
          </w:p>
        </w:tc>
        <w:tc>
          <w:tcPr>
            <w:tcW w:w="0" w:type="auto"/>
            <w:shd w:val="clear" w:color="auto" w:fill="FDE9D9" w:themeFill="accent6" w:themeFillTint="33"/>
            <w:hideMark/>
          </w:tcPr>
          <w:p w14:paraId="19EC1819" w14:textId="77777777" w:rsidR="00D318D8" w:rsidRPr="000F44A4" w:rsidRDefault="00D318D8" w:rsidP="00E80310">
            <w:pPr>
              <w:pStyle w:val="NormalWeb"/>
              <w:jc w:val="center"/>
              <w:rPr>
                <w:b/>
                <w:bCs/>
              </w:rPr>
            </w:pPr>
            <w:r w:rsidRPr="000F44A4">
              <w:rPr>
                <w:b/>
                <w:bCs/>
              </w:rPr>
              <w:t>4,506</w:t>
            </w:r>
          </w:p>
        </w:tc>
        <w:tc>
          <w:tcPr>
            <w:tcW w:w="0" w:type="auto"/>
            <w:shd w:val="clear" w:color="auto" w:fill="FDE9D9" w:themeFill="accent6" w:themeFillTint="33"/>
            <w:hideMark/>
          </w:tcPr>
          <w:p w14:paraId="1165264A" w14:textId="77777777" w:rsidR="00D318D8" w:rsidRPr="000F44A4" w:rsidRDefault="00D318D8" w:rsidP="00E80310">
            <w:pPr>
              <w:pStyle w:val="NormalWeb"/>
              <w:jc w:val="center"/>
              <w:rPr>
                <w:b/>
                <w:bCs/>
              </w:rPr>
            </w:pPr>
            <w:r w:rsidRPr="000F44A4">
              <w:rPr>
                <w:b/>
                <w:bCs/>
              </w:rPr>
              <w:t>533</w:t>
            </w:r>
          </w:p>
        </w:tc>
        <w:tc>
          <w:tcPr>
            <w:tcW w:w="0" w:type="auto"/>
            <w:shd w:val="clear" w:color="auto" w:fill="FDE9D9" w:themeFill="accent6" w:themeFillTint="33"/>
            <w:hideMark/>
          </w:tcPr>
          <w:p w14:paraId="707AA8FD" w14:textId="77777777" w:rsidR="00D318D8" w:rsidRPr="000F44A4" w:rsidRDefault="00D318D8" w:rsidP="00E80310">
            <w:pPr>
              <w:pStyle w:val="NormalWeb"/>
              <w:jc w:val="center"/>
              <w:rPr>
                <w:b/>
                <w:bCs/>
              </w:rPr>
            </w:pPr>
            <w:r w:rsidRPr="000F44A4">
              <w:rPr>
                <w:b/>
                <w:bCs/>
              </w:rPr>
              <w:t>59</w:t>
            </w:r>
          </w:p>
        </w:tc>
        <w:tc>
          <w:tcPr>
            <w:tcW w:w="0" w:type="auto"/>
            <w:shd w:val="clear" w:color="auto" w:fill="FDE9D9" w:themeFill="accent6" w:themeFillTint="33"/>
            <w:hideMark/>
          </w:tcPr>
          <w:p w14:paraId="2CB1F663" w14:textId="77777777" w:rsidR="00D318D8" w:rsidRPr="000F44A4" w:rsidRDefault="00D318D8" w:rsidP="00E80310">
            <w:pPr>
              <w:pStyle w:val="NormalWeb"/>
              <w:jc w:val="center"/>
              <w:rPr>
                <w:b/>
                <w:bCs/>
              </w:rPr>
            </w:pPr>
            <w:r w:rsidRPr="000F44A4">
              <w:rPr>
                <w:b/>
                <w:bCs/>
              </w:rPr>
              <w:t>12</w:t>
            </w:r>
          </w:p>
        </w:tc>
        <w:tc>
          <w:tcPr>
            <w:tcW w:w="1000" w:type="dxa"/>
            <w:shd w:val="clear" w:color="auto" w:fill="FDE9D9" w:themeFill="accent6" w:themeFillTint="33"/>
            <w:hideMark/>
          </w:tcPr>
          <w:p w14:paraId="4245ECD6" w14:textId="77777777" w:rsidR="00D318D8" w:rsidRPr="000F44A4" w:rsidRDefault="00D318D8" w:rsidP="00E80310">
            <w:pPr>
              <w:pStyle w:val="NormalWeb"/>
              <w:jc w:val="center"/>
              <w:rPr>
                <w:b/>
                <w:bCs/>
              </w:rPr>
            </w:pPr>
            <w:r w:rsidRPr="000F44A4">
              <w:rPr>
                <w:b/>
                <w:bCs/>
              </w:rPr>
              <w:t>5,110</w:t>
            </w:r>
          </w:p>
        </w:tc>
        <w:tc>
          <w:tcPr>
            <w:tcW w:w="1749" w:type="dxa"/>
            <w:shd w:val="clear" w:color="auto" w:fill="FDE9D9" w:themeFill="accent6" w:themeFillTint="33"/>
            <w:hideMark/>
          </w:tcPr>
          <w:p w14:paraId="0F9BA26A" w14:textId="77777777" w:rsidR="00D318D8" w:rsidRPr="000F44A4" w:rsidRDefault="00D318D8" w:rsidP="00E80310">
            <w:pPr>
              <w:pStyle w:val="NormalWeb"/>
              <w:jc w:val="center"/>
              <w:rPr>
                <w:b/>
                <w:bCs/>
              </w:rPr>
            </w:pPr>
            <w:r w:rsidRPr="000F44A4">
              <w:rPr>
                <w:b/>
                <w:bCs/>
              </w:rPr>
              <w:t>10.4%</w:t>
            </w:r>
          </w:p>
        </w:tc>
        <w:tc>
          <w:tcPr>
            <w:tcW w:w="1251" w:type="dxa"/>
            <w:shd w:val="clear" w:color="auto" w:fill="FDE9D9" w:themeFill="accent6" w:themeFillTint="33"/>
            <w:hideMark/>
          </w:tcPr>
          <w:p w14:paraId="60B279B9" w14:textId="77777777" w:rsidR="00D318D8" w:rsidRPr="000F44A4" w:rsidRDefault="00D318D8" w:rsidP="00E80310">
            <w:pPr>
              <w:pStyle w:val="NormalWeb"/>
              <w:jc w:val="center"/>
              <w:rPr>
                <w:b/>
                <w:bCs/>
              </w:rPr>
            </w:pPr>
            <w:r w:rsidRPr="000F44A4">
              <w:rPr>
                <w:b/>
                <w:bCs/>
              </w:rPr>
              <w:t>1.2%</w:t>
            </w:r>
          </w:p>
        </w:tc>
        <w:tc>
          <w:tcPr>
            <w:tcW w:w="0" w:type="auto"/>
            <w:shd w:val="clear" w:color="auto" w:fill="FDE9D9" w:themeFill="accent6" w:themeFillTint="33"/>
            <w:hideMark/>
          </w:tcPr>
          <w:p w14:paraId="39F49768" w14:textId="77777777" w:rsidR="00D318D8" w:rsidRPr="000F44A4" w:rsidRDefault="00D318D8" w:rsidP="00E80310">
            <w:pPr>
              <w:pStyle w:val="NormalWeb"/>
              <w:jc w:val="center"/>
              <w:rPr>
                <w:b/>
                <w:bCs/>
              </w:rPr>
            </w:pPr>
            <w:r w:rsidRPr="000F44A4">
              <w:rPr>
                <w:b/>
                <w:bCs/>
              </w:rPr>
              <w:t>0.2%</w:t>
            </w:r>
          </w:p>
        </w:tc>
      </w:tr>
    </w:tbl>
    <w:p w14:paraId="6A9B05E1" w14:textId="77777777" w:rsidR="00D318D8" w:rsidRDefault="00D318D8" w:rsidP="00D318D8">
      <w:pPr>
        <w:pStyle w:val="CDIfootnotes"/>
        <w:rPr>
          <w:lang w:val="en-GB"/>
        </w:rPr>
      </w:pPr>
      <w:r>
        <w:rPr>
          <w:lang w:val="en-GB"/>
        </w:rPr>
        <w:t>a</w:t>
      </w:r>
      <w:r>
        <w:rPr>
          <w:lang w:val="en-GB"/>
        </w:rPr>
        <w:tab/>
        <w:t>Source: NINDSS, extract from 26 October 2021. Includes cases notified from 1 January 2021, with an illness onset up to 10 October 2021. Cases with an illness onset in the last two weeks (11 to 24 October 2021) were excluded to account for the delay between onset and development of severe illness.</w:t>
      </w:r>
    </w:p>
    <w:p w14:paraId="6B78AF48" w14:textId="31C6F075" w:rsidR="00D318D8" w:rsidRPr="00D318D8" w:rsidRDefault="00D318D8" w:rsidP="00D318D8">
      <w:pPr>
        <w:pStyle w:val="CDIfootnotes"/>
        <w:rPr>
          <w:lang w:val="en-GB"/>
        </w:rPr>
      </w:pPr>
      <w:r>
        <w:rPr>
          <w:lang w:val="en-GB"/>
        </w:rPr>
        <w:t>b</w:t>
      </w:r>
      <w:r>
        <w:rPr>
          <w:lang w:val="en-GB"/>
        </w:rPr>
        <w:tab/>
        <w:t xml:space="preserve">‘Not severe’ includes all cases that were not hospitalised, admitted to </w:t>
      </w:r>
      <w:proofErr w:type="gramStart"/>
      <w:r>
        <w:rPr>
          <w:lang w:val="en-GB"/>
        </w:rPr>
        <w:t>ICU</w:t>
      </w:r>
      <w:proofErr w:type="gramEnd"/>
      <w:r>
        <w:rPr>
          <w:lang w:val="en-GB"/>
        </w:rPr>
        <w:t xml:space="preserve"> or died.</w:t>
      </w:r>
    </w:p>
    <w:p w14:paraId="7D885809" w14:textId="77777777" w:rsidR="00F71708" w:rsidRDefault="00F71708">
      <w:pPr>
        <w:rPr>
          <w:rFonts w:asciiTheme="majorHAnsi" w:eastAsiaTheme="majorEastAsia" w:hAnsiTheme="majorHAnsi" w:cstheme="majorBidi"/>
          <w:b/>
          <w:bCs/>
          <w:sz w:val="26"/>
          <w:szCs w:val="26"/>
        </w:rPr>
      </w:pPr>
      <w:r>
        <w:br w:type="page"/>
      </w:r>
    </w:p>
    <w:p w14:paraId="18D86F54" w14:textId="4A14081F" w:rsidR="00633079" w:rsidRPr="00633079" w:rsidRDefault="00633079" w:rsidP="00633079">
      <w:pPr>
        <w:pStyle w:val="Heading2"/>
      </w:pPr>
      <w:r w:rsidRPr="00633079">
        <w:lastRenderedPageBreak/>
        <w:t xml:space="preserve">Vaccinations </w:t>
      </w:r>
    </w:p>
    <w:p w14:paraId="4233963F" w14:textId="77777777" w:rsidR="00633079" w:rsidRPr="00F67CD4" w:rsidRDefault="00633079" w:rsidP="00F67CD4">
      <w:pPr>
        <w:pStyle w:val="Heading3"/>
        <w:rPr>
          <w:i/>
          <w:iCs/>
        </w:rPr>
      </w:pPr>
      <w:r w:rsidRPr="00F67CD4">
        <w:rPr>
          <w:i/>
          <w:iCs/>
        </w:rPr>
        <w:t xml:space="preserve">(Department of Health) </w:t>
      </w:r>
    </w:p>
    <w:p w14:paraId="5017D995" w14:textId="428349C6" w:rsidR="00633079" w:rsidRDefault="00633079" w:rsidP="00633079">
      <w:r>
        <w:t xml:space="preserve">As of 24 October 2021, a total of 34,364,950 doses of COVID-19 vaccine had been administered (Table 5), including 1,103,510 doses provided to aged care and disability residents. Nationally, 17,899,161 people aged 16 years or over (86.8%) had received at least one dose. This includes 15,140,516 people aged 16 and over (73.4%) who were fully vaccinated (Table 5). Among people aged 12–15 years, 793,696 people (63.8%) had received at least one dose, including 428,747 (34.5%) who were fully vaccinated. </w:t>
      </w:r>
    </w:p>
    <w:p w14:paraId="64A4CCA3" w14:textId="77777777" w:rsidR="00994B28" w:rsidRDefault="00994B28" w:rsidP="00994B28">
      <w:pPr>
        <w:pStyle w:val="NormalWeb"/>
        <w:rPr>
          <w:lang w:val="en-GB"/>
        </w:rPr>
      </w:pPr>
      <w:r>
        <w:rPr>
          <w:rStyle w:val="Strong"/>
          <w:lang w:val="en-GB"/>
        </w:rPr>
        <w:t>Table 5: Total number of vaccinations administered, by jurisdiction, Australia, 24 October 2021</w:t>
      </w:r>
      <w:r w:rsidRPr="00D90481">
        <w:rPr>
          <w:rStyle w:val="Strong"/>
          <w:vertAlign w:val="superscript"/>
          <w:lang w:val="en-GB"/>
        </w:rPr>
        <w:t>a</w:t>
      </w:r>
    </w:p>
    <w:tbl>
      <w:tblPr>
        <w:tblStyle w:val="CDI-StandardTable"/>
        <w:tblW w:w="0" w:type="auto"/>
        <w:tblLook w:val="04A0" w:firstRow="1" w:lastRow="0" w:firstColumn="1" w:lastColumn="0" w:noHBand="0" w:noVBand="1"/>
        <w:tblDescription w:val="Table 5 shows the total number of vaccinations administered to date within each jurisdiction, noting also the Commonwealth-administered vaccinations provided to residents in aged care and disability settings and those administered in primary care settings. Of the 34,364,950 vaccinations administered as of 24 October 2021, slightly more than half (19,023,314 vaccinations) have been administered in primary care settings, with a further 1,103,510 vaccines administered to those in aged care and disability facilities. Of the doses administered by the states and territories, the greatest number has been administered by authorities in New South Wales (12,114,895 doses), followed by 9,421,011 doses administered by authorities in Victoria. Nationwide as of 24 October 2021, a total of 86.8% of people aged 16 or over had received at least one dose of the vaccine, with 73.4% of people aged 16 or over fully vaccinated.&#10;"/>
      </w:tblPr>
      <w:tblGrid>
        <w:gridCol w:w="3261"/>
        <w:gridCol w:w="1701"/>
        <w:gridCol w:w="2976"/>
        <w:gridCol w:w="2528"/>
      </w:tblGrid>
      <w:tr w:rsidR="00994B28" w:rsidRPr="00824ED1" w14:paraId="35268E51" w14:textId="77777777" w:rsidTr="001365EF">
        <w:trPr>
          <w:cnfStyle w:val="100000000000" w:firstRow="1" w:lastRow="0" w:firstColumn="0" w:lastColumn="0" w:oddVBand="0" w:evenVBand="0" w:oddHBand="0" w:evenHBand="0" w:firstRowFirstColumn="0" w:firstRowLastColumn="0" w:lastRowFirstColumn="0" w:lastRowLastColumn="0"/>
        </w:trPr>
        <w:tc>
          <w:tcPr>
            <w:tcW w:w="3261" w:type="dxa"/>
            <w:tcBorders>
              <w:right w:val="single" w:sz="2" w:space="0" w:color="FFFFFF" w:themeColor="background1"/>
            </w:tcBorders>
            <w:hideMark/>
          </w:tcPr>
          <w:p w14:paraId="214B66F4" w14:textId="77777777" w:rsidR="00994B28" w:rsidRPr="00824ED1" w:rsidRDefault="00994B28" w:rsidP="00E80310">
            <w:pPr>
              <w:pStyle w:val="NormalWeb"/>
              <w:rPr>
                <w:color w:val="FFFFFF" w:themeColor="background1"/>
              </w:rPr>
            </w:pPr>
            <w:r w:rsidRPr="00824ED1">
              <w:rPr>
                <w:color w:val="FFFFFF" w:themeColor="background1"/>
              </w:rPr>
              <w:t>Jurisdiction</w:t>
            </w:r>
          </w:p>
        </w:tc>
        <w:tc>
          <w:tcPr>
            <w:tcW w:w="1701" w:type="dxa"/>
            <w:tcBorders>
              <w:left w:val="single" w:sz="2" w:space="0" w:color="FFFFFF" w:themeColor="background1"/>
              <w:right w:val="single" w:sz="2" w:space="0" w:color="FFFFFF" w:themeColor="background1"/>
            </w:tcBorders>
            <w:hideMark/>
          </w:tcPr>
          <w:p w14:paraId="64B95B08" w14:textId="77777777" w:rsidR="00994B28" w:rsidRPr="00824ED1" w:rsidRDefault="00994B28" w:rsidP="00E80310">
            <w:pPr>
              <w:pStyle w:val="NormalWeb"/>
              <w:jc w:val="center"/>
              <w:rPr>
                <w:color w:val="FFFFFF" w:themeColor="background1"/>
              </w:rPr>
            </w:pPr>
            <w:r w:rsidRPr="00824ED1">
              <w:rPr>
                <w:color w:val="FFFFFF" w:themeColor="background1"/>
              </w:rPr>
              <w:t>Total number of doses administered</w:t>
            </w:r>
          </w:p>
        </w:tc>
        <w:tc>
          <w:tcPr>
            <w:tcW w:w="2976" w:type="dxa"/>
            <w:tcBorders>
              <w:left w:val="single" w:sz="2" w:space="0" w:color="FFFFFF" w:themeColor="background1"/>
              <w:right w:val="single" w:sz="2" w:space="0" w:color="FFFFFF" w:themeColor="background1"/>
            </w:tcBorders>
            <w:hideMark/>
          </w:tcPr>
          <w:p w14:paraId="35E62B2E" w14:textId="77777777" w:rsidR="00994B28" w:rsidRPr="00824ED1" w:rsidRDefault="00994B28" w:rsidP="00E80310">
            <w:pPr>
              <w:pStyle w:val="NormalWeb"/>
              <w:jc w:val="center"/>
              <w:rPr>
                <w:color w:val="FFFFFF" w:themeColor="background1"/>
              </w:rPr>
            </w:pPr>
            <w:r w:rsidRPr="00824ED1">
              <w:rPr>
                <w:color w:val="FFFFFF" w:themeColor="background1"/>
              </w:rPr>
              <w:t xml:space="preserve">Percentage of people aged 16 and over who have had at least one </w:t>
            </w:r>
            <w:proofErr w:type="spellStart"/>
            <w:r w:rsidRPr="00824ED1">
              <w:rPr>
                <w:color w:val="FFFFFF" w:themeColor="background1"/>
              </w:rPr>
              <w:t>dose</w:t>
            </w:r>
            <w:r w:rsidRPr="00D501BC">
              <w:rPr>
                <w:color w:val="FFFFFF" w:themeColor="background1"/>
                <w:vertAlign w:val="superscript"/>
              </w:rPr>
              <w:t>b</w:t>
            </w:r>
            <w:proofErr w:type="spellEnd"/>
          </w:p>
        </w:tc>
        <w:tc>
          <w:tcPr>
            <w:tcW w:w="2528" w:type="dxa"/>
            <w:tcBorders>
              <w:left w:val="single" w:sz="2" w:space="0" w:color="FFFFFF" w:themeColor="background1"/>
            </w:tcBorders>
            <w:hideMark/>
          </w:tcPr>
          <w:p w14:paraId="5A13656B" w14:textId="77777777" w:rsidR="00994B28" w:rsidRPr="00824ED1" w:rsidRDefault="00994B28" w:rsidP="00E80310">
            <w:pPr>
              <w:pStyle w:val="NormalWeb"/>
              <w:jc w:val="center"/>
              <w:rPr>
                <w:color w:val="FFFFFF" w:themeColor="background1"/>
              </w:rPr>
            </w:pPr>
            <w:r w:rsidRPr="00824ED1">
              <w:rPr>
                <w:color w:val="FFFFFF" w:themeColor="background1"/>
              </w:rPr>
              <w:t>Percentage of people aged 16 and over who are fully vaccinated</w:t>
            </w:r>
          </w:p>
        </w:tc>
      </w:tr>
      <w:tr w:rsidR="001365EF" w14:paraId="257D8B3C" w14:textId="77777777" w:rsidTr="001365EF">
        <w:tblPrEx>
          <w:tblCellMar>
            <w:top w:w="57" w:type="dxa"/>
            <w:left w:w="57" w:type="dxa"/>
            <w:bottom w:w="57" w:type="dxa"/>
            <w:right w:w="57" w:type="dxa"/>
          </w:tblCellMar>
        </w:tblPrEx>
        <w:tc>
          <w:tcPr>
            <w:tcW w:w="3261" w:type="dxa"/>
            <w:hideMark/>
          </w:tcPr>
          <w:p w14:paraId="232E881A" w14:textId="77777777" w:rsidR="00994B28" w:rsidRDefault="00994B28" w:rsidP="00E80310">
            <w:pPr>
              <w:pStyle w:val="NormalWeb"/>
            </w:pPr>
            <w:r>
              <w:t>ACT</w:t>
            </w:r>
          </w:p>
        </w:tc>
        <w:tc>
          <w:tcPr>
            <w:tcW w:w="1701" w:type="dxa"/>
            <w:hideMark/>
          </w:tcPr>
          <w:p w14:paraId="4B281CA5" w14:textId="77777777" w:rsidR="00994B28" w:rsidRDefault="00994B28" w:rsidP="00E80310">
            <w:pPr>
              <w:pStyle w:val="NormalWeb"/>
              <w:jc w:val="center"/>
            </w:pPr>
            <w:r>
              <w:t>855,730</w:t>
            </w:r>
          </w:p>
        </w:tc>
        <w:tc>
          <w:tcPr>
            <w:tcW w:w="2976" w:type="dxa"/>
            <w:hideMark/>
          </w:tcPr>
          <w:p w14:paraId="5CDFBF8E" w14:textId="77777777" w:rsidR="00994B28" w:rsidRDefault="00994B28" w:rsidP="00E80310">
            <w:pPr>
              <w:pStyle w:val="NormalWeb"/>
              <w:jc w:val="center"/>
            </w:pPr>
            <w:r>
              <w:t>&gt;95%</w:t>
            </w:r>
          </w:p>
        </w:tc>
        <w:tc>
          <w:tcPr>
            <w:tcW w:w="2528" w:type="dxa"/>
            <w:hideMark/>
          </w:tcPr>
          <w:p w14:paraId="0EC48DB8" w14:textId="77777777" w:rsidR="00994B28" w:rsidRDefault="00994B28" w:rsidP="00E80310">
            <w:pPr>
              <w:pStyle w:val="NormalWeb"/>
              <w:jc w:val="center"/>
            </w:pPr>
            <w:r>
              <w:t>87.9%</w:t>
            </w:r>
          </w:p>
        </w:tc>
      </w:tr>
      <w:tr w:rsidR="001365EF" w14:paraId="0F4AB120" w14:textId="77777777" w:rsidTr="001365E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5C5349E6" w14:textId="77777777" w:rsidR="00994B28" w:rsidRDefault="00994B28" w:rsidP="00E80310">
            <w:pPr>
              <w:pStyle w:val="NormalWeb"/>
            </w:pPr>
            <w:r>
              <w:t>NSW</w:t>
            </w:r>
          </w:p>
        </w:tc>
        <w:tc>
          <w:tcPr>
            <w:tcW w:w="1701" w:type="dxa"/>
            <w:hideMark/>
          </w:tcPr>
          <w:p w14:paraId="0246D2E0" w14:textId="77777777" w:rsidR="00994B28" w:rsidRDefault="00994B28" w:rsidP="00E80310">
            <w:pPr>
              <w:pStyle w:val="NormalWeb"/>
              <w:jc w:val="center"/>
            </w:pPr>
            <w:r>
              <w:t>12,114,895</w:t>
            </w:r>
          </w:p>
        </w:tc>
        <w:tc>
          <w:tcPr>
            <w:tcW w:w="2976" w:type="dxa"/>
            <w:hideMark/>
          </w:tcPr>
          <w:p w14:paraId="72149870" w14:textId="77777777" w:rsidR="00994B28" w:rsidRDefault="00994B28" w:rsidP="00E80310">
            <w:pPr>
              <w:pStyle w:val="NormalWeb"/>
              <w:jc w:val="center"/>
            </w:pPr>
            <w:r>
              <w:t>93.1%</w:t>
            </w:r>
          </w:p>
        </w:tc>
        <w:tc>
          <w:tcPr>
            <w:tcW w:w="2528" w:type="dxa"/>
            <w:hideMark/>
          </w:tcPr>
          <w:p w14:paraId="1B290252" w14:textId="77777777" w:rsidR="00994B28" w:rsidRDefault="00994B28" w:rsidP="00E80310">
            <w:pPr>
              <w:pStyle w:val="NormalWeb"/>
              <w:jc w:val="center"/>
            </w:pPr>
            <w:r>
              <w:t>85.0%</w:t>
            </w:r>
          </w:p>
        </w:tc>
      </w:tr>
      <w:tr w:rsidR="001365EF" w14:paraId="079420A2" w14:textId="77777777" w:rsidTr="001365EF">
        <w:tblPrEx>
          <w:tblCellMar>
            <w:top w:w="57" w:type="dxa"/>
            <w:left w:w="57" w:type="dxa"/>
            <w:bottom w:w="57" w:type="dxa"/>
            <w:right w:w="57" w:type="dxa"/>
          </w:tblCellMar>
        </w:tblPrEx>
        <w:tc>
          <w:tcPr>
            <w:tcW w:w="3261" w:type="dxa"/>
            <w:hideMark/>
          </w:tcPr>
          <w:p w14:paraId="3F79C7FB" w14:textId="77777777" w:rsidR="00994B28" w:rsidRDefault="00994B28" w:rsidP="00E80310">
            <w:pPr>
              <w:pStyle w:val="NormalWeb"/>
            </w:pPr>
            <w:r>
              <w:t>NT</w:t>
            </w:r>
          </w:p>
        </w:tc>
        <w:tc>
          <w:tcPr>
            <w:tcW w:w="1701" w:type="dxa"/>
            <w:hideMark/>
          </w:tcPr>
          <w:p w14:paraId="3DF9BA3B" w14:textId="77777777" w:rsidR="00994B28" w:rsidRDefault="00994B28" w:rsidP="00E80310">
            <w:pPr>
              <w:pStyle w:val="NormalWeb"/>
              <w:jc w:val="center"/>
            </w:pPr>
            <w:r>
              <w:t>308,836</w:t>
            </w:r>
          </w:p>
        </w:tc>
        <w:tc>
          <w:tcPr>
            <w:tcW w:w="2976" w:type="dxa"/>
            <w:hideMark/>
          </w:tcPr>
          <w:p w14:paraId="306A3F4D" w14:textId="77777777" w:rsidR="00994B28" w:rsidRDefault="00994B28" w:rsidP="00E80310">
            <w:pPr>
              <w:pStyle w:val="NormalWeb"/>
              <w:jc w:val="center"/>
            </w:pPr>
            <w:r>
              <w:t>73.7%</w:t>
            </w:r>
          </w:p>
        </w:tc>
        <w:tc>
          <w:tcPr>
            <w:tcW w:w="2528" w:type="dxa"/>
            <w:hideMark/>
          </w:tcPr>
          <w:p w14:paraId="770B4CF4" w14:textId="77777777" w:rsidR="00994B28" w:rsidRDefault="00994B28" w:rsidP="00E80310">
            <w:pPr>
              <w:pStyle w:val="NormalWeb"/>
              <w:jc w:val="center"/>
            </w:pPr>
            <w:r>
              <w:t>61.3%</w:t>
            </w:r>
          </w:p>
        </w:tc>
      </w:tr>
      <w:tr w:rsidR="001365EF" w14:paraId="6C2B7F39" w14:textId="77777777" w:rsidTr="001365E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58B4A138" w14:textId="77777777" w:rsidR="00994B28" w:rsidRDefault="00994B28" w:rsidP="00E80310">
            <w:pPr>
              <w:pStyle w:val="NormalWeb"/>
            </w:pPr>
            <w:r>
              <w:t>Qld</w:t>
            </w:r>
          </w:p>
        </w:tc>
        <w:tc>
          <w:tcPr>
            <w:tcW w:w="1701" w:type="dxa"/>
            <w:hideMark/>
          </w:tcPr>
          <w:p w14:paraId="2499CE4B" w14:textId="77777777" w:rsidR="00994B28" w:rsidRDefault="00994B28" w:rsidP="00E80310">
            <w:pPr>
              <w:pStyle w:val="NormalWeb"/>
              <w:jc w:val="center"/>
            </w:pPr>
            <w:r>
              <w:t>5,878,029</w:t>
            </w:r>
          </w:p>
        </w:tc>
        <w:tc>
          <w:tcPr>
            <w:tcW w:w="2976" w:type="dxa"/>
            <w:hideMark/>
          </w:tcPr>
          <w:p w14:paraId="3B8BCAC5" w14:textId="77777777" w:rsidR="00994B28" w:rsidRDefault="00994B28" w:rsidP="00E80310">
            <w:pPr>
              <w:pStyle w:val="NormalWeb"/>
              <w:jc w:val="center"/>
            </w:pPr>
            <w:r>
              <w:t>75.2%</w:t>
            </w:r>
          </w:p>
        </w:tc>
        <w:tc>
          <w:tcPr>
            <w:tcW w:w="2528" w:type="dxa"/>
            <w:hideMark/>
          </w:tcPr>
          <w:p w14:paraId="7CEEB1E4" w14:textId="77777777" w:rsidR="00994B28" w:rsidRDefault="00994B28" w:rsidP="00E80310">
            <w:pPr>
              <w:pStyle w:val="NormalWeb"/>
              <w:jc w:val="center"/>
            </w:pPr>
            <w:r>
              <w:t>60.7%</w:t>
            </w:r>
          </w:p>
        </w:tc>
      </w:tr>
      <w:tr w:rsidR="001365EF" w14:paraId="3B7BF2BE" w14:textId="77777777" w:rsidTr="001365EF">
        <w:tblPrEx>
          <w:tblCellMar>
            <w:top w:w="57" w:type="dxa"/>
            <w:left w:w="57" w:type="dxa"/>
            <w:bottom w:w="57" w:type="dxa"/>
            <w:right w:w="57" w:type="dxa"/>
          </w:tblCellMar>
        </w:tblPrEx>
        <w:tc>
          <w:tcPr>
            <w:tcW w:w="3261" w:type="dxa"/>
            <w:hideMark/>
          </w:tcPr>
          <w:p w14:paraId="5BBC903D" w14:textId="77777777" w:rsidR="00994B28" w:rsidRDefault="00994B28" w:rsidP="00E80310">
            <w:pPr>
              <w:pStyle w:val="NormalWeb"/>
            </w:pPr>
            <w:r>
              <w:t>SA</w:t>
            </w:r>
          </w:p>
        </w:tc>
        <w:tc>
          <w:tcPr>
            <w:tcW w:w="1701" w:type="dxa"/>
            <w:hideMark/>
          </w:tcPr>
          <w:p w14:paraId="6BF6489A" w14:textId="77777777" w:rsidR="00994B28" w:rsidRDefault="00994B28" w:rsidP="00E80310">
            <w:pPr>
              <w:pStyle w:val="NormalWeb"/>
              <w:jc w:val="center"/>
            </w:pPr>
            <w:r>
              <w:t>2,092,321</w:t>
            </w:r>
          </w:p>
        </w:tc>
        <w:tc>
          <w:tcPr>
            <w:tcW w:w="2976" w:type="dxa"/>
            <w:hideMark/>
          </w:tcPr>
          <w:p w14:paraId="624C30FB" w14:textId="77777777" w:rsidR="00994B28" w:rsidRDefault="00994B28" w:rsidP="00E80310">
            <w:pPr>
              <w:pStyle w:val="NormalWeb"/>
              <w:jc w:val="center"/>
            </w:pPr>
            <w:r>
              <w:t>79.3%</w:t>
            </w:r>
          </w:p>
        </w:tc>
        <w:tc>
          <w:tcPr>
            <w:tcW w:w="2528" w:type="dxa"/>
            <w:hideMark/>
          </w:tcPr>
          <w:p w14:paraId="200002E6" w14:textId="77777777" w:rsidR="00994B28" w:rsidRDefault="00994B28" w:rsidP="00E80310">
            <w:pPr>
              <w:pStyle w:val="NormalWeb"/>
              <w:jc w:val="center"/>
            </w:pPr>
            <w:r>
              <w:t>62.5%</w:t>
            </w:r>
          </w:p>
        </w:tc>
      </w:tr>
      <w:tr w:rsidR="001365EF" w14:paraId="5FCAB14A" w14:textId="77777777" w:rsidTr="001365E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D1C3DEA" w14:textId="77777777" w:rsidR="00994B28" w:rsidRDefault="00994B28" w:rsidP="00E80310">
            <w:pPr>
              <w:pStyle w:val="NormalWeb"/>
            </w:pPr>
            <w:r>
              <w:t>Tas.</w:t>
            </w:r>
          </w:p>
        </w:tc>
        <w:tc>
          <w:tcPr>
            <w:tcW w:w="1701" w:type="dxa"/>
            <w:hideMark/>
          </w:tcPr>
          <w:p w14:paraId="5F7FFA25" w14:textId="77777777" w:rsidR="00994B28" w:rsidRDefault="00994B28" w:rsidP="00E80310">
            <w:pPr>
              <w:pStyle w:val="NormalWeb"/>
              <w:jc w:val="center"/>
            </w:pPr>
            <w:r>
              <w:t>717,621</w:t>
            </w:r>
          </w:p>
        </w:tc>
        <w:tc>
          <w:tcPr>
            <w:tcW w:w="2976" w:type="dxa"/>
            <w:hideMark/>
          </w:tcPr>
          <w:p w14:paraId="4BAC49DD" w14:textId="77777777" w:rsidR="00994B28" w:rsidRDefault="00994B28" w:rsidP="00E80310">
            <w:pPr>
              <w:pStyle w:val="NormalWeb"/>
              <w:jc w:val="center"/>
            </w:pPr>
            <w:r>
              <w:t>87.1%</w:t>
            </w:r>
          </w:p>
        </w:tc>
        <w:tc>
          <w:tcPr>
            <w:tcW w:w="2528" w:type="dxa"/>
            <w:hideMark/>
          </w:tcPr>
          <w:p w14:paraId="2B9A76C2" w14:textId="77777777" w:rsidR="00994B28" w:rsidRDefault="00994B28" w:rsidP="00E80310">
            <w:pPr>
              <w:pStyle w:val="NormalWeb"/>
              <w:jc w:val="center"/>
            </w:pPr>
            <w:r>
              <w:t>72.1%</w:t>
            </w:r>
          </w:p>
        </w:tc>
      </w:tr>
      <w:tr w:rsidR="001365EF" w14:paraId="0598BD02" w14:textId="77777777" w:rsidTr="001365EF">
        <w:tblPrEx>
          <w:tblCellMar>
            <w:top w:w="57" w:type="dxa"/>
            <w:left w:w="57" w:type="dxa"/>
            <w:bottom w:w="57" w:type="dxa"/>
            <w:right w:w="57" w:type="dxa"/>
          </w:tblCellMar>
        </w:tblPrEx>
        <w:tc>
          <w:tcPr>
            <w:tcW w:w="3261" w:type="dxa"/>
            <w:hideMark/>
          </w:tcPr>
          <w:p w14:paraId="7E00424A" w14:textId="77777777" w:rsidR="00994B28" w:rsidRDefault="00994B28" w:rsidP="00E80310">
            <w:pPr>
              <w:pStyle w:val="NormalWeb"/>
            </w:pPr>
            <w:r>
              <w:t>Vic.</w:t>
            </w:r>
          </w:p>
        </w:tc>
        <w:tc>
          <w:tcPr>
            <w:tcW w:w="1701" w:type="dxa"/>
            <w:hideMark/>
          </w:tcPr>
          <w:p w14:paraId="6AFC0BFD" w14:textId="77777777" w:rsidR="00994B28" w:rsidRDefault="00994B28" w:rsidP="00E80310">
            <w:pPr>
              <w:pStyle w:val="NormalWeb"/>
              <w:jc w:val="center"/>
            </w:pPr>
            <w:r>
              <w:t>9,421,011</w:t>
            </w:r>
          </w:p>
        </w:tc>
        <w:tc>
          <w:tcPr>
            <w:tcW w:w="2976" w:type="dxa"/>
            <w:hideMark/>
          </w:tcPr>
          <w:p w14:paraId="6264D388" w14:textId="77777777" w:rsidR="00994B28" w:rsidRDefault="00994B28" w:rsidP="00E80310">
            <w:pPr>
              <w:pStyle w:val="NormalWeb"/>
              <w:jc w:val="center"/>
            </w:pPr>
            <w:r>
              <w:t>90.6%</w:t>
            </w:r>
          </w:p>
        </w:tc>
        <w:tc>
          <w:tcPr>
            <w:tcW w:w="2528" w:type="dxa"/>
            <w:hideMark/>
          </w:tcPr>
          <w:p w14:paraId="5113F487" w14:textId="77777777" w:rsidR="00994B28" w:rsidRDefault="00994B28" w:rsidP="00E80310">
            <w:pPr>
              <w:pStyle w:val="NormalWeb"/>
              <w:jc w:val="center"/>
            </w:pPr>
            <w:r>
              <w:t>74.7%</w:t>
            </w:r>
          </w:p>
        </w:tc>
      </w:tr>
      <w:tr w:rsidR="001365EF" w14:paraId="4D19763C" w14:textId="77777777" w:rsidTr="001365E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4F97A0A9" w14:textId="77777777" w:rsidR="00994B28" w:rsidRDefault="00994B28" w:rsidP="00E80310">
            <w:pPr>
              <w:pStyle w:val="NormalWeb"/>
            </w:pPr>
            <w:r>
              <w:t>WA</w:t>
            </w:r>
          </w:p>
        </w:tc>
        <w:tc>
          <w:tcPr>
            <w:tcW w:w="1701" w:type="dxa"/>
            <w:hideMark/>
          </w:tcPr>
          <w:p w14:paraId="06FB504F" w14:textId="77777777" w:rsidR="00994B28" w:rsidRDefault="00994B28" w:rsidP="00E80310">
            <w:pPr>
              <w:pStyle w:val="NormalWeb"/>
              <w:jc w:val="center"/>
            </w:pPr>
            <w:r>
              <w:t>2,976,507</w:t>
            </w:r>
          </w:p>
        </w:tc>
        <w:tc>
          <w:tcPr>
            <w:tcW w:w="2976" w:type="dxa"/>
            <w:hideMark/>
          </w:tcPr>
          <w:p w14:paraId="7244A32A" w14:textId="77777777" w:rsidR="00994B28" w:rsidRDefault="00994B28" w:rsidP="00E80310">
            <w:pPr>
              <w:pStyle w:val="NormalWeb"/>
              <w:jc w:val="center"/>
            </w:pPr>
            <w:r>
              <w:t>76.2%</w:t>
            </w:r>
          </w:p>
        </w:tc>
        <w:tc>
          <w:tcPr>
            <w:tcW w:w="2528" w:type="dxa"/>
            <w:hideMark/>
          </w:tcPr>
          <w:p w14:paraId="4E347280" w14:textId="77777777" w:rsidR="00994B28" w:rsidRDefault="00994B28" w:rsidP="00E80310">
            <w:pPr>
              <w:pStyle w:val="NormalWeb"/>
              <w:jc w:val="center"/>
            </w:pPr>
            <w:r>
              <w:t>59.6%</w:t>
            </w:r>
          </w:p>
        </w:tc>
      </w:tr>
      <w:tr w:rsidR="001365EF" w14:paraId="70CA4AAE" w14:textId="77777777" w:rsidTr="001365EF">
        <w:tblPrEx>
          <w:tblCellMar>
            <w:top w:w="57" w:type="dxa"/>
            <w:left w:w="57" w:type="dxa"/>
            <w:bottom w:w="57" w:type="dxa"/>
            <w:right w:w="57" w:type="dxa"/>
          </w:tblCellMar>
        </w:tblPrEx>
        <w:tc>
          <w:tcPr>
            <w:tcW w:w="3261" w:type="dxa"/>
            <w:hideMark/>
          </w:tcPr>
          <w:p w14:paraId="64D9BE8D" w14:textId="77777777" w:rsidR="00994B28" w:rsidRDefault="00994B28" w:rsidP="00E80310">
            <w:pPr>
              <w:pStyle w:val="NormalWeb"/>
            </w:pPr>
            <w:r>
              <w:t xml:space="preserve">Aged care and disability </w:t>
            </w:r>
            <w:proofErr w:type="spellStart"/>
            <w:r>
              <w:t>facilities</w:t>
            </w:r>
            <w:r w:rsidRPr="00D501BC">
              <w:rPr>
                <w:vertAlign w:val="superscript"/>
              </w:rPr>
              <w:t>c</w:t>
            </w:r>
            <w:proofErr w:type="spellEnd"/>
          </w:p>
        </w:tc>
        <w:tc>
          <w:tcPr>
            <w:tcW w:w="1701" w:type="dxa"/>
            <w:hideMark/>
          </w:tcPr>
          <w:p w14:paraId="10701080" w14:textId="77777777" w:rsidR="00994B28" w:rsidRDefault="00994B28" w:rsidP="00E80310">
            <w:pPr>
              <w:pStyle w:val="NormalWeb"/>
              <w:jc w:val="center"/>
            </w:pPr>
            <w:r>
              <w:t>1,103,510</w:t>
            </w:r>
          </w:p>
        </w:tc>
        <w:tc>
          <w:tcPr>
            <w:tcW w:w="2976" w:type="dxa"/>
            <w:hideMark/>
          </w:tcPr>
          <w:p w14:paraId="3635B9D8" w14:textId="77777777" w:rsidR="00994B28" w:rsidRDefault="00994B28" w:rsidP="00E80310">
            <w:pPr>
              <w:pStyle w:val="NormalWeb"/>
              <w:jc w:val="center"/>
            </w:pPr>
            <w:r>
              <w:t>NA</w:t>
            </w:r>
          </w:p>
        </w:tc>
        <w:tc>
          <w:tcPr>
            <w:tcW w:w="2528" w:type="dxa"/>
            <w:hideMark/>
          </w:tcPr>
          <w:p w14:paraId="462767EA" w14:textId="77777777" w:rsidR="00994B28" w:rsidRDefault="00994B28" w:rsidP="00E80310">
            <w:pPr>
              <w:pStyle w:val="NormalWeb"/>
              <w:jc w:val="center"/>
            </w:pPr>
            <w:r>
              <w:t>NA</w:t>
            </w:r>
          </w:p>
        </w:tc>
      </w:tr>
      <w:tr w:rsidR="001365EF" w14:paraId="31FE2A0B" w14:textId="77777777" w:rsidTr="001365E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B9FEAC7" w14:textId="77777777" w:rsidR="00994B28" w:rsidRDefault="00994B28" w:rsidP="00E80310">
            <w:pPr>
              <w:pStyle w:val="NormalWeb"/>
            </w:pPr>
            <w:r>
              <w:t>Primary care</w:t>
            </w:r>
            <w:r w:rsidRPr="00082A87">
              <w:rPr>
                <w:vertAlign w:val="superscript"/>
              </w:rPr>
              <w:t>d</w:t>
            </w:r>
          </w:p>
        </w:tc>
        <w:tc>
          <w:tcPr>
            <w:tcW w:w="1701" w:type="dxa"/>
            <w:hideMark/>
          </w:tcPr>
          <w:p w14:paraId="60FE879E" w14:textId="77777777" w:rsidR="00994B28" w:rsidRDefault="00994B28" w:rsidP="00E80310">
            <w:pPr>
              <w:pStyle w:val="NormalWeb"/>
              <w:jc w:val="center"/>
            </w:pPr>
            <w:r>
              <w:t>19,023,314</w:t>
            </w:r>
          </w:p>
        </w:tc>
        <w:tc>
          <w:tcPr>
            <w:tcW w:w="2976" w:type="dxa"/>
            <w:hideMark/>
          </w:tcPr>
          <w:p w14:paraId="1FA5A280" w14:textId="77777777" w:rsidR="00994B28" w:rsidRDefault="00994B28" w:rsidP="00E80310">
            <w:pPr>
              <w:pStyle w:val="NormalWeb"/>
              <w:jc w:val="center"/>
            </w:pPr>
            <w:r>
              <w:t>NA</w:t>
            </w:r>
          </w:p>
        </w:tc>
        <w:tc>
          <w:tcPr>
            <w:tcW w:w="2528" w:type="dxa"/>
            <w:hideMark/>
          </w:tcPr>
          <w:p w14:paraId="3057C3C5" w14:textId="77777777" w:rsidR="00994B28" w:rsidRDefault="00994B28" w:rsidP="00E80310">
            <w:pPr>
              <w:pStyle w:val="NormalWeb"/>
              <w:jc w:val="center"/>
            </w:pPr>
            <w:r>
              <w:t>NA</w:t>
            </w:r>
          </w:p>
        </w:tc>
      </w:tr>
      <w:tr w:rsidR="001365EF" w:rsidRPr="00824ED1" w14:paraId="0E6F93BB" w14:textId="77777777" w:rsidTr="001365EF">
        <w:tblPrEx>
          <w:tblCellMar>
            <w:top w:w="57" w:type="dxa"/>
            <w:left w:w="57" w:type="dxa"/>
            <w:bottom w:w="57" w:type="dxa"/>
            <w:right w:w="57" w:type="dxa"/>
          </w:tblCellMar>
        </w:tblPrEx>
        <w:tc>
          <w:tcPr>
            <w:tcW w:w="3261" w:type="dxa"/>
            <w:shd w:val="clear" w:color="auto" w:fill="FDE9D9" w:themeFill="accent6" w:themeFillTint="33"/>
            <w:hideMark/>
          </w:tcPr>
          <w:p w14:paraId="7E9FBACA" w14:textId="77777777" w:rsidR="00994B28" w:rsidRPr="00824ED1" w:rsidRDefault="00994B28" w:rsidP="00E80310">
            <w:pPr>
              <w:pStyle w:val="NormalWeb"/>
              <w:rPr>
                <w:b/>
                <w:bCs/>
              </w:rPr>
            </w:pPr>
            <w:r w:rsidRPr="00824ED1">
              <w:rPr>
                <w:b/>
                <w:bCs/>
              </w:rPr>
              <w:t>Total</w:t>
            </w:r>
          </w:p>
        </w:tc>
        <w:tc>
          <w:tcPr>
            <w:tcW w:w="1701" w:type="dxa"/>
            <w:shd w:val="clear" w:color="auto" w:fill="FDE9D9" w:themeFill="accent6" w:themeFillTint="33"/>
            <w:hideMark/>
          </w:tcPr>
          <w:p w14:paraId="50CDCC92" w14:textId="77777777" w:rsidR="00994B28" w:rsidRPr="00824ED1" w:rsidRDefault="00994B28" w:rsidP="00E80310">
            <w:pPr>
              <w:pStyle w:val="NormalWeb"/>
              <w:jc w:val="center"/>
              <w:rPr>
                <w:b/>
                <w:bCs/>
              </w:rPr>
            </w:pPr>
            <w:r w:rsidRPr="00824ED1">
              <w:rPr>
                <w:b/>
                <w:bCs/>
              </w:rPr>
              <w:t>34,364,950</w:t>
            </w:r>
          </w:p>
        </w:tc>
        <w:tc>
          <w:tcPr>
            <w:tcW w:w="2976" w:type="dxa"/>
            <w:shd w:val="clear" w:color="auto" w:fill="FDE9D9" w:themeFill="accent6" w:themeFillTint="33"/>
            <w:hideMark/>
          </w:tcPr>
          <w:p w14:paraId="022DDA2E" w14:textId="77777777" w:rsidR="00994B28" w:rsidRPr="00824ED1" w:rsidRDefault="00994B28" w:rsidP="00E80310">
            <w:pPr>
              <w:pStyle w:val="NormalWeb"/>
              <w:jc w:val="center"/>
              <w:rPr>
                <w:b/>
                <w:bCs/>
              </w:rPr>
            </w:pPr>
            <w:r w:rsidRPr="00824ED1">
              <w:rPr>
                <w:b/>
                <w:bCs/>
              </w:rPr>
              <w:t>86.8%</w:t>
            </w:r>
          </w:p>
        </w:tc>
        <w:tc>
          <w:tcPr>
            <w:tcW w:w="2528" w:type="dxa"/>
            <w:shd w:val="clear" w:color="auto" w:fill="FDE9D9" w:themeFill="accent6" w:themeFillTint="33"/>
            <w:hideMark/>
          </w:tcPr>
          <w:p w14:paraId="3417C1B9" w14:textId="77777777" w:rsidR="00994B28" w:rsidRPr="00824ED1" w:rsidRDefault="00994B28" w:rsidP="00E80310">
            <w:pPr>
              <w:pStyle w:val="NormalWeb"/>
              <w:jc w:val="center"/>
              <w:rPr>
                <w:b/>
                <w:bCs/>
              </w:rPr>
            </w:pPr>
            <w:r w:rsidRPr="00824ED1">
              <w:rPr>
                <w:b/>
                <w:bCs/>
              </w:rPr>
              <w:t>73.4%</w:t>
            </w:r>
          </w:p>
        </w:tc>
      </w:tr>
    </w:tbl>
    <w:p w14:paraId="698315EB" w14:textId="77777777" w:rsidR="00994B28" w:rsidRDefault="00994B28" w:rsidP="00994B28">
      <w:pPr>
        <w:pStyle w:val="CDIfootnotes"/>
      </w:pPr>
      <w:r w:rsidRPr="00122ED8">
        <w:t>a</w:t>
      </w:r>
      <w:r w:rsidRPr="00122ED8">
        <w:tab/>
        <w:t>Source: Australian Government Department of Health website.</w:t>
      </w:r>
      <w:r w:rsidRPr="00122ED8">
        <w:rPr>
          <w:vertAlign w:val="superscript"/>
        </w:rPr>
        <w:t>3</w:t>
      </w:r>
    </w:p>
    <w:p w14:paraId="64ECBFEC" w14:textId="77777777" w:rsidR="00994B28" w:rsidRDefault="00994B28" w:rsidP="00994B28">
      <w:pPr>
        <w:pStyle w:val="CDIfootnotes"/>
      </w:pPr>
      <w:r w:rsidRPr="00122ED8">
        <w:t>b</w:t>
      </w:r>
      <w:r w:rsidRPr="00122ED8">
        <w:tab/>
        <w:t>Includes people who are fully vaccinated.</w:t>
      </w:r>
    </w:p>
    <w:p w14:paraId="698B9B9F" w14:textId="77777777" w:rsidR="00994B28" w:rsidRDefault="00994B28" w:rsidP="00994B28">
      <w:pPr>
        <w:pStyle w:val="CDIfootnotes"/>
      </w:pPr>
      <w:r w:rsidRPr="00122ED8">
        <w:t>c</w:t>
      </w:r>
      <w:r w:rsidRPr="00122ED8">
        <w:tab/>
        <w:t>Commonwealth vaccine doses administered in aged care and disability facilities.</w:t>
      </w:r>
    </w:p>
    <w:p w14:paraId="41B1FF88" w14:textId="79AC3AF7" w:rsidR="00994B28" w:rsidRPr="00994B28" w:rsidRDefault="00994B28" w:rsidP="00994B28">
      <w:pPr>
        <w:pStyle w:val="CDIfootnotes"/>
        <w:rPr>
          <w:lang w:val="en-GB"/>
        </w:rPr>
      </w:pPr>
      <w:r w:rsidRPr="00122ED8">
        <w:t>d</w:t>
      </w:r>
      <w:r w:rsidRPr="00122ED8">
        <w:tab/>
        <w:t>Commonwealth vaccine doses administered in primary care settings</w:t>
      </w:r>
      <w:r>
        <w:rPr>
          <w:lang w:val="en-GB"/>
        </w:rPr>
        <w:t>.</w:t>
      </w:r>
    </w:p>
    <w:p w14:paraId="3E031C25" w14:textId="77777777" w:rsidR="00633079" w:rsidRPr="00633079" w:rsidRDefault="00633079" w:rsidP="00633079">
      <w:pPr>
        <w:pStyle w:val="Heading2"/>
      </w:pPr>
      <w:r w:rsidRPr="00633079">
        <w:t xml:space="preserve">Clusters and outbreaks </w:t>
      </w:r>
    </w:p>
    <w:p w14:paraId="185B8A51" w14:textId="77777777" w:rsidR="00633079" w:rsidRPr="00633079" w:rsidRDefault="00633079" w:rsidP="00633079">
      <w:pPr>
        <w:pStyle w:val="Heading3"/>
      </w:pPr>
      <w:r w:rsidRPr="00633079">
        <w:t xml:space="preserve">Sydney Metropolitan Outbreak and New South Wales Regional Outbreak – New South Wales </w:t>
      </w:r>
    </w:p>
    <w:p w14:paraId="0AD5F4DC" w14:textId="77777777" w:rsidR="00633079" w:rsidRDefault="00633079" w:rsidP="00633079">
      <w:r>
        <w:t xml:space="preserve">In total, as at 24 October 2021, there had been 67,910 </w:t>
      </w:r>
      <w:proofErr w:type="gramStart"/>
      <w:r>
        <w:t>locally-acquired</w:t>
      </w:r>
      <w:proofErr w:type="gramEnd"/>
      <w:r>
        <w:t xml:space="preserve"> cases in New South Wales, including 501 deaths, reported following notification of the outbreak’s first case on 16 June 2021. Genomic testing results showed that the first case was infected with the Delta SARS-CoV-2 variant of concern (B.1.617.2); however, the sequence did not match cases from the Victorian Delta variant outbreak that occurred from May to June 2021. This sequence had not been seen in Australia previously, but matched one from the United States of America. </w:t>
      </w:r>
    </w:p>
    <w:p w14:paraId="4D1F4E93" w14:textId="25AA9BAD" w:rsidR="00633079" w:rsidRDefault="00633079" w:rsidP="00633079">
      <w:r>
        <w:t xml:space="preserve">Overall, the number of new </w:t>
      </w:r>
      <w:proofErr w:type="gramStart"/>
      <w:r>
        <w:t>locally-acquired</w:t>
      </w:r>
      <w:proofErr w:type="gramEnd"/>
      <w:r>
        <w:t xml:space="preserve"> cases (including cases under initial investigation) continued to decrease this fortnight, with 4,580 cases reported this reporting period, compared to 9,242 such cases reported in the previous reporting period. Following the initial start of the outbreak in south-east Sydney, the largest number of new cases were subsequently reported among residents of south-western and western Sydney, with cases also reported in residents of regional and remote areas in New South Wales, particularly in western New South Wales. At the end of the most recent reporting period, case numbers were reducing in metropolitan areas, while increasing case </w:t>
      </w:r>
      <w:r>
        <w:lastRenderedPageBreak/>
        <w:t>numbers were being seen in regional and remote areas, particularly the Hunter New England, Mid-North Coast and Albury-Wodonga regions</w:t>
      </w:r>
      <w:r w:rsidR="00082A87">
        <w:t>.</w:t>
      </w:r>
      <w:r>
        <w:t xml:space="preserve"> </w:t>
      </w:r>
    </w:p>
    <w:p w14:paraId="45162F26" w14:textId="77777777" w:rsidR="00633079" w:rsidRPr="00633079" w:rsidRDefault="00633079" w:rsidP="00633079">
      <w:pPr>
        <w:pStyle w:val="Heading3"/>
      </w:pPr>
      <w:r w:rsidRPr="00633079">
        <w:t xml:space="preserve">Metropolitan Melbourne and Victorian Regional Outbreak – Victoria </w:t>
      </w:r>
    </w:p>
    <w:p w14:paraId="7F1BA529" w14:textId="77777777" w:rsidR="00633079" w:rsidRDefault="00633079" w:rsidP="00633079">
      <w:r>
        <w:t xml:space="preserve">As at 24 October 2021, there had been 58,798 </w:t>
      </w:r>
      <w:proofErr w:type="gramStart"/>
      <w:r>
        <w:t>locally-acquired</w:t>
      </w:r>
      <w:proofErr w:type="gramEnd"/>
      <w:r>
        <w:t xml:space="preserve"> cases, including 229 deaths, reported in Victoria since two unlinked cases were reported on 5 August 2021. The size of the Victorian outbreak continued to increase during the reporting period, with 25,742 </w:t>
      </w:r>
      <w:proofErr w:type="gramStart"/>
      <w:r>
        <w:t>locally-acquired</w:t>
      </w:r>
      <w:proofErr w:type="gramEnd"/>
      <w:r>
        <w:t xml:space="preserve"> cases (including cases under initial investigation) reported in Victoria this fortnight, compared to 20,441 in the previous fortnight. Investigations into the source of the outbreak were ongoing, but genomic testing had determined that these outbreaks involved the Delta variant and were genomically closely associated with recent clusters in New South Wales and the previous two seeding events in Victoria from July 2021. </w:t>
      </w:r>
    </w:p>
    <w:p w14:paraId="629C065C" w14:textId="77777777" w:rsidR="00633079" w:rsidRDefault="00633079" w:rsidP="00633079">
      <w:r>
        <w:t xml:space="preserve">Most new cases in the outbreak were across several parts of Greater Melbourne. There was a considerable increase in the number of cases identified in regional and remote residents in the past few weeks, with 2,209 locally acquired or under investigation cases reported to the NINDSS in the reporting period, compared with 941 such cases in the previous reporting period. </w:t>
      </w:r>
    </w:p>
    <w:p w14:paraId="16ACE9FD" w14:textId="77777777" w:rsidR="00633079" w:rsidRPr="00633079" w:rsidRDefault="00633079" w:rsidP="00633079">
      <w:pPr>
        <w:pStyle w:val="Heading3"/>
      </w:pPr>
      <w:r w:rsidRPr="00633079">
        <w:t xml:space="preserve">Canberra – Australian Capital Territory </w:t>
      </w:r>
    </w:p>
    <w:p w14:paraId="02995E57" w14:textId="77777777" w:rsidR="00633079" w:rsidRDefault="00633079" w:rsidP="00633079">
      <w:r>
        <w:t xml:space="preserve">As at 24 October 2021, a total of 1,595 cases had been reported in the Australian Capital Territory’s outbreak, including eight deaths. The first case in the Territory’s outbreak, which was the first </w:t>
      </w:r>
      <w:proofErr w:type="gramStart"/>
      <w:r>
        <w:t>locally-acquired</w:t>
      </w:r>
      <w:proofErr w:type="gramEnd"/>
      <w:r>
        <w:t xml:space="preserve"> case in the Australian Capital Territory in over a year, was reported on 12 August 2021 and was confirmed to have the Delta variant. The source of infection remained under investigation at the end of this reporting period, though it was genomically related to the Sydney Metropolitan Outbreak. The number of new </w:t>
      </w:r>
      <w:proofErr w:type="gramStart"/>
      <w:r>
        <w:t>locally-acquired</w:t>
      </w:r>
      <w:proofErr w:type="gramEnd"/>
      <w:r>
        <w:t xml:space="preserve"> cases (including cases under initial investigation) in the Australian Capital Territory during this reporting period (361) was lower than the number in the previous reporting period (463). </w:t>
      </w:r>
    </w:p>
    <w:p w14:paraId="50C4D166" w14:textId="77777777" w:rsidR="00633079" w:rsidRPr="00633079" w:rsidRDefault="00633079" w:rsidP="00633079">
      <w:pPr>
        <w:pStyle w:val="Heading2"/>
      </w:pPr>
      <w:r w:rsidRPr="00633079">
        <w:t xml:space="preserve">Severity </w:t>
      </w:r>
    </w:p>
    <w:p w14:paraId="29A20CD3" w14:textId="77777777" w:rsidR="00633079" w:rsidRPr="00F67CD4" w:rsidRDefault="00633079" w:rsidP="00F67CD4">
      <w:pPr>
        <w:pStyle w:val="Heading3"/>
        <w:rPr>
          <w:i/>
          <w:iCs/>
        </w:rPr>
      </w:pPr>
      <w:r w:rsidRPr="00F67CD4">
        <w:rPr>
          <w:i/>
          <w:iCs/>
        </w:rPr>
        <w:t xml:space="preserve">(NINDSS, SPRINT-SARI) </w:t>
      </w:r>
    </w:p>
    <w:p w14:paraId="48D2D22B" w14:textId="77777777" w:rsidR="00633079" w:rsidRPr="00610063" w:rsidRDefault="00633079" w:rsidP="00610063">
      <w:pPr>
        <w:pStyle w:val="Heading4"/>
      </w:pPr>
      <w:r w:rsidRPr="00610063">
        <w:t xml:space="preserve">Hospitalisation and intensive care unit admission </w:t>
      </w:r>
    </w:p>
    <w:p w14:paraId="5AD59B74" w14:textId="58DB8C38" w:rsidR="00633079" w:rsidRDefault="00633079" w:rsidP="00633079">
      <w:r>
        <w:t xml:space="preserve">Given the delay between illness onset and severe illness, to provide a more accurate assessment of the highest level of severity, cases with an onset in the last two weeks were excluded from the analysis. In 2021, based on the highest level of severity reported for cases with an illness onset up to 10 October 2021, 0.7% of cases were reported to have died; 1.4% of cases required intensive care; and a further 10.4% required admission to hospital (Table 6). </w:t>
      </w:r>
      <w:proofErr w:type="gramStart"/>
      <w:r>
        <w:t>The majority of</w:t>
      </w:r>
      <w:proofErr w:type="gramEnd"/>
      <w:r>
        <w:t xml:space="preserve"> hospitalisations in 2021 were associated with the current outbreak in New South Wales. Note that hospitalisation data in NINDSS should be interpreted with caution: hospitalisation is not always reflective of severe illness, as cases may be hospitalised for reasons other than clinical COVID-19 related care; additionally, hospitalisation and intensive care unit (ICU) status in NINDSS is likely incomplete.</w:t>
      </w:r>
    </w:p>
    <w:p w14:paraId="217EFA6B" w14:textId="77777777" w:rsidR="00441342" w:rsidRDefault="00441342">
      <w:pPr>
        <w:rPr>
          <w:rStyle w:val="Strong"/>
          <w:bCs w:val="0"/>
        </w:rPr>
      </w:pPr>
      <w:r>
        <w:rPr>
          <w:rStyle w:val="Strong"/>
          <w:b w:val="0"/>
          <w:bCs w:val="0"/>
        </w:rPr>
        <w:br w:type="page"/>
      </w:r>
    </w:p>
    <w:p w14:paraId="68D32233" w14:textId="1B8A3E26" w:rsidR="00441342" w:rsidRPr="00824ED1" w:rsidRDefault="00441342" w:rsidP="00441342">
      <w:pPr>
        <w:pStyle w:val="CDIFigures"/>
      </w:pPr>
      <w:r w:rsidRPr="00824ED1">
        <w:rPr>
          <w:rStyle w:val="Strong"/>
          <w:b/>
          <w:bCs w:val="0"/>
        </w:rPr>
        <w:lastRenderedPageBreak/>
        <w:t>Table 6: COVID-19 cases by age group and highest level of illness severity, 1 January 2021 – 10 October 2021</w:t>
      </w:r>
      <w:r w:rsidRPr="00D90481">
        <w:rPr>
          <w:rStyle w:val="Strong"/>
          <w:b/>
          <w:bCs w:val="0"/>
          <w:vertAlign w:val="superscript"/>
        </w:rPr>
        <w:t>a</w:t>
      </w:r>
    </w:p>
    <w:tbl>
      <w:tblPr>
        <w:tblStyle w:val="CDI-StandardTable"/>
        <w:tblW w:w="0" w:type="auto"/>
        <w:tblCellMar>
          <w:top w:w="113" w:type="dxa"/>
          <w:bottom w:w="113" w:type="dxa"/>
        </w:tblCellMar>
        <w:tblLook w:val="04A0" w:firstRow="1" w:lastRow="0" w:firstColumn="1" w:lastColumn="0" w:noHBand="0" w:noVBand="1"/>
        <w:tblDescription w:val="Table 6 summarises the total number of cases and the proportions of the highest level of illness severity (hospitalisation, intensive care unit (ICU) admission or death) for the calendar year to 10 October 2021, as a function of age group. While a majority of cases notified this year (54,622/105,683 cases) are under 30 years of age, rates of hospitalisation across this younger age range are comparatively low, with few ICU admissions and very few deaths seen in cases under 30 years of age this year. The percentages of cases hospitalised or died are highest among those over 80 years of age, while the highest proportion of cases admitted to ICU (but not died) is seen among those in the 60–69 and 70–79 year age brackets.&#10;"/>
      </w:tblPr>
      <w:tblGrid>
        <w:gridCol w:w="1418"/>
        <w:gridCol w:w="1043"/>
        <w:gridCol w:w="1705"/>
        <w:gridCol w:w="1038"/>
        <w:gridCol w:w="733"/>
        <w:gridCol w:w="920"/>
        <w:gridCol w:w="1705"/>
        <w:gridCol w:w="1038"/>
        <w:gridCol w:w="866"/>
      </w:tblGrid>
      <w:tr w:rsidR="00441342" w:rsidRPr="00824ED1" w14:paraId="79DF60A4" w14:textId="77777777" w:rsidTr="00F71708">
        <w:trPr>
          <w:cnfStyle w:val="100000000000" w:firstRow="1" w:lastRow="0" w:firstColumn="0" w:lastColumn="0" w:oddVBand="0" w:evenVBand="0" w:oddHBand="0" w:evenHBand="0" w:firstRowFirstColumn="0" w:firstRowLastColumn="0" w:lastRowFirstColumn="0" w:lastRowLastColumn="0"/>
          <w:tblHeader/>
        </w:trPr>
        <w:tc>
          <w:tcPr>
            <w:tcW w:w="1418" w:type="dxa"/>
            <w:vMerge w:val="restart"/>
            <w:tcBorders>
              <w:bottom w:val="single" w:sz="2" w:space="0" w:color="FFFFFF" w:themeColor="background1"/>
              <w:right w:val="single" w:sz="2" w:space="0" w:color="FFFFFF" w:themeColor="background1"/>
            </w:tcBorders>
            <w:vAlign w:val="center"/>
            <w:hideMark/>
          </w:tcPr>
          <w:p w14:paraId="06D3EE40" w14:textId="77777777" w:rsidR="00441342" w:rsidRPr="00824ED1" w:rsidRDefault="00441342" w:rsidP="002C3600">
            <w:pPr>
              <w:pStyle w:val="NormalWeb"/>
              <w:rPr>
                <w:color w:val="FFFFFF" w:themeColor="background1"/>
              </w:rPr>
            </w:pPr>
            <w:r w:rsidRPr="00824ED1">
              <w:rPr>
                <w:color w:val="FFFFFF" w:themeColor="background1"/>
              </w:rPr>
              <w:t>Age group</w:t>
            </w:r>
          </w:p>
        </w:tc>
        <w:tc>
          <w:tcPr>
            <w:tcW w:w="5439" w:type="dxa"/>
            <w:gridSpan w:val="5"/>
            <w:tcBorders>
              <w:left w:val="single" w:sz="2" w:space="0" w:color="FFFFFF" w:themeColor="background1"/>
              <w:bottom w:val="single" w:sz="2" w:space="0" w:color="FFFFFF" w:themeColor="background1"/>
              <w:right w:val="single" w:sz="2" w:space="0" w:color="FFFFFF" w:themeColor="background1"/>
            </w:tcBorders>
            <w:hideMark/>
          </w:tcPr>
          <w:p w14:paraId="0B67BA10" w14:textId="77777777" w:rsidR="00441342" w:rsidRPr="00824ED1" w:rsidRDefault="00441342" w:rsidP="00E80310">
            <w:pPr>
              <w:pStyle w:val="NormalWeb"/>
              <w:jc w:val="center"/>
              <w:rPr>
                <w:color w:val="FFFFFF" w:themeColor="background1"/>
              </w:rPr>
            </w:pPr>
            <w:r w:rsidRPr="00824ED1">
              <w:rPr>
                <w:color w:val="FFFFFF" w:themeColor="background1"/>
              </w:rPr>
              <w:t>Count</w:t>
            </w:r>
          </w:p>
        </w:tc>
        <w:tc>
          <w:tcPr>
            <w:tcW w:w="3609" w:type="dxa"/>
            <w:gridSpan w:val="3"/>
            <w:tcBorders>
              <w:left w:val="single" w:sz="2" w:space="0" w:color="FFFFFF" w:themeColor="background1"/>
              <w:bottom w:val="single" w:sz="2" w:space="0" w:color="FFFFFF" w:themeColor="background1"/>
            </w:tcBorders>
            <w:hideMark/>
          </w:tcPr>
          <w:p w14:paraId="25599CC1" w14:textId="77777777" w:rsidR="00441342" w:rsidRPr="00824ED1" w:rsidRDefault="00441342" w:rsidP="00E80310">
            <w:pPr>
              <w:pStyle w:val="NormalWeb"/>
              <w:jc w:val="center"/>
              <w:rPr>
                <w:color w:val="FFFFFF" w:themeColor="background1"/>
              </w:rPr>
            </w:pPr>
            <w:r w:rsidRPr="00824ED1">
              <w:rPr>
                <w:color w:val="FFFFFF" w:themeColor="background1"/>
              </w:rPr>
              <w:t>% of cases</w:t>
            </w:r>
          </w:p>
        </w:tc>
      </w:tr>
      <w:tr w:rsidR="00F71708" w:rsidRPr="00824ED1" w14:paraId="405B394B" w14:textId="77777777" w:rsidTr="00F71708">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bottom w:val="single" w:sz="2" w:space="0" w:color="FFFFFF" w:themeColor="background1"/>
              <w:right w:val="single" w:sz="2" w:space="0" w:color="FFFFFF" w:themeColor="background1"/>
            </w:tcBorders>
            <w:hideMark/>
          </w:tcPr>
          <w:p w14:paraId="098B6D31" w14:textId="77777777" w:rsidR="00441342" w:rsidRPr="00824ED1" w:rsidRDefault="00441342" w:rsidP="00E80310">
            <w:pPr>
              <w:rPr>
                <w:color w:val="FFFFFF" w:themeColor="background1"/>
                <w:sz w:val="24"/>
                <w:szCs w:val="24"/>
              </w:rPr>
            </w:pPr>
          </w:p>
        </w:tc>
        <w:tc>
          <w:tcPr>
            <w:tcW w:w="104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4E89CC9" w14:textId="77777777" w:rsidR="00441342" w:rsidRPr="00824ED1" w:rsidRDefault="00441342" w:rsidP="002C3600">
            <w:pPr>
              <w:pStyle w:val="NormalWeb"/>
              <w:jc w:val="center"/>
              <w:rPr>
                <w:color w:val="FFFFFF" w:themeColor="background1"/>
              </w:rPr>
            </w:pPr>
            <w:r w:rsidRPr="00824ED1">
              <w:rPr>
                <w:color w:val="FFFFFF" w:themeColor="background1"/>
              </w:rPr>
              <w:t xml:space="preserve">Not </w:t>
            </w:r>
            <w:proofErr w:type="spellStart"/>
            <w:r w:rsidRPr="00824ED1">
              <w:rPr>
                <w:color w:val="FFFFFF" w:themeColor="background1"/>
              </w:rPr>
              <w:t>severe</w:t>
            </w:r>
            <w:r w:rsidRPr="00D501BC">
              <w:rPr>
                <w:color w:val="FFFFFF" w:themeColor="background1"/>
                <w:vertAlign w:val="superscript"/>
              </w:rPr>
              <w:t>b</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AD39666" w14:textId="77777777" w:rsidR="00441342" w:rsidRPr="00824ED1" w:rsidRDefault="00441342" w:rsidP="002C3600">
            <w:pPr>
              <w:pStyle w:val="NormalWeb"/>
              <w:jc w:val="center"/>
              <w:rPr>
                <w:color w:val="FFFFFF" w:themeColor="background1"/>
              </w:rPr>
            </w:pPr>
            <w:r w:rsidRPr="00824ED1">
              <w:rPr>
                <w:color w:val="FFFFFF" w:themeColor="background1"/>
              </w:rPr>
              <w:t>Hospitalised only</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23D968F" w14:textId="77777777" w:rsidR="00441342" w:rsidRPr="00824ED1" w:rsidRDefault="00441342" w:rsidP="002C3600">
            <w:pPr>
              <w:pStyle w:val="NormalWeb"/>
              <w:jc w:val="center"/>
              <w:rPr>
                <w:color w:val="FFFFFF" w:themeColor="background1"/>
              </w:rPr>
            </w:pPr>
            <w:r w:rsidRPr="00824ED1">
              <w:rPr>
                <w:color w:val="FFFFFF" w:themeColor="background1"/>
              </w:rPr>
              <w:t>ICU</w:t>
            </w:r>
          </w:p>
        </w:tc>
        <w:tc>
          <w:tcPr>
            <w:tcW w:w="733"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FC594B5" w14:textId="77777777" w:rsidR="00441342" w:rsidRPr="00824ED1" w:rsidRDefault="00441342" w:rsidP="002C3600">
            <w:pPr>
              <w:pStyle w:val="NormalWeb"/>
              <w:jc w:val="center"/>
              <w:rPr>
                <w:color w:val="FFFFFF" w:themeColor="background1"/>
              </w:rPr>
            </w:pPr>
            <w:r w:rsidRPr="00824ED1">
              <w:rPr>
                <w:color w:val="FFFFFF" w:themeColor="background1"/>
              </w:rPr>
              <w:t>Died</w:t>
            </w:r>
          </w:p>
        </w:tc>
        <w:tc>
          <w:tcPr>
            <w:tcW w:w="92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9E6DCC4" w14:textId="77777777" w:rsidR="00441342" w:rsidRPr="00824ED1" w:rsidRDefault="00441342" w:rsidP="002C3600">
            <w:pPr>
              <w:pStyle w:val="NormalWeb"/>
              <w:jc w:val="center"/>
              <w:rPr>
                <w:color w:val="FFFFFF" w:themeColor="background1"/>
              </w:rPr>
            </w:pPr>
            <w:r w:rsidRPr="00824ED1">
              <w:rPr>
                <w:color w:val="FFFFFF" w:themeColor="background1"/>
              </w:rPr>
              <w:t>Total cases</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8B00C17" w14:textId="77777777" w:rsidR="00441342" w:rsidRPr="00824ED1" w:rsidRDefault="00441342" w:rsidP="002C3600">
            <w:pPr>
              <w:pStyle w:val="NormalWeb"/>
              <w:jc w:val="center"/>
              <w:rPr>
                <w:color w:val="FFFFFF" w:themeColor="background1"/>
              </w:rPr>
            </w:pPr>
            <w:r w:rsidRPr="00824ED1">
              <w:rPr>
                <w:color w:val="FFFFFF" w:themeColor="background1"/>
              </w:rPr>
              <w:t>Hospitalised only</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4CCB3BC" w14:textId="77777777" w:rsidR="00441342" w:rsidRPr="00824ED1" w:rsidRDefault="00441342" w:rsidP="002C3600">
            <w:pPr>
              <w:pStyle w:val="NormalWeb"/>
              <w:jc w:val="center"/>
              <w:rPr>
                <w:color w:val="FFFFFF" w:themeColor="background1"/>
              </w:rPr>
            </w:pPr>
            <w:r w:rsidRPr="00824ED1">
              <w:rPr>
                <w:color w:val="FFFFFF" w:themeColor="background1"/>
              </w:rPr>
              <w:t>ICU</w:t>
            </w:r>
          </w:p>
        </w:tc>
        <w:tc>
          <w:tcPr>
            <w:tcW w:w="866" w:type="dxa"/>
            <w:vMerge w:val="restart"/>
            <w:tcBorders>
              <w:top w:val="single" w:sz="2" w:space="0" w:color="FFFFFF" w:themeColor="background1"/>
              <w:left w:val="single" w:sz="2" w:space="0" w:color="FFFFFF" w:themeColor="background1"/>
              <w:bottom w:val="single" w:sz="2" w:space="0" w:color="FFFFFF" w:themeColor="background1"/>
            </w:tcBorders>
            <w:vAlign w:val="center"/>
            <w:hideMark/>
          </w:tcPr>
          <w:p w14:paraId="7C1803EB" w14:textId="77777777" w:rsidR="00441342" w:rsidRPr="00824ED1" w:rsidRDefault="00441342" w:rsidP="002C3600">
            <w:pPr>
              <w:pStyle w:val="NormalWeb"/>
              <w:jc w:val="center"/>
              <w:rPr>
                <w:color w:val="FFFFFF" w:themeColor="background1"/>
              </w:rPr>
            </w:pPr>
            <w:r w:rsidRPr="00824ED1">
              <w:rPr>
                <w:color w:val="FFFFFF" w:themeColor="background1"/>
              </w:rPr>
              <w:t>Died</w:t>
            </w:r>
          </w:p>
        </w:tc>
      </w:tr>
      <w:tr w:rsidR="00F71708" w:rsidRPr="00824ED1" w14:paraId="4F3A2D38" w14:textId="77777777" w:rsidTr="00F71708">
        <w:trPr>
          <w:cnfStyle w:val="100000000000" w:firstRow="1" w:lastRow="0" w:firstColumn="0" w:lastColumn="0" w:oddVBand="0" w:evenVBand="0" w:oddHBand="0" w:evenHBand="0" w:firstRowFirstColumn="0" w:firstRowLastColumn="0" w:lastRowFirstColumn="0" w:lastRowLastColumn="0"/>
          <w:tblHeader/>
        </w:trPr>
        <w:tc>
          <w:tcPr>
            <w:tcW w:w="1418" w:type="dxa"/>
            <w:vMerge/>
            <w:tcBorders>
              <w:top w:val="single" w:sz="2" w:space="0" w:color="FFFFFF" w:themeColor="background1"/>
              <w:right w:val="single" w:sz="2" w:space="0" w:color="FFFFFF" w:themeColor="background1"/>
            </w:tcBorders>
            <w:hideMark/>
          </w:tcPr>
          <w:p w14:paraId="06B1D3E2" w14:textId="77777777" w:rsidR="00441342" w:rsidRPr="00824ED1" w:rsidRDefault="00441342" w:rsidP="00E80310">
            <w:pPr>
              <w:rPr>
                <w:color w:val="FFFFFF" w:themeColor="background1"/>
                <w:sz w:val="24"/>
                <w:szCs w:val="24"/>
              </w:rPr>
            </w:pPr>
          </w:p>
        </w:tc>
        <w:tc>
          <w:tcPr>
            <w:tcW w:w="1043"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6F1A2C36" w14:textId="77777777" w:rsidR="00441342" w:rsidRPr="00824ED1" w:rsidRDefault="00441342" w:rsidP="002C3600">
            <w:pPr>
              <w:jc w:val="cente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5A1F0CC6" w14:textId="77777777" w:rsidR="00441342" w:rsidRPr="00824ED1" w:rsidRDefault="00441342" w:rsidP="002C3600">
            <w:pPr>
              <w:pStyle w:val="NormalWeb"/>
              <w:jc w:val="center"/>
              <w:rPr>
                <w:color w:val="FFFFFF" w:themeColor="background1"/>
              </w:rPr>
            </w:pPr>
            <w:r w:rsidRPr="00824ED1">
              <w:rPr>
                <w:color w:val="FFFFFF" w:themeColor="background1"/>
              </w:rPr>
              <w:t>(not ICU or died)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439FD31" w14:textId="77777777" w:rsidR="00441342" w:rsidRPr="00824ED1" w:rsidRDefault="00441342" w:rsidP="002C3600">
            <w:pPr>
              <w:pStyle w:val="NormalWeb"/>
              <w:jc w:val="center"/>
              <w:rPr>
                <w:color w:val="FFFFFF" w:themeColor="background1"/>
              </w:rPr>
            </w:pPr>
            <w:r w:rsidRPr="00824ED1">
              <w:rPr>
                <w:color w:val="FFFFFF" w:themeColor="background1"/>
              </w:rPr>
              <w:t>(not died)</w:t>
            </w:r>
          </w:p>
        </w:tc>
        <w:tc>
          <w:tcPr>
            <w:tcW w:w="733"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6FB324E7" w14:textId="77777777" w:rsidR="00441342" w:rsidRPr="00824ED1" w:rsidRDefault="00441342" w:rsidP="002C3600">
            <w:pPr>
              <w:jc w:val="center"/>
              <w:rPr>
                <w:color w:val="FFFFFF" w:themeColor="background1"/>
                <w:sz w:val="24"/>
                <w:szCs w:val="24"/>
              </w:rPr>
            </w:pPr>
          </w:p>
        </w:tc>
        <w:tc>
          <w:tcPr>
            <w:tcW w:w="920"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469BA588" w14:textId="77777777" w:rsidR="00441342" w:rsidRPr="00824ED1" w:rsidRDefault="00441342" w:rsidP="002C3600">
            <w:pPr>
              <w:jc w:val="cente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5C2A36BC" w14:textId="77777777" w:rsidR="00441342" w:rsidRPr="00824ED1" w:rsidRDefault="00441342" w:rsidP="002C3600">
            <w:pPr>
              <w:pStyle w:val="NormalWeb"/>
              <w:jc w:val="center"/>
              <w:rPr>
                <w:color w:val="FFFFFF" w:themeColor="background1"/>
              </w:rPr>
            </w:pPr>
            <w:r w:rsidRPr="00824ED1">
              <w:rPr>
                <w:color w:val="FFFFFF" w:themeColor="background1"/>
              </w:rPr>
              <w:t>(not ICU or died)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5A82AC74" w14:textId="77777777" w:rsidR="00441342" w:rsidRPr="00824ED1" w:rsidRDefault="00441342" w:rsidP="002C3600">
            <w:pPr>
              <w:pStyle w:val="NormalWeb"/>
              <w:jc w:val="center"/>
              <w:rPr>
                <w:color w:val="FFFFFF" w:themeColor="background1"/>
              </w:rPr>
            </w:pPr>
            <w:r w:rsidRPr="00824ED1">
              <w:rPr>
                <w:color w:val="FFFFFF" w:themeColor="background1"/>
              </w:rPr>
              <w:t>(not died)</w:t>
            </w:r>
          </w:p>
        </w:tc>
        <w:tc>
          <w:tcPr>
            <w:tcW w:w="866" w:type="dxa"/>
            <w:vMerge/>
            <w:tcBorders>
              <w:top w:val="single" w:sz="2" w:space="0" w:color="FFFFFF" w:themeColor="background1"/>
              <w:left w:val="single" w:sz="2" w:space="0" w:color="FFFFFF" w:themeColor="background1"/>
            </w:tcBorders>
            <w:vAlign w:val="center"/>
            <w:hideMark/>
          </w:tcPr>
          <w:p w14:paraId="621EB608" w14:textId="77777777" w:rsidR="00441342" w:rsidRPr="00824ED1" w:rsidRDefault="00441342" w:rsidP="002C3600">
            <w:pPr>
              <w:jc w:val="center"/>
              <w:rPr>
                <w:color w:val="FFFFFF" w:themeColor="background1"/>
                <w:sz w:val="24"/>
                <w:szCs w:val="24"/>
              </w:rPr>
            </w:pPr>
          </w:p>
        </w:tc>
      </w:tr>
      <w:tr w:rsidR="00441342" w14:paraId="7861E336" w14:textId="77777777" w:rsidTr="00F71708">
        <w:tblPrEx>
          <w:tblCellMar>
            <w:left w:w="57" w:type="dxa"/>
            <w:right w:w="57" w:type="dxa"/>
          </w:tblCellMar>
        </w:tblPrEx>
        <w:tc>
          <w:tcPr>
            <w:tcW w:w="1418" w:type="dxa"/>
            <w:hideMark/>
          </w:tcPr>
          <w:p w14:paraId="05E58ECB" w14:textId="77777777" w:rsidR="00441342" w:rsidRDefault="00441342" w:rsidP="00E80310">
            <w:pPr>
              <w:pStyle w:val="NormalWeb"/>
            </w:pPr>
            <w:r>
              <w:t>0–4</w:t>
            </w:r>
          </w:p>
        </w:tc>
        <w:tc>
          <w:tcPr>
            <w:tcW w:w="1043" w:type="dxa"/>
            <w:hideMark/>
          </w:tcPr>
          <w:p w14:paraId="52A3C63B" w14:textId="77777777" w:rsidR="00441342" w:rsidRDefault="00441342" w:rsidP="00E80310">
            <w:pPr>
              <w:pStyle w:val="NormalWeb"/>
              <w:jc w:val="center"/>
            </w:pPr>
            <w:r>
              <w:t>6,848</w:t>
            </w:r>
          </w:p>
        </w:tc>
        <w:tc>
          <w:tcPr>
            <w:tcW w:w="0" w:type="auto"/>
            <w:hideMark/>
          </w:tcPr>
          <w:p w14:paraId="6FF8A005" w14:textId="77777777" w:rsidR="00441342" w:rsidRDefault="00441342" w:rsidP="00E80310">
            <w:pPr>
              <w:pStyle w:val="NormalWeb"/>
              <w:jc w:val="center"/>
            </w:pPr>
            <w:r>
              <w:t>386</w:t>
            </w:r>
          </w:p>
        </w:tc>
        <w:tc>
          <w:tcPr>
            <w:tcW w:w="0" w:type="auto"/>
            <w:hideMark/>
          </w:tcPr>
          <w:p w14:paraId="301FD0CF" w14:textId="77777777" w:rsidR="00441342" w:rsidRDefault="00441342" w:rsidP="00E80310">
            <w:pPr>
              <w:pStyle w:val="NormalWeb"/>
              <w:jc w:val="center"/>
            </w:pPr>
            <w:r>
              <w:t>5</w:t>
            </w:r>
          </w:p>
        </w:tc>
        <w:tc>
          <w:tcPr>
            <w:tcW w:w="733" w:type="dxa"/>
            <w:hideMark/>
          </w:tcPr>
          <w:p w14:paraId="4F9A6BBE" w14:textId="77777777" w:rsidR="00441342" w:rsidRDefault="00441342" w:rsidP="00E80310">
            <w:pPr>
              <w:pStyle w:val="NormalWeb"/>
              <w:jc w:val="center"/>
            </w:pPr>
            <w:r>
              <w:t>0</w:t>
            </w:r>
          </w:p>
        </w:tc>
        <w:tc>
          <w:tcPr>
            <w:tcW w:w="920" w:type="dxa"/>
            <w:hideMark/>
          </w:tcPr>
          <w:p w14:paraId="722429FE" w14:textId="77777777" w:rsidR="00441342" w:rsidRDefault="00441342" w:rsidP="00E80310">
            <w:pPr>
              <w:pStyle w:val="NormalWeb"/>
              <w:jc w:val="center"/>
            </w:pPr>
            <w:r>
              <w:t>7,239</w:t>
            </w:r>
          </w:p>
        </w:tc>
        <w:tc>
          <w:tcPr>
            <w:tcW w:w="0" w:type="auto"/>
            <w:hideMark/>
          </w:tcPr>
          <w:p w14:paraId="706BEA89" w14:textId="77777777" w:rsidR="00441342" w:rsidRDefault="00441342" w:rsidP="00E80310">
            <w:pPr>
              <w:pStyle w:val="NormalWeb"/>
              <w:jc w:val="center"/>
            </w:pPr>
            <w:r>
              <w:t>5.3%</w:t>
            </w:r>
          </w:p>
        </w:tc>
        <w:tc>
          <w:tcPr>
            <w:tcW w:w="0" w:type="auto"/>
            <w:hideMark/>
          </w:tcPr>
          <w:p w14:paraId="77116DF2" w14:textId="77777777" w:rsidR="00441342" w:rsidRDefault="00441342" w:rsidP="00E80310">
            <w:pPr>
              <w:pStyle w:val="NormalWeb"/>
              <w:jc w:val="center"/>
            </w:pPr>
            <w:r>
              <w:t>0.1%</w:t>
            </w:r>
          </w:p>
        </w:tc>
        <w:tc>
          <w:tcPr>
            <w:tcW w:w="866" w:type="dxa"/>
            <w:hideMark/>
          </w:tcPr>
          <w:p w14:paraId="72B3D792" w14:textId="77777777" w:rsidR="00441342" w:rsidRDefault="00441342" w:rsidP="00E80310">
            <w:pPr>
              <w:pStyle w:val="NormalWeb"/>
              <w:jc w:val="center"/>
            </w:pPr>
            <w:r>
              <w:t>0.0%</w:t>
            </w:r>
          </w:p>
        </w:tc>
      </w:tr>
      <w:tr w:rsidR="00441342" w14:paraId="6D4D2C7D"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5E569377" w14:textId="77777777" w:rsidR="00441342" w:rsidRDefault="00441342" w:rsidP="00E80310">
            <w:pPr>
              <w:pStyle w:val="NormalWeb"/>
            </w:pPr>
            <w:r>
              <w:t>5–11</w:t>
            </w:r>
          </w:p>
        </w:tc>
        <w:tc>
          <w:tcPr>
            <w:tcW w:w="1043" w:type="dxa"/>
            <w:hideMark/>
          </w:tcPr>
          <w:p w14:paraId="3A641805" w14:textId="77777777" w:rsidR="00441342" w:rsidRDefault="00441342" w:rsidP="00E80310">
            <w:pPr>
              <w:pStyle w:val="NormalWeb"/>
              <w:jc w:val="center"/>
            </w:pPr>
            <w:r>
              <w:t>10,184</w:t>
            </w:r>
          </w:p>
        </w:tc>
        <w:tc>
          <w:tcPr>
            <w:tcW w:w="0" w:type="auto"/>
            <w:hideMark/>
          </w:tcPr>
          <w:p w14:paraId="2CFA3EDA" w14:textId="77777777" w:rsidR="00441342" w:rsidRDefault="00441342" w:rsidP="00E80310">
            <w:pPr>
              <w:pStyle w:val="NormalWeb"/>
              <w:jc w:val="center"/>
            </w:pPr>
            <w:r>
              <w:t>279</w:t>
            </w:r>
          </w:p>
        </w:tc>
        <w:tc>
          <w:tcPr>
            <w:tcW w:w="0" w:type="auto"/>
            <w:hideMark/>
          </w:tcPr>
          <w:p w14:paraId="1749EC2B" w14:textId="77777777" w:rsidR="00441342" w:rsidRDefault="00441342" w:rsidP="00E80310">
            <w:pPr>
              <w:pStyle w:val="NormalWeb"/>
              <w:jc w:val="center"/>
            </w:pPr>
            <w:r>
              <w:t>4</w:t>
            </w:r>
          </w:p>
        </w:tc>
        <w:tc>
          <w:tcPr>
            <w:tcW w:w="733" w:type="dxa"/>
            <w:hideMark/>
          </w:tcPr>
          <w:p w14:paraId="09F5DF3A" w14:textId="77777777" w:rsidR="00441342" w:rsidRDefault="00441342" w:rsidP="00E80310">
            <w:pPr>
              <w:pStyle w:val="NormalWeb"/>
              <w:jc w:val="center"/>
            </w:pPr>
            <w:r>
              <w:t>0</w:t>
            </w:r>
          </w:p>
        </w:tc>
        <w:tc>
          <w:tcPr>
            <w:tcW w:w="920" w:type="dxa"/>
            <w:hideMark/>
          </w:tcPr>
          <w:p w14:paraId="388170FD" w14:textId="77777777" w:rsidR="00441342" w:rsidRDefault="00441342" w:rsidP="00E80310">
            <w:pPr>
              <w:pStyle w:val="NormalWeb"/>
              <w:jc w:val="center"/>
            </w:pPr>
            <w:r>
              <w:t>10,467</w:t>
            </w:r>
          </w:p>
        </w:tc>
        <w:tc>
          <w:tcPr>
            <w:tcW w:w="0" w:type="auto"/>
            <w:hideMark/>
          </w:tcPr>
          <w:p w14:paraId="58D8673C" w14:textId="77777777" w:rsidR="00441342" w:rsidRDefault="00441342" w:rsidP="00E80310">
            <w:pPr>
              <w:pStyle w:val="NormalWeb"/>
              <w:jc w:val="center"/>
            </w:pPr>
            <w:r>
              <w:t>2.7%</w:t>
            </w:r>
          </w:p>
        </w:tc>
        <w:tc>
          <w:tcPr>
            <w:tcW w:w="0" w:type="auto"/>
            <w:hideMark/>
          </w:tcPr>
          <w:p w14:paraId="00FD5406" w14:textId="77777777" w:rsidR="00441342" w:rsidRDefault="00441342" w:rsidP="00E80310">
            <w:pPr>
              <w:pStyle w:val="NormalWeb"/>
              <w:jc w:val="center"/>
            </w:pPr>
            <w:r>
              <w:t>0.0%</w:t>
            </w:r>
          </w:p>
        </w:tc>
        <w:tc>
          <w:tcPr>
            <w:tcW w:w="866" w:type="dxa"/>
            <w:hideMark/>
          </w:tcPr>
          <w:p w14:paraId="118D1AE3" w14:textId="77777777" w:rsidR="00441342" w:rsidRDefault="00441342" w:rsidP="00E80310">
            <w:pPr>
              <w:pStyle w:val="NormalWeb"/>
              <w:jc w:val="center"/>
            </w:pPr>
            <w:r>
              <w:t>0.0%</w:t>
            </w:r>
          </w:p>
        </w:tc>
      </w:tr>
      <w:tr w:rsidR="00441342" w14:paraId="1F7CA1C5" w14:textId="77777777" w:rsidTr="00F71708">
        <w:tblPrEx>
          <w:tblCellMar>
            <w:left w:w="57" w:type="dxa"/>
            <w:right w:w="57" w:type="dxa"/>
          </w:tblCellMar>
        </w:tblPrEx>
        <w:tc>
          <w:tcPr>
            <w:tcW w:w="1418" w:type="dxa"/>
            <w:hideMark/>
          </w:tcPr>
          <w:p w14:paraId="44B09B54" w14:textId="77777777" w:rsidR="00441342" w:rsidRDefault="00441342" w:rsidP="00E80310">
            <w:pPr>
              <w:pStyle w:val="NormalWeb"/>
            </w:pPr>
            <w:r>
              <w:t>12–15</w:t>
            </w:r>
          </w:p>
        </w:tc>
        <w:tc>
          <w:tcPr>
            <w:tcW w:w="1043" w:type="dxa"/>
            <w:hideMark/>
          </w:tcPr>
          <w:p w14:paraId="4643B491" w14:textId="77777777" w:rsidR="00441342" w:rsidRDefault="00441342" w:rsidP="00E80310">
            <w:pPr>
              <w:pStyle w:val="NormalWeb"/>
              <w:jc w:val="center"/>
            </w:pPr>
            <w:r>
              <w:t>6,220</w:t>
            </w:r>
          </w:p>
        </w:tc>
        <w:tc>
          <w:tcPr>
            <w:tcW w:w="0" w:type="auto"/>
            <w:hideMark/>
          </w:tcPr>
          <w:p w14:paraId="2E72EA5B" w14:textId="77777777" w:rsidR="00441342" w:rsidRDefault="00441342" w:rsidP="00E80310">
            <w:pPr>
              <w:pStyle w:val="NormalWeb"/>
              <w:jc w:val="center"/>
            </w:pPr>
            <w:r>
              <w:t>235</w:t>
            </w:r>
          </w:p>
        </w:tc>
        <w:tc>
          <w:tcPr>
            <w:tcW w:w="0" w:type="auto"/>
            <w:hideMark/>
          </w:tcPr>
          <w:p w14:paraId="09956A12" w14:textId="77777777" w:rsidR="00441342" w:rsidRDefault="00441342" w:rsidP="00E80310">
            <w:pPr>
              <w:pStyle w:val="NormalWeb"/>
              <w:jc w:val="center"/>
            </w:pPr>
            <w:r>
              <w:t>5</w:t>
            </w:r>
          </w:p>
        </w:tc>
        <w:tc>
          <w:tcPr>
            <w:tcW w:w="733" w:type="dxa"/>
            <w:hideMark/>
          </w:tcPr>
          <w:p w14:paraId="4412F32E" w14:textId="77777777" w:rsidR="00441342" w:rsidRDefault="00441342" w:rsidP="00E80310">
            <w:pPr>
              <w:pStyle w:val="NormalWeb"/>
              <w:jc w:val="center"/>
            </w:pPr>
            <w:r>
              <w:t>1</w:t>
            </w:r>
          </w:p>
        </w:tc>
        <w:tc>
          <w:tcPr>
            <w:tcW w:w="920" w:type="dxa"/>
            <w:hideMark/>
          </w:tcPr>
          <w:p w14:paraId="2607FFDB" w14:textId="77777777" w:rsidR="00441342" w:rsidRDefault="00441342" w:rsidP="00E80310">
            <w:pPr>
              <w:pStyle w:val="NormalWeb"/>
              <w:jc w:val="center"/>
            </w:pPr>
            <w:r>
              <w:t>6,461</w:t>
            </w:r>
          </w:p>
        </w:tc>
        <w:tc>
          <w:tcPr>
            <w:tcW w:w="0" w:type="auto"/>
            <w:hideMark/>
          </w:tcPr>
          <w:p w14:paraId="1BEF4DBA" w14:textId="77777777" w:rsidR="00441342" w:rsidRDefault="00441342" w:rsidP="00E80310">
            <w:pPr>
              <w:pStyle w:val="NormalWeb"/>
              <w:jc w:val="center"/>
            </w:pPr>
            <w:r>
              <w:t>3.6%</w:t>
            </w:r>
          </w:p>
        </w:tc>
        <w:tc>
          <w:tcPr>
            <w:tcW w:w="0" w:type="auto"/>
            <w:hideMark/>
          </w:tcPr>
          <w:p w14:paraId="468591E4" w14:textId="77777777" w:rsidR="00441342" w:rsidRDefault="00441342" w:rsidP="00E80310">
            <w:pPr>
              <w:pStyle w:val="NormalWeb"/>
              <w:jc w:val="center"/>
            </w:pPr>
            <w:r>
              <w:t>0.1%</w:t>
            </w:r>
          </w:p>
        </w:tc>
        <w:tc>
          <w:tcPr>
            <w:tcW w:w="866" w:type="dxa"/>
            <w:hideMark/>
          </w:tcPr>
          <w:p w14:paraId="0D3AAFF2" w14:textId="77777777" w:rsidR="00441342" w:rsidRDefault="00441342" w:rsidP="00E80310">
            <w:pPr>
              <w:pStyle w:val="NormalWeb"/>
              <w:jc w:val="center"/>
            </w:pPr>
            <w:r>
              <w:t>0.0%</w:t>
            </w:r>
          </w:p>
        </w:tc>
      </w:tr>
      <w:tr w:rsidR="00441342" w14:paraId="6C0973C4"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0B56C7A7" w14:textId="77777777" w:rsidR="00441342" w:rsidRDefault="00441342" w:rsidP="00E80310">
            <w:pPr>
              <w:pStyle w:val="NormalWeb"/>
            </w:pPr>
            <w:r>
              <w:t>16–17</w:t>
            </w:r>
          </w:p>
        </w:tc>
        <w:tc>
          <w:tcPr>
            <w:tcW w:w="1043" w:type="dxa"/>
            <w:hideMark/>
          </w:tcPr>
          <w:p w14:paraId="1B361747" w14:textId="77777777" w:rsidR="00441342" w:rsidRDefault="00441342" w:rsidP="00E80310">
            <w:pPr>
              <w:pStyle w:val="NormalWeb"/>
              <w:jc w:val="center"/>
            </w:pPr>
            <w:r>
              <w:t>3,418</w:t>
            </w:r>
          </w:p>
        </w:tc>
        <w:tc>
          <w:tcPr>
            <w:tcW w:w="0" w:type="auto"/>
            <w:hideMark/>
          </w:tcPr>
          <w:p w14:paraId="0527CED2" w14:textId="77777777" w:rsidR="00441342" w:rsidRDefault="00441342" w:rsidP="00E80310">
            <w:pPr>
              <w:pStyle w:val="NormalWeb"/>
              <w:jc w:val="center"/>
            </w:pPr>
            <w:r>
              <w:t>132</w:t>
            </w:r>
          </w:p>
        </w:tc>
        <w:tc>
          <w:tcPr>
            <w:tcW w:w="0" w:type="auto"/>
            <w:hideMark/>
          </w:tcPr>
          <w:p w14:paraId="63360177" w14:textId="77777777" w:rsidR="00441342" w:rsidRDefault="00441342" w:rsidP="00E80310">
            <w:pPr>
              <w:pStyle w:val="NormalWeb"/>
              <w:jc w:val="center"/>
            </w:pPr>
            <w:r>
              <w:t>9</w:t>
            </w:r>
          </w:p>
        </w:tc>
        <w:tc>
          <w:tcPr>
            <w:tcW w:w="733" w:type="dxa"/>
            <w:hideMark/>
          </w:tcPr>
          <w:p w14:paraId="29E30E65" w14:textId="77777777" w:rsidR="00441342" w:rsidRDefault="00441342" w:rsidP="00E80310">
            <w:pPr>
              <w:pStyle w:val="NormalWeb"/>
              <w:jc w:val="center"/>
            </w:pPr>
            <w:r>
              <w:t>0</w:t>
            </w:r>
          </w:p>
        </w:tc>
        <w:tc>
          <w:tcPr>
            <w:tcW w:w="920" w:type="dxa"/>
            <w:hideMark/>
          </w:tcPr>
          <w:p w14:paraId="06ABFC35" w14:textId="77777777" w:rsidR="00441342" w:rsidRDefault="00441342" w:rsidP="00E80310">
            <w:pPr>
              <w:pStyle w:val="NormalWeb"/>
              <w:jc w:val="center"/>
            </w:pPr>
            <w:r>
              <w:t>3,559</w:t>
            </w:r>
          </w:p>
        </w:tc>
        <w:tc>
          <w:tcPr>
            <w:tcW w:w="0" w:type="auto"/>
            <w:hideMark/>
          </w:tcPr>
          <w:p w14:paraId="0EF7239F" w14:textId="77777777" w:rsidR="00441342" w:rsidRDefault="00441342" w:rsidP="00E80310">
            <w:pPr>
              <w:pStyle w:val="NormalWeb"/>
              <w:jc w:val="center"/>
            </w:pPr>
            <w:r>
              <w:t>3.7%</w:t>
            </w:r>
          </w:p>
        </w:tc>
        <w:tc>
          <w:tcPr>
            <w:tcW w:w="0" w:type="auto"/>
            <w:hideMark/>
          </w:tcPr>
          <w:p w14:paraId="3A1E3E3D" w14:textId="77777777" w:rsidR="00441342" w:rsidRDefault="00441342" w:rsidP="00E80310">
            <w:pPr>
              <w:pStyle w:val="NormalWeb"/>
              <w:jc w:val="center"/>
            </w:pPr>
            <w:r>
              <w:t>0.3%</w:t>
            </w:r>
          </w:p>
        </w:tc>
        <w:tc>
          <w:tcPr>
            <w:tcW w:w="866" w:type="dxa"/>
            <w:hideMark/>
          </w:tcPr>
          <w:p w14:paraId="35467BD5" w14:textId="77777777" w:rsidR="00441342" w:rsidRDefault="00441342" w:rsidP="00E80310">
            <w:pPr>
              <w:pStyle w:val="NormalWeb"/>
              <w:jc w:val="center"/>
            </w:pPr>
            <w:r>
              <w:t>0.0%</w:t>
            </w:r>
          </w:p>
        </w:tc>
      </w:tr>
      <w:tr w:rsidR="00441342" w14:paraId="43E3E7B7" w14:textId="77777777" w:rsidTr="00F71708">
        <w:tblPrEx>
          <w:tblCellMar>
            <w:left w:w="57" w:type="dxa"/>
            <w:right w:w="57" w:type="dxa"/>
          </w:tblCellMar>
        </w:tblPrEx>
        <w:tc>
          <w:tcPr>
            <w:tcW w:w="1418" w:type="dxa"/>
            <w:hideMark/>
          </w:tcPr>
          <w:p w14:paraId="41AB1ACB" w14:textId="77777777" w:rsidR="00441342" w:rsidRDefault="00441342" w:rsidP="00E80310">
            <w:pPr>
              <w:pStyle w:val="NormalWeb"/>
            </w:pPr>
            <w:r>
              <w:t>18–29</w:t>
            </w:r>
          </w:p>
        </w:tc>
        <w:tc>
          <w:tcPr>
            <w:tcW w:w="1043" w:type="dxa"/>
            <w:hideMark/>
          </w:tcPr>
          <w:p w14:paraId="5C2FA97F" w14:textId="77777777" w:rsidR="00441342" w:rsidRDefault="00441342" w:rsidP="00E80310">
            <w:pPr>
              <w:pStyle w:val="NormalWeb"/>
              <w:jc w:val="center"/>
            </w:pPr>
            <w:r>
              <w:t>24,837</w:t>
            </w:r>
          </w:p>
        </w:tc>
        <w:tc>
          <w:tcPr>
            <w:tcW w:w="0" w:type="auto"/>
            <w:hideMark/>
          </w:tcPr>
          <w:p w14:paraId="2B865F7B" w14:textId="77777777" w:rsidR="00441342" w:rsidRDefault="00441342" w:rsidP="00E80310">
            <w:pPr>
              <w:pStyle w:val="NormalWeb"/>
              <w:jc w:val="center"/>
            </w:pPr>
            <w:r>
              <w:t>1,922</w:t>
            </w:r>
          </w:p>
        </w:tc>
        <w:tc>
          <w:tcPr>
            <w:tcW w:w="0" w:type="auto"/>
            <w:hideMark/>
          </w:tcPr>
          <w:p w14:paraId="5D09AC33" w14:textId="77777777" w:rsidR="00441342" w:rsidRDefault="00441342" w:rsidP="00E80310">
            <w:pPr>
              <w:pStyle w:val="NormalWeb"/>
              <w:jc w:val="center"/>
            </w:pPr>
            <w:r>
              <w:t>130</w:t>
            </w:r>
          </w:p>
        </w:tc>
        <w:tc>
          <w:tcPr>
            <w:tcW w:w="733" w:type="dxa"/>
            <w:hideMark/>
          </w:tcPr>
          <w:p w14:paraId="57201B69" w14:textId="77777777" w:rsidR="00441342" w:rsidRDefault="00441342" w:rsidP="00E80310">
            <w:pPr>
              <w:pStyle w:val="NormalWeb"/>
              <w:jc w:val="center"/>
            </w:pPr>
            <w:r>
              <w:t>7</w:t>
            </w:r>
          </w:p>
        </w:tc>
        <w:tc>
          <w:tcPr>
            <w:tcW w:w="920" w:type="dxa"/>
            <w:hideMark/>
          </w:tcPr>
          <w:p w14:paraId="05C860CB" w14:textId="77777777" w:rsidR="00441342" w:rsidRDefault="00441342" w:rsidP="00E80310">
            <w:pPr>
              <w:pStyle w:val="NormalWeb"/>
              <w:jc w:val="center"/>
            </w:pPr>
            <w:r>
              <w:t>26,896</w:t>
            </w:r>
          </w:p>
        </w:tc>
        <w:tc>
          <w:tcPr>
            <w:tcW w:w="0" w:type="auto"/>
            <w:hideMark/>
          </w:tcPr>
          <w:p w14:paraId="7335F075" w14:textId="77777777" w:rsidR="00441342" w:rsidRDefault="00441342" w:rsidP="00E80310">
            <w:pPr>
              <w:pStyle w:val="NormalWeb"/>
              <w:jc w:val="center"/>
            </w:pPr>
            <w:r>
              <w:t>7.1%</w:t>
            </w:r>
          </w:p>
        </w:tc>
        <w:tc>
          <w:tcPr>
            <w:tcW w:w="0" w:type="auto"/>
            <w:hideMark/>
          </w:tcPr>
          <w:p w14:paraId="7756B8DA" w14:textId="77777777" w:rsidR="00441342" w:rsidRDefault="00441342" w:rsidP="00E80310">
            <w:pPr>
              <w:pStyle w:val="NormalWeb"/>
              <w:jc w:val="center"/>
            </w:pPr>
            <w:r>
              <w:t>0.5%</w:t>
            </w:r>
          </w:p>
        </w:tc>
        <w:tc>
          <w:tcPr>
            <w:tcW w:w="866" w:type="dxa"/>
            <w:hideMark/>
          </w:tcPr>
          <w:p w14:paraId="54FE893E" w14:textId="77777777" w:rsidR="00441342" w:rsidRDefault="00441342" w:rsidP="00E80310">
            <w:pPr>
              <w:pStyle w:val="NormalWeb"/>
              <w:jc w:val="center"/>
            </w:pPr>
            <w:r>
              <w:t>0.0%</w:t>
            </w:r>
          </w:p>
        </w:tc>
      </w:tr>
      <w:tr w:rsidR="00441342" w14:paraId="376FA2D9"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193D294E" w14:textId="77777777" w:rsidR="00441342" w:rsidRDefault="00441342" w:rsidP="00E80310">
            <w:pPr>
              <w:pStyle w:val="NormalWeb"/>
            </w:pPr>
            <w:r>
              <w:t>30–39</w:t>
            </w:r>
          </w:p>
        </w:tc>
        <w:tc>
          <w:tcPr>
            <w:tcW w:w="1043" w:type="dxa"/>
            <w:hideMark/>
          </w:tcPr>
          <w:p w14:paraId="5A66564C" w14:textId="77777777" w:rsidR="00441342" w:rsidRDefault="00441342" w:rsidP="00E80310">
            <w:pPr>
              <w:pStyle w:val="NormalWeb"/>
              <w:jc w:val="center"/>
            </w:pPr>
            <w:r>
              <w:t>16,500</w:t>
            </w:r>
          </w:p>
        </w:tc>
        <w:tc>
          <w:tcPr>
            <w:tcW w:w="0" w:type="auto"/>
            <w:hideMark/>
          </w:tcPr>
          <w:p w14:paraId="23098DF5" w14:textId="77777777" w:rsidR="00441342" w:rsidRDefault="00441342" w:rsidP="00E80310">
            <w:pPr>
              <w:pStyle w:val="NormalWeb"/>
              <w:jc w:val="center"/>
            </w:pPr>
            <w:r>
              <w:t>2,018</w:t>
            </w:r>
          </w:p>
        </w:tc>
        <w:tc>
          <w:tcPr>
            <w:tcW w:w="0" w:type="auto"/>
            <w:hideMark/>
          </w:tcPr>
          <w:p w14:paraId="4097BC82" w14:textId="77777777" w:rsidR="00441342" w:rsidRDefault="00441342" w:rsidP="00E80310">
            <w:pPr>
              <w:pStyle w:val="NormalWeb"/>
              <w:jc w:val="center"/>
            </w:pPr>
            <w:r>
              <w:t>222</w:t>
            </w:r>
          </w:p>
        </w:tc>
        <w:tc>
          <w:tcPr>
            <w:tcW w:w="733" w:type="dxa"/>
            <w:hideMark/>
          </w:tcPr>
          <w:p w14:paraId="18278C2A" w14:textId="77777777" w:rsidR="00441342" w:rsidRDefault="00441342" w:rsidP="00E80310">
            <w:pPr>
              <w:pStyle w:val="NormalWeb"/>
              <w:jc w:val="center"/>
            </w:pPr>
            <w:r>
              <w:t>10</w:t>
            </w:r>
          </w:p>
        </w:tc>
        <w:tc>
          <w:tcPr>
            <w:tcW w:w="920" w:type="dxa"/>
            <w:hideMark/>
          </w:tcPr>
          <w:p w14:paraId="4038DEEE" w14:textId="77777777" w:rsidR="00441342" w:rsidRDefault="00441342" w:rsidP="00E80310">
            <w:pPr>
              <w:pStyle w:val="NormalWeb"/>
              <w:jc w:val="center"/>
            </w:pPr>
            <w:r>
              <w:t>18,750</w:t>
            </w:r>
          </w:p>
        </w:tc>
        <w:tc>
          <w:tcPr>
            <w:tcW w:w="0" w:type="auto"/>
            <w:hideMark/>
          </w:tcPr>
          <w:p w14:paraId="60CD28BA" w14:textId="77777777" w:rsidR="00441342" w:rsidRDefault="00441342" w:rsidP="00E80310">
            <w:pPr>
              <w:pStyle w:val="NormalWeb"/>
              <w:jc w:val="center"/>
            </w:pPr>
            <w:r>
              <w:t>10.8%</w:t>
            </w:r>
          </w:p>
        </w:tc>
        <w:tc>
          <w:tcPr>
            <w:tcW w:w="0" w:type="auto"/>
            <w:hideMark/>
          </w:tcPr>
          <w:p w14:paraId="39A0405C" w14:textId="77777777" w:rsidR="00441342" w:rsidRDefault="00441342" w:rsidP="00E80310">
            <w:pPr>
              <w:pStyle w:val="NormalWeb"/>
              <w:jc w:val="center"/>
            </w:pPr>
            <w:r>
              <w:t>1.2%</w:t>
            </w:r>
          </w:p>
        </w:tc>
        <w:tc>
          <w:tcPr>
            <w:tcW w:w="866" w:type="dxa"/>
            <w:hideMark/>
          </w:tcPr>
          <w:p w14:paraId="53D1ECA0" w14:textId="77777777" w:rsidR="00441342" w:rsidRDefault="00441342" w:rsidP="00E80310">
            <w:pPr>
              <w:pStyle w:val="NormalWeb"/>
              <w:jc w:val="center"/>
            </w:pPr>
            <w:r>
              <w:t>0.1%</w:t>
            </w:r>
          </w:p>
        </w:tc>
      </w:tr>
      <w:tr w:rsidR="00441342" w14:paraId="7DCFCD8A" w14:textId="77777777" w:rsidTr="00F71708">
        <w:tblPrEx>
          <w:tblCellMar>
            <w:left w:w="57" w:type="dxa"/>
            <w:right w:w="57" w:type="dxa"/>
          </w:tblCellMar>
        </w:tblPrEx>
        <w:tc>
          <w:tcPr>
            <w:tcW w:w="1418" w:type="dxa"/>
            <w:hideMark/>
          </w:tcPr>
          <w:p w14:paraId="50C727D0" w14:textId="77777777" w:rsidR="00441342" w:rsidRDefault="00441342" w:rsidP="00E80310">
            <w:pPr>
              <w:pStyle w:val="NormalWeb"/>
            </w:pPr>
            <w:r>
              <w:t>40–49</w:t>
            </w:r>
          </w:p>
        </w:tc>
        <w:tc>
          <w:tcPr>
            <w:tcW w:w="1043" w:type="dxa"/>
            <w:hideMark/>
          </w:tcPr>
          <w:p w14:paraId="034F2D42" w14:textId="77777777" w:rsidR="00441342" w:rsidRDefault="00441342" w:rsidP="00E80310">
            <w:pPr>
              <w:pStyle w:val="NormalWeb"/>
              <w:jc w:val="center"/>
            </w:pPr>
            <w:r>
              <w:t>11,000</w:t>
            </w:r>
          </w:p>
        </w:tc>
        <w:tc>
          <w:tcPr>
            <w:tcW w:w="0" w:type="auto"/>
            <w:hideMark/>
          </w:tcPr>
          <w:p w14:paraId="0F87F686" w14:textId="77777777" w:rsidR="00441342" w:rsidRDefault="00441342" w:rsidP="00E80310">
            <w:pPr>
              <w:pStyle w:val="NormalWeb"/>
              <w:jc w:val="center"/>
            </w:pPr>
            <w:r>
              <w:t>1,790</w:t>
            </w:r>
          </w:p>
        </w:tc>
        <w:tc>
          <w:tcPr>
            <w:tcW w:w="0" w:type="auto"/>
            <w:hideMark/>
          </w:tcPr>
          <w:p w14:paraId="6E093956" w14:textId="77777777" w:rsidR="00441342" w:rsidRDefault="00441342" w:rsidP="00E80310">
            <w:pPr>
              <w:pStyle w:val="NormalWeb"/>
              <w:jc w:val="center"/>
            </w:pPr>
            <w:r>
              <w:t>274</w:t>
            </w:r>
          </w:p>
        </w:tc>
        <w:tc>
          <w:tcPr>
            <w:tcW w:w="733" w:type="dxa"/>
            <w:hideMark/>
          </w:tcPr>
          <w:p w14:paraId="72E99419" w14:textId="77777777" w:rsidR="00441342" w:rsidRDefault="00441342" w:rsidP="00E80310">
            <w:pPr>
              <w:pStyle w:val="NormalWeb"/>
              <w:jc w:val="center"/>
            </w:pPr>
            <w:r>
              <w:t>25</w:t>
            </w:r>
          </w:p>
        </w:tc>
        <w:tc>
          <w:tcPr>
            <w:tcW w:w="920" w:type="dxa"/>
            <w:hideMark/>
          </w:tcPr>
          <w:p w14:paraId="05E366AA" w14:textId="77777777" w:rsidR="00441342" w:rsidRDefault="00441342" w:rsidP="00E80310">
            <w:pPr>
              <w:pStyle w:val="NormalWeb"/>
              <w:jc w:val="center"/>
            </w:pPr>
            <w:r>
              <w:t>13,089</w:t>
            </w:r>
          </w:p>
        </w:tc>
        <w:tc>
          <w:tcPr>
            <w:tcW w:w="0" w:type="auto"/>
            <w:hideMark/>
          </w:tcPr>
          <w:p w14:paraId="7FE64AAA" w14:textId="77777777" w:rsidR="00441342" w:rsidRDefault="00441342" w:rsidP="00E80310">
            <w:pPr>
              <w:pStyle w:val="NormalWeb"/>
              <w:jc w:val="center"/>
            </w:pPr>
            <w:r>
              <w:t>13.7%</w:t>
            </w:r>
          </w:p>
        </w:tc>
        <w:tc>
          <w:tcPr>
            <w:tcW w:w="0" w:type="auto"/>
            <w:hideMark/>
          </w:tcPr>
          <w:p w14:paraId="40CB63D4" w14:textId="77777777" w:rsidR="00441342" w:rsidRDefault="00441342" w:rsidP="00E80310">
            <w:pPr>
              <w:pStyle w:val="NormalWeb"/>
              <w:jc w:val="center"/>
            </w:pPr>
            <w:r>
              <w:t>2.1%</w:t>
            </w:r>
          </w:p>
        </w:tc>
        <w:tc>
          <w:tcPr>
            <w:tcW w:w="866" w:type="dxa"/>
            <w:hideMark/>
          </w:tcPr>
          <w:p w14:paraId="55C19075" w14:textId="77777777" w:rsidR="00441342" w:rsidRDefault="00441342" w:rsidP="00E80310">
            <w:pPr>
              <w:pStyle w:val="NormalWeb"/>
              <w:jc w:val="center"/>
            </w:pPr>
            <w:r>
              <w:t>0.2%</w:t>
            </w:r>
          </w:p>
        </w:tc>
      </w:tr>
      <w:tr w:rsidR="00441342" w14:paraId="24CAC2B3"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280D1CB2" w14:textId="77777777" w:rsidR="00441342" w:rsidRDefault="00441342" w:rsidP="00E80310">
            <w:pPr>
              <w:pStyle w:val="NormalWeb"/>
            </w:pPr>
            <w:r>
              <w:t>50–59</w:t>
            </w:r>
          </w:p>
        </w:tc>
        <w:tc>
          <w:tcPr>
            <w:tcW w:w="1043" w:type="dxa"/>
            <w:hideMark/>
          </w:tcPr>
          <w:p w14:paraId="1A12B25B" w14:textId="77777777" w:rsidR="00441342" w:rsidRDefault="00441342" w:rsidP="00E80310">
            <w:pPr>
              <w:pStyle w:val="NormalWeb"/>
              <w:jc w:val="center"/>
            </w:pPr>
            <w:r>
              <w:t>7,760</w:t>
            </w:r>
          </w:p>
        </w:tc>
        <w:tc>
          <w:tcPr>
            <w:tcW w:w="0" w:type="auto"/>
            <w:hideMark/>
          </w:tcPr>
          <w:p w14:paraId="5A5110CB" w14:textId="77777777" w:rsidR="00441342" w:rsidRDefault="00441342" w:rsidP="00E80310">
            <w:pPr>
              <w:pStyle w:val="NormalWeb"/>
              <w:jc w:val="center"/>
            </w:pPr>
            <w:r>
              <w:t>1,561</w:t>
            </w:r>
          </w:p>
        </w:tc>
        <w:tc>
          <w:tcPr>
            <w:tcW w:w="0" w:type="auto"/>
            <w:hideMark/>
          </w:tcPr>
          <w:p w14:paraId="72FE1D60" w14:textId="77777777" w:rsidR="00441342" w:rsidRDefault="00441342" w:rsidP="00E80310">
            <w:pPr>
              <w:pStyle w:val="NormalWeb"/>
              <w:jc w:val="center"/>
            </w:pPr>
            <w:r>
              <w:t>368</w:t>
            </w:r>
          </w:p>
        </w:tc>
        <w:tc>
          <w:tcPr>
            <w:tcW w:w="733" w:type="dxa"/>
            <w:hideMark/>
          </w:tcPr>
          <w:p w14:paraId="19B9DFB8" w14:textId="77777777" w:rsidR="00441342" w:rsidRDefault="00441342" w:rsidP="00E80310">
            <w:pPr>
              <w:pStyle w:val="NormalWeb"/>
              <w:jc w:val="center"/>
            </w:pPr>
            <w:r>
              <w:t>74</w:t>
            </w:r>
          </w:p>
        </w:tc>
        <w:tc>
          <w:tcPr>
            <w:tcW w:w="920" w:type="dxa"/>
            <w:hideMark/>
          </w:tcPr>
          <w:p w14:paraId="0AC8426E" w14:textId="77777777" w:rsidR="00441342" w:rsidRDefault="00441342" w:rsidP="00E80310">
            <w:pPr>
              <w:pStyle w:val="NormalWeb"/>
              <w:jc w:val="center"/>
            </w:pPr>
            <w:r>
              <w:t>9,763</w:t>
            </w:r>
          </w:p>
        </w:tc>
        <w:tc>
          <w:tcPr>
            <w:tcW w:w="0" w:type="auto"/>
            <w:hideMark/>
          </w:tcPr>
          <w:p w14:paraId="3FA92C5C" w14:textId="77777777" w:rsidR="00441342" w:rsidRDefault="00441342" w:rsidP="00E80310">
            <w:pPr>
              <w:pStyle w:val="NormalWeb"/>
              <w:jc w:val="center"/>
            </w:pPr>
            <w:r>
              <w:t>16.0%</w:t>
            </w:r>
          </w:p>
        </w:tc>
        <w:tc>
          <w:tcPr>
            <w:tcW w:w="0" w:type="auto"/>
            <w:hideMark/>
          </w:tcPr>
          <w:p w14:paraId="58179A51" w14:textId="77777777" w:rsidR="00441342" w:rsidRDefault="00441342" w:rsidP="00E80310">
            <w:pPr>
              <w:pStyle w:val="NormalWeb"/>
              <w:jc w:val="center"/>
            </w:pPr>
            <w:r>
              <w:t>3.8%</w:t>
            </w:r>
          </w:p>
        </w:tc>
        <w:tc>
          <w:tcPr>
            <w:tcW w:w="866" w:type="dxa"/>
            <w:hideMark/>
          </w:tcPr>
          <w:p w14:paraId="1C87E78D" w14:textId="77777777" w:rsidR="00441342" w:rsidRDefault="00441342" w:rsidP="00E80310">
            <w:pPr>
              <w:pStyle w:val="NormalWeb"/>
              <w:jc w:val="center"/>
            </w:pPr>
            <w:r>
              <w:t>0.8%</w:t>
            </w:r>
          </w:p>
        </w:tc>
      </w:tr>
      <w:tr w:rsidR="00441342" w14:paraId="4F10BC80" w14:textId="77777777" w:rsidTr="00F71708">
        <w:tblPrEx>
          <w:tblCellMar>
            <w:left w:w="57" w:type="dxa"/>
            <w:right w:w="57" w:type="dxa"/>
          </w:tblCellMar>
        </w:tblPrEx>
        <w:tc>
          <w:tcPr>
            <w:tcW w:w="1418" w:type="dxa"/>
            <w:hideMark/>
          </w:tcPr>
          <w:p w14:paraId="119C0288" w14:textId="77777777" w:rsidR="00441342" w:rsidRDefault="00441342" w:rsidP="00E80310">
            <w:pPr>
              <w:pStyle w:val="NormalWeb"/>
            </w:pPr>
            <w:r>
              <w:t>60–69</w:t>
            </w:r>
          </w:p>
        </w:tc>
        <w:tc>
          <w:tcPr>
            <w:tcW w:w="1043" w:type="dxa"/>
            <w:hideMark/>
          </w:tcPr>
          <w:p w14:paraId="2919C30C" w14:textId="77777777" w:rsidR="00441342" w:rsidRDefault="00441342" w:rsidP="00E80310">
            <w:pPr>
              <w:pStyle w:val="NormalWeb"/>
              <w:jc w:val="center"/>
            </w:pPr>
            <w:r>
              <w:t>3,763</w:t>
            </w:r>
          </w:p>
        </w:tc>
        <w:tc>
          <w:tcPr>
            <w:tcW w:w="0" w:type="auto"/>
            <w:hideMark/>
          </w:tcPr>
          <w:p w14:paraId="5C5C5A35" w14:textId="77777777" w:rsidR="00441342" w:rsidRDefault="00441342" w:rsidP="00E80310">
            <w:pPr>
              <w:pStyle w:val="NormalWeb"/>
              <w:jc w:val="center"/>
            </w:pPr>
            <w:r>
              <w:t>1,192</w:t>
            </w:r>
          </w:p>
        </w:tc>
        <w:tc>
          <w:tcPr>
            <w:tcW w:w="0" w:type="auto"/>
            <w:hideMark/>
          </w:tcPr>
          <w:p w14:paraId="5DFD7B98" w14:textId="77777777" w:rsidR="00441342" w:rsidRDefault="00441342" w:rsidP="00E80310">
            <w:pPr>
              <w:pStyle w:val="NormalWeb"/>
              <w:jc w:val="center"/>
            </w:pPr>
            <w:r>
              <w:t>299</w:t>
            </w:r>
          </w:p>
        </w:tc>
        <w:tc>
          <w:tcPr>
            <w:tcW w:w="733" w:type="dxa"/>
            <w:hideMark/>
          </w:tcPr>
          <w:p w14:paraId="607B55FA" w14:textId="77777777" w:rsidR="00441342" w:rsidRDefault="00441342" w:rsidP="00E80310">
            <w:pPr>
              <w:pStyle w:val="NormalWeb"/>
              <w:jc w:val="center"/>
            </w:pPr>
            <w:r>
              <w:t>114</w:t>
            </w:r>
          </w:p>
        </w:tc>
        <w:tc>
          <w:tcPr>
            <w:tcW w:w="920" w:type="dxa"/>
            <w:hideMark/>
          </w:tcPr>
          <w:p w14:paraId="769E36E7" w14:textId="77777777" w:rsidR="00441342" w:rsidRDefault="00441342" w:rsidP="00E80310">
            <w:pPr>
              <w:pStyle w:val="NormalWeb"/>
              <w:jc w:val="center"/>
            </w:pPr>
            <w:r>
              <w:t>5,368</w:t>
            </w:r>
          </w:p>
        </w:tc>
        <w:tc>
          <w:tcPr>
            <w:tcW w:w="0" w:type="auto"/>
            <w:hideMark/>
          </w:tcPr>
          <w:p w14:paraId="2EAD2904" w14:textId="77777777" w:rsidR="00441342" w:rsidRDefault="00441342" w:rsidP="00E80310">
            <w:pPr>
              <w:pStyle w:val="NormalWeb"/>
              <w:jc w:val="center"/>
            </w:pPr>
            <w:r>
              <w:t>22.2%</w:t>
            </w:r>
          </w:p>
        </w:tc>
        <w:tc>
          <w:tcPr>
            <w:tcW w:w="0" w:type="auto"/>
            <w:hideMark/>
          </w:tcPr>
          <w:p w14:paraId="440B43E9" w14:textId="77777777" w:rsidR="00441342" w:rsidRDefault="00441342" w:rsidP="00E80310">
            <w:pPr>
              <w:pStyle w:val="NormalWeb"/>
              <w:jc w:val="center"/>
            </w:pPr>
            <w:r>
              <w:t>5.6%</w:t>
            </w:r>
          </w:p>
        </w:tc>
        <w:tc>
          <w:tcPr>
            <w:tcW w:w="866" w:type="dxa"/>
            <w:hideMark/>
          </w:tcPr>
          <w:p w14:paraId="7F392A17" w14:textId="77777777" w:rsidR="00441342" w:rsidRDefault="00441342" w:rsidP="00E80310">
            <w:pPr>
              <w:pStyle w:val="NormalWeb"/>
              <w:jc w:val="center"/>
            </w:pPr>
            <w:r>
              <w:t>2.1%</w:t>
            </w:r>
          </w:p>
        </w:tc>
      </w:tr>
      <w:tr w:rsidR="00441342" w14:paraId="612E2781"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501C55FD" w14:textId="77777777" w:rsidR="00441342" w:rsidRDefault="00441342" w:rsidP="00E80310">
            <w:pPr>
              <w:pStyle w:val="NormalWeb"/>
            </w:pPr>
            <w:r>
              <w:t>70–79</w:t>
            </w:r>
          </w:p>
        </w:tc>
        <w:tc>
          <w:tcPr>
            <w:tcW w:w="1043" w:type="dxa"/>
            <w:hideMark/>
          </w:tcPr>
          <w:p w14:paraId="6A1B9C6E" w14:textId="77777777" w:rsidR="00441342" w:rsidRDefault="00441342" w:rsidP="00E80310">
            <w:pPr>
              <w:pStyle w:val="NormalWeb"/>
              <w:jc w:val="center"/>
            </w:pPr>
            <w:r>
              <w:t>1,402</w:t>
            </w:r>
          </w:p>
        </w:tc>
        <w:tc>
          <w:tcPr>
            <w:tcW w:w="0" w:type="auto"/>
            <w:hideMark/>
          </w:tcPr>
          <w:p w14:paraId="404D19C7" w14:textId="77777777" w:rsidR="00441342" w:rsidRDefault="00441342" w:rsidP="00E80310">
            <w:pPr>
              <w:pStyle w:val="NormalWeb"/>
              <w:jc w:val="center"/>
            </w:pPr>
            <w:r>
              <w:t>800</w:t>
            </w:r>
          </w:p>
        </w:tc>
        <w:tc>
          <w:tcPr>
            <w:tcW w:w="0" w:type="auto"/>
            <w:hideMark/>
          </w:tcPr>
          <w:p w14:paraId="68E2BDC2" w14:textId="77777777" w:rsidR="00441342" w:rsidRDefault="00441342" w:rsidP="00E80310">
            <w:pPr>
              <w:pStyle w:val="NormalWeb"/>
              <w:jc w:val="center"/>
            </w:pPr>
            <w:r>
              <w:t>141</w:t>
            </w:r>
          </w:p>
        </w:tc>
        <w:tc>
          <w:tcPr>
            <w:tcW w:w="733" w:type="dxa"/>
            <w:hideMark/>
          </w:tcPr>
          <w:p w14:paraId="5D96ACD7" w14:textId="77777777" w:rsidR="00441342" w:rsidRDefault="00441342" w:rsidP="00E80310">
            <w:pPr>
              <w:pStyle w:val="NormalWeb"/>
              <w:jc w:val="center"/>
            </w:pPr>
            <w:r>
              <w:t>180</w:t>
            </w:r>
          </w:p>
        </w:tc>
        <w:tc>
          <w:tcPr>
            <w:tcW w:w="920" w:type="dxa"/>
            <w:hideMark/>
          </w:tcPr>
          <w:p w14:paraId="7871AD7C" w14:textId="77777777" w:rsidR="00441342" w:rsidRDefault="00441342" w:rsidP="00E80310">
            <w:pPr>
              <w:pStyle w:val="NormalWeb"/>
              <w:jc w:val="center"/>
            </w:pPr>
            <w:r>
              <w:t>2,523</w:t>
            </w:r>
          </w:p>
        </w:tc>
        <w:tc>
          <w:tcPr>
            <w:tcW w:w="0" w:type="auto"/>
            <w:hideMark/>
          </w:tcPr>
          <w:p w14:paraId="3C197824" w14:textId="77777777" w:rsidR="00441342" w:rsidRDefault="00441342" w:rsidP="00E80310">
            <w:pPr>
              <w:pStyle w:val="NormalWeb"/>
              <w:jc w:val="center"/>
            </w:pPr>
            <w:r>
              <w:t>31.7%</w:t>
            </w:r>
          </w:p>
        </w:tc>
        <w:tc>
          <w:tcPr>
            <w:tcW w:w="0" w:type="auto"/>
            <w:hideMark/>
          </w:tcPr>
          <w:p w14:paraId="3822CDED" w14:textId="77777777" w:rsidR="00441342" w:rsidRDefault="00441342" w:rsidP="00E80310">
            <w:pPr>
              <w:pStyle w:val="NormalWeb"/>
              <w:jc w:val="center"/>
            </w:pPr>
            <w:r>
              <w:t>5.6%</w:t>
            </w:r>
          </w:p>
        </w:tc>
        <w:tc>
          <w:tcPr>
            <w:tcW w:w="866" w:type="dxa"/>
            <w:hideMark/>
          </w:tcPr>
          <w:p w14:paraId="2A42D690" w14:textId="77777777" w:rsidR="00441342" w:rsidRDefault="00441342" w:rsidP="00E80310">
            <w:pPr>
              <w:pStyle w:val="NormalWeb"/>
              <w:jc w:val="center"/>
            </w:pPr>
            <w:r>
              <w:t>7.1%</w:t>
            </w:r>
          </w:p>
        </w:tc>
      </w:tr>
      <w:tr w:rsidR="00441342" w14:paraId="2634DD74" w14:textId="77777777" w:rsidTr="00F71708">
        <w:tblPrEx>
          <w:tblCellMar>
            <w:left w:w="57" w:type="dxa"/>
            <w:right w:w="57" w:type="dxa"/>
          </w:tblCellMar>
        </w:tblPrEx>
        <w:tc>
          <w:tcPr>
            <w:tcW w:w="1418" w:type="dxa"/>
            <w:hideMark/>
          </w:tcPr>
          <w:p w14:paraId="42AE6DDC" w14:textId="77777777" w:rsidR="00441342" w:rsidRDefault="00441342" w:rsidP="00E80310">
            <w:pPr>
              <w:pStyle w:val="NormalWeb"/>
            </w:pPr>
            <w:r>
              <w:t>80–89</w:t>
            </w:r>
          </w:p>
        </w:tc>
        <w:tc>
          <w:tcPr>
            <w:tcW w:w="1043" w:type="dxa"/>
            <w:hideMark/>
          </w:tcPr>
          <w:p w14:paraId="38B95D46" w14:textId="77777777" w:rsidR="00441342" w:rsidRDefault="00441342" w:rsidP="00E80310">
            <w:pPr>
              <w:pStyle w:val="NormalWeb"/>
              <w:jc w:val="center"/>
            </w:pPr>
            <w:r>
              <w:t>493</w:t>
            </w:r>
          </w:p>
        </w:tc>
        <w:tc>
          <w:tcPr>
            <w:tcW w:w="0" w:type="auto"/>
            <w:hideMark/>
          </w:tcPr>
          <w:p w14:paraId="3A3C23CB" w14:textId="77777777" w:rsidR="00441342" w:rsidRDefault="00441342" w:rsidP="00E80310">
            <w:pPr>
              <w:pStyle w:val="NormalWeb"/>
              <w:jc w:val="center"/>
            </w:pPr>
            <w:r>
              <w:t>528</w:t>
            </w:r>
          </w:p>
        </w:tc>
        <w:tc>
          <w:tcPr>
            <w:tcW w:w="0" w:type="auto"/>
            <w:hideMark/>
          </w:tcPr>
          <w:p w14:paraId="3035E2A9" w14:textId="77777777" w:rsidR="00441342" w:rsidRDefault="00441342" w:rsidP="00E80310">
            <w:pPr>
              <w:pStyle w:val="NormalWeb"/>
              <w:jc w:val="center"/>
            </w:pPr>
            <w:r>
              <w:t>26</w:t>
            </w:r>
          </w:p>
        </w:tc>
        <w:tc>
          <w:tcPr>
            <w:tcW w:w="733" w:type="dxa"/>
            <w:hideMark/>
          </w:tcPr>
          <w:p w14:paraId="1E4544EA" w14:textId="77777777" w:rsidR="00441342" w:rsidRDefault="00441342" w:rsidP="00E80310">
            <w:pPr>
              <w:pStyle w:val="NormalWeb"/>
              <w:jc w:val="center"/>
            </w:pPr>
            <w:r>
              <w:t>207</w:t>
            </w:r>
          </w:p>
        </w:tc>
        <w:tc>
          <w:tcPr>
            <w:tcW w:w="920" w:type="dxa"/>
            <w:hideMark/>
          </w:tcPr>
          <w:p w14:paraId="62717E7A" w14:textId="77777777" w:rsidR="00441342" w:rsidRDefault="00441342" w:rsidP="00E80310">
            <w:pPr>
              <w:pStyle w:val="NormalWeb"/>
              <w:jc w:val="center"/>
            </w:pPr>
            <w:r>
              <w:t>1,254</w:t>
            </w:r>
          </w:p>
        </w:tc>
        <w:tc>
          <w:tcPr>
            <w:tcW w:w="0" w:type="auto"/>
            <w:hideMark/>
          </w:tcPr>
          <w:p w14:paraId="370DF460" w14:textId="77777777" w:rsidR="00441342" w:rsidRDefault="00441342" w:rsidP="00E80310">
            <w:pPr>
              <w:pStyle w:val="NormalWeb"/>
              <w:jc w:val="center"/>
            </w:pPr>
            <w:r>
              <w:t>42.1%</w:t>
            </w:r>
          </w:p>
        </w:tc>
        <w:tc>
          <w:tcPr>
            <w:tcW w:w="0" w:type="auto"/>
            <w:hideMark/>
          </w:tcPr>
          <w:p w14:paraId="2D64C97D" w14:textId="77777777" w:rsidR="00441342" w:rsidRDefault="00441342" w:rsidP="00E80310">
            <w:pPr>
              <w:pStyle w:val="NormalWeb"/>
              <w:jc w:val="center"/>
            </w:pPr>
            <w:r>
              <w:t>2.1%</w:t>
            </w:r>
          </w:p>
        </w:tc>
        <w:tc>
          <w:tcPr>
            <w:tcW w:w="866" w:type="dxa"/>
            <w:hideMark/>
          </w:tcPr>
          <w:p w14:paraId="0E92863F" w14:textId="77777777" w:rsidR="00441342" w:rsidRDefault="00441342" w:rsidP="00E80310">
            <w:pPr>
              <w:pStyle w:val="NormalWeb"/>
              <w:jc w:val="center"/>
            </w:pPr>
            <w:r>
              <w:t>16.5%</w:t>
            </w:r>
          </w:p>
        </w:tc>
      </w:tr>
      <w:tr w:rsidR="00441342" w14:paraId="0FAFB3F3"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hideMark/>
          </w:tcPr>
          <w:p w14:paraId="55207851" w14:textId="77777777" w:rsidR="00441342" w:rsidRDefault="00441342" w:rsidP="00E80310">
            <w:pPr>
              <w:pStyle w:val="NormalWeb"/>
            </w:pPr>
            <w:r>
              <w:t>90+</w:t>
            </w:r>
          </w:p>
        </w:tc>
        <w:tc>
          <w:tcPr>
            <w:tcW w:w="1043" w:type="dxa"/>
            <w:hideMark/>
          </w:tcPr>
          <w:p w14:paraId="59B498B6" w14:textId="77777777" w:rsidR="00441342" w:rsidRDefault="00441342" w:rsidP="00E80310">
            <w:pPr>
              <w:pStyle w:val="NormalWeb"/>
              <w:jc w:val="center"/>
            </w:pPr>
            <w:r>
              <w:t>125</w:t>
            </w:r>
          </w:p>
        </w:tc>
        <w:tc>
          <w:tcPr>
            <w:tcW w:w="0" w:type="auto"/>
            <w:hideMark/>
          </w:tcPr>
          <w:p w14:paraId="00535D6E" w14:textId="77777777" w:rsidR="00441342" w:rsidRDefault="00441342" w:rsidP="00E80310">
            <w:pPr>
              <w:pStyle w:val="NormalWeb"/>
              <w:jc w:val="center"/>
            </w:pPr>
            <w:r>
              <w:t>117</w:t>
            </w:r>
          </w:p>
        </w:tc>
        <w:tc>
          <w:tcPr>
            <w:tcW w:w="0" w:type="auto"/>
            <w:hideMark/>
          </w:tcPr>
          <w:p w14:paraId="1933FA3D" w14:textId="77777777" w:rsidR="00441342" w:rsidRDefault="00441342" w:rsidP="00E80310">
            <w:pPr>
              <w:pStyle w:val="NormalWeb"/>
              <w:jc w:val="center"/>
            </w:pPr>
            <w:r>
              <w:t>0</w:t>
            </w:r>
          </w:p>
        </w:tc>
        <w:tc>
          <w:tcPr>
            <w:tcW w:w="733" w:type="dxa"/>
            <w:hideMark/>
          </w:tcPr>
          <w:p w14:paraId="7A13AF41" w14:textId="77777777" w:rsidR="00441342" w:rsidRDefault="00441342" w:rsidP="00E80310">
            <w:pPr>
              <w:pStyle w:val="NormalWeb"/>
              <w:jc w:val="center"/>
            </w:pPr>
            <w:r>
              <w:t>71</w:t>
            </w:r>
          </w:p>
        </w:tc>
        <w:tc>
          <w:tcPr>
            <w:tcW w:w="920" w:type="dxa"/>
            <w:hideMark/>
          </w:tcPr>
          <w:p w14:paraId="6037488E" w14:textId="77777777" w:rsidR="00441342" w:rsidRDefault="00441342" w:rsidP="00E80310">
            <w:pPr>
              <w:pStyle w:val="NormalWeb"/>
              <w:jc w:val="center"/>
            </w:pPr>
            <w:r>
              <w:t>313</w:t>
            </w:r>
          </w:p>
        </w:tc>
        <w:tc>
          <w:tcPr>
            <w:tcW w:w="0" w:type="auto"/>
            <w:hideMark/>
          </w:tcPr>
          <w:p w14:paraId="43E749E0" w14:textId="77777777" w:rsidR="00441342" w:rsidRDefault="00441342" w:rsidP="00E80310">
            <w:pPr>
              <w:pStyle w:val="NormalWeb"/>
              <w:jc w:val="center"/>
            </w:pPr>
            <w:r>
              <w:t>37.4%</w:t>
            </w:r>
          </w:p>
        </w:tc>
        <w:tc>
          <w:tcPr>
            <w:tcW w:w="0" w:type="auto"/>
            <w:hideMark/>
          </w:tcPr>
          <w:p w14:paraId="1B09EB7F" w14:textId="77777777" w:rsidR="00441342" w:rsidRDefault="00441342" w:rsidP="00E80310">
            <w:pPr>
              <w:pStyle w:val="NormalWeb"/>
              <w:jc w:val="center"/>
            </w:pPr>
            <w:r>
              <w:t>0.0%</w:t>
            </w:r>
          </w:p>
        </w:tc>
        <w:tc>
          <w:tcPr>
            <w:tcW w:w="866" w:type="dxa"/>
            <w:hideMark/>
          </w:tcPr>
          <w:p w14:paraId="669C27CC" w14:textId="77777777" w:rsidR="00441342" w:rsidRDefault="00441342" w:rsidP="00E80310">
            <w:pPr>
              <w:pStyle w:val="NormalWeb"/>
              <w:jc w:val="center"/>
            </w:pPr>
            <w:r>
              <w:t>22.7%</w:t>
            </w:r>
          </w:p>
        </w:tc>
      </w:tr>
      <w:tr w:rsidR="00441342" w14:paraId="7E1ED4C5" w14:textId="77777777" w:rsidTr="00F71708">
        <w:tblPrEx>
          <w:tblCellMar>
            <w:left w:w="57" w:type="dxa"/>
            <w:right w:w="57" w:type="dxa"/>
          </w:tblCellMar>
        </w:tblPrEx>
        <w:tc>
          <w:tcPr>
            <w:tcW w:w="1418" w:type="dxa"/>
            <w:hideMark/>
          </w:tcPr>
          <w:p w14:paraId="629727E6" w14:textId="77777777" w:rsidR="00441342" w:rsidRDefault="00441342" w:rsidP="00E80310">
            <w:pPr>
              <w:pStyle w:val="NormalWeb"/>
            </w:pPr>
            <w:r>
              <w:t>Age unknown</w:t>
            </w:r>
          </w:p>
        </w:tc>
        <w:tc>
          <w:tcPr>
            <w:tcW w:w="1043" w:type="dxa"/>
            <w:hideMark/>
          </w:tcPr>
          <w:p w14:paraId="5BE28C5A" w14:textId="77777777" w:rsidR="00441342" w:rsidRDefault="00441342" w:rsidP="00E80310">
            <w:pPr>
              <w:pStyle w:val="NormalWeb"/>
              <w:jc w:val="center"/>
            </w:pPr>
            <w:r>
              <w:t>1</w:t>
            </w:r>
          </w:p>
        </w:tc>
        <w:tc>
          <w:tcPr>
            <w:tcW w:w="0" w:type="auto"/>
            <w:hideMark/>
          </w:tcPr>
          <w:p w14:paraId="1D2F44D2" w14:textId="77777777" w:rsidR="00441342" w:rsidRDefault="00441342" w:rsidP="00E80310">
            <w:pPr>
              <w:pStyle w:val="NormalWeb"/>
              <w:jc w:val="center"/>
            </w:pPr>
            <w:r>
              <w:t>0</w:t>
            </w:r>
          </w:p>
        </w:tc>
        <w:tc>
          <w:tcPr>
            <w:tcW w:w="0" w:type="auto"/>
            <w:hideMark/>
          </w:tcPr>
          <w:p w14:paraId="396FE3E3" w14:textId="77777777" w:rsidR="00441342" w:rsidRDefault="00441342" w:rsidP="00E80310">
            <w:pPr>
              <w:pStyle w:val="NormalWeb"/>
              <w:jc w:val="center"/>
            </w:pPr>
            <w:r>
              <w:t>0</w:t>
            </w:r>
          </w:p>
        </w:tc>
        <w:tc>
          <w:tcPr>
            <w:tcW w:w="733" w:type="dxa"/>
            <w:hideMark/>
          </w:tcPr>
          <w:p w14:paraId="14864CC4" w14:textId="77777777" w:rsidR="00441342" w:rsidRDefault="00441342" w:rsidP="00E80310">
            <w:pPr>
              <w:pStyle w:val="NormalWeb"/>
              <w:jc w:val="center"/>
            </w:pPr>
            <w:r>
              <w:t>0</w:t>
            </w:r>
          </w:p>
        </w:tc>
        <w:tc>
          <w:tcPr>
            <w:tcW w:w="920" w:type="dxa"/>
            <w:hideMark/>
          </w:tcPr>
          <w:p w14:paraId="7F3BB1BF" w14:textId="77777777" w:rsidR="00441342" w:rsidRDefault="00441342" w:rsidP="00E80310">
            <w:pPr>
              <w:pStyle w:val="NormalWeb"/>
              <w:jc w:val="center"/>
            </w:pPr>
            <w:r>
              <w:t>1</w:t>
            </w:r>
          </w:p>
        </w:tc>
        <w:tc>
          <w:tcPr>
            <w:tcW w:w="0" w:type="auto"/>
            <w:hideMark/>
          </w:tcPr>
          <w:p w14:paraId="301EF595" w14:textId="77777777" w:rsidR="00441342" w:rsidRDefault="00441342" w:rsidP="00E80310">
            <w:pPr>
              <w:pStyle w:val="NormalWeb"/>
              <w:jc w:val="center"/>
            </w:pPr>
            <w:r>
              <w:t>0.0%</w:t>
            </w:r>
          </w:p>
        </w:tc>
        <w:tc>
          <w:tcPr>
            <w:tcW w:w="0" w:type="auto"/>
            <w:hideMark/>
          </w:tcPr>
          <w:p w14:paraId="2EC01F16" w14:textId="77777777" w:rsidR="00441342" w:rsidRDefault="00441342" w:rsidP="00E80310">
            <w:pPr>
              <w:pStyle w:val="NormalWeb"/>
              <w:jc w:val="center"/>
            </w:pPr>
            <w:r>
              <w:t>0.0%</w:t>
            </w:r>
          </w:p>
        </w:tc>
        <w:tc>
          <w:tcPr>
            <w:tcW w:w="866" w:type="dxa"/>
            <w:hideMark/>
          </w:tcPr>
          <w:p w14:paraId="1B754D2F" w14:textId="77777777" w:rsidR="00441342" w:rsidRDefault="00441342" w:rsidP="00E80310">
            <w:pPr>
              <w:pStyle w:val="NormalWeb"/>
              <w:jc w:val="center"/>
            </w:pPr>
            <w:r>
              <w:t>0.0%</w:t>
            </w:r>
          </w:p>
        </w:tc>
      </w:tr>
      <w:tr w:rsidR="00F71708" w:rsidRPr="00824ED1" w14:paraId="1365D790"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418" w:type="dxa"/>
            <w:shd w:val="clear" w:color="auto" w:fill="FDE9D9" w:themeFill="accent6" w:themeFillTint="33"/>
            <w:hideMark/>
          </w:tcPr>
          <w:p w14:paraId="7FD57B74" w14:textId="77777777" w:rsidR="00441342" w:rsidRPr="00824ED1" w:rsidRDefault="00441342" w:rsidP="00E80310">
            <w:pPr>
              <w:pStyle w:val="NormalWeb"/>
              <w:rPr>
                <w:b/>
                <w:bCs/>
              </w:rPr>
            </w:pPr>
            <w:r w:rsidRPr="00824ED1">
              <w:rPr>
                <w:b/>
                <w:bCs/>
              </w:rPr>
              <w:t>Total</w:t>
            </w:r>
          </w:p>
        </w:tc>
        <w:tc>
          <w:tcPr>
            <w:tcW w:w="1043" w:type="dxa"/>
            <w:shd w:val="clear" w:color="auto" w:fill="FDE9D9" w:themeFill="accent6" w:themeFillTint="33"/>
            <w:hideMark/>
          </w:tcPr>
          <w:p w14:paraId="3BEE14F1" w14:textId="77777777" w:rsidR="00441342" w:rsidRPr="00824ED1" w:rsidRDefault="00441342" w:rsidP="00E80310">
            <w:pPr>
              <w:pStyle w:val="NormalWeb"/>
              <w:jc w:val="center"/>
              <w:rPr>
                <w:b/>
                <w:bCs/>
              </w:rPr>
            </w:pPr>
            <w:r w:rsidRPr="00824ED1">
              <w:rPr>
                <w:b/>
                <w:bCs/>
              </w:rPr>
              <w:t>92,551</w:t>
            </w:r>
          </w:p>
        </w:tc>
        <w:tc>
          <w:tcPr>
            <w:tcW w:w="0" w:type="auto"/>
            <w:shd w:val="clear" w:color="auto" w:fill="FDE9D9" w:themeFill="accent6" w:themeFillTint="33"/>
            <w:hideMark/>
          </w:tcPr>
          <w:p w14:paraId="37A62882" w14:textId="77777777" w:rsidR="00441342" w:rsidRPr="00824ED1" w:rsidRDefault="00441342" w:rsidP="00E80310">
            <w:pPr>
              <w:pStyle w:val="NormalWeb"/>
              <w:jc w:val="center"/>
              <w:rPr>
                <w:b/>
                <w:bCs/>
              </w:rPr>
            </w:pPr>
            <w:r w:rsidRPr="00824ED1">
              <w:rPr>
                <w:b/>
                <w:bCs/>
              </w:rPr>
              <w:t>10,960</w:t>
            </w:r>
          </w:p>
        </w:tc>
        <w:tc>
          <w:tcPr>
            <w:tcW w:w="0" w:type="auto"/>
            <w:shd w:val="clear" w:color="auto" w:fill="FDE9D9" w:themeFill="accent6" w:themeFillTint="33"/>
            <w:hideMark/>
          </w:tcPr>
          <w:p w14:paraId="7C6CDD96" w14:textId="77777777" w:rsidR="00441342" w:rsidRPr="00824ED1" w:rsidRDefault="00441342" w:rsidP="00E80310">
            <w:pPr>
              <w:pStyle w:val="NormalWeb"/>
              <w:jc w:val="center"/>
              <w:rPr>
                <w:b/>
                <w:bCs/>
              </w:rPr>
            </w:pPr>
            <w:r w:rsidRPr="00824ED1">
              <w:rPr>
                <w:b/>
                <w:bCs/>
              </w:rPr>
              <w:t>1,483</w:t>
            </w:r>
          </w:p>
        </w:tc>
        <w:tc>
          <w:tcPr>
            <w:tcW w:w="733" w:type="dxa"/>
            <w:shd w:val="clear" w:color="auto" w:fill="FDE9D9" w:themeFill="accent6" w:themeFillTint="33"/>
            <w:hideMark/>
          </w:tcPr>
          <w:p w14:paraId="777DC5F0" w14:textId="77777777" w:rsidR="00441342" w:rsidRPr="00824ED1" w:rsidRDefault="00441342" w:rsidP="00E80310">
            <w:pPr>
              <w:pStyle w:val="NormalWeb"/>
              <w:jc w:val="center"/>
              <w:rPr>
                <w:b/>
                <w:bCs/>
              </w:rPr>
            </w:pPr>
            <w:r w:rsidRPr="00824ED1">
              <w:rPr>
                <w:b/>
                <w:bCs/>
              </w:rPr>
              <w:t>689</w:t>
            </w:r>
          </w:p>
        </w:tc>
        <w:tc>
          <w:tcPr>
            <w:tcW w:w="920" w:type="dxa"/>
            <w:shd w:val="clear" w:color="auto" w:fill="FDE9D9" w:themeFill="accent6" w:themeFillTint="33"/>
            <w:hideMark/>
          </w:tcPr>
          <w:p w14:paraId="2F1F9188" w14:textId="77777777" w:rsidR="00441342" w:rsidRPr="00824ED1" w:rsidRDefault="00441342" w:rsidP="00E80310">
            <w:pPr>
              <w:pStyle w:val="NormalWeb"/>
              <w:jc w:val="center"/>
              <w:rPr>
                <w:b/>
                <w:bCs/>
              </w:rPr>
            </w:pPr>
            <w:r w:rsidRPr="00824ED1">
              <w:rPr>
                <w:b/>
                <w:bCs/>
              </w:rPr>
              <w:t>105,683</w:t>
            </w:r>
          </w:p>
        </w:tc>
        <w:tc>
          <w:tcPr>
            <w:tcW w:w="0" w:type="auto"/>
            <w:shd w:val="clear" w:color="auto" w:fill="FDE9D9" w:themeFill="accent6" w:themeFillTint="33"/>
            <w:hideMark/>
          </w:tcPr>
          <w:p w14:paraId="691EE64C" w14:textId="77777777" w:rsidR="00441342" w:rsidRPr="00824ED1" w:rsidRDefault="00441342" w:rsidP="00E80310">
            <w:pPr>
              <w:pStyle w:val="NormalWeb"/>
              <w:jc w:val="center"/>
              <w:rPr>
                <w:b/>
                <w:bCs/>
              </w:rPr>
            </w:pPr>
            <w:r w:rsidRPr="00824ED1">
              <w:rPr>
                <w:b/>
                <w:bCs/>
              </w:rPr>
              <w:t>10.4%</w:t>
            </w:r>
          </w:p>
        </w:tc>
        <w:tc>
          <w:tcPr>
            <w:tcW w:w="0" w:type="auto"/>
            <w:shd w:val="clear" w:color="auto" w:fill="FDE9D9" w:themeFill="accent6" w:themeFillTint="33"/>
            <w:hideMark/>
          </w:tcPr>
          <w:p w14:paraId="6175CDEB" w14:textId="77777777" w:rsidR="00441342" w:rsidRPr="00824ED1" w:rsidRDefault="00441342" w:rsidP="00E80310">
            <w:pPr>
              <w:pStyle w:val="NormalWeb"/>
              <w:jc w:val="center"/>
              <w:rPr>
                <w:b/>
                <w:bCs/>
              </w:rPr>
            </w:pPr>
            <w:r w:rsidRPr="00824ED1">
              <w:rPr>
                <w:b/>
                <w:bCs/>
              </w:rPr>
              <w:t>1.4%</w:t>
            </w:r>
          </w:p>
        </w:tc>
        <w:tc>
          <w:tcPr>
            <w:tcW w:w="866" w:type="dxa"/>
            <w:shd w:val="clear" w:color="auto" w:fill="FDE9D9" w:themeFill="accent6" w:themeFillTint="33"/>
            <w:hideMark/>
          </w:tcPr>
          <w:p w14:paraId="7F69A82E" w14:textId="77777777" w:rsidR="00441342" w:rsidRPr="00824ED1" w:rsidRDefault="00441342" w:rsidP="00E80310">
            <w:pPr>
              <w:pStyle w:val="NormalWeb"/>
              <w:jc w:val="center"/>
              <w:rPr>
                <w:b/>
                <w:bCs/>
              </w:rPr>
            </w:pPr>
            <w:r w:rsidRPr="00824ED1">
              <w:rPr>
                <w:b/>
                <w:bCs/>
              </w:rPr>
              <w:t>0.7%</w:t>
            </w:r>
          </w:p>
        </w:tc>
      </w:tr>
    </w:tbl>
    <w:p w14:paraId="450B63B0" w14:textId="77777777" w:rsidR="00441342" w:rsidRDefault="00441342" w:rsidP="00441342">
      <w:pPr>
        <w:pStyle w:val="CDIfootnotes"/>
        <w:rPr>
          <w:lang w:val="en-GB"/>
        </w:rPr>
      </w:pPr>
      <w:r>
        <w:rPr>
          <w:lang w:val="en-GB"/>
        </w:rPr>
        <w:t>a</w:t>
      </w:r>
      <w:r>
        <w:rPr>
          <w:lang w:val="en-GB"/>
        </w:rPr>
        <w:tab/>
        <w:t>NINDSS, extract from 26 October 2021. Includes cases notified from 1 January 2021, with an illness onset up to 10 October 2021; cases with an illness onset in the last two weeks (11 to 24 October 2021) were excluded to account for the delay between onset and development of severe illness.</w:t>
      </w:r>
    </w:p>
    <w:p w14:paraId="799F2173" w14:textId="1F59A0B5" w:rsidR="00441342" w:rsidRPr="00441342" w:rsidRDefault="00441342" w:rsidP="00441342">
      <w:pPr>
        <w:pStyle w:val="CDIfootnotes"/>
        <w:rPr>
          <w:lang w:val="en-GB"/>
        </w:rPr>
      </w:pPr>
      <w:r>
        <w:rPr>
          <w:lang w:val="en-GB"/>
        </w:rPr>
        <w:t>b</w:t>
      </w:r>
      <w:r>
        <w:rPr>
          <w:lang w:val="en-GB"/>
        </w:rPr>
        <w:tab/>
        <w:t xml:space="preserve">‘Not severe’ includes all cases that were not hospitalised, admitted to </w:t>
      </w:r>
      <w:proofErr w:type="gramStart"/>
      <w:r>
        <w:rPr>
          <w:lang w:val="en-GB"/>
        </w:rPr>
        <w:t>ICU</w:t>
      </w:r>
      <w:proofErr w:type="gramEnd"/>
      <w:r>
        <w:rPr>
          <w:lang w:val="en-GB"/>
        </w:rPr>
        <w:t xml:space="preserve"> or died.</w:t>
      </w:r>
    </w:p>
    <w:p w14:paraId="4FB99731" w14:textId="77777777" w:rsidR="00633079" w:rsidRDefault="00633079" w:rsidP="00633079">
      <w:r>
        <w:t>In the year to date to 24 October 2021, there were 1,630 COVID-19 cases admitted to ICUs participating in the sentinel surveillance system, Short Period Incidence Study of Severe Acute Respiratory Infection (SPRINT-SARI),</w:t>
      </w:r>
      <w:r>
        <w:rPr>
          <w:vertAlign w:val="superscript"/>
        </w:rPr>
        <w:t>4</w:t>
      </w:r>
      <w:r>
        <w:t xml:space="preserve"> with 227 of these admitted during this reporting period (11–24 October 2021). </w:t>
      </w:r>
    </w:p>
    <w:p w14:paraId="1DEA1BC7" w14:textId="77777777" w:rsidR="00633079" w:rsidRPr="00633079" w:rsidRDefault="00633079" w:rsidP="00633079">
      <w:pPr>
        <w:pStyle w:val="Heading3"/>
      </w:pPr>
      <w:r w:rsidRPr="00633079">
        <w:t xml:space="preserve">Risk factors for severe disease </w:t>
      </w:r>
    </w:p>
    <w:p w14:paraId="39386720" w14:textId="77777777" w:rsidR="00633079" w:rsidRDefault="00633079" w:rsidP="00633079">
      <w:r>
        <w:t xml:space="preserve">The proportion of cases who were admitted to hospital generally increased as a person’s age increased (Table 6). </w:t>
      </w:r>
    </w:p>
    <w:p w14:paraId="43D91B8E" w14:textId="77777777" w:rsidR="00633079" w:rsidRDefault="00633079" w:rsidP="00633079">
      <w:r>
        <w:t xml:space="preserve">Comorbidity data extracted from SPRINT-SARI reflect the sickest patients with COVID-19 managed in ICU; data are therefore not generalisable to all cases (Table 7). In patients admitted to ICU with COVID-19 since 1 February 2021, the most prevalent comorbidity was obesity (a body mass index of &gt; 30 or weight over 120 kg), followed by diabetes. Of those adult patients admitted to ICU this year for whom comorbidity data was known, 63% (819/1,296) had at least one comorbidity; 37% (477/1,296) of patients had none of the listed comorbidities recorded. </w:t>
      </w:r>
    </w:p>
    <w:p w14:paraId="5B94C9A8" w14:textId="77777777" w:rsidR="001365EF" w:rsidRPr="00E563C6" w:rsidRDefault="001365EF" w:rsidP="001365EF">
      <w:pPr>
        <w:pStyle w:val="CDIFigures"/>
      </w:pPr>
      <w:r w:rsidRPr="00E563C6">
        <w:rPr>
          <w:rStyle w:val="Strong"/>
          <w:b/>
          <w:bCs w:val="0"/>
        </w:rPr>
        <w:lastRenderedPageBreak/>
        <w:t>Table 7: Comorbidities for adult COVID-19 cases (aged greater than or equal to 18 years) amongst those admitted to ICU, Australia, 1 February 2021 – 24 October 2021</w:t>
      </w:r>
      <w:r w:rsidRPr="00D90481">
        <w:rPr>
          <w:rStyle w:val="Strong"/>
          <w:b/>
          <w:bCs w:val="0"/>
          <w:vertAlign w:val="superscript"/>
        </w:rPr>
        <w:t>a</w:t>
      </w:r>
    </w:p>
    <w:tbl>
      <w:tblPr>
        <w:tblStyle w:val="CDI-StandardTable"/>
        <w:tblW w:w="0" w:type="auto"/>
        <w:tblCellMar>
          <w:top w:w="113" w:type="dxa"/>
          <w:bottom w:w="113" w:type="dxa"/>
        </w:tblCellMar>
        <w:tblLook w:val="04A0" w:firstRow="1" w:lastRow="0" w:firstColumn="1" w:lastColumn="0" w:noHBand="0" w:noVBand="1"/>
        <w:tblDescription w:val="A table summarising the incidence of comorbidities among adult COVID-19 cases admitted to ICU from 1 February 2021 to 24 October 2021. Among such cases, the most frequent comorbidities have been obesity (34%) and diabetes (30%). Almost two-fifths of this year’s ICU cases (37%) did not have any listed comorbidities; 27% of ICU cases had two or more comorbidities, with 9% (123 cases) having three or more comorbidities.&#10;"/>
      </w:tblPr>
      <w:tblGrid>
        <w:gridCol w:w="5103"/>
        <w:gridCol w:w="5337"/>
      </w:tblGrid>
      <w:tr w:rsidR="001365EF" w:rsidRPr="00E563C6" w14:paraId="3F17DF20" w14:textId="77777777" w:rsidTr="00F71708">
        <w:trPr>
          <w:cnfStyle w:val="100000000000" w:firstRow="1" w:lastRow="0" w:firstColumn="0" w:lastColumn="0" w:oddVBand="0" w:evenVBand="0" w:oddHBand="0" w:evenHBand="0" w:firstRowFirstColumn="0" w:firstRowLastColumn="0" w:lastRowFirstColumn="0" w:lastRowLastColumn="0"/>
        </w:trPr>
        <w:tc>
          <w:tcPr>
            <w:tcW w:w="5103" w:type="dxa"/>
            <w:tcBorders>
              <w:right w:val="single" w:sz="2" w:space="0" w:color="FFFFFF" w:themeColor="background1"/>
            </w:tcBorders>
            <w:hideMark/>
          </w:tcPr>
          <w:p w14:paraId="760923D8" w14:textId="77777777" w:rsidR="001365EF" w:rsidRPr="00E563C6" w:rsidRDefault="001365EF" w:rsidP="00E80310">
            <w:pPr>
              <w:pStyle w:val="NormalWeb"/>
              <w:rPr>
                <w:color w:val="FFFFFF" w:themeColor="background1"/>
              </w:rPr>
            </w:pPr>
            <w:r w:rsidRPr="00E563C6">
              <w:rPr>
                <w:color w:val="FFFFFF" w:themeColor="background1"/>
              </w:rPr>
              <w:t>Comorbidity</w:t>
            </w:r>
          </w:p>
        </w:tc>
        <w:tc>
          <w:tcPr>
            <w:tcW w:w="5337" w:type="dxa"/>
            <w:tcBorders>
              <w:left w:val="single" w:sz="2" w:space="0" w:color="FFFFFF" w:themeColor="background1"/>
            </w:tcBorders>
            <w:hideMark/>
          </w:tcPr>
          <w:p w14:paraId="57B1124C" w14:textId="77777777" w:rsidR="001365EF" w:rsidRPr="00E563C6" w:rsidRDefault="001365EF" w:rsidP="00E80310">
            <w:pPr>
              <w:pStyle w:val="NormalWeb"/>
              <w:jc w:val="center"/>
              <w:rPr>
                <w:color w:val="FFFFFF" w:themeColor="background1"/>
              </w:rPr>
            </w:pPr>
            <w:r w:rsidRPr="00E563C6">
              <w:rPr>
                <w:color w:val="FFFFFF" w:themeColor="background1"/>
              </w:rPr>
              <w:t xml:space="preserve">ICU </w:t>
            </w:r>
            <w:proofErr w:type="spellStart"/>
            <w:r w:rsidRPr="00E563C6">
              <w:rPr>
                <w:color w:val="FFFFFF" w:themeColor="background1"/>
              </w:rPr>
              <w:t>cases</w:t>
            </w:r>
            <w:r w:rsidRPr="00D501BC">
              <w:rPr>
                <w:color w:val="FFFFFF" w:themeColor="background1"/>
                <w:vertAlign w:val="superscript"/>
              </w:rPr>
              <w:t>a</w:t>
            </w:r>
            <w:proofErr w:type="spellEnd"/>
            <w:r w:rsidRPr="00E563C6">
              <w:rPr>
                <w:color w:val="FFFFFF" w:themeColor="background1"/>
              </w:rPr>
              <w:t xml:space="preserve"> (n = 1,296) (%)</w:t>
            </w:r>
          </w:p>
        </w:tc>
      </w:tr>
      <w:tr w:rsidR="001365EF" w14:paraId="7F71F8EB" w14:textId="77777777" w:rsidTr="00F71708">
        <w:tblPrEx>
          <w:tblCellMar>
            <w:left w:w="57" w:type="dxa"/>
            <w:right w:w="57" w:type="dxa"/>
          </w:tblCellMar>
        </w:tblPrEx>
        <w:tc>
          <w:tcPr>
            <w:tcW w:w="5103" w:type="dxa"/>
            <w:hideMark/>
          </w:tcPr>
          <w:p w14:paraId="11D7AF96" w14:textId="77777777" w:rsidR="001365EF" w:rsidRDefault="001365EF" w:rsidP="00E80310">
            <w:pPr>
              <w:pStyle w:val="NormalWeb"/>
            </w:pPr>
            <w:r>
              <w:t>Cardiac disease (n = 1,285)</w:t>
            </w:r>
          </w:p>
        </w:tc>
        <w:tc>
          <w:tcPr>
            <w:tcW w:w="5337" w:type="dxa"/>
            <w:hideMark/>
          </w:tcPr>
          <w:p w14:paraId="1A77C29E" w14:textId="77777777" w:rsidR="001365EF" w:rsidRDefault="001365EF" w:rsidP="00E80310">
            <w:pPr>
              <w:pStyle w:val="NormalWeb"/>
              <w:jc w:val="center"/>
            </w:pPr>
            <w:r>
              <w:t>137 (11)</w:t>
            </w:r>
          </w:p>
        </w:tc>
      </w:tr>
      <w:tr w:rsidR="001365EF" w14:paraId="57920327"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103" w:type="dxa"/>
            <w:hideMark/>
          </w:tcPr>
          <w:p w14:paraId="52674130" w14:textId="77777777" w:rsidR="001365EF" w:rsidRDefault="001365EF" w:rsidP="00E80310">
            <w:pPr>
              <w:pStyle w:val="NormalWeb"/>
            </w:pPr>
            <w:r>
              <w:t xml:space="preserve">Chronic respiratory condition (n = 1,286) </w:t>
            </w:r>
            <w:r w:rsidRPr="00781EEC">
              <w:rPr>
                <w:vertAlign w:val="superscript"/>
              </w:rPr>
              <w:t>b</w:t>
            </w:r>
          </w:p>
        </w:tc>
        <w:tc>
          <w:tcPr>
            <w:tcW w:w="5337" w:type="dxa"/>
            <w:hideMark/>
          </w:tcPr>
          <w:p w14:paraId="5E3CA4FA" w14:textId="77777777" w:rsidR="001365EF" w:rsidRDefault="001365EF" w:rsidP="00E80310">
            <w:pPr>
              <w:pStyle w:val="NormalWeb"/>
              <w:jc w:val="center"/>
            </w:pPr>
            <w:r>
              <w:t>191 (15)</w:t>
            </w:r>
          </w:p>
        </w:tc>
      </w:tr>
      <w:tr w:rsidR="001365EF" w14:paraId="28493D6E" w14:textId="77777777" w:rsidTr="00F71708">
        <w:tblPrEx>
          <w:tblCellMar>
            <w:left w:w="57" w:type="dxa"/>
            <w:right w:w="57" w:type="dxa"/>
          </w:tblCellMar>
        </w:tblPrEx>
        <w:tc>
          <w:tcPr>
            <w:tcW w:w="5103" w:type="dxa"/>
            <w:hideMark/>
          </w:tcPr>
          <w:p w14:paraId="178FE46F" w14:textId="77777777" w:rsidR="001365EF" w:rsidRDefault="001365EF" w:rsidP="00E80310">
            <w:pPr>
              <w:pStyle w:val="NormalWeb"/>
            </w:pPr>
            <w:r>
              <w:t>Diabetes (n = 1,280)</w:t>
            </w:r>
          </w:p>
        </w:tc>
        <w:tc>
          <w:tcPr>
            <w:tcW w:w="5337" w:type="dxa"/>
            <w:hideMark/>
          </w:tcPr>
          <w:p w14:paraId="063B3412" w14:textId="77777777" w:rsidR="001365EF" w:rsidRDefault="001365EF" w:rsidP="00E80310">
            <w:pPr>
              <w:pStyle w:val="NormalWeb"/>
              <w:jc w:val="center"/>
            </w:pPr>
            <w:r>
              <w:t>378 (30)</w:t>
            </w:r>
          </w:p>
        </w:tc>
      </w:tr>
      <w:tr w:rsidR="001365EF" w14:paraId="68A62B9D"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103" w:type="dxa"/>
            <w:hideMark/>
          </w:tcPr>
          <w:p w14:paraId="1CC662DB" w14:textId="77777777" w:rsidR="001365EF" w:rsidRDefault="001365EF" w:rsidP="00E80310">
            <w:pPr>
              <w:pStyle w:val="NormalWeb"/>
            </w:pPr>
            <w:r>
              <w:t>Obesity (n = 1,251)</w:t>
            </w:r>
          </w:p>
        </w:tc>
        <w:tc>
          <w:tcPr>
            <w:tcW w:w="5337" w:type="dxa"/>
            <w:hideMark/>
          </w:tcPr>
          <w:p w14:paraId="01CB2063" w14:textId="77777777" w:rsidR="001365EF" w:rsidRDefault="001365EF" w:rsidP="00E80310">
            <w:pPr>
              <w:pStyle w:val="NormalWeb"/>
              <w:jc w:val="center"/>
            </w:pPr>
            <w:r>
              <w:t>422 (34)</w:t>
            </w:r>
          </w:p>
        </w:tc>
      </w:tr>
      <w:tr w:rsidR="001365EF" w14:paraId="0906E0FD" w14:textId="77777777" w:rsidTr="00F71708">
        <w:tblPrEx>
          <w:tblCellMar>
            <w:left w:w="57" w:type="dxa"/>
            <w:right w:w="57" w:type="dxa"/>
          </w:tblCellMar>
        </w:tblPrEx>
        <w:tc>
          <w:tcPr>
            <w:tcW w:w="5103" w:type="dxa"/>
            <w:hideMark/>
          </w:tcPr>
          <w:p w14:paraId="49E401F9" w14:textId="77777777" w:rsidR="001365EF" w:rsidRDefault="001365EF" w:rsidP="00E80310">
            <w:pPr>
              <w:pStyle w:val="NormalWeb"/>
            </w:pPr>
            <w:r>
              <w:t>Chronic renal disease (n = 1,283)</w:t>
            </w:r>
          </w:p>
        </w:tc>
        <w:tc>
          <w:tcPr>
            <w:tcW w:w="5337" w:type="dxa"/>
            <w:hideMark/>
          </w:tcPr>
          <w:p w14:paraId="4B2C996E" w14:textId="77777777" w:rsidR="001365EF" w:rsidRDefault="001365EF" w:rsidP="00E80310">
            <w:pPr>
              <w:pStyle w:val="NormalWeb"/>
              <w:jc w:val="center"/>
            </w:pPr>
            <w:r>
              <w:t>63 (5)</w:t>
            </w:r>
          </w:p>
        </w:tc>
      </w:tr>
      <w:tr w:rsidR="001365EF" w14:paraId="5DA9EF0A"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103" w:type="dxa"/>
            <w:hideMark/>
          </w:tcPr>
          <w:p w14:paraId="67F1FD16" w14:textId="77777777" w:rsidR="001365EF" w:rsidRDefault="001365EF" w:rsidP="00E80310">
            <w:pPr>
              <w:pStyle w:val="NormalWeb"/>
            </w:pPr>
            <w:r>
              <w:t>Chronic neurological condition (n = 1,285)</w:t>
            </w:r>
          </w:p>
        </w:tc>
        <w:tc>
          <w:tcPr>
            <w:tcW w:w="5337" w:type="dxa"/>
            <w:hideMark/>
          </w:tcPr>
          <w:p w14:paraId="49871127" w14:textId="77777777" w:rsidR="001365EF" w:rsidRDefault="001365EF" w:rsidP="00E80310">
            <w:pPr>
              <w:pStyle w:val="NormalWeb"/>
              <w:jc w:val="center"/>
            </w:pPr>
            <w:r>
              <w:t>38 (3)</w:t>
            </w:r>
          </w:p>
        </w:tc>
      </w:tr>
      <w:tr w:rsidR="001365EF" w14:paraId="09293209" w14:textId="77777777" w:rsidTr="00F71708">
        <w:tblPrEx>
          <w:tblCellMar>
            <w:left w:w="57" w:type="dxa"/>
            <w:right w:w="57" w:type="dxa"/>
          </w:tblCellMar>
        </w:tblPrEx>
        <w:tc>
          <w:tcPr>
            <w:tcW w:w="5103" w:type="dxa"/>
            <w:hideMark/>
          </w:tcPr>
          <w:p w14:paraId="5B4445B9" w14:textId="77777777" w:rsidR="001365EF" w:rsidRDefault="001365EF" w:rsidP="00E80310">
            <w:pPr>
              <w:pStyle w:val="NormalWeb"/>
            </w:pPr>
            <w:r>
              <w:t>Malignancy (n = 1,286)</w:t>
            </w:r>
          </w:p>
        </w:tc>
        <w:tc>
          <w:tcPr>
            <w:tcW w:w="5337" w:type="dxa"/>
            <w:hideMark/>
          </w:tcPr>
          <w:p w14:paraId="6533A40B" w14:textId="77777777" w:rsidR="001365EF" w:rsidRDefault="001365EF" w:rsidP="00E80310">
            <w:pPr>
              <w:pStyle w:val="NormalWeb"/>
              <w:jc w:val="center"/>
            </w:pPr>
            <w:r>
              <w:t>37 (3)</w:t>
            </w:r>
          </w:p>
        </w:tc>
      </w:tr>
      <w:tr w:rsidR="001365EF" w14:paraId="2DFE107F"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103" w:type="dxa"/>
            <w:hideMark/>
          </w:tcPr>
          <w:p w14:paraId="0C71364D" w14:textId="77777777" w:rsidR="001365EF" w:rsidRDefault="001365EF" w:rsidP="00E80310">
            <w:pPr>
              <w:pStyle w:val="NormalWeb"/>
            </w:pPr>
            <w:r>
              <w:t>Chronic liver disease (n = 1,285)</w:t>
            </w:r>
          </w:p>
        </w:tc>
        <w:tc>
          <w:tcPr>
            <w:tcW w:w="5337" w:type="dxa"/>
            <w:hideMark/>
          </w:tcPr>
          <w:p w14:paraId="6E3CCFD5" w14:textId="77777777" w:rsidR="001365EF" w:rsidRDefault="001365EF" w:rsidP="00E80310">
            <w:pPr>
              <w:pStyle w:val="NormalWeb"/>
              <w:jc w:val="center"/>
            </w:pPr>
            <w:r>
              <w:t>31 (2)</w:t>
            </w:r>
          </w:p>
        </w:tc>
      </w:tr>
      <w:tr w:rsidR="001365EF" w14:paraId="7712C047" w14:textId="77777777" w:rsidTr="00F71708">
        <w:tblPrEx>
          <w:tblCellMar>
            <w:left w:w="57" w:type="dxa"/>
            <w:right w:w="57" w:type="dxa"/>
          </w:tblCellMar>
        </w:tblPrEx>
        <w:tc>
          <w:tcPr>
            <w:tcW w:w="5103" w:type="dxa"/>
            <w:hideMark/>
          </w:tcPr>
          <w:p w14:paraId="06CBA431" w14:textId="77777777" w:rsidR="001365EF" w:rsidRDefault="001365EF" w:rsidP="00E80310">
            <w:pPr>
              <w:pStyle w:val="NormalWeb"/>
            </w:pPr>
            <w:r>
              <w:t>Immunosuppression (n = 1,285)</w:t>
            </w:r>
          </w:p>
        </w:tc>
        <w:tc>
          <w:tcPr>
            <w:tcW w:w="5337" w:type="dxa"/>
            <w:hideMark/>
          </w:tcPr>
          <w:p w14:paraId="4D66AD4A" w14:textId="77777777" w:rsidR="001365EF" w:rsidRDefault="001365EF" w:rsidP="00E80310">
            <w:pPr>
              <w:pStyle w:val="NormalWeb"/>
              <w:jc w:val="center"/>
            </w:pPr>
            <w:r>
              <w:t>42 (3)</w:t>
            </w:r>
          </w:p>
        </w:tc>
      </w:tr>
      <w:tr w:rsidR="001365EF" w:rsidRPr="00D501BC" w14:paraId="09E165E8"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2"/>
            <w:shd w:val="clear" w:color="auto" w:fill="595959" w:themeFill="text1" w:themeFillTint="A6"/>
            <w:hideMark/>
          </w:tcPr>
          <w:p w14:paraId="2567602D" w14:textId="77777777" w:rsidR="001365EF" w:rsidRPr="00D501BC" w:rsidRDefault="001365EF" w:rsidP="00E80310">
            <w:pPr>
              <w:pStyle w:val="NormalWeb"/>
              <w:rPr>
                <w:b/>
                <w:bCs/>
                <w:color w:val="FFFFFF" w:themeColor="background1"/>
              </w:rPr>
            </w:pPr>
            <w:r w:rsidRPr="00D501BC">
              <w:rPr>
                <w:b/>
                <w:bCs/>
                <w:color w:val="FFFFFF" w:themeColor="background1"/>
              </w:rPr>
              <w:t xml:space="preserve">Number of specified comorbidities (n = 1,296) </w:t>
            </w:r>
            <w:proofErr w:type="spellStart"/>
            <w:proofErr w:type="gramStart"/>
            <w:r w:rsidRPr="00D501BC">
              <w:rPr>
                <w:b/>
                <w:bCs/>
                <w:color w:val="FFFFFF" w:themeColor="background1"/>
                <w:vertAlign w:val="superscript"/>
              </w:rPr>
              <w:t>a,b</w:t>
            </w:r>
            <w:proofErr w:type="gramEnd"/>
            <w:r w:rsidRPr="00D501BC">
              <w:rPr>
                <w:b/>
                <w:bCs/>
                <w:color w:val="FFFFFF" w:themeColor="background1"/>
                <w:vertAlign w:val="superscript"/>
              </w:rPr>
              <w:t>,c</w:t>
            </w:r>
            <w:proofErr w:type="spellEnd"/>
          </w:p>
        </w:tc>
      </w:tr>
      <w:tr w:rsidR="001365EF" w14:paraId="584DA310" w14:textId="77777777" w:rsidTr="00F71708">
        <w:tblPrEx>
          <w:tblCellMar>
            <w:left w:w="57" w:type="dxa"/>
            <w:right w:w="57" w:type="dxa"/>
          </w:tblCellMar>
        </w:tblPrEx>
        <w:tc>
          <w:tcPr>
            <w:tcW w:w="5103" w:type="dxa"/>
            <w:hideMark/>
          </w:tcPr>
          <w:p w14:paraId="270F3AAB" w14:textId="77777777" w:rsidR="001365EF" w:rsidRDefault="001365EF" w:rsidP="00E80310">
            <w:pPr>
              <w:pStyle w:val="NormalWeb"/>
            </w:pPr>
            <w:r>
              <w:t>One or more</w:t>
            </w:r>
          </w:p>
        </w:tc>
        <w:tc>
          <w:tcPr>
            <w:tcW w:w="5337" w:type="dxa"/>
            <w:hideMark/>
          </w:tcPr>
          <w:p w14:paraId="0E4A6D3E" w14:textId="77777777" w:rsidR="001365EF" w:rsidRDefault="001365EF" w:rsidP="00E80310">
            <w:pPr>
              <w:pStyle w:val="NormalWeb"/>
              <w:jc w:val="center"/>
            </w:pPr>
            <w:r>
              <w:t>819 (63)</w:t>
            </w:r>
          </w:p>
        </w:tc>
      </w:tr>
      <w:tr w:rsidR="001365EF" w14:paraId="35A79F3F"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103" w:type="dxa"/>
            <w:hideMark/>
          </w:tcPr>
          <w:p w14:paraId="357577DA" w14:textId="77777777" w:rsidR="001365EF" w:rsidRDefault="001365EF" w:rsidP="00E80310">
            <w:pPr>
              <w:pStyle w:val="NormalWeb"/>
            </w:pPr>
            <w:r>
              <w:t>Two or more</w:t>
            </w:r>
          </w:p>
        </w:tc>
        <w:tc>
          <w:tcPr>
            <w:tcW w:w="5337" w:type="dxa"/>
            <w:hideMark/>
          </w:tcPr>
          <w:p w14:paraId="7683B445" w14:textId="77777777" w:rsidR="001365EF" w:rsidRDefault="001365EF" w:rsidP="00E80310">
            <w:pPr>
              <w:pStyle w:val="NormalWeb"/>
              <w:jc w:val="center"/>
            </w:pPr>
            <w:r>
              <w:t>344 (27)</w:t>
            </w:r>
          </w:p>
        </w:tc>
      </w:tr>
      <w:tr w:rsidR="001365EF" w14:paraId="1F6A0A02" w14:textId="77777777" w:rsidTr="00F71708">
        <w:tblPrEx>
          <w:tblCellMar>
            <w:left w:w="57" w:type="dxa"/>
            <w:right w:w="57" w:type="dxa"/>
          </w:tblCellMar>
        </w:tblPrEx>
        <w:tc>
          <w:tcPr>
            <w:tcW w:w="5103" w:type="dxa"/>
            <w:hideMark/>
          </w:tcPr>
          <w:p w14:paraId="7A95082E" w14:textId="77777777" w:rsidR="001365EF" w:rsidRDefault="001365EF" w:rsidP="00E80310">
            <w:pPr>
              <w:pStyle w:val="NormalWeb"/>
            </w:pPr>
            <w:r>
              <w:t>Three or more</w:t>
            </w:r>
          </w:p>
        </w:tc>
        <w:tc>
          <w:tcPr>
            <w:tcW w:w="5337" w:type="dxa"/>
            <w:hideMark/>
          </w:tcPr>
          <w:p w14:paraId="4267B3D0" w14:textId="77777777" w:rsidR="001365EF" w:rsidRDefault="001365EF" w:rsidP="00E80310">
            <w:pPr>
              <w:pStyle w:val="NormalWeb"/>
              <w:jc w:val="center"/>
            </w:pPr>
            <w:r>
              <w:t>123 (9)</w:t>
            </w:r>
          </w:p>
        </w:tc>
      </w:tr>
      <w:tr w:rsidR="001365EF" w14:paraId="704AEB1F"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103" w:type="dxa"/>
            <w:hideMark/>
          </w:tcPr>
          <w:p w14:paraId="420EA13A" w14:textId="77777777" w:rsidR="001365EF" w:rsidRDefault="001365EF" w:rsidP="00E80310">
            <w:pPr>
              <w:pStyle w:val="NormalWeb"/>
            </w:pPr>
            <w:r>
              <w:t>No comorbidities</w:t>
            </w:r>
          </w:p>
        </w:tc>
        <w:tc>
          <w:tcPr>
            <w:tcW w:w="5337" w:type="dxa"/>
            <w:hideMark/>
          </w:tcPr>
          <w:p w14:paraId="464C183E" w14:textId="77777777" w:rsidR="001365EF" w:rsidRDefault="001365EF" w:rsidP="00E80310">
            <w:pPr>
              <w:pStyle w:val="NormalWeb"/>
              <w:jc w:val="center"/>
            </w:pPr>
            <w:r>
              <w:t>477 (37)</w:t>
            </w:r>
          </w:p>
        </w:tc>
      </w:tr>
    </w:tbl>
    <w:p w14:paraId="052AF3FC" w14:textId="77777777" w:rsidR="001365EF" w:rsidRDefault="001365EF" w:rsidP="001365EF">
      <w:pPr>
        <w:pStyle w:val="CDIfootnotes"/>
        <w:rPr>
          <w:lang w:val="en-GB"/>
        </w:rPr>
      </w:pPr>
      <w:r>
        <w:rPr>
          <w:lang w:val="en-GB"/>
        </w:rPr>
        <w:t>a</w:t>
      </w:r>
      <w:r>
        <w:rPr>
          <w:lang w:val="en-GB"/>
        </w:rPr>
        <w:tab/>
        <w:t>Source: SPRINT-SARI. Only includes adult cases (≥ 18 years old) and excludes those with missing data on comorbidities or where comorbidity is unknown.</w:t>
      </w:r>
    </w:p>
    <w:p w14:paraId="5BDEB76D" w14:textId="77777777" w:rsidR="001365EF" w:rsidRDefault="001365EF" w:rsidP="001365EF">
      <w:pPr>
        <w:pStyle w:val="CDIfootnotes"/>
        <w:rPr>
          <w:lang w:val="en-GB"/>
        </w:rPr>
      </w:pPr>
      <w:r>
        <w:rPr>
          <w:lang w:val="en-GB"/>
        </w:rPr>
        <w:t>b</w:t>
      </w:r>
      <w:r>
        <w:rPr>
          <w:lang w:val="en-GB"/>
        </w:rPr>
        <w:tab/>
        <w:t>Includes asthma.</w:t>
      </w:r>
    </w:p>
    <w:p w14:paraId="0A2FC93C" w14:textId="77777777" w:rsidR="001365EF" w:rsidRDefault="001365EF" w:rsidP="001365EF">
      <w:pPr>
        <w:pStyle w:val="CDIfootnotes"/>
        <w:rPr>
          <w:lang w:val="en-GB"/>
        </w:rPr>
      </w:pPr>
      <w:r>
        <w:rPr>
          <w:lang w:val="en-GB"/>
        </w:rPr>
        <w:t xml:space="preserve">c </w:t>
      </w:r>
      <w:r>
        <w:rPr>
          <w:lang w:val="en-GB"/>
        </w:rPr>
        <w:tab/>
        <w:t xml:space="preserve">Includes chronic respiratory conditions, cardiac disease (excluding hypertension), immunosuppressive condition/therapy, diabetes, obesity, liver disease, renal </w:t>
      </w:r>
      <w:proofErr w:type="gramStart"/>
      <w:r>
        <w:rPr>
          <w:lang w:val="en-GB"/>
        </w:rPr>
        <w:t>disease</w:t>
      </w:r>
      <w:proofErr w:type="gramEnd"/>
      <w:r>
        <w:rPr>
          <w:lang w:val="en-GB"/>
        </w:rPr>
        <w:t xml:space="preserve"> and neurological disorder.</w:t>
      </w:r>
    </w:p>
    <w:p w14:paraId="7B02E3C2" w14:textId="54EC94EA" w:rsidR="00633079" w:rsidRPr="00633079" w:rsidRDefault="00633079" w:rsidP="00633079">
      <w:pPr>
        <w:pStyle w:val="Heading3"/>
      </w:pPr>
      <w:r w:rsidRPr="00633079">
        <w:t xml:space="preserve">COVID-19 deaths </w:t>
      </w:r>
    </w:p>
    <w:p w14:paraId="38E88D20" w14:textId="6B09C1AF" w:rsidR="00633079" w:rsidRDefault="00633079" w:rsidP="00633079">
      <w:r>
        <w:t>In the past two weeks, there were 180 deaths associated with COVID-19: 123 in Victoria; 55 in New South Wales; and two in the Australian Capital Territory. This brings the total number of COVID-19 associated deaths in 2021 to 741 (Table 8).</w:t>
      </w:r>
    </w:p>
    <w:p w14:paraId="61E10EB0" w14:textId="77777777" w:rsidR="00F71708" w:rsidRDefault="00F71708">
      <w:pPr>
        <w:rPr>
          <w:rStyle w:val="Strong"/>
          <w:lang w:val="en-GB"/>
        </w:rPr>
      </w:pPr>
      <w:r>
        <w:rPr>
          <w:rStyle w:val="Strong"/>
          <w:lang w:val="en-GB"/>
        </w:rPr>
        <w:br w:type="page"/>
      </w:r>
    </w:p>
    <w:p w14:paraId="0650F5B3" w14:textId="0079F60D" w:rsidR="00122DF7" w:rsidRDefault="00122DF7" w:rsidP="00122DF7">
      <w:pPr>
        <w:pStyle w:val="NormalWeb"/>
        <w:rPr>
          <w:lang w:val="en-GB"/>
        </w:rPr>
      </w:pPr>
      <w:r>
        <w:rPr>
          <w:rStyle w:val="Strong"/>
          <w:lang w:val="en-GB"/>
        </w:rPr>
        <w:lastRenderedPageBreak/>
        <w:t>Table 8: Deaths associated with COVID-19 by reporting period, Australia, 1 January 2020 – 24 October 2021</w:t>
      </w:r>
      <w:r w:rsidRPr="00D90481">
        <w:rPr>
          <w:rStyle w:val="Strong"/>
          <w:vertAlign w:val="superscript"/>
          <w:lang w:val="en-GB"/>
        </w:rPr>
        <w:t>a</w:t>
      </w:r>
    </w:p>
    <w:tbl>
      <w:tblPr>
        <w:tblStyle w:val="CDI-StandardTable"/>
        <w:tblW w:w="0" w:type="auto"/>
        <w:tblCellMar>
          <w:top w:w="113" w:type="dxa"/>
          <w:bottom w:w="113" w:type="dxa"/>
        </w:tblCellMar>
        <w:tblLook w:val="04A0" w:firstRow="1" w:lastRow="0" w:firstColumn="1" w:lastColumn="0" w:noHBand="0" w:noVBand="1"/>
        <w:tblDescription w:val="A table reporting deaths due to COVID-19 in the current two-week reporting period ending 24 October 2021 and for the year to date. One hundred and eighty COVID-19 deaths occurred in the most recent reporting period. There have been 741 COVID-19 deaths during the calendar year to date, while the epidemic to date has seen a total of 1,649 COVID-19 deaths.&#10;"/>
      </w:tblPr>
      <w:tblGrid>
        <w:gridCol w:w="4728"/>
        <w:gridCol w:w="5712"/>
      </w:tblGrid>
      <w:tr w:rsidR="00122DF7" w:rsidRPr="00C06DEB" w14:paraId="49D01251" w14:textId="77777777" w:rsidTr="00F71708">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6AEE9AAF" w14:textId="77777777" w:rsidR="00122DF7" w:rsidRPr="00C06DEB" w:rsidRDefault="00122DF7" w:rsidP="00E80310">
            <w:pPr>
              <w:pStyle w:val="NormalWeb"/>
              <w:rPr>
                <w:color w:val="FFFFFF" w:themeColor="background1"/>
              </w:rPr>
            </w:pPr>
            <w:r w:rsidRPr="00C06DEB">
              <w:rPr>
                <w:color w:val="FFFFFF" w:themeColor="background1"/>
              </w:rPr>
              <w:t>Reporting period</w:t>
            </w:r>
          </w:p>
        </w:tc>
        <w:tc>
          <w:tcPr>
            <w:tcW w:w="5712" w:type="dxa"/>
            <w:tcBorders>
              <w:left w:val="single" w:sz="2" w:space="0" w:color="FFFFFF" w:themeColor="background1"/>
            </w:tcBorders>
            <w:hideMark/>
          </w:tcPr>
          <w:p w14:paraId="5EB1106D" w14:textId="77777777" w:rsidR="00122DF7" w:rsidRPr="00C06DEB" w:rsidRDefault="00122DF7" w:rsidP="00E80310">
            <w:pPr>
              <w:pStyle w:val="NormalWeb"/>
              <w:jc w:val="center"/>
              <w:rPr>
                <w:color w:val="FFFFFF" w:themeColor="background1"/>
              </w:rPr>
            </w:pPr>
            <w:r w:rsidRPr="00C06DEB">
              <w:rPr>
                <w:color w:val="FFFFFF" w:themeColor="background1"/>
              </w:rPr>
              <w:t xml:space="preserve">Number of </w:t>
            </w:r>
            <w:proofErr w:type="spellStart"/>
            <w:r w:rsidRPr="00C06DEB">
              <w:rPr>
                <w:color w:val="FFFFFF" w:themeColor="background1"/>
              </w:rPr>
              <w:t>deaths</w:t>
            </w:r>
            <w:r w:rsidRPr="00D501BC">
              <w:rPr>
                <w:color w:val="FFFFFF" w:themeColor="background1"/>
                <w:vertAlign w:val="superscript"/>
              </w:rPr>
              <w:t>b</w:t>
            </w:r>
            <w:proofErr w:type="spellEnd"/>
          </w:p>
        </w:tc>
      </w:tr>
      <w:tr w:rsidR="00122DF7" w14:paraId="4F3BABE2" w14:textId="77777777" w:rsidTr="00F71708">
        <w:tblPrEx>
          <w:tblCellMar>
            <w:left w:w="57" w:type="dxa"/>
            <w:right w:w="57" w:type="dxa"/>
          </w:tblCellMar>
        </w:tblPrEx>
        <w:tc>
          <w:tcPr>
            <w:tcW w:w="0" w:type="auto"/>
            <w:hideMark/>
          </w:tcPr>
          <w:p w14:paraId="4E5B9CC5" w14:textId="77777777" w:rsidR="00122DF7" w:rsidRDefault="00122DF7" w:rsidP="00E80310">
            <w:pPr>
              <w:pStyle w:val="NormalWeb"/>
            </w:pPr>
            <w:r>
              <w:t>Reporting period 11–24 October 2021</w:t>
            </w:r>
          </w:p>
        </w:tc>
        <w:tc>
          <w:tcPr>
            <w:tcW w:w="5712" w:type="dxa"/>
            <w:hideMark/>
          </w:tcPr>
          <w:p w14:paraId="2B9A0843" w14:textId="77777777" w:rsidR="00122DF7" w:rsidRDefault="00122DF7" w:rsidP="00E80310">
            <w:pPr>
              <w:pStyle w:val="NormalWeb"/>
              <w:jc w:val="center"/>
            </w:pPr>
            <w:r>
              <w:t>180</w:t>
            </w:r>
          </w:p>
        </w:tc>
      </w:tr>
      <w:tr w:rsidR="00122DF7" w14:paraId="7E4B211A" w14:textId="77777777" w:rsidTr="00F71708">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F3DEA1F" w14:textId="77777777" w:rsidR="00122DF7" w:rsidRDefault="00122DF7" w:rsidP="00E80310">
            <w:pPr>
              <w:pStyle w:val="NormalWeb"/>
            </w:pPr>
            <w:r>
              <w:t>Year to date (2021) 1 January – 24 October 2021</w:t>
            </w:r>
          </w:p>
        </w:tc>
        <w:tc>
          <w:tcPr>
            <w:tcW w:w="5712" w:type="dxa"/>
            <w:hideMark/>
          </w:tcPr>
          <w:p w14:paraId="454B8C1D" w14:textId="77777777" w:rsidR="00122DF7" w:rsidRDefault="00122DF7" w:rsidP="00E80310">
            <w:pPr>
              <w:pStyle w:val="NormalWeb"/>
              <w:jc w:val="center"/>
            </w:pPr>
            <w:r>
              <w:t>741</w:t>
            </w:r>
          </w:p>
        </w:tc>
      </w:tr>
      <w:tr w:rsidR="00122DF7" w14:paraId="0285D62C" w14:textId="77777777" w:rsidTr="00F71708">
        <w:tblPrEx>
          <w:tblCellMar>
            <w:left w:w="57" w:type="dxa"/>
            <w:right w:w="57" w:type="dxa"/>
          </w:tblCellMar>
        </w:tblPrEx>
        <w:tc>
          <w:tcPr>
            <w:tcW w:w="0" w:type="auto"/>
            <w:hideMark/>
          </w:tcPr>
          <w:p w14:paraId="2341EA38" w14:textId="77777777" w:rsidR="00122DF7" w:rsidRDefault="00122DF7" w:rsidP="00E80310">
            <w:pPr>
              <w:pStyle w:val="NormalWeb"/>
            </w:pPr>
            <w:r>
              <w:t>Epidemic to date 1 January 2020 – 24 October 2021</w:t>
            </w:r>
          </w:p>
        </w:tc>
        <w:tc>
          <w:tcPr>
            <w:tcW w:w="5712" w:type="dxa"/>
            <w:hideMark/>
          </w:tcPr>
          <w:p w14:paraId="32C31EEA" w14:textId="77777777" w:rsidR="00122DF7" w:rsidRDefault="00122DF7" w:rsidP="00E80310">
            <w:pPr>
              <w:pStyle w:val="NormalWeb"/>
              <w:jc w:val="center"/>
            </w:pPr>
            <w:r>
              <w:t>1,649</w:t>
            </w:r>
          </w:p>
        </w:tc>
      </w:tr>
    </w:tbl>
    <w:p w14:paraId="70584B63" w14:textId="5CA9835F" w:rsidR="00122DF7" w:rsidRPr="00122DF7" w:rsidRDefault="00122DF7" w:rsidP="00122DF7">
      <w:pPr>
        <w:pStyle w:val="CDIfootnotes"/>
        <w:rPr>
          <w:lang w:val="en-GB"/>
        </w:rPr>
      </w:pPr>
      <w:r>
        <w:rPr>
          <w:lang w:val="en-GB"/>
        </w:rPr>
        <w:t>a</w:t>
      </w:r>
      <w:r>
        <w:rPr>
          <w:lang w:val="en-GB"/>
        </w:rPr>
        <w:tab/>
        <w:t>Source: NINDSS, extract from 26 October 2021 for notifications to 24 October 2021</w:t>
      </w:r>
      <w:r w:rsidR="00F4108B">
        <w:rPr>
          <w:lang w:val="en-GB"/>
        </w:rPr>
        <w:t>.</w:t>
      </w:r>
    </w:p>
    <w:p w14:paraId="4C7AE402" w14:textId="77777777" w:rsidR="00633079" w:rsidRPr="00633079" w:rsidRDefault="00633079" w:rsidP="00633079">
      <w:pPr>
        <w:pStyle w:val="Heading1"/>
      </w:pPr>
      <w:r w:rsidRPr="00633079">
        <w:t xml:space="preserve">Acknowledgements </w:t>
      </w:r>
    </w:p>
    <w:p w14:paraId="218A0356" w14:textId="77777777" w:rsidR="00633079" w:rsidRDefault="00633079" w:rsidP="00633079">
      <w:r>
        <w:t xml:space="preserve">We thank public health staff from incident emergency operations centres and public health units in state and territory health departments, and the Australian Government Department of Health, along with state and territory public health laboratories. </w:t>
      </w:r>
    </w:p>
    <w:p w14:paraId="46AEAF37" w14:textId="77777777" w:rsidR="00633079" w:rsidRPr="00633079" w:rsidRDefault="00633079" w:rsidP="00633079">
      <w:pPr>
        <w:pStyle w:val="Heading1"/>
      </w:pPr>
      <w:r w:rsidRPr="00633079">
        <w:t xml:space="preserve">Author details </w:t>
      </w:r>
    </w:p>
    <w:p w14:paraId="3684BAEE" w14:textId="77777777" w:rsidR="00633079" w:rsidRPr="00633079" w:rsidRDefault="00633079" w:rsidP="00633079">
      <w:pPr>
        <w:pStyle w:val="Heading2"/>
      </w:pPr>
      <w:r w:rsidRPr="00633079">
        <w:t xml:space="preserve">Corresponding author </w:t>
      </w:r>
    </w:p>
    <w:p w14:paraId="1D041029" w14:textId="77777777" w:rsidR="00633079" w:rsidRDefault="00633079" w:rsidP="00610063">
      <w:pPr>
        <w:pStyle w:val="NoSpacing"/>
      </w:pPr>
      <w:r>
        <w:t xml:space="preserve">COVID-19 National Incident Room Surveillance Team </w:t>
      </w:r>
    </w:p>
    <w:p w14:paraId="3FECA440" w14:textId="77777777" w:rsidR="00633079" w:rsidRDefault="00633079" w:rsidP="00610063">
      <w:pPr>
        <w:pStyle w:val="NoSpacing"/>
      </w:pPr>
      <w:r>
        <w:t xml:space="preserve">Australian Government Department of Health, GPO Box 9484, MDP 14, Canberra, ACT 2601. </w:t>
      </w:r>
    </w:p>
    <w:p w14:paraId="7465FD4B" w14:textId="77777777" w:rsidR="00633079" w:rsidRDefault="00633079" w:rsidP="00610063">
      <w:pPr>
        <w:pStyle w:val="NoSpacing"/>
      </w:pPr>
      <w:r>
        <w:t>Email: epi.coronavirus@health.gov.au</w:t>
      </w:r>
    </w:p>
    <w:p w14:paraId="07B3227B" w14:textId="77777777" w:rsidR="00633079" w:rsidRPr="00633079" w:rsidRDefault="00633079" w:rsidP="00633079">
      <w:pPr>
        <w:pStyle w:val="Heading1"/>
      </w:pPr>
      <w:r w:rsidRPr="00633079">
        <w:t xml:space="preserve">References </w:t>
      </w:r>
    </w:p>
    <w:p w14:paraId="7E3E8273" w14:textId="77777777" w:rsidR="00633079" w:rsidRPr="00633079" w:rsidRDefault="00633079" w:rsidP="00633079">
      <w:pPr>
        <w:pStyle w:val="ListParagraph"/>
        <w:numPr>
          <w:ilvl w:val="0"/>
          <w:numId w:val="8"/>
        </w:numPr>
        <w:rPr>
          <w:rFonts w:eastAsia="Times New Roman"/>
        </w:rPr>
      </w:pPr>
      <w:r w:rsidRPr="00633079">
        <w:rPr>
          <w:rFonts w:eastAsia="Times New Roman"/>
        </w:rPr>
        <w:t xml:space="preserve">COVID-19 National Incident Room Surveillance Team. COVID-19 Australia: Epidemiology Report 52: Reporting period ending 10 October 2021. </w:t>
      </w:r>
      <w:proofErr w:type="spellStart"/>
      <w:r w:rsidRPr="0098673B">
        <w:rPr>
          <w:rStyle w:val="Emphasis"/>
          <w:rFonts w:eastAsia="Times New Roman"/>
          <w:b w:val="0"/>
          <w:bCs w:val="0"/>
        </w:rPr>
        <w:t>Commun</w:t>
      </w:r>
      <w:proofErr w:type="spellEnd"/>
      <w:r w:rsidRPr="0098673B">
        <w:rPr>
          <w:rStyle w:val="Emphasis"/>
          <w:rFonts w:eastAsia="Times New Roman"/>
          <w:b w:val="0"/>
          <w:bCs w:val="0"/>
        </w:rPr>
        <w:t xml:space="preserve"> Dis </w:t>
      </w:r>
      <w:proofErr w:type="spellStart"/>
      <w:r w:rsidRPr="0098673B">
        <w:rPr>
          <w:rStyle w:val="Emphasis"/>
          <w:rFonts w:eastAsia="Times New Roman"/>
          <w:b w:val="0"/>
          <w:bCs w:val="0"/>
        </w:rPr>
        <w:t>Intell</w:t>
      </w:r>
      <w:proofErr w:type="spellEnd"/>
      <w:r w:rsidRPr="0098673B">
        <w:rPr>
          <w:rStyle w:val="Emphasis"/>
          <w:rFonts w:eastAsia="Times New Roman"/>
          <w:b w:val="0"/>
          <w:bCs w:val="0"/>
        </w:rPr>
        <w:t xml:space="preserve"> (2018)</w:t>
      </w:r>
      <w:r w:rsidRPr="00633079">
        <w:rPr>
          <w:rFonts w:eastAsia="Times New Roman"/>
        </w:rPr>
        <w:t xml:space="preserve">. 2021;45. </w:t>
      </w:r>
      <w:proofErr w:type="spellStart"/>
      <w:r w:rsidRPr="00633079">
        <w:rPr>
          <w:rFonts w:eastAsia="Times New Roman"/>
        </w:rPr>
        <w:t>doi</w:t>
      </w:r>
      <w:proofErr w:type="spellEnd"/>
      <w:r w:rsidRPr="00633079">
        <w:rPr>
          <w:rFonts w:eastAsia="Times New Roman"/>
        </w:rPr>
        <w:t xml:space="preserve">: https://doi.org/10.33321/cdi.2021.45.55. </w:t>
      </w:r>
    </w:p>
    <w:p w14:paraId="3F1F77B4" w14:textId="77777777" w:rsidR="00633079" w:rsidRPr="00633079" w:rsidRDefault="00633079" w:rsidP="00633079">
      <w:pPr>
        <w:pStyle w:val="ListParagraph"/>
        <w:numPr>
          <w:ilvl w:val="0"/>
          <w:numId w:val="8"/>
        </w:numPr>
        <w:rPr>
          <w:rFonts w:eastAsia="Times New Roman"/>
        </w:rPr>
      </w:pPr>
      <w:r w:rsidRPr="00633079">
        <w:rPr>
          <w:rFonts w:eastAsia="Times New Roman"/>
        </w:rPr>
        <w:t xml:space="preserve">COVID-19 National Incident Room Surveillance Team. Technical supplement. COVID-19 Australia: Epidemiology reporting. </w:t>
      </w:r>
      <w:proofErr w:type="spellStart"/>
      <w:r w:rsidRPr="0098673B">
        <w:rPr>
          <w:rStyle w:val="Emphasis"/>
          <w:rFonts w:eastAsia="Times New Roman"/>
          <w:b w:val="0"/>
          <w:bCs w:val="0"/>
        </w:rPr>
        <w:t>Commun</w:t>
      </w:r>
      <w:proofErr w:type="spellEnd"/>
      <w:r w:rsidRPr="0098673B">
        <w:rPr>
          <w:rStyle w:val="Emphasis"/>
          <w:rFonts w:eastAsia="Times New Roman"/>
          <w:b w:val="0"/>
          <w:bCs w:val="0"/>
        </w:rPr>
        <w:t xml:space="preserve"> Dis </w:t>
      </w:r>
      <w:proofErr w:type="spellStart"/>
      <w:r w:rsidRPr="0098673B">
        <w:rPr>
          <w:rStyle w:val="Emphasis"/>
          <w:rFonts w:eastAsia="Times New Roman"/>
          <w:b w:val="0"/>
          <w:bCs w:val="0"/>
        </w:rPr>
        <w:t>Intell</w:t>
      </w:r>
      <w:proofErr w:type="spellEnd"/>
      <w:r w:rsidRPr="0098673B">
        <w:rPr>
          <w:rStyle w:val="Emphasis"/>
          <w:rFonts w:eastAsia="Times New Roman"/>
          <w:b w:val="0"/>
          <w:bCs w:val="0"/>
        </w:rPr>
        <w:t xml:space="preserve"> (2018)</w:t>
      </w:r>
      <w:r w:rsidRPr="00633079">
        <w:rPr>
          <w:rFonts w:eastAsia="Times New Roman"/>
        </w:rPr>
        <w:t xml:space="preserve">. 2021;45. </w:t>
      </w:r>
      <w:proofErr w:type="spellStart"/>
      <w:r w:rsidRPr="00633079">
        <w:rPr>
          <w:rFonts w:eastAsia="Times New Roman"/>
        </w:rPr>
        <w:t>doi</w:t>
      </w:r>
      <w:proofErr w:type="spellEnd"/>
      <w:r w:rsidRPr="00633079">
        <w:rPr>
          <w:rFonts w:eastAsia="Times New Roman"/>
        </w:rPr>
        <w:t xml:space="preserve">: https://doi.org/10.33321/cdi.2021.45.2. </w:t>
      </w:r>
    </w:p>
    <w:p w14:paraId="35400D08" w14:textId="77777777" w:rsidR="00633079" w:rsidRPr="00633079" w:rsidRDefault="00633079" w:rsidP="00633079">
      <w:pPr>
        <w:pStyle w:val="ListParagraph"/>
        <w:numPr>
          <w:ilvl w:val="0"/>
          <w:numId w:val="8"/>
        </w:numPr>
        <w:rPr>
          <w:rFonts w:eastAsia="Times New Roman"/>
        </w:rPr>
      </w:pPr>
      <w:r w:rsidRPr="00633079">
        <w:rPr>
          <w:rFonts w:eastAsia="Times New Roman"/>
        </w:rPr>
        <w:t xml:space="preserve">Australian Government Department of Health. Vaccination numbers and statistics. [Internet.] Canberra: Australian Government Department of Health; 2021. [Accessed on 26 October 2021.] Available from: https://www.health.gov.au/initiatives-and-programs/covid-19-vaccines/numbers-statistics. </w:t>
      </w:r>
    </w:p>
    <w:p w14:paraId="7540C12C" w14:textId="77777777" w:rsidR="00633079" w:rsidRPr="00633079" w:rsidRDefault="00633079" w:rsidP="00633079">
      <w:pPr>
        <w:pStyle w:val="ListParagraph"/>
        <w:numPr>
          <w:ilvl w:val="0"/>
          <w:numId w:val="8"/>
        </w:numPr>
        <w:rPr>
          <w:rFonts w:eastAsia="Times New Roman"/>
        </w:rPr>
      </w:pPr>
      <w:r w:rsidRPr="00633079">
        <w:rPr>
          <w:rFonts w:eastAsia="Times New Roman"/>
        </w:rPr>
        <w:t>Australian and New Zealand Intensive Care Research Centre (ANZIC-RC). SPRINT-SARI: Short period incidence study of severe acute respiratory infection. [Internet.] Melbourne: Monash University; 2020. Available from: https://www.monash.edu/medicine/sphpm/anzicrc/research/sprint-sari.</w:t>
      </w:r>
    </w:p>
    <w:p w14:paraId="52A8B31A" w14:textId="77777777" w:rsidR="00AF59DB" w:rsidRDefault="00AF59DB" w:rsidP="00633079">
      <w:pPr>
        <w:pStyle w:val="Heading1"/>
        <w:sectPr w:rsidR="00AF59DB"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503FA9F2" w14:textId="46A5688D" w:rsidR="00633079" w:rsidRPr="00633079" w:rsidRDefault="00633079" w:rsidP="00633079">
      <w:pPr>
        <w:pStyle w:val="Heading1"/>
      </w:pPr>
      <w:r w:rsidRPr="00633079">
        <w:lastRenderedPageBreak/>
        <w:t>Appendix A: Supplementary figures and tables</w:t>
      </w:r>
    </w:p>
    <w:p w14:paraId="71920235" w14:textId="77777777" w:rsidR="00AF59DB" w:rsidRPr="00C06DEB" w:rsidRDefault="00AF59DB" w:rsidP="00AF59DB">
      <w:pPr>
        <w:pStyle w:val="CDIFigures"/>
      </w:pPr>
      <w:r w:rsidRPr="00C06DEB">
        <w:rPr>
          <w:rStyle w:val="Strong"/>
          <w:b/>
          <w:bCs w:val="0"/>
        </w:rPr>
        <w:t>Table A.1: COVID-19 cases and rates per 100,000 population, by age group, sex and diagnosis date Australia, 24</w:t>
      </w:r>
      <w:r>
        <w:rPr>
          <w:rStyle w:val="Strong"/>
          <w:b/>
          <w:bCs w:val="0"/>
        </w:rPr>
        <w:t> </w:t>
      </w:r>
      <w:r w:rsidRPr="00C06DEB">
        <w:rPr>
          <w:rStyle w:val="Strong"/>
          <w:b/>
          <w:bCs w:val="0"/>
        </w:rPr>
        <w:t>October 2021</w:t>
      </w:r>
      <w:proofErr w:type="gramStart"/>
      <w:r w:rsidRPr="00D90481">
        <w:rPr>
          <w:rStyle w:val="Strong"/>
          <w:b/>
          <w:bCs w:val="0"/>
          <w:vertAlign w:val="superscript"/>
        </w:rPr>
        <w:t>a,b</w:t>
      </w:r>
      <w:proofErr w:type="gramEnd"/>
    </w:p>
    <w:tbl>
      <w:tblPr>
        <w:tblStyle w:val="CDI-StandardTable"/>
        <w:tblW w:w="0" w:type="auto"/>
        <w:tblLook w:val="04A0" w:firstRow="1" w:lastRow="0" w:firstColumn="1" w:lastColumn="0" w:noHBand="0" w:noVBand="1"/>
        <w:tblDescription w:val="This table summarises cumulative and four-weekly confirmed cases and rates per 100,000 population, as a function of age group and sex.&#10;"/>
      </w:tblPr>
      <w:tblGrid>
        <w:gridCol w:w="1175"/>
        <w:gridCol w:w="1138"/>
        <w:gridCol w:w="1138"/>
        <w:gridCol w:w="1138"/>
        <w:gridCol w:w="1139"/>
        <w:gridCol w:w="1138"/>
        <w:gridCol w:w="1138"/>
        <w:gridCol w:w="1138"/>
        <w:gridCol w:w="1139"/>
        <w:gridCol w:w="1138"/>
        <w:gridCol w:w="1138"/>
        <w:gridCol w:w="1138"/>
        <w:gridCol w:w="1139"/>
      </w:tblGrid>
      <w:tr w:rsidR="00AF59DB" w:rsidRPr="00C06DEB" w14:paraId="64442CA5" w14:textId="77777777" w:rsidTr="00AF59D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096B9F8C" w14:textId="77777777" w:rsidR="00AF59DB" w:rsidRPr="00C06DEB" w:rsidRDefault="00AF59DB" w:rsidP="00E80310">
            <w:pPr>
              <w:pStyle w:val="NormalWeb"/>
              <w:rPr>
                <w:color w:val="FFFFFF" w:themeColor="background1"/>
              </w:rPr>
            </w:pPr>
            <w:r w:rsidRPr="00C06DEB">
              <w:rPr>
                <w:color w:val="FFFFFF" w:themeColor="background1"/>
              </w:rPr>
              <w:t>Age group</w:t>
            </w:r>
          </w:p>
        </w:tc>
        <w:tc>
          <w:tcPr>
            <w:tcW w:w="6829" w:type="dxa"/>
            <w:gridSpan w:val="6"/>
            <w:tcBorders>
              <w:left w:val="single" w:sz="2" w:space="0" w:color="FFFFFF" w:themeColor="background1"/>
              <w:bottom w:val="single" w:sz="2" w:space="0" w:color="FFFFFF" w:themeColor="background1"/>
              <w:right w:val="single" w:sz="2" w:space="0" w:color="FFFFFF" w:themeColor="background1"/>
            </w:tcBorders>
            <w:hideMark/>
          </w:tcPr>
          <w:p w14:paraId="00D46DBE" w14:textId="77777777" w:rsidR="00AF59DB" w:rsidRPr="00C06DEB" w:rsidRDefault="00AF59DB" w:rsidP="00E80310">
            <w:pPr>
              <w:pStyle w:val="NormalWeb"/>
              <w:jc w:val="center"/>
              <w:rPr>
                <w:color w:val="FFFFFF" w:themeColor="background1"/>
              </w:rPr>
            </w:pPr>
            <w:r w:rsidRPr="00C06DEB">
              <w:rPr>
                <w:color w:val="FFFFFF" w:themeColor="background1"/>
              </w:rPr>
              <w:t>This reporting period</w:t>
            </w:r>
          </w:p>
        </w:tc>
        <w:tc>
          <w:tcPr>
            <w:tcW w:w="6830" w:type="dxa"/>
            <w:gridSpan w:val="6"/>
            <w:tcBorders>
              <w:left w:val="single" w:sz="2" w:space="0" w:color="FFFFFF" w:themeColor="background1"/>
              <w:bottom w:val="single" w:sz="2" w:space="0" w:color="FFFFFF" w:themeColor="background1"/>
            </w:tcBorders>
            <w:hideMark/>
          </w:tcPr>
          <w:p w14:paraId="7082C81E" w14:textId="77777777" w:rsidR="00AF59DB" w:rsidRPr="00C06DEB" w:rsidRDefault="00AF59DB" w:rsidP="00E80310">
            <w:pPr>
              <w:pStyle w:val="NormalWeb"/>
              <w:jc w:val="center"/>
              <w:rPr>
                <w:color w:val="FFFFFF" w:themeColor="background1"/>
              </w:rPr>
            </w:pPr>
            <w:r w:rsidRPr="00C06DEB">
              <w:rPr>
                <w:color w:val="FFFFFF" w:themeColor="background1"/>
              </w:rPr>
              <w:t xml:space="preserve">This </w:t>
            </w:r>
            <w:proofErr w:type="spellStart"/>
            <w:r w:rsidRPr="00C06DEB">
              <w:rPr>
                <w:color w:val="FFFFFF" w:themeColor="background1"/>
              </w:rPr>
              <w:t>year</w:t>
            </w:r>
            <w:r w:rsidRPr="00D501BC">
              <w:rPr>
                <w:color w:val="FFFFFF" w:themeColor="background1"/>
                <w:vertAlign w:val="superscript"/>
              </w:rPr>
              <w:t>c</w:t>
            </w:r>
            <w:proofErr w:type="spellEnd"/>
          </w:p>
        </w:tc>
      </w:tr>
      <w:tr w:rsidR="00AF59DB" w:rsidRPr="00C06DEB" w14:paraId="31A681BC" w14:textId="77777777" w:rsidTr="00AF59D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2671A42A" w14:textId="77777777" w:rsidR="00AF59DB" w:rsidRPr="00C06DEB" w:rsidRDefault="00AF59DB" w:rsidP="00E80310">
            <w:pPr>
              <w:rPr>
                <w:color w:val="FFFFFF" w:themeColor="background1"/>
                <w:sz w:val="24"/>
                <w:szCs w:val="24"/>
              </w:rPr>
            </w:pPr>
          </w:p>
        </w:tc>
        <w:tc>
          <w:tcPr>
            <w:tcW w:w="6829"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0B39A26" w14:textId="77777777" w:rsidR="00AF59DB" w:rsidRPr="00C06DEB" w:rsidRDefault="00AF59DB" w:rsidP="00E80310">
            <w:pPr>
              <w:pStyle w:val="NormalWeb"/>
              <w:jc w:val="center"/>
              <w:rPr>
                <w:color w:val="FFFFFF" w:themeColor="background1"/>
              </w:rPr>
            </w:pPr>
            <w:r w:rsidRPr="00C06DEB">
              <w:rPr>
                <w:color w:val="FFFFFF" w:themeColor="background1"/>
              </w:rPr>
              <w:t>11–24 October 2021</w:t>
            </w:r>
          </w:p>
        </w:tc>
        <w:tc>
          <w:tcPr>
            <w:tcW w:w="6830" w:type="dxa"/>
            <w:gridSpan w:val="6"/>
            <w:tcBorders>
              <w:top w:val="single" w:sz="2" w:space="0" w:color="FFFFFF" w:themeColor="background1"/>
              <w:left w:val="single" w:sz="2" w:space="0" w:color="FFFFFF" w:themeColor="background1"/>
              <w:bottom w:val="single" w:sz="2" w:space="0" w:color="FFFFFF" w:themeColor="background1"/>
            </w:tcBorders>
            <w:hideMark/>
          </w:tcPr>
          <w:p w14:paraId="352D9B2B" w14:textId="77777777" w:rsidR="00AF59DB" w:rsidRPr="00C06DEB" w:rsidRDefault="00AF59DB" w:rsidP="00E80310">
            <w:pPr>
              <w:pStyle w:val="NormalWeb"/>
              <w:jc w:val="center"/>
              <w:rPr>
                <w:color w:val="FFFFFF" w:themeColor="background1"/>
              </w:rPr>
            </w:pPr>
            <w:r w:rsidRPr="00C06DEB">
              <w:rPr>
                <w:color w:val="FFFFFF" w:themeColor="background1"/>
              </w:rPr>
              <w:t>1 January – 24 October 2021</w:t>
            </w:r>
          </w:p>
        </w:tc>
      </w:tr>
      <w:tr w:rsidR="00AF59DB" w:rsidRPr="00C06DEB" w14:paraId="01264ACD" w14:textId="77777777" w:rsidTr="00AF59D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5BCBDD37" w14:textId="77777777" w:rsidR="00AF59DB" w:rsidRPr="00C06DEB" w:rsidRDefault="00AF59DB" w:rsidP="00E80310">
            <w:pPr>
              <w:rPr>
                <w:color w:val="FFFFFF" w:themeColor="background1"/>
                <w:sz w:val="24"/>
                <w:szCs w:val="24"/>
              </w:rPr>
            </w:pPr>
          </w:p>
        </w:tc>
        <w:tc>
          <w:tcPr>
            <w:tcW w:w="34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6F2719B" w14:textId="77777777" w:rsidR="00AF59DB" w:rsidRPr="00C06DEB" w:rsidRDefault="00AF59DB" w:rsidP="00E80310">
            <w:pPr>
              <w:pStyle w:val="NormalWeb"/>
              <w:jc w:val="center"/>
              <w:rPr>
                <w:color w:val="FFFFFF" w:themeColor="background1"/>
              </w:rPr>
            </w:pPr>
            <w:r w:rsidRPr="00C06DEB">
              <w:rPr>
                <w:color w:val="FFFFFF" w:themeColor="background1"/>
              </w:rPr>
              <w:t>Cases</w:t>
            </w:r>
          </w:p>
        </w:tc>
        <w:tc>
          <w:tcPr>
            <w:tcW w:w="341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DFD0CFF" w14:textId="77777777" w:rsidR="00AF59DB" w:rsidRPr="00C06DEB" w:rsidRDefault="00AF59DB" w:rsidP="00E80310">
            <w:pPr>
              <w:pStyle w:val="NormalWeb"/>
              <w:jc w:val="center"/>
              <w:rPr>
                <w:color w:val="FFFFFF" w:themeColor="background1"/>
              </w:rPr>
            </w:pPr>
            <w:r w:rsidRPr="00C06DEB">
              <w:rPr>
                <w:color w:val="FFFFFF" w:themeColor="background1"/>
              </w:rPr>
              <w:t>Rate per 100,000 population</w:t>
            </w:r>
          </w:p>
        </w:tc>
        <w:tc>
          <w:tcPr>
            <w:tcW w:w="341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FE84344" w14:textId="77777777" w:rsidR="00AF59DB" w:rsidRPr="00C06DEB" w:rsidRDefault="00AF59DB" w:rsidP="00E80310">
            <w:pPr>
              <w:pStyle w:val="NormalWeb"/>
              <w:jc w:val="center"/>
              <w:rPr>
                <w:color w:val="FFFFFF" w:themeColor="background1"/>
              </w:rPr>
            </w:pPr>
            <w:r w:rsidRPr="00C06DEB">
              <w:rPr>
                <w:color w:val="FFFFFF" w:themeColor="background1"/>
              </w:rPr>
              <w:t>Cases</w:t>
            </w:r>
          </w:p>
        </w:tc>
        <w:tc>
          <w:tcPr>
            <w:tcW w:w="3415" w:type="dxa"/>
            <w:gridSpan w:val="3"/>
            <w:tcBorders>
              <w:top w:val="single" w:sz="2" w:space="0" w:color="FFFFFF" w:themeColor="background1"/>
              <w:left w:val="single" w:sz="2" w:space="0" w:color="FFFFFF" w:themeColor="background1"/>
              <w:bottom w:val="single" w:sz="2" w:space="0" w:color="FFFFFF" w:themeColor="background1"/>
            </w:tcBorders>
            <w:hideMark/>
          </w:tcPr>
          <w:p w14:paraId="4C695D1F" w14:textId="77777777" w:rsidR="00AF59DB" w:rsidRPr="00C06DEB" w:rsidRDefault="00AF59DB" w:rsidP="00E80310">
            <w:pPr>
              <w:pStyle w:val="NormalWeb"/>
              <w:jc w:val="center"/>
              <w:rPr>
                <w:color w:val="FFFFFF" w:themeColor="background1"/>
              </w:rPr>
            </w:pPr>
            <w:r w:rsidRPr="00C06DEB">
              <w:rPr>
                <w:color w:val="FFFFFF" w:themeColor="background1"/>
              </w:rPr>
              <w:t>Rate per 100,000 population</w:t>
            </w:r>
          </w:p>
        </w:tc>
      </w:tr>
      <w:tr w:rsidR="00AF59DB" w:rsidRPr="00C06DEB" w14:paraId="3848BD27" w14:textId="77777777" w:rsidTr="00AF59D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5105A76" w14:textId="77777777" w:rsidR="00AF59DB" w:rsidRPr="00C06DEB" w:rsidRDefault="00AF59DB" w:rsidP="00E80310">
            <w:pPr>
              <w:rPr>
                <w:color w:val="FFFFFF" w:themeColor="background1"/>
                <w:sz w:val="24"/>
                <w:szCs w:val="24"/>
              </w:rPr>
            </w:pP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4F6B3F5A" w14:textId="77777777" w:rsidR="00AF59DB" w:rsidRPr="00C06DEB" w:rsidRDefault="00AF59DB" w:rsidP="00E80310">
            <w:pPr>
              <w:pStyle w:val="NormalWeb"/>
              <w:jc w:val="center"/>
              <w:rPr>
                <w:color w:val="FFFFFF" w:themeColor="background1"/>
              </w:rPr>
            </w:pPr>
            <w:r w:rsidRPr="00C06DEB">
              <w:rPr>
                <w:color w:val="FFFFFF" w:themeColor="background1"/>
              </w:rPr>
              <w:t>Male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606A46E8" w14:textId="77777777" w:rsidR="00AF59DB" w:rsidRPr="00C06DEB" w:rsidRDefault="00AF59DB" w:rsidP="00E80310">
            <w:pPr>
              <w:pStyle w:val="NormalWeb"/>
              <w:jc w:val="center"/>
              <w:rPr>
                <w:color w:val="FFFFFF" w:themeColor="background1"/>
              </w:rPr>
            </w:pPr>
            <w:r w:rsidRPr="00C06DEB">
              <w:rPr>
                <w:color w:val="FFFFFF" w:themeColor="background1"/>
              </w:rPr>
              <w:t>Female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682F2751" w14:textId="77777777" w:rsidR="00AF59DB" w:rsidRPr="00C06DEB" w:rsidRDefault="00AF59DB" w:rsidP="00E80310">
            <w:pPr>
              <w:pStyle w:val="NormalWeb"/>
              <w:jc w:val="center"/>
              <w:rPr>
                <w:color w:val="FFFFFF" w:themeColor="background1"/>
              </w:rPr>
            </w:pPr>
            <w:r w:rsidRPr="00C06DEB">
              <w:rPr>
                <w:color w:val="FFFFFF" w:themeColor="background1"/>
              </w:rPr>
              <w:t>People</w:t>
            </w:r>
          </w:p>
        </w:tc>
        <w:tc>
          <w:tcPr>
            <w:tcW w:w="1139" w:type="dxa"/>
            <w:tcBorders>
              <w:top w:val="single" w:sz="2" w:space="0" w:color="FFFFFF" w:themeColor="background1"/>
              <w:left w:val="single" w:sz="2" w:space="0" w:color="FFFFFF" w:themeColor="background1"/>
              <w:right w:val="single" w:sz="2" w:space="0" w:color="FFFFFF" w:themeColor="background1"/>
            </w:tcBorders>
            <w:hideMark/>
          </w:tcPr>
          <w:p w14:paraId="740443FC" w14:textId="77777777" w:rsidR="00AF59DB" w:rsidRPr="00C06DEB" w:rsidRDefault="00AF59DB" w:rsidP="00E80310">
            <w:pPr>
              <w:pStyle w:val="NormalWeb"/>
              <w:jc w:val="center"/>
              <w:rPr>
                <w:color w:val="FFFFFF" w:themeColor="background1"/>
              </w:rPr>
            </w:pPr>
            <w:r w:rsidRPr="00C06DEB">
              <w:rPr>
                <w:color w:val="FFFFFF" w:themeColor="background1"/>
              </w:rPr>
              <w:t>Male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62B11A86" w14:textId="77777777" w:rsidR="00AF59DB" w:rsidRPr="00C06DEB" w:rsidRDefault="00AF59DB" w:rsidP="00E80310">
            <w:pPr>
              <w:pStyle w:val="NormalWeb"/>
              <w:jc w:val="center"/>
              <w:rPr>
                <w:color w:val="FFFFFF" w:themeColor="background1"/>
              </w:rPr>
            </w:pPr>
            <w:r w:rsidRPr="00C06DEB">
              <w:rPr>
                <w:color w:val="FFFFFF" w:themeColor="background1"/>
              </w:rPr>
              <w:t>Female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3F5369CF" w14:textId="77777777" w:rsidR="00AF59DB" w:rsidRPr="00C06DEB" w:rsidRDefault="00AF59DB" w:rsidP="00E80310">
            <w:pPr>
              <w:pStyle w:val="NormalWeb"/>
              <w:jc w:val="center"/>
              <w:rPr>
                <w:color w:val="FFFFFF" w:themeColor="background1"/>
              </w:rPr>
            </w:pPr>
            <w:r w:rsidRPr="00C06DEB">
              <w:rPr>
                <w:color w:val="FFFFFF" w:themeColor="background1"/>
              </w:rPr>
              <w:t>People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7E0F0FF3" w14:textId="77777777" w:rsidR="00AF59DB" w:rsidRPr="00C06DEB" w:rsidRDefault="00AF59DB" w:rsidP="00E80310">
            <w:pPr>
              <w:pStyle w:val="NormalWeb"/>
              <w:jc w:val="center"/>
              <w:rPr>
                <w:color w:val="FFFFFF" w:themeColor="background1"/>
              </w:rPr>
            </w:pPr>
            <w:r w:rsidRPr="00C06DEB">
              <w:rPr>
                <w:color w:val="FFFFFF" w:themeColor="background1"/>
              </w:rPr>
              <w:t>Male</w:t>
            </w:r>
          </w:p>
        </w:tc>
        <w:tc>
          <w:tcPr>
            <w:tcW w:w="1139" w:type="dxa"/>
            <w:tcBorders>
              <w:top w:val="single" w:sz="2" w:space="0" w:color="FFFFFF" w:themeColor="background1"/>
              <w:left w:val="single" w:sz="2" w:space="0" w:color="FFFFFF" w:themeColor="background1"/>
              <w:right w:val="single" w:sz="2" w:space="0" w:color="FFFFFF" w:themeColor="background1"/>
            </w:tcBorders>
            <w:hideMark/>
          </w:tcPr>
          <w:p w14:paraId="22E3D0BE" w14:textId="77777777" w:rsidR="00AF59DB" w:rsidRPr="00C06DEB" w:rsidRDefault="00AF59DB" w:rsidP="00E80310">
            <w:pPr>
              <w:pStyle w:val="NormalWeb"/>
              <w:jc w:val="center"/>
              <w:rPr>
                <w:color w:val="FFFFFF" w:themeColor="background1"/>
              </w:rPr>
            </w:pPr>
            <w:r w:rsidRPr="00C06DEB">
              <w:rPr>
                <w:color w:val="FFFFFF" w:themeColor="background1"/>
              </w:rPr>
              <w:t>Female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18CBDF6B" w14:textId="77777777" w:rsidR="00AF59DB" w:rsidRPr="00C06DEB" w:rsidRDefault="00AF59DB" w:rsidP="00E80310">
            <w:pPr>
              <w:pStyle w:val="NormalWeb"/>
              <w:jc w:val="center"/>
              <w:rPr>
                <w:color w:val="FFFFFF" w:themeColor="background1"/>
              </w:rPr>
            </w:pPr>
            <w:r w:rsidRPr="00C06DEB">
              <w:rPr>
                <w:color w:val="FFFFFF" w:themeColor="background1"/>
              </w:rPr>
              <w:t>People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6046CFE8" w14:textId="77777777" w:rsidR="00AF59DB" w:rsidRPr="00C06DEB" w:rsidRDefault="00AF59DB" w:rsidP="00E80310">
            <w:pPr>
              <w:pStyle w:val="NormalWeb"/>
              <w:jc w:val="center"/>
              <w:rPr>
                <w:color w:val="FFFFFF" w:themeColor="background1"/>
              </w:rPr>
            </w:pPr>
            <w:r w:rsidRPr="00C06DEB">
              <w:rPr>
                <w:color w:val="FFFFFF" w:themeColor="background1"/>
              </w:rPr>
              <w:t>Male</w:t>
            </w:r>
          </w:p>
        </w:tc>
        <w:tc>
          <w:tcPr>
            <w:tcW w:w="1138" w:type="dxa"/>
            <w:tcBorders>
              <w:top w:val="single" w:sz="2" w:space="0" w:color="FFFFFF" w:themeColor="background1"/>
              <w:left w:val="single" w:sz="2" w:space="0" w:color="FFFFFF" w:themeColor="background1"/>
              <w:right w:val="single" w:sz="2" w:space="0" w:color="FFFFFF" w:themeColor="background1"/>
            </w:tcBorders>
            <w:hideMark/>
          </w:tcPr>
          <w:p w14:paraId="17A2CE6D" w14:textId="77777777" w:rsidR="00AF59DB" w:rsidRPr="00C06DEB" w:rsidRDefault="00AF59DB" w:rsidP="00E80310">
            <w:pPr>
              <w:pStyle w:val="NormalWeb"/>
              <w:jc w:val="center"/>
              <w:rPr>
                <w:color w:val="FFFFFF" w:themeColor="background1"/>
              </w:rPr>
            </w:pPr>
            <w:r w:rsidRPr="00C06DEB">
              <w:rPr>
                <w:color w:val="FFFFFF" w:themeColor="background1"/>
              </w:rPr>
              <w:t>Female</w:t>
            </w:r>
          </w:p>
        </w:tc>
        <w:tc>
          <w:tcPr>
            <w:tcW w:w="1139" w:type="dxa"/>
            <w:tcBorders>
              <w:top w:val="single" w:sz="2" w:space="0" w:color="FFFFFF" w:themeColor="background1"/>
              <w:left w:val="single" w:sz="2" w:space="0" w:color="FFFFFF" w:themeColor="background1"/>
            </w:tcBorders>
            <w:hideMark/>
          </w:tcPr>
          <w:p w14:paraId="5BD5E897" w14:textId="77777777" w:rsidR="00AF59DB" w:rsidRPr="00C06DEB" w:rsidRDefault="00AF59DB" w:rsidP="00E80310">
            <w:pPr>
              <w:pStyle w:val="NormalWeb"/>
              <w:jc w:val="center"/>
              <w:rPr>
                <w:color w:val="FFFFFF" w:themeColor="background1"/>
              </w:rPr>
            </w:pPr>
            <w:r w:rsidRPr="00C06DEB">
              <w:rPr>
                <w:color w:val="FFFFFF" w:themeColor="background1"/>
              </w:rPr>
              <w:t>People</w:t>
            </w:r>
          </w:p>
        </w:tc>
      </w:tr>
      <w:tr w:rsidR="00AF59DB" w14:paraId="20B9325B" w14:textId="77777777" w:rsidTr="00AF59DB">
        <w:tblPrEx>
          <w:tblCellMar>
            <w:top w:w="57" w:type="dxa"/>
            <w:left w:w="57" w:type="dxa"/>
            <w:bottom w:w="57" w:type="dxa"/>
            <w:right w:w="57" w:type="dxa"/>
          </w:tblCellMar>
        </w:tblPrEx>
        <w:tc>
          <w:tcPr>
            <w:tcW w:w="0" w:type="auto"/>
            <w:hideMark/>
          </w:tcPr>
          <w:p w14:paraId="598D41E8" w14:textId="77777777" w:rsidR="00AF59DB" w:rsidRDefault="00AF59DB" w:rsidP="00E80310">
            <w:pPr>
              <w:pStyle w:val="NormalWeb"/>
            </w:pPr>
            <w:r>
              <w:t>0–9</w:t>
            </w:r>
          </w:p>
        </w:tc>
        <w:tc>
          <w:tcPr>
            <w:tcW w:w="1138" w:type="dxa"/>
            <w:hideMark/>
          </w:tcPr>
          <w:p w14:paraId="1B2638BA" w14:textId="77777777" w:rsidR="00AF59DB" w:rsidRDefault="00AF59DB" w:rsidP="00E80310">
            <w:pPr>
              <w:pStyle w:val="NormalWeb"/>
              <w:jc w:val="center"/>
            </w:pPr>
            <w:r>
              <w:t>2,396</w:t>
            </w:r>
          </w:p>
        </w:tc>
        <w:tc>
          <w:tcPr>
            <w:tcW w:w="1138" w:type="dxa"/>
            <w:hideMark/>
          </w:tcPr>
          <w:p w14:paraId="245AEA13" w14:textId="77777777" w:rsidR="00AF59DB" w:rsidRDefault="00AF59DB" w:rsidP="00E80310">
            <w:pPr>
              <w:pStyle w:val="NormalWeb"/>
              <w:jc w:val="center"/>
            </w:pPr>
            <w:r>
              <w:t>2,317</w:t>
            </w:r>
          </w:p>
        </w:tc>
        <w:tc>
          <w:tcPr>
            <w:tcW w:w="1138" w:type="dxa"/>
            <w:hideMark/>
          </w:tcPr>
          <w:p w14:paraId="4ED29EB6" w14:textId="77777777" w:rsidR="00AF59DB" w:rsidRDefault="00AF59DB" w:rsidP="00E80310">
            <w:pPr>
              <w:pStyle w:val="NormalWeb"/>
              <w:jc w:val="center"/>
            </w:pPr>
            <w:r>
              <w:t>4,747</w:t>
            </w:r>
          </w:p>
        </w:tc>
        <w:tc>
          <w:tcPr>
            <w:tcW w:w="1139" w:type="dxa"/>
            <w:hideMark/>
          </w:tcPr>
          <w:p w14:paraId="011F94B9" w14:textId="77777777" w:rsidR="00AF59DB" w:rsidRDefault="00AF59DB" w:rsidP="00E80310">
            <w:pPr>
              <w:pStyle w:val="NormalWeb"/>
              <w:jc w:val="center"/>
            </w:pPr>
            <w:r>
              <w:t>146</w:t>
            </w:r>
          </w:p>
        </w:tc>
        <w:tc>
          <w:tcPr>
            <w:tcW w:w="1138" w:type="dxa"/>
            <w:hideMark/>
          </w:tcPr>
          <w:p w14:paraId="33992033" w14:textId="77777777" w:rsidR="00AF59DB" w:rsidRDefault="00AF59DB" w:rsidP="00E80310">
            <w:pPr>
              <w:pStyle w:val="NormalWeb"/>
              <w:jc w:val="center"/>
            </w:pPr>
            <w:r>
              <w:t>150</w:t>
            </w:r>
          </w:p>
        </w:tc>
        <w:tc>
          <w:tcPr>
            <w:tcW w:w="1138" w:type="dxa"/>
            <w:hideMark/>
          </w:tcPr>
          <w:p w14:paraId="147517B4" w14:textId="77777777" w:rsidR="00AF59DB" w:rsidRDefault="00AF59DB" w:rsidP="00E80310">
            <w:pPr>
              <w:pStyle w:val="NormalWeb"/>
              <w:jc w:val="center"/>
            </w:pPr>
            <w:r>
              <w:t>149</w:t>
            </w:r>
          </w:p>
        </w:tc>
        <w:tc>
          <w:tcPr>
            <w:tcW w:w="1138" w:type="dxa"/>
            <w:hideMark/>
          </w:tcPr>
          <w:p w14:paraId="6B1B04D4" w14:textId="77777777" w:rsidR="00AF59DB" w:rsidRDefault="00AF59DB" w:rsidP="00E80310">
            <w:pPr>
              <w:pStyle w:val="NormalWeb"/>
              <w:jc w:val="center"/>
            </w:pPr>
            <w:r>
              <w:t>9,541</w:t>
            </w:r>
          </w:p>
        </w:tc>
        <w:tc>
          <w:tcPr>
            <w:tcW w:w="1139" w:type="dxa"/>
            <w:hideMark/>
          </w:tcPr>
          <w:p w14:paraId="06953690" w14:textId="77777777" w:rsidR="00AF59DB" w:rsidRDefault="00AF59DB" w:rsidP="00E80310">
            <w:pPr>
              <w:pStyle w:val="NormalWeb"/>
              <w:jc w:val="center"/>
            </w:pPr>
            <w:r>
              <w:t>9,162</w:t>
            </w:r>
          </w:p>
        </w:tc>
        <w:tc>
          <w:tcPr>
            <w:tcW w:w="1138" w:type="dxa"/>
            <w:hideMark/>
          </w:tcPr>
          <w:p w14:paraId="255ADFA5" w14:textId="77777777" w:rsidR="00AF59DB" w:rsidRDefault="00AF59DB" w:rsidP="00E80310">
            <w:pPr>
              <w:pStyle w:val="NormalWeb"/>
              <w:jc w:val="center"/>
            </w:pPr>
            <w:r>
              <w:t>18,803</w:t>
            </w:r>
          </w:p>
        </w:tc>
        <w:tc>
          <w:tcPr>
            <w:tcW w:w="1138" w:type="dxa"/>
            <w:hideMark/>
          </w:tcPr>
          <w:p w14:paraId="2A4292A9" w14:textId="77777777" w:rsidR="00AF59DB" w:rsidRDefault="00AF59DB" w:rsidP="00E80310">
            <w:pPr>
              <w:pStyle w:val="NormalWeb"/>
              <w:jc w:val="center"/>
            </w:pPr>
            <w:r>
              <w:t>582.9</w:t>
            </w:r>
          </w:p>
        </w:tc>
        <w:tc>
          <w:tcPr>
            <w:tcW w:w="1138" w:type="dxa"/>
            <w:hideMark/>
          </w:tcPr>
          <w:p w14:paraId="57012F71" w14:textId="77777777" w:rsidR="00AF59DB" w:rsidRDefault="00AF59DB" w:rsidP="00E80310">
            <w:pPr>
              <w:pStyle w:val="NormalWeb"/>
              <w:jc w:val="center"/>
            </w:pPr>
            <w:r>
              <w:t>591.8</w:t>
            </w:r>
          </w:p>
        </w:tc>
        <w:tc>
          <w:tcPr>
            <w:tcW w:w="1139" w:type="dxa"/>
            <w:hideMark/>
          </w:tcPr>
          <w:p w14:paraId="6385D7EB" w14:textId="77777777" w:rsidR="00AF59DB" w:rsidRDefault="00AF59DB" w:rsidP="00E80310">
            <w:pPr>
              <w:pStyle w:val="NormalWeb"/>
              <w:jc w:val="center"/>
            </w:pPr>
            <w:r>
              <w:t>590.4</w:t>
            </w:r>
          </w:p>
        </w:tc>
      </w:tr>
      <w:tr w:rsidR="00AF59DB" w14:paraId="68B2B5EA" w14:textId="77777777" w:rsidTr="00AF59D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BCD9AAE" w14:textId="77777777" w:rsidR="00AF59DB" w:rsidRDefault="00AF59DB" w:rsidP="00E80310">
            <w:pPr>
              <w:pStyle w:val="NormalWeb"/>
            </w:pPr>
            <w:r>
              <w:t>10–19</w:t>
            </w:r>
          </w:p>
        </w:tc>
        <w:tc>
          <w:tcPr>
            <w:tcW w:w="1138" w:type="dxa"/>
            <w:hideMark/>
          </w:tcPr>
          <w:p w14:paraId="19B40C4F" w14:textId="77777777" w:rsidR="00AF59DB" w:rsidRDefault="00AF59DB" w:rsidP="00E80310">
            <w:pPr>
              <w:pStyle w:val="NormalWeb"/>
              <w:jc w:val="center"/>
            </w:pPr>
            <w:r>
              <w:t>2,385</w:t>
            </w:r>
          </w:p>
        </w:tc>
        <w:tc>
          <w:tcPr>
            <w:tcW w:w="1138" w:type="dxa"/>
            <w:hideMark/>
          </w:tcPr>
          <w:p w14:paraId="2B48F95C" w14:textId="77777777" w:rsidR="00AF59DB" w:rsidRDefault="00AF59DB" w:rsidP="00E80310">
            <w:pPr>
              <w:pStyle w:val="NormalWeb"/>
              <w:jc w:val="center"/>
            </w:pPr>
            <w:r>
              <w:t>2,322</w:t>
            </w:r>
          </w:p>
        </w:tc>
        <w:tc>
          <w:tcPr>
            <w:tcW w:w="1138" w:type="dxa"/>
            <w:hideMark/>
          </w:tcPr>
          <w:p w14:paraId="2992FCEA" w14:textId="77777777" w:rsidR="00AF59DB" w:rsidRDefault="00AF59DB" w:rsidP="00E80310">
            <w:pPr>
              <w:pStyle w:val="NormalWeb"/>
              <w:jc w:val="center"/>
            </w:pPr>
            <w:r>
              <w:t>4,740</w:t>
            </w:r>
          </w:p>
        </w:tc>
        <w:tc>
          <w:tcPr>
            <w:tcW w:w="1139" w:type="dxa"/>
            <w:hideMark/>
          </w:tcPr>
          <w:p w14:paraId="06FD6338" w14:textId="77777777" w:rsidR="00AF59DB" w:rsidRDefault="00AF59DB" w:rsidP="00E80310">
            <w:pPr>
              <w:pStyle w:val="NormalWeb"/>
              <w:jc w:val="center"/>
            </w:pPr>
            <w:r>
              <w:t>150</w:t>
            </w:r>
          </w:p>
        </w:tc>
        <w:tc>
          <w:tcPr>
            <w:tcW w:w="1138" w:type="dxa"/>
            <w:hideMark/>
          </w:tcPr>
          <w:p w14:paraId="41D41663" w14:textId="77777777" w:rsidR="00AF59DB" w:rsidRDefault="00AF59DB" w:rsidP="00E80310">
            <w:pPr>
              <w:pStyle w:val="NormalWeb"/>
              <w:jc w:val="center"/>
            </w:pPr>
            <w:r>
              <w:t>155</w:t>
            </w:r>
          </w:p>
        </w:tc>
        <w:tc>
          <w:tcPr>
            <w:tcW w:w="1138" w:type="dxa"/>
            <w:hideMark/>
          </w:tcPr>
          <w:p w14:paraId="006BB2E7" w14:textId="77777777" w:rsidR="00AF59DB" w:rsidRDefault="00AF59DB" w:rsidP="00E80310">
            <w:pPr>
              <w:pStyle w:val="NormalWeb"/>
              <w:jc w:val="center"/>
            </w:pPr>
            <w:r>
              <w:t>154</w:t>
            </w:r>
          </w:p>
        </w:tc>
        <w:tc>
          <w:tcPr>
            <w:tcW w:w="1138" w:type="dxa"/>
            <w:hideMark/>
          </w:tcPr>
          <w:p w14:paraId="3EBB00B7" w14:textId="77777777" w:rsidR="00AF59DB" w:rsidRDefault="00AF59DB" w:rsidP="00E80310">
            <w:pPr>
              <w:pStyle w:val="NormalWeb"/>
              <w:jc w:val="center"/>
            </w:pPr>
            <w:r>
              <w:t>10,884</w:t>
            </w:r>
          </w:p>
        </w:tc>
        <w:tc>
          <w:tcPr>
            <w:tcW w:w="1139" w:type="dxa"/>
            <w:hideMark/>
          </w:tcPr>
          <w:p w14:paraId="27173A2F" w14:textId="77777777" w:rsidR="00AF59DB" w:rsidRDefault="00AF59DB" w:rsidP="00E80310">
            <w:pPr>
              <w:pStyle w:val="NormalWeb"/>
              <w:jc w:val="center"/>
            </w:pPr>
            <w:r>
              <w:t>10,142</w:t>
            </w:r>
          </w:p>
        </w:tc>
        <w:tc>
          <w:tcPr>
            <w:tcW w:w="1138" w:type="dxa"/>
            <w:hideMark/>
          </w:tcPr>
          <w:p w14:paraId="411FE9E0" w14:textId="77777777" w:rsidR="00AF59DB" w:rsidRDefault="00AF59DB" w:rsidP="00E80310">
            <w:pPr>
              <w:pStyle w:val="NormalWeb"/>
              <w:jc w:val="center"/>
            </w:pPr>
            <w:r>
              <w:t>21,107</w:t>
            </w:r>
          </w:p>
        </w:tc>
        <w:tc>
          <w:tcPr>
            <w:tcW w:w="1138" w:type="dxa"/>
            <w:hideMark/>
          </w:tcPr>
          <w:p w14:paraId="005C1730" w14:textId="77777777" w:rsidR="00AF59DB" w:rsidRDefault="00AF59DB" w:rsidP="00E80310">
            <w:pPr>
              <w:pStyle w:val="NormalWeb"/>
              <w:jc w:val="center"/>
            </w:pPr>
            <w:r>
              <w:t>686.3</w:t>
            </w:r>
          </w:p>
        </w:tc>
        <w:tc>
          <w:tcPr>
            <w:tcW w:w="1138" w:type="dxa"/>
            <w:hideMark/>
          </w:tcPr>
          <w:p w14:paraId="67F2339F" w14:textId="77777777" w:rsidR="00AF59DB" w:rsidRDefault="00AF59DB" w:rsidP="00E80310">
            <w:pPr>
              <w:pStyle w:val="NormalWeb"/>
              <w:jc w:val="center"/>
            </w:pPr>
            <w:r>
              <w:t>675.8</w:t>
            </w:r>
          </w:p>
        </w:tc>
        <w:tc>
          <w:tcPr>
            <w:tcW w:w="1139" w:type="dxa"/>
            <w:hideMark/>
          </w:tcPr>
          <w:p w14:paraId="51B35AE4" w14:textId="77777777" w:rsidR="00AF59DB" w:rsidRDefault="00AF59DB" w:rsidP="00E80310">
            <w:pPr>
              <w:pStyle w:val="NormalWeb"/>
              <w:jc w:val="center"/>
            </w:pPr>
            <w:r>
              <w:t>683.8</w:t>
            </w:r>
          </w:p>
        </w:tc>
      </w:tr>
      <w:tr w:rsidR="00AF59DB" w14:paraId="71F5A34B" w14:textId="77777777" w:rsidTr="00AF59DB">
        <w:tblPrEx>
          <w:tblCellMar>
            <w:top w:w="57" w:type="dxa"/>
            <w:left w:w="57" w:type="dxa"/>
            <w:bottom w:w="57" w:type="dxa"/>
            <w:right w:w="57" w:type="dxa"/>
          </w:tblCellMar>
        </w:tblPrEx>
        <w:tc>
          <w:tcPr>
            <w:tcW w:w="0" w:type="auto"/>
            <w:hideMark/>
          </w:tcPr>
          <w:p w14:paraId="2AF9D116" w14:textId="77777777" w:rsidR="00AF59DB" w:rsidRDefault="00AF59DB" w:rsidP="00E80310">
            <w:pPr>
              <w:pStyle w:val="NormalWeb"/>
            </w:pPr>
            <w:r>
              <w:t>20–29</w:t>
            </w:r>
          </w:p>
        </w:tc>
        <w:tc>
          <w:tcPr>
            <w:tcW w:w="1138" w:type="dxa"/>
            <w:hideMark/>
          </w:tcPr>
          <w:p w14:paraId="4CD7153A" w14:textId="77777777" w:rsidR="00AF59DB" w:rsidRDefault="00AF59DB" w:rsidP="00E80310">
            <w:pPr>
              <w:pStyle w:val="NormalWeb"/>
              <w:jc w:val="center"/>
            </w:pPr>
            <w:r>
              <w:t>3,007</w:t>
            </w:r>
          </w:p>
        </w:tc>
        <w:tc>
          <w:tcPr>
            <w:tcW w:w="1138" w:type="dxa"/>
            <w:hideMark/>
          </w:tcPr>
          <w:p w14:paraId="725642E9" w14:textId="77777777" w:rsidR="00AF59DB" w:rsidRDefault="00AF59DB" w:rsidP="00E80310">
            <w:pPr>
              <w:pStyle w:val="NormalWeb"/>
              <w:jc w:val="center"/>
            </w:pPr>
            <w:r>
              <w:t>2,711</w:t>
            </w:r>
          </w:p>
        </w:tc>
        <w:tc>
          <w:tcPr>
            <w:tcW w:w="1138" w:type="dxa"/>
            <w:hideMark/>
          </w:tcPr>
          <w:p w14:paraId="7251D39C" w14:textId="77777777" w:rsidR="00AF59DB" w:rsidRDefault="00AF59DB" w:rsidP="00E80310">
            <w:pPr>
              <w:pStyle w:val="NormalWeb"/>
              <w:jc w:val="center"/>
            </w:pPr>
            <w:r>
              <w:t>5,745</w:t>
            </w:r>
          </w:p>
        </w:tc>
        <w:tc>
          <w:tcPr>
            <w:tcW w:w="1139" w:type="dxa"/>
            <w:hideMark/>
          </w:tcPr>
          <w:p w14:paraId="48300853" w14:textId="77777777" w:rsidR="00AF59DB" w:rsidRDefault="00AF59DB" w:rsidP="00E80310">
            <w:pPr>
              <w:pStyle w:val="NormalWeb"/>
              <w:jc w:val="center"/>
            </w:pPr>
            <w:r>
              <w:t>163</w:t>
            </w:r>
          </w:p>
        </w:tc>
        <w:tc>
          <w:tcPr>
            <w:tcW w:w="1138" w:type="dxa"/>
            <w:hideMark/>
          </w:tcPr>
          <w:p w14:paraId="75BC2D58" w14:textId="77777777" w:rsidR="00AF59DB" w:rsidRDefault="00AF59DB" w:rsidP="00E80310">
            <w:pPr>
              <w:pStyle w:val="NormalWeb"/>
              <w:jc w:val="center"/>
            </w:pPr>
            <w:r>
              <w:t>153</w:t>
            </w:r>
          </w:p>
        </w:tc>
        <w:tc>
          <w:tcPr>
            <w:tcW w:w="1138" w:type="dxa"/>
            <w:hideMark/>
          </w:tcPr>
          <w:p w14:paraId="4F2476F6" w14:textId="77777777" w:rsidR="00AF59DB" w:rsidRDefault="00AF59DB" w:rsidP="00E80310">
            <w:pPr>
              <w:pStyle w:val="NormalWeb"/>
              <w:jc w:val="center"/>
            </w:pPr>
            <w:r>
              <w:t>159</w:t>
            </w:r>
          </w:p>
        </w:tc>
        <w:tc>
          <w:tcPr>
            <w:tcW w:w="1138" w:type="dxa"/>
            <w:hideMark/>
          </w:tcPr>
          <w:p w14:paraId="44F4AE15" w14:textId="77777777" w:rsidR="00AF59DB" w:rsidRDefault="00AF59DB" w:rsidP="00E80310">
            <w:pPr>
              <w:pStyle w:val="NormalWeb"/>
              <w:jc w:val="center"/>
            </w:pPr>
            <w:r>
              <w:t>14,492</w:t>
            </w:r>
          </w:p>
        </w:tc>
        <w:tc>
          <w:tcPr>
            <w:tcW w:w="1139" w:type="dxa"/>
            <w:hideMark/>
          </w:tcPr>
          <w:p w14:paraId="79C738FD" w14:textId="77777777" w:rsidR="00AF59DB" w:rsidRDefault="00AF59DB" w:rsidP="00E80310">
            <w:pPr>
              <w:pStyle w:val="NormalWeb"/>
              <w:jc w:val="center"/>
            </w:pPr>
            <w:r>
              <w:t>12,751</w:t>
            </w:r>
          </w:p>
        </w:tc>
        <w:tc>
          <w:tcPr>
            <w:tcW w:w="1138" w:type="dxa"/>
            <w:hideMark/>
          </w:tcPr>
          <w:p w14:paraId="6AE2282F" w14:textId="77777777" w:rsidR="00AF59DB" w:rsidRDefault="00AF59DB" w:rsidP="00E80310">
            <w:pPr>
              <w:pStyle w:val="NormalWeb"/>
              <w:jc w:val="center"/>
            </w:pPr>
            <w:r>
              <w:t>27,313</w:t>
            </w:r>
          </w:p>
        </w:tc>
        <w:tc>
          <w:tcPr>
            <w:tcW w:w="1138" w:type="dxa"/>
            <w:hideMark/>
          </w:tcPr>
          <w:p w14:paraId="012C9108" w14:textId="77777777" w:rsidR="00AF59DB" w:rsidRDefault="00AF59DB" w:rsidP="00E80310">
            <w:pPr>
              <w:pStyle w:val="NormalWeb"/>
              <w:jc w:val="center"/>
            </w:pPr>
            <w:r>
              <w:t>787.4</w:t>
            </w:r>
          </w:p>
        </w:tc>
        <w:tc>
          <w:tcPr>
            <w:tcW w:w="1138" w:type="dxa"/>
            <w:hideMark/>
          </w:tcPr>
          <w:p w14:paraId="25C4A06C" w14:textId="77777777" w:rsidR="00AF59DB" w:rsidRDefault="00AF59DB" w:rsidP="00E80310">
            <w:pPr>
              <w:pStyle w:val="NormalWeb"/>
              <w:jc w:val="center"/>
            </w:pPr>
            <w:r>
              <w:t>717.2</w:t>
            </w:r>
          </w:p>
        </w:tc>
        <w:tc>
          <w:tcPr>
            <w:tcW w:w="1139" w:type="dxa"/>
            <w:hideMark/>
          </w:tcPr>
          <w:p w14:paraId="034B11C7" w14:textId="77777777" w:rsidR="00AF59DB" w:rsidRDefault="00AF59DB" w:rsidP="00E80310">
            <w:pPr>
              <w:pStyle w:val="NormalWeb"/>
              <w:jc w:val="center"/>
            </w:pPr>
            <w:r>
              <w:t>754.8</w:t>
            </w:r>
          </w:p>
        </w:tc>
      </w:tr>
      <w:tr w:rsidR="00AF59DB" w14:paraId="1627723E" w14:textId="77777777" w:rsidTr="00AF59D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7866BF1" w14:textId="77777777" w:rsidR="00AF59DB" w:rsidRDefault="00AF59DB" w:rsidP="00E80310">
            <w:pPr>
              <w:pStyle w:val="NormalWeb"/>
            </w:pPr>
            <w:r>
              <w:t>30–39</w:t>
            </w:r>
          </w:p>
        </w:tc>
        <w:tc>
          <w:tcPr>
            <w:tcW w:w="1138" w:type="dxa"/>
            <w:hideMark/>
          </w:tcPr>
          <w:p w14:paraId="7AE8073D" w14:textId="77777777" w:rsidR="00AF59DB" w:rsidRDefault="00AF59DB" w:rsidP="00E80310">
            <w:pPr>
              <w:pStyle w:val="NormalWeb"/>
              <w:jc w:val="center"/>
            </w:pPr>
            <w:r>
              <w:t>2,783</w:t>
            </w:r>
          </w:p>
        </w:tc>
        <w:tc>
          <w:tcPr>
            <w:tcW w:w="1138" w:type="dxa"/>
            <w:hideMark/>
          </w:tcPr>
          <w:p w14:paraId="326AB7C1" w14:textId="77777777" w:rsidR="00AF59DB" w:rsidRDefault="00AF59DB" w:rsidP="00E80310">
            <w:pPr>
              <w:pStyle w:val="NormalWeb"/>
              <w:jc w:val="center"/>
            </w:pPr>
            <w:r>
              <w:t>2,676</w:t>
            </w:r>
          </w:p>
        </w:tc>
        <w:tc>
          <w:tcPr>
            <w:tcW w:w="1138" w:type="dxa"/>
            <w:hideMark/>
          </w:tcPr>
          <w:p w14:paraId="4318460C" w14:textId="77777777" w:rsidR="00AF59DB" w:rsidRDefault="00AF59DB" w:rsidP="00E80310">
            <w:pPr>
              <w:pStyle w:val="NormalWeb"/>
              <w:jc w:val="center"/>
            </w:pPr>
            <w:r>
              <w:t>5,488</w:t>
            </w:r>
          </w:p>
        </w:tc>
        <w:tc>
          <w:tcPr>
            <w:tcW w:w="1139" w:type="dxa"/>
            <w:hideMark/>
          </w:tcPr>
          <w:p w14:paraId="15441985" w14:textId="77777777" w:rsidR="00AF59DB" w:rsidRDefault="00AF59DB" w:rsidP="00E80310">
            <w:pPr>
              <w:pStyle w:val="NormalWeb"/>
              <w:jc w:val="center"/>
            </w:pPr>
            <w:r>
              <w:t>150</w:t>
            </w:r>
          </w:p>
        </w:tc>
        <w:tc>
          <w:tcPr>
            <w:tcW w:w="1138" w:type="dxa"/>
            <w:hideMark/>
          </w:tcPr>
          <w:p w14:paraId="7093D104" w14:textId="77777777" w:rsidR="00AF59DB" w:rsidRDefault="00AF59DB" w:rsidP="00E80310">
            <w:pPr>
              <w:pStyle w:val="NormalWeb"/>
              <w:jc w:val="center"/>
            </w:pPr>
            <w:r>
              <w:t>141</w:t>
            </w:r>
          </w:p>
        </w:tc>
        <w:tc>
          <w:tcPr>
            <w:tcW w:w="1138" w:type="dxa"/>
            <w:hideMark/>
          </w:tcPr>
          <w:p w14:paraId="71C66E27" w14:textId="77777777" w:rsidR="00AF59DB" w:rsidRDefault="00AF59DB" w:rsidP="00E80310">
            <w:pPr>
              <w:pStyle w:val="NormalWeb"/>
              <w:jc w:val="center"/>
            </w:pPr>
            <w:r>
              <w:t>146</w:t>
            </w:r>
          </w:p>
        </w:tc>
        <w:tc>
          <w:tcPr>
            <w:tcW w:w="1138" w:type="dxa"/>
            <w:hideMark/>
          </w:tcPr>
          <w:p w14:paraId="647CB6FE" w14:textId="77777777" w:rsidR="00AF59DB" w:rsidRDefault="00AF59DB" w:rsidP="00E80310">
            <w:pPr>
              <w:pStyle w:val="NormalWeb"/>
              <w:jc w:val="center"/>
            </w:pPr>
            <w:r>
              <w:t>12,275</w:t>
            </w:r>
          </w:p>
        </w:tc>
        <w:tc>
          <w:tcPr>
            <w:tcW w:w="1139" w:type="dxa"/>
            <w:hideMark/>
          </w:tcPr>
          <w:p w14:paraId="1F850C9C" w14:textId="77777777" w:rsidR="00AF59DB" w:rsidRDefault="00AF59DB" w:rsidP="00E80310">
            <w:pPr>
              <w:pStyle w:val="NormalWeb"/>
              <w:jc w:val="center"/>
            </w:pPr>
            <w:r>
              <w:t>10,868</w:t>
            </w:r>
          </w:p>
        </w:tc>
        <w:tc>
          <w:tcPr>
            <w:tcW w:w="1138" w:type="dxa"/>
            <w:hideMark/>
          </w:tcPr>
          <w:p w14:paraId="4E418A72" w14:textId="77777777" w:rsidR="00AF59DB" w:rsidRDefault="00AF59DB" w:rsidP="00E80310">
            <w:pPr>
              <w:pStyle w:val="NormalWeb"/>
              <w:jc w:val="center"/>
            </w:pPr>
            <w:r>
              <w:t>23,207</w:t>
            </w:r>
          </w:p>
        </w:tc>
        <w:tc>
          <w:tcPr>
            <w:tcW w:w="1138" w:type="dxa"/>
            <w:hideMark/>
          </w:tcPr>
          <w:p w14:paraId="43692615" w14:textId="77777777" w:rsidR="00AF59DB" w:rsidRDefault="00AF59DB" w:rsidP="00E80310">
            <w:pPr>
              <w:pStyle w:val="NormalWeb"/>
              <w:jc w:val="center"/>
            </w:pPr>
            <w:r>
              <w:t>661.0</w:t>
            </w:r>
          </w:p>
        </w:tc>
        <w:tc>
          <w:tcPr>
            <w:tcW w:w="1138" w:type="dxa"/>
            <w:hideMark/>
          </w:tcPr>
          <w:p w14:paraId="33E6D855" w14:textId="77777777" w:rsidR="00AF59DB" w:rsidRDefault="00AF59DB" w:rsidP="00E80310">
            <w:pPr>
              <w:pStyle w:val="NormalWeb"/>
              <w:jc w:val="center"/>
            </w:pPr>
            <w:r>
              <w:t>571.7</w:t>
            </w:r>
          </w:p>
        </w:tc>
        <w:tc>
          <w:tcPr>
            <w:tcW w:w="1139" w:type="dxa"/>
            <w:hideMark/>
          </w:tcPr>
          <w:p w14:paraId="3A061384" w14:textId="77777777" w:rsidR="00AF59DB" w:rsidRDefault="00AF59DB" w:rsidP="00E80310">
            <w:pPr>
              <w:pStyle w:val="NormalWeb"/>
              <w:jc w:val="center"/>
            </w:pPr>
            <w:r>
              <w:t>617.5</w:t>
            </w:r>
          </w:p>
        </w:tc>
      </w:tr>
      <w:tr w:rsidR="00AF59DB" w14:paraId="339C8E60" w14:textId="77777777" w:rsidTr="00AF59DB">
        <w:tblPrEx>
          <w:tblCellMar>
            <w:top w:w="57" w:type="dxa"/>
            <w:left w:w="57" w:type="dxa"/>
            <w:bottom w:w="57" w:type="dxa"/>
            <w:right w:w="57" w:type="dxa"/>
          </w:tblCellMar>
        </w:tblPrEx>
        <w:tc>
          <w:tcPr>
            <w:tcW w:w="0" w:type="auto"/>
            <w:hideMark/>
          </w:tcPr>
          <w:p w14:paraId="02566C59" w14:textId="77777777" w:rsidR="00AF59DB" w:rsidRDefault="00AF59DB" w:rsidP="00E80310">
            <w:pPr>
              <w:pStyle w:val="NormalWeb"/>
            </w:pPr>
            <w:r>
              <w:t>40–49</w:t>
            </w:r>
          </w:p>
        </w:tc>
        <w:tc>
          <w:tcPr>
            <w:tcW w:w="1138" w:type="dxa"/>
            <w:hideMark/>
          </w:tcPr>
          <w:p w14:paraId="4887522C" w14:textId="77777777" w:rsidR="00AF59DB" w:rsidRDefault="00AF59DB" w:rsidP="00E80310">
            <w:pPr>
              <w:pStyle w:val="NormalWeb"/>
              <w:jc w:val="center"/>
            </w:pPr>
            <w:r>
              <w:t>1,965</w:t>
            </w:r>
          </w:p>
        </w:tc>
        <w:tc>
          <w:tcPr>
            <w:tcW w:w="1138" w:type="dxa"/>
            <w:hideMark/>
          </w:tcPr>
          <w:p w14:paraId="0A68328A" w14:textId="77777777" w:rsidR="00AF59DB" w:rsidRDefault="00AF59DB" w:rsidP="00E80310">
            <w:pPr>
              <w:pStyle w:val="NormalWeb"/>
              <w:jc w:val="center"/>
            </w:pPr>
            <w:r>
              <w:t>1,870</w:t>
            </w:r>
          </w:p>
        </w:tc>
        <w:tc>
          <w:tcPr>
            <w:tcW w:w="1138" w:type="dxa"/>
            <w:hideMark/>
          </w:tcPr>
          <w:p w14:paraId="5A67865D" w14:textId="77777777" w:rsidR="00AF59DB" w:rsidRDefault="00AF59DB" w:rsidP="00E80310">
            <w:pPr>
              <w:pStyle w:val="NormalWeb"/>
              <w:jc w:val="center"/>
            </w:pPr>
            <w:r>
              <w:t>3,849</w:t>
            </w:r>
          </w:p>
        </w:tc>
        <w:tc>
          <w:tcPr>
            <w:tcW w:w="1139" w:type="dxa"/>
            <w:hideMark/>
          </w:tcPr>
          <w:p w14:paraId="509A7A65" w14:textId="77777777" w:rsidR="00AF59DB" w:rsidRDefault="00AF59DB" w:rsidP="00E80310">
            <w:pPr>
              <w:pStyle w:val="NormalWeb"/>
              <w:jc w:val="center"/>
            </w:pPr>
            <w:r>
              <w:t>121</w:t>
            </w:r>
          </w:p>
        </w:tc>
        <w:tc>
          <w:tcPr>
            <w:tcW w:w="1138" w:type="dxa"/>
            <w:hideMark/>
          </w:tcPr>
          <w:p w14:paraId="51566203" w14:textId="77777777" w:rsidR="00AF59DB" w:rsidRDefault="00AF59DB" w:rsidP="00E80310">
            <w:pPr>
              <w:pStyle w:val="NormalWeb"/>
              <w:jc w:val="center"/>
            </w:pPr>
            <w:r>
              <w:t>112</w:t>
            </w:r>
          </w:p>
        </w:tc>
        <w:tc>
          <w:tcPr>
            <w:tcW w:w="1138" w:type="dxa"/>
            <w:hideMark/>
          </w:tcPr>
          <w:p w14:paraId="79FAE773" w14:textId="77777777" w:rsidR="00AF59DB" w:rsidRDefault="00AF59DB" w:rsidP="00E80310">
            <w:pPr>
              <w:pStyle w:val="NormalWeb"/>
              <w:jc w:val="center"/>
            </w:pPr>
            <w:r>
              <w:t>117</w:t>
            </w:r>
          </w:p>
        </w:tc>
        <w:tc>
          <w:tcPr>
            <w:tcW w:w="1138" w:type="dxa"/>
            <w:hideMark/>
          </w:tcPr>
          <w:p w14:paraId="298E293B" w14:textId="77777777" w:rsidR="00AF59DB" w:rsidRDefault="00AF59DB" w:rsidP="00E80310">
            <w:pPr>
              <w:pStyle w:val="NormalWeb"/>
              <w:jc w:val="center"/>
            </w:pPr>
            <w:r>
              <w:t>8,460</w:t>
            </w:r>
          </w:p>
        </w:tc>
        <w:tc>
          <w:tcPr>
            <w:tcW w:w="1139" w:type="dxa"/>
            <w:hideMark/>
          </w:tcPr>
          <w:p w14:paraId="4DD0790D" w14:textId="77777777" w:rsidR="00AF59DB" w:rsidRDefault="00AF59DB" w:rsidP="00E80310">
            <w:pPr>
              <w:pStyle w:val="NormalWeb"/>
              <w:jc w:val="center"/>
            </w:pPr>
            <w:r>
              <w:t>7,721</w:t>
            </w:r>
          </w:p>
        </w:tc>
        <w:tc>
          <w:tcPr>
            <w:tcW w:w="1138" w:type="dxa"/>
            <w:hideMark/>
          </w:tcPr>
          <w:p w14:paraId="51C0BF8A" w14:textId="77777777" w:rsidR="00AF59DB" w:rsidRDefault="00AF59DB" w:rsidP="00E80310">
            <w:pPr>
              <w:pStyle w:val="NormalWeb"/>
              <w:jc w:val="center"/>
            </w:pPr>
            <w:r>
              <w:t>16,224</w:t>
            </w:r>
          </w:p>
        </w:tc>
        <w:tc>
          <w:tcPr>
            <w:tcW w:w="1138" w:type="dxa"/>
            <w:hideMark/>
          </w:tcPr>
          <w:p w14:paraId="6A80E679" w14:textId="77777777" w:rsidR="00AF59DB" w:rsidRDefault="00AF59DB" w:rsidP="00E80310">
            <w:pPr>
              <w:pStyle w:val="NormalWeb"/>
              <w:jc w:val="center"/>
            </w:pPr>
            <w:r>
              <w:t>518.8</w:t>
            </w:r>
          </w:p>
        </w:tc>
        <w:tc>
          <w:tcPr>
            <w:tcW w:w="1138" w:type="dxa"/>
            <w:hideMark/>
          </w:tcPr>
          <w:p w14:paraId="6E16ABE3" w14:textId="77777777" w:rsidR="00AF59DB" w:rsidRDefault="00AF59DB" w:rsidP="00E80310">
            <w:pPr>
              <w:pStyle w:val="NormalWeb"/>
              <w:jc w:val="center"/>
            </w:pPr>
            <w:r>
              <w:t>463.5</w:t>
            </w:r>
          </w:p>
        </w:tc>
        <w:tc>
          <w:tcPr>
            <w:tcW w:w="1139" w:type="dxa"/>
            <w:hideMark/>
          </w:tcPr>
          <w:p w14:paraId="76CD0DEF" w14:textId="77777777" w:rsidR="00AF59DB" w:rsidRDefault="00AF59DB" w:rsidP="00E80310">
            <w:pPr>
              <w:pStyle w:val="NormalWeb"/>
              <w:jc w:val="center"/>
            </w:pPr>
            <w:r>
              <w:t>492.2</w:t>
            </w:r>
          </w:p>
        </w:tc>
      </w:tr>
      <w:tr w:rsidR="00AF59DB" w14:paraId="53B3E354" w14:textId="77777777" w:rsidTr="00AF59D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80EB8CB" w14:textId="77777777" w:rsidR="00AF59DB" w:rsidRDefault="00AF59DB" w:rsidP="00E80310">
            <w:pPr>
              <w:pStyle w:val="NormalWeb"/>
            </w:pPr>
            <w:r>
              <w:t>50–59</w:t>
            </w:r>
          </w:p>
        </w:tc>
        <w:tc>
          <w:tcPr>
            <w:tcW w:w="1138" w:type="dxa"/>
            <w:hideMark/>
          </w:tcPr>
          <w:p w14:paraId="07D3F4E7" w14:textId="77777777" w:rsidR="00AF59DB" w:rsidRDefault="00AF59DB" w:rsidP="00E80310">
            <w:pPr>
              <w:pStyle w:val="NormalWeb"/>
              <w:jc w:val="center"/>
            </w:pPr>
            <w:r>
              <w:t>1,410</w:t>
            </w:r>
          </w:p>
        </w:tc>
        <w:tc>
          <w:tcPr>
            <w:tcW w:w="1138" w:type="dxa"/>
            <w:hideMark/>
          </w:tcPr>
          <w:p w14:paraId="6966FB63" w14:textId="77777777" w:rsidR="00AF59DB" w:rsidRDefault="00AF59DB" w:rsidP="00E80310">
            <w:pPr>
              <w:pStyle w:val="NormalWeb"/>
              <w:jc w:val="center"/>
            </w:pPr>
            <w:r>
              <w:t>1,421</w:t>
            </w:r>
          </w:p>
        </w:tc>
        <w:tc>
          <w:tcPr>
            <w:tcW w:w="1138" w:type="dxa"/>
            <w:hideMark/>
          </w:tcPr>
          <w:p w14:paraId="2EC6EB05" w14:textId="77777777" w:rsidR="00AF59DB" w:rsidRDefault="00AF59DB" w:rsidP="00E80310">
            <w:pPr>
              <w:pStyle w:val="NormalWeb"/>
              <w:jc w:val="center"/>
            </w:pPr>
            <w:r>
              <w:t>2,842</w:t>
            </w:r>
          </w:p>
        </w:tc>
        <w:tc>
          <w:tcPr>
            <w:tcW w:w="1139" w:type="dxa"/>
            <w:hideMark/>
          </w:tcPr>
          <w:p w14:paraId="2032E16E" w14:textId="77777777" w:rsidR="00AF59DB" w:rsidRDefault="00AF59DB" w:rsidP="00E80310">
            <w:pPr>
              <w:pStyle w:val="NormalWeb"/>
              <w:jc w:val="center"/>
            </w:pPr>
            <w:r>
              <w:t>93</w:t>
            </w:r>
          </w:p>
        </w:tc>
        <w:tc>
          <w:tcPr>
            <w:tcW w:w="1138" w:type="dxa"/>
            <w:hideMark/>
          </w:tcPr>
          <w:p w14:paraId="5AFEFECB" w14:textId="77777777" w:rsidR="00AF59DB" w:rsidRDefault="00AF59DB" w:rsidP="00E80310">
            <w:pPr>
              <w:pStyle w:val="NormalWeb"/>
              <w:jc w:val="center"/>
            </w:pPr>
            <w:r>
              <w:t>89</w:t>
            </w:r>
          </w:p>
        </w:tc>
        <w:tc>
          <w:tcPr>
            <w:tcW w:w="1138" w:type="dxa"/>
            <w:hideMark/>
          </w:tcPr>
          <w:p w14:paraId="038196AE" w14:textId="77777777" w:rsidR="00AF59DB" w:rsidRDefault="00AF59DB" w:rsidP="00E80310">
            <w:pPr>
              <w:pStyle w:val="NormalWeb"/>
              <w:jc w:val="center"/>
            </w:pPr>
            <w:r>
              <w:t>91</w:t>
            </w:r>
          </w:p>
        </w:tc>
        <w:tc>
          <w:tcPr>
            <w:tcW w:w="1138" w:type="dxa"/>
            <w:hideMark/>
          </w:tcPr>
          <w:p w14:paraId="1D7E3807" w14:textId="77777777" w:rsidR="00AF59DB" w:rsidRDefault="00AF59DB" w:rsidP="00E80310">
            <w:pPr>
              <w:pStyle w:val="NormalWeb"/>
              <w:jc w:val="center"/>
            </w:pPr>
            <w:r>
              <w:t>6,338</w:t>
            </w:r>
          </w:p>
        </w:tc>
        <w:tc>
          <w:tcPr>
            <w:tcW w:w="1139" w:type="dxa"/>
            <w:hideMark/>
          </w:tcPr>
          <w:p w14:paraId="0E381B78" w14:textId="77777777" w:rsidR="00AF59DB" w:rsidRDefault="00AF59DB" w:rsidP="00E80310">
            <w:pPr>
              <w:pStyle w:val="NormalWeb"/>
              <w:jc w:val="center"/>
            </w:pPr>
            <w:r>
              <w:t>5,715</w:t>
            </w:r>
          </w:p>
        </w:tc>
        <w:tc>
          <w:tcPr>
            <w:tcW w:w="1138" w:type="dxa"/>
            <w:hideMark/>
          </w:tcPr>
          <w:p w14:paraId="1982838B" w14:textId="77777777" w:rsidR="00AF59DB" w:rsidRDefault="00AF59DB" w:rsidP="00E80310">
            <w:pPr>
              <w:pStyle w:val="NormalWeb"/>
              <w:jc w:val="center"/>
            </w:pPr>
            <w:r>
              <w:t>12,093</w:t>
            </w:r>
          </w:p>
        </w:tc>
        <w:tc>
          <w:tcPr>
            <w:tcW w:w="1138" w:type="dxa"/>
            <w:hideMark/>
          </w:tcPr>
          <w:p w14:paraId="3EFD20C5" w14:textId="77777777" w:rsidR="00AF59DB" w:rsidRDefault="00AF59DB" w:rsidP="00E80310">
            <w:pPr>
              <w:pStyle w:val="NormalWeb"/>
              <w:jc w:val="center"/>
            </w:pPr>
            <w:r>
              <w:t>416.2</w:t>
            </w:r>
          </w:p>
        </w:tc>
        <w:tc>
          <w:tcPr>
            <w:tcW w:w="1138" w:type="dxa"/>
            <w:hideMark/>
          </w:tcPr>
          <w:p w14:paraId="0FDF0507" w14:textId="77777777" w:rsidR="00AF59DB" w:rsidRDefault="00AF59DB" w:rsidP="00E80310">
            <w:pPr>
              <w:pStyle w:val="NormalWeb"/>
              <w:jc w:val="center"/>
            </w:pPr>
            <w:r>
              <w:t>357.7</w:t>
            </w:r>
          </w:p>
        </w:tc>
        <w:tc>
          <w:tcPr>
            <w:tcW w:w="1139" w:type="dxa"/>
            <w:hideMark/>
          </w:tcPr>
          <w:p w14:paraId="79D0A0C0" w14:textId="77777777" w:rsidR="00AF59DB" w:rsidRDefault="00AF59DB" w:rsidP="00E80310">
            <w:pPr>
              <w:pStyle w:val="NormalWeb"/>
              <w:jc w:val="center"/>
            </w:pPr>
            <w:r>
              <w:t>387.5</w:t>
            </w:r>
          </w:p>
        </w:tc>
      </w:tr>
      <w:tr w:rsidR="00AF59DB" w14:paraId="44424482" w14:textId="77777777" w:rsidTr="00AF59DB">
        <w:tblPrEx>
          <w:tblCellMar>
            <w:top w:w="57" w:type="dxa"/>
            <w:left w:w="57" w:type="dxa"/>
            <w:bottom w:w="57" w:type="dxa"/>
            <w:right w:w="57" w:type="dxa"/>
          </w:tblCellMar>
        </w:tblPrEx>
        <w:tc>
          <w:tcPr>
            <w:tcW w:w="0" w:type="auto"/>
            <w:hideMark/>
          </w:tcPr>
          <w:p w14:paraId="3724F7D7" w14:textId="77777777" w:rsidR="00AF59DB" w:rsidRDefault="00AF59DB" w:rsidP="00E80310">
            <w:pPr>
              <w:pStyle w:val="NormalWeb"/>
            </w:pPr>
            <w:r>
              <w:t>60–69</w:t>
            </w:r>
          </w:p>
        </w:tc>
        <w:tc>
          <w:tcPr>
            <w:tcW w:w="1138" w:type="dxa"/>
            <w:hideMark/>
          </w:tcPr>
          <w:p w14:paraId="2044C348" w14:textId="77777777" w:rsidR="00AF59DB" w:rsidRDefault="00AF59DB" w:rsidP="00E80310">
            <w:pPr>
              <w:pStyle w:val="NormalWeb"/>
              <w:jc w:val="center"/>
            </w:pPr>
            <w:r>
              <w:t>843</w:t>
            </w:r>
          </w:p>
        </w:tc>
        <w:tc>
          <w:tcPr>
            <w:tcW w:w="1138" w:type="dxa"/>
            <w:hideMark/>
          </w:tcPr>
          <w:p w14:paraId="09046246" w14:textId="77777777" w:rsidR="00AF59DB" w:rsidRDefault="00AF59DB" w:rsidP="00E80310">
            <w:pPr>
              <w:pStyle w:val="NormalWeb"/>
              <w:jc w:val="center"/>
            </w:pPr>
            <w:r>
              <w:t>866</w:t>
            </w:r>
          </w:p>
        </w:tc>
        <w:tc>
          <w:tcPr>
            <w:tcW w:w="1138" w:type="dxa"/>
            <w:hideMark/>
          </w:tcPr>
          <w:p w14:paraId="083AC4FD" w14:textId="77777777" w:rsidR="00AF59DB" w:rsidRDefault="00AF59DB" w:rsidP="00E80310">
            <w:pPr>
              <w:pStyle w:val="NormalWeb"/>
              <w:jc w:val="center"/>
            </w:pPr>
            <w:r>
              <w:t>1,718</w:t>
            </w:r>
          </w:p>
        </w:tc>
        <w:tc>
          <w:tcPr>
            <w:tcW w:w="1139" w:type="dxa"/>
            <w:hideMark/>
          </w:tcPr>
          <w:p w14:paraId="51A3E22B" w14:textId="77777777" w:rsidR="00AF59DB" w:rsidRDefault="00AF59DB" w:rsidP="00E80310">
            <w:pPr>
              <w:pStyle w:val="NormalWeb"/>
              <w:jc w:val="center"/>
            </w:pPr>
            <w:r>
              <w:t>65</w:t>
            </w:r>
          </w:p>
        </w:tc>
        <w:tc>
          <w:tcPr>
            <w:tcW w:w="1138" w:type="dxa"/>
            <w:hideMark/>
          </w:tcPr>
          <w:p w14:paraId="172877AC" w14:textId="77777777" w:rsidR="00AF59DB" w:rsidRDefault="00AF59DB" w:rsidP="00E80310">
            <w:pPr>
              <w:pStyle w:val="NormalWeb"/>
              <w:jc w:val="center"/>
            </w:pPr>
            <w:r>
              <w:t>62</w:t>
            </w:r>
          </w:p>
        </w:tc>
        <w:tc>
          <w:tcPr>
            <w:tcW w:w="1138" w:type="dxa"/>
            <w:hideMark/>
          </w:tcPr>
          <w:p w14:paraId="0683B21E" w14:textId="77777777" w:rsidR="00AF59DB" w:rsidRDefault="00AF59DB" w:rsidP="00E80310">
            <w:pPr>
              <w:pStyle w:val="NormalWeb"/>
              <w:jc w:val="center"/>
            </w:pPr>
            <w:r>
              <w:t>64</w:t>
            </w:r>
          </w:p>
        </w:tc>
        <w:tc>
          <w:tcPr>
            <w:tcW w:w="1138" w:type="dxa"/>
            <w:hideMark/>
          </w:tcPr>
          <w:p w14:paraId="0554D7F5" w14:textId="77777777" w:rsidR="00AF59DB" w:rsidRDefault="00AF59DB" w:rsidP="00E80310">
            <w:pPr>
              <w:pStyle w:val="NormalWeb"/>
              <w:jc w:val="center"/>
            </w:pPr>
            <w:r>
              <w:t>3,516</w:t>
            </w:r>
          </w:p>
        </w:tc>
        <w:tc>
          <w:tcPr>
            <w:tcW w:w="1139" w:type="dxa"/>
            <w:hideMark/>
          </w:tcPr>
          <w:p w14:paraId="22ED882E" w14:textId="77777777" w:rsidR="00AF59DB" w:rsidRDefault="00AF59DB" w:rsidP="00E80310">
            <w:pPr>
              <w:pStyle w:val="NormalWeb"/>
              <w:jc w:val="center"/>
            </w:pPr>
            <w:r>
              <w:t>3,251</w:t>
            </w:r>
          </w:p>
        </w:tc>
        <w:tc>
          <w:tcPr>
            <w:tcW w:w="1138" w:type="dxa"/>
            <w:hideMark/>
          </w:tcPr>
          <w:p w14:paraId="0D8E0CB4" w14:textId="77777777" w:rsidR="00AF59DB" w:rsidRDefault="00AF59DB" w:rsidP="00E80310">
            <w:pPr>
              <w:pStyle w:val="NormalWeb"/>
              <w:jc w:val="center"/>
            </w:pPr>
            <w:r>
              <w:t>6,788</w:t>
            </w:r>
          </w:p>
        </w:tc>
        <w:tc>
          <w:tcPr>
            <w:tcW w:w="1138" w:type="dxa"/>
            <w:hideMark/>
          </w:tcPr>
          <w:p w14:paraId="1D8A0D84" w14:textId="77777777" w:rsidR="00AF59DB" w:rsidRDefault="00AF59DB" w:rsidP="00E80310">
            <w:pPr>
              <w:pStyle w:val="NormalWeb"/>
              <w:jc w:val="center"/>
            </w:pPr>
            <w:r>
              <w:t>269.1</w:t>
            </w:r>
          </w:p>
        </w:tc>
        <w:tc>
          <w:tcPr>
            <w:tcW w:w="1138" w:type="dxa"/>
            <w:hideMark/>
          </w:tcPr>
          <w:p w14:paraId="5435364D" w14:textId="77777777" w:rsidR="00AF59DB" w:rsidRDefault="00AF59DB" w:rsidP="00E80310">
            <w:pPr>
              <w:pStyle w:val="NormalWeb"/>
              <w:jc w:val="center"/>
            </w:pPr>
            <w:r>
              <w:t>233.9</w:t>
            </w:r>
          </w:p>
        </w:tc>
        <w:tc>
          <w:tcPr>
            <w:tcW w:w="1139" w:type="dxa"/>
            <w:hideMark/>
          </w:tcPr>
          <w:p w14:paraId="18710E67" w14:textId="77777777" w:rsidR="00AF59DB" w:rsidRDefault="00AF59DB" w:rsidP="00E80310">
            <w:pPr>
              <w:pStyle w:val="NormalWeb"/>
              <w:jc w:val="center"/>
            </w:pPr>
            <w:r>
              <w:t>251.7</w:t>
            </w:r>
          </w:p>
        </w:tc>
      </w:tr>
      <w:tr w:rsidR="00AF59DB" w14:paraId="6EFBE0CC" w14:textId="77777777" w:rsidTr="00AF59D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D4B06D1" w14:textId="77777777" w:rsidR="00AF59DB" w:rsidRDefault="00AF59DB" w:rsidP="00E80310">
            <w:pPr>
              <w:pStyle w:val="NormalWeb"/>
            </w:pPr>
            <w:r>
              <w:t>70–79</w:t>
            </w:r>
          </w:p>
        </w:tc>
        <w:tc>
          <w:tcPr>
            <w:tcW w:w="1138" w:type="dxa"/>
            <w:hideMark/>
          </w:tcPr>
          <w:p w14:paraId="025166BB" w14:textId="77777777" w:rsidR="00AF59DB" w:rsidRDefault="00AF59DB" w:rsidP="00E80310">
            <w:pPr>
              <w:pStyle w:val="NormalWeb"/>
              <w:jc w:val="center"/>
            </w:pPr>
            <w:r>
              <w:t>474</w:t>
            </w:r>
          </w:p>
        </w:tc>
        <w:tc>
          <w:tcPr>
            <w:tcW w:w="1138" w:type="dxa"/>
            <w:hideMark/>
          </w:tcPr>
          <w:p w14:paraId="07DECF81" w14:textId="77777777" w:rsidR="00AF59DB" w:rsidRDefault="00AF59DB" w:rsidP="00E80310">
            <w:pPr>
              <w:pStyle w:val="NormalWeb"/>
              <w:jc w:val="center"/>
            </w:pPr>
            <w:r>
              <w:t>457</w:t>
            </w:r>
          </w:p>
        </w:tc>
        <w:tc>
          <w:tcPr>
            <w:tcW w:w="1138" w:type="dxa"/>
            <w:hideMark/>
          </w:tcPr>
          <w:p w14:paraId="09CB4ADB" w14:textId="77777777" w:rsidR="00AF59DB" w:rsidRDefault="00AF59DB" w:rsidP="00E80310">
            <w:pPr>
              <w:pStyle w:val="NormalWeb"/>
              <w:jc w:val="center"/>
            </w:pPr>
            <w:r>
              <w:t>933</w:t>
            </w:r>
          </w:p>
        </w:tc>
        <w:tc>
          <w:tcPr>
            <w:tcW w:w="1139" w:type="dxa"/>
            <w:hideMark/>
          </w:tcPr>
          <w:p w14:paraId="57036680" w14:textId="77777777" w:rsidR="00AF59DB" w:rsidRDefault="00AF59DB" w:rsidP="00E80310">
            <w:pPr>
              <w:pStyle w:val="NormalWeb"/>
              <w:jc w:val="center"/>
            </w:pPr>
            <w:r>
              <w:t>52</w:t>
            </w:r>
          </w:p>
        </w:tc>
        <w:tc>
          <w:tcPr>
            <w:tcW w:w="1138" w:type="dxa"/>
            <w:hideMark/>
          </w:tcPr>
          <w:p w14:paraId="38801ADD" w14:textId="77777777" w:rsidR="00AF59DB" w:rsidRDefault="00AF59DB" w:rsidP="00E80310">
            <w:pPr>
              <w:pStyle w:val="NormalWeb"/>
              <w:jc w:val="center"/>
            </w:pPr>
            <w:r>
              <w:t>47</w:t>
            </w:r>
          </w:p>
        </w:tc>
        <w:tc>
          <w:tcPr>
            <w:tcW w:w="1138" w:type="dxa"/>
            <w:hideMark/>
          </w:tcPr>
          <w:p w14:paraId="2593657B" w14:textId="77777777" w:rsidR="00AF59DB" w:rsidRDefault="00AF59DB" w:rsidP="00E80310">
            <w:pPr>
              <w:pStyle w:val="NormalWeb"/>
              <w:jc w:val="center"/>
            </w:pPr>
            <w:r>
              <w:t>50</w:t>
            </w:r>
          </w:p>
        </w:tc>
        <w:tc>
          <w:tcPr>
            <w:tcW w:w="1138" w:type="dxa"/>
            <w:hideMark/>
          </w:tcPr>
          <w:p w14:paraId="22A8E751" w14:textId="77777777" w:rsidR="00AF59DB" w:rsidRDefault="00AF59DB" w:rsidP="00E80310">
            <w:pPr>
              <w:pStyle w:val="NormalWeb"/>
              <w:jc w:val="center"/>
            </w:pPr>
            <w:r>
              <w:t>1,664</w:t>
            </w:r>
          </w:p>
        </w:tc>
        <w:tc>
          <w:tcPr>
            <w:tcW w:w="1139" w:type="dxa"/>
            <w:hideMark/>
          </w:tcPr>
          <w:p w14:paraId="44BEDAC7" w14:textId="77777777" w:rsidR="00AF59DB" w:rsidRDefault="00AF59DB" w:rsidP="00E80310">
            <w:pPr>
              <w:pStyle w:val="NormalWeb"/>
              <w:jc w:val="center"/>
            </w:pPr>
            <w:r>
              <w:t>1,615</w:t>
            </w:r>
          </w:p>
        </w:tc>
        <w:tc>
          <w:tcPr>
            <w:tcW w:w="1138" w:type="dxa"/>
            <w:hideMark/>
          </w:tcPr>
          <w:p w14:paraId="68DBE1A7" w14:textId="77777777" w:rsidR="00AF59DB" w:rsidRDefault="00AF59DB" w:rsidP="00E80310">
            <w:pPr>
              <w:pStyle w:val="NormalWeb"/>
              <w:jc w:val="center"/>
            </w:pPr>
            <w:r>
              <w:t>3,295</w:t>
            </w:r>
          </w:p>
        </w:tc>
        <w:tc>
          <w:tcPr>
            <w:tcW w:w="1138" w:type="dxa"/>
            <w:hideMark/>
          </w:tcPr>
          <w:p w14:paraId="566CA9F2" w14:textId="77777777" w:rsidR="00AF59DB" w:rsidRDefault="00AF59DB" w:rsidP="00E80310">
            <w:pPr>
              <w:pStyle w:val="NormalWeb"/>
              <w:jc w:val="center"/>
            </w:pPr>
            <w:r>
              <w:t>182.5</w:t>
            </w:r>
          </w:p>
        </w:tc>
        <w:tc>
          <w:tcPr>
            <w:tcW w:w="1138" w:type="dxa"/>
            <w:hideMark/>
          </w:tcPr>
          <w:p w14:paraId="21C0806F" w14:textId="77777777" w:rsidR="00AF59DB" w:rsidRDefault="00AF59DB" w:rsidP="00E80310">
            <w:pPr>
              <w:pStyle w:val="NormalWeb"/>
              <w:jc w:val="center"/>
            </w:pPr>
            <w:r>
              <w:t>166.9</w:t>
            </w:r>
          </w:p>
        </w:tc>
        <w:tc>
          <w:tcPr>
            <w:tcW w:w="1139" w:type="dxa"/>
            <w:hideMark/>
          </w:tcPr>
          <w:p w14:paraId="710BDBCB" w14:textId="77777777" w:rsidR="00AF59DB" w:rsidRDefault="00AF59DB" w:rsidP="00E80310">
            <w:pPr>
              <w:pStyle w:val="NormalWeb"/>
              <w:jc w:val="center"/>
            </w:pPr>
            <w:r>
              <w:t>175.3</w:t>
            </w:r>
          </w:p>
        </w:tc>
      </w:tr>
      <w:tr w:rsidR="00AF59DB" w14:paraId="68B53D6D" w14:textId="77777777" w:rsidTr="00AF59DB">
        <w:tblPrEx>
          <w:tblCellMar>
            <w:top w:w="57" w:type="dxa"/>
            <w:left w:w="57" w:type="dxa"/>
            <w:bottom w:w="57" w:type="dxa"/>
            <w:right w:w="57" w:type="dxa"/>
          </w:tblCellMar>
        </w:tblPrEx>
        <w:tc>
          <w:tcPr>
            <w:tcW w:w="0" w:type="auto"/>
            <w:hideMark/>
          </w:tcPr>
          <w:p w14:paraId="4FEBDB3C" w14:textId="77777777" w:rsidR="00AF59DB" w:rsidRDefault="00AF59DB" w:rsidP="00E80310">
            <w:pPr>
              <w:pStyle w:val="NormalWeb"/>
            </w:pPr>
            <w:r>
              <w:t>80–89</w:t>
            </w:r>
          </w:p>
        </w:tc>
        <w:tc>
          <w:tcPr>
            <w:tcW w:w="1138" w:type="dxa"/>
            <w:hideMark/>
          </w:tcPr>
          <w:p w14:paraId="264660A5" w14:textId="77777777" w:rsidR="00AF59DB" w:rsidRDefault="00AF59DB" w:rsidP="00E80310">
            <w:pPr>
              <w:pStyle w:val="NormalWeb"/>
              <w:jc w:val="center"/>
            </w:pPr>
            <w:r>
              <w:t>226</w:t>
            </w:r>
          </w:p>
        </w:tc>
        <w:tc>
          <w:tcPr>
            <w:tcW w:w="1138" w:type="dxa"/>
            <w:hideMark/>
          </w:tcPr>
          <w:p w14:paraId="74F6573B" w14:textId="77777777" w:rsidR="00AF59DB" w:rsidRDefault="00AF59DB" w:rsidP="00E80310">
            <w:pPr>
              <w:pStyle w:val="NormalWeb"/>
              <w:jc w:val="center"/>
            </w:pPr>
            <w:r>
              <w:t>275</w:t>
            </w:r>
          </w:p>
        </w:tc>
        <w:tc>
          <w:tcPr>
            <w:tcW w:w="1138" w:type="dxa"/>
            <w:hideMark/>
          </w:tcPr>
          <w:p w14:paraId="297D629A" w14:textId="77777777" w:rsidR="00AF59DB" w:rsidRDefault="00AF59DB" w:rsidP="00E80310">
            <w:pPr>
              <w:pStyle w:val="NormalWeb"/>
              <w:jc w:val="center"/>
            </w:pPr>
            <w:r>
              <w:t>503</w:t>
            </w:r>
          </w:p>
        </w:tc>
        <w:tc>
          <w:tcPr>
            <w:tcW w:w="1139" w:type="dxa"/>
            <w:hideMark/>
          </w:tcPr>
          <w:p w14:paraId="4A3C84A3" w14:textId="77777777" w:rsidR="00AF59DB" w:rsidRDefault="00AF59DB" w:rsidP="00E80310">
            <w:pPr>
              <w:pStyle w:val="NormalWeb"/>
              <w:jc w:val="center"/>
            </w:pPr>
            <w:r>
              <w:t>61</w:t>
            </w:r>
          </w:p>
        </w:tc>
        <w:tc>
          <w:tcPr>
            <w:tcW w:w="1138" w:type="dxa"/>
            <w:hideMark/>
          </w:tcPr>
          <w:p w14:paraId="0EB94120" w14:textId="77777777" w:rsidR="00AF59DB" w:rsidRDefault="00AF59DB" w:rsidP="00E80310">
            <w:pPr>
              <w:pStyle w:val="NormalWeb"/>
              <w:jc w:val="center"/>
            </w:pPr>
            <w:r>
              <w:t>58</w:t>
            </w:r>
          </w:p>
        </w:tc>
        <w:tc>
          <w:tcPr>
            <w:tcW w:w="1138" w:type="dxa"/>
            <w:hideMark/>
          </w:tcPr>
          <w:p w14:paraId="74042F48" w14:textId="77777777" w:rsidR="00AF59DB" w:rsidRDefault="00AF59DB" w:rsidP="00E80310">
            <w:pPr>
              <w:pStyle w:val="NormalWeb"/>
              <w:jc w:val="center"/>
            </w:pPr>
            <w:r>
              <w:t>60</w:t>
            </w:r>
          </w:p>
        </w:tc>
        <w:tc>
          <w:tcPr>
            <w:tcW w:w="1138" w:type="dxa"/>
            <w:hideMark/>
          </w:tcPr>
          <w:p w14:paraId="5F96C202" w14:textId="77777777" w:rsidR="00AF59DB" w:rsidRDefault="00AF59DB" w:rsidP="00E80310">
            <w:pPr>
              <w:pStyle w:val="NormalWeb"/>
              <w:jc w:val="center"/>
            </w:pPr>
            <w:r>
              <w:t>801</w:t>
            </w:r>
          </w:p>
        </w:tc>
        <w:tc>
          <w:tcPr>
            <w:tcW w:w="1139" w:type="dxa"/>
            <w:hideMark/>
          </w:tcPr>
          <w:p w14:paraId="359DB373" w14:textId="77777777" w:rsidR="00AF59DB" w:rsidRDefault="00AF59DB" w:rsidP="00E80310">
            <w:pPr>
              <w:pStyle w:val="NormalWeb"/>
              <w:jc w:val="center"/>
            </w:pPr>
            <w:r>
              <w:t>878</w:t>
            </w:r>
          </w:p>
        </w:tc>
        <w:tc>
          <w:tcPr>
            <w:tcW w:w="1138" w:type="dxa"/>
            <w:hideMark/>
          </w:tcPr>
          <w:p w14:paraId="7DFA0BC1" w14:textId="77777777" w:rsidR="00AF59DB" w:rsidRDefault="00AF59DB" w:rsidP="00E80310">
            <w:pPr>
              <w:pStyle w:val="NormalWeb"/>
              <w:jc w:val="center"/>
            </w:pPr>
            <w:r>
              <w:t>1,688</w:t>
            </w:r>
          </w:p>
        </w:tc>
        <w:tc>
          <w:tcPr>
            <w:tcW w:w="1138" w:type="dxa"/>
            <w:hideMark/>
          </w:tcPr>
          <w:p w14:paraId="7CA1E82A" w14:textId="77777777" w:rsidR="00AF59DB" w:rsidRDefault="00AF59DB" w:rsidP="00E80310">
            <w:pPr>
              <w:pStyle w:val="NormalWeb"/>
              <w:jc w:val="center"/>
            </w:pPr>
            <w:r>
              <w:t>216.0</w:t>
            </w:r>
          </w:p>
        </w:tc>
        <w:tc>
          <w:tcPr>
            <w:tcW w:w="1138" w:type="dxa"/>
            <w:hideMark/>
          </w:tcPr>
          <w:p w14:paraId="6A54999A" w14:textId="77777777" w:rsidR="00AF59DB" w:rsidRDefault="00AF59DB" w:rsidP="00E80310">
            <w:pPr>
              <w:pStyle w:val="NormalWeb"/>
              <w:jc w:val="center"/>
            </w:pPr>
            <w:r>
              <w:t>185.3</w:t>
            </w:r>
          </w:p>
        </w:tc>
        <w:tc>
          <w:tcPr>
            <w:tcW w:w="1139" w:type="dxa"/>
            <w:hideMark/>
          </w:tcPr>
          <w:p w14:paraId="4A959D02" w14:textId="77777777" w:rsidR="00AF59DB" w:rsidRDefault="00AF59DB" w:rsidP="00E80310">
            <w:pPr>
              <w:pStyle w:val="NormalWeb"/>
              <w:jc w:val="center"/>
            </w:pPr>
            <w:r>
              <w:t>199.8</w:t>
            </w:r>
          </w:p>
        </w:tc>
      </w:tr>
      <w:tr w:rsidR="00AF59DB" w14:paraId="2CC533F9" w14:textId="77777777" w:rsidTr="00AF59D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C02676D" w14:textId="77777777" w:rsidR="00AF59DB" w:rsidRDefault="00AF59DB" w:rsidP="00E80310">
            <w:pPr>
              <w:pStyle w:val="NormalWeb"/>
            </w:pPr>
            <w:r>
              <w:t>90 and over</w:t>
            </w:r>
          </w:p>
        </w:tc>
        <w:tc>
          <w:tcPr>
            <w:tcW w:w="1138" w:type="dxa"/>
            <w:hideMark/>
          </w:tcPr>
          <w:p w14:paraId="5346787E" w14:textId="77777777" w:rsidR="00AF59DB" w:rsidRDefault="00AF59DB" w:rsidP="00E80310">
            <w:pPr>
              <w:pStyle w:val="NormalWeb"/>
              <w:jc w:val="center"/>
            </w:pPr>
            <w:r>
              <w:t>55</w:t>
            </w:r>
          </w:p>
        </w:tc>
        <w:tc>
          <w:tcPr>
            <w:tcW w:w="1138" w:type="dxa"/>
            <w:hideMark/>
          </w:tcPr>
          <w:p w14:paraId="518966F1" w14:textId="77777777" w:rsidR="00AF59DB" w:rsidRDefault="00AF59DB" w:rsidP="00E80310">
            <w:pPr>
              <w:pStyle w:val="NormalWeb"/>
              <w:jc w:val="center"/>
            </w:pPr>
            <w:r>
              <w:t>101</w:t>
            </w:r>
          </w:p>
        </w:tc>
        <w:tc>
          <w:tcPr>
            <w:tcW w:w="1138" w:type="dxa"/>
            <w:hideMark/>
          </w:tcPr>
          <w:p w14:paraId="1F3F1E58" w14:textId="77777777" w:rsidR="00AF59DB" w:rsidRDefault="00AF59DB" w:rsidP="00E80310">
            <w:pPr>
              <w:pStyle w:val="NormalWeb"/>
              <w:jc w:val="center"/>
            </w:pPr>
            <w:r>
              <w:t>157</w:t>
            </w:r>
          </w:p>
        </w:tc>
        <w:tc>
          <w:tcPr>
            <w:tcW w:w="1139" w:type="dxa"/>
            <w:hideMark/>
          </w:tcPr>
          <w:p w14:paraId="537BD3EF" w14:textId="77777777" w:rsidR="00AF59DB" w:rsidRDefault="00AF59DB" w:rsidP="00E80310">
            <w:pPr>
              <w:pStyle w:val="NormalWeb"/>
              <w:jc w:val="center"/>
            </w:pPr>
            <w:r>
              <w:t>75</w:t>
            </w:r>
          </w:p>
        </w:tc>
        <w:tc>
          <w:tcPr>
            <w:tcW w:w="1138" w:type="dxa"/>
            <w:hideMark/>
          </w:tcPr>
          <w:p w14:paraId="507E59FB" w14:textId="77777777" w:rsidR="00AF59DB" w:rsidRDefault="00AF59DB" w:rsidP="00E80310">
            <w:pPr>
              <w:pStyle w:val="NormalWeb"/>
              <w:jc w:val="center"/>
            </w:pPr>
            <w:r>
              <w:t>73</w:t>
            </w:r>
          </w:p>
        </w:tc>
        <w:tc>
          <w:tcPr>
            <w:tcW w:w="1138" w:type="dxa"/>
            <w:hideMark/>
          </w:tcPr>
          <w:p w14:paraId="1A4ECA14" w14:textId="77777777" w:rsidR="00AF59DB" w:rsidRDefault="00AF59DB" w:rsidP="00E80310">
            <w:pPr>
              <w:pStyle w:val="NormalWeb"/>
              <w:jc w:val="center"/>
            </w:pPr>
            <w:r>
              <w:t>74</w:t>
            </w:r>
          </w:p>
        </w:tc>
        <w:tc>
          <w:tcPr>
            <w:tcW w:w="1138" w:type="dxa"/>
            <w:hideMark/>
          </w:tcPr>
          <w:p w14:paraId="5BAB1736" w14:textId="77777777" w:rsidR="00AF59DB" w:rsidRDefault="00AF59DB" w:rsidP="00E80310">
            <w:pPr>
              <w:pStyle w:val="NormalWeb"/>
              <w:jc w:val="center"/>
            </w:pPr>
            <w:r>
              <w:t>162</w:t>
            </w:r>
          </w:p>
        </w:tc>
        <w:tc>
          <w:tcPr>
            <w:tcW w:w="1139" w:type="dxa"/>
            <w:hideMark/>
          </w:tcPr>
          <w:p w14:paraId="4DA66A6D" w14:textId="77777777" w:rsidR="00AF59DB" w:rsidRDefault="00AF59DB" w:rsidP="00E80310">
            <w:pPr>
              <w:pStyle w:val="NormalWeb"/>
              <w:jc w:val="center"/>
            </w:pPr>
            <w:r>
              <w:t>291</w:t>
            </w:r>
          </w:p>
        </w:tc>
        <w:tc>
          <w:tcPr>
            <w:tcW w:w="1138" w:type="dxa"/>
            <w:hideMark/>
          </w:tcPr>
          <w:p w14:paraId="044DC273" w14:textId="77777777" w:rsidR="00AF59DB" w:rsidRDefault="00AF59DB" w:rsidP="00E80310">
            <w:pPr>
              <w:pStyle w:val="NormalWeb"/>
              <w:jc w:val="center"/>
            </w:pPr>
            <w:r>
              <w:t>454</w:t>
            </w:r>
          </w:p>
        </w:tc>
        <w:tc>
          <w:tcPr>
            <w:tcW w:w="1138" w:type="dxa"/>
            <w:hideMark/>
          </w:tcPr>
          <w:p w14:paraId="36296A01" w14:textId="77777777" w:rsidR="00AF59DB" w:rsidRDefault="00AF59DB" w:rsidP="00E80310">
            <w:pPr>
              <w:pStyle w:val="NormalWeb"/>
              <w:jc w:val="center"/>
            </w:pPr>
            <w:r>
              <w:t>221.3</w:t>
            </w:r>
          </w:p>
        </w:tc>
        <w:tc>
          <w:tcPr>
            <w:tcW w:w="1138" w:type="dxa"/>
            <w:hideMark/>
          </w:tcPr>
          <w:p w14:paraId="6DD472FD" w14:textId="77777777" w:rsidR="00AF59DB" w:rsidRDefault="00AF59DB" w:rsidP="00E80310">
            <w:pPr>
              <w:pStyle w:val="NormalWeb"/>
              <w:jc w:val="center"/>
            </w:pPr>
            <w:r>
              <w:t>210.6</w:t>
            </w:r>
          </w:p>
        </w:tc>
        <w:tc>
          <w:tcPr>
            <w:tcW w:w="1139" w:type="dxa"/>
            <w:hideMark/>
          </w:tcPr>
          <w:p w14:paraId="0A4C50D2" w14:textId="77777777" w:rsidR="00AF59DB" w:rsidRDefault="00AF59DB" w:rsidP="00E80310">
            <w:pPr>
              <w:pStyle w:val="NormalWeb"/>
              <w:jc w:val="center"/>
            </w:pPr>
            <w:r>
              <w:t>214.8</w:t>
            </w:r>
          </w:p>
        </w:tc>
      </w:tr>
    </w:tbl>
    <w:p w14:paraId="2467AD54" w14:textId="77777777" w:rsidR="00AF59DB" w:rsidRDefault="00AF59DB" w:rsidP="00AF59DB">
      <w:pPr>
        <w:pStyle w:val="CDIfootnotes"/>
        <w:rPr>
          <w:lang w:val="en-GB"/>
        </w:rPr>
      </w:pPr>
      <w:r>
        <w:rPr>
          <w:lang w:val="en-GB"/>
        </w:rPr>
        <w:t>a</w:t>
      </w:r>
      <w:r>
        <w:rPr>
          <w:lang w:val="en-GB"/>
        </w:rPr>
        <w:tab/>
        <w:t>Source: NINDSS, extract from 26 October 2021 for notifications up to 24 October 2021. Excludes cases where age or sex data is missing.</w:t>
      </w:r>
    </w:p>
    <w:p w14:paraId="38712923" w14:textId="77777777" w:rsidR="00AF59DB" w:rsidRDefault="00AF59DB" w:rsidP="00AF59DB">
      <w:pPr>
        <w:pStyle w:val="CDIfootnotes"/>
        <w:rPr>
          <w:lang w:val="en-GB"/>
        </w:rPr>
      </w:pPr>
      <w:r>
        <w:rPr>
          <w:lang w:val="en-GB"/>
        </w:rPr>
        <w:t>b</w:t>
      </w:r>
      <w:r>
        <w:rPr>
          <w:lang w:val="en-GB"/>
        </w:rPr>
        <w:tab/>
        <w:t>Population data based on Australian Bureau of Statistics (ABS) Estimated Resident Population (ERP) as at June 2020.</w:t>
      </w:r>
    </w:p>
    <w:p w14:paraId="6843F157" w14:textId="77777777" w:rsidR="00AF59DB" w:rsidRDefault="00AF59DB" w:rsidP="00AF59DB">
      <w:pPr>
        <w:pStyle w:val="CDIfootnotes"/>
        <w:rPr>
          <w:lang w:val="en-GB"/>
        </w:rPr>
      </w:pPr>
      <w:r>
        <w:rPr>
          <w:lang w:val="en-GB"/>
        </w:rPr>
        <w:t>c</w:t>
      </w:r>
      <w:r>
        <w:rPr>
          <w:lang w:val="en-GB"/>
        </w:rPr>
        <w:tab/>
        <w:t>Note the change to focus on rates in this year only. For cumulative rates since the beginning of the epidemic in Australia, readers are encouraged to consult previous reports.</w:t>
      </w:r>
    </w:p>
    <w:p w14:paraId="6CB269B9" w14:textId="77777777" w:rsidR="00AF59DB" w:rsidRDefault="00AF59DB">
      <w:pPr>
        <w:rPr>
          <w:rStyle w:val="A10"/>
        </w:rPr>
        <w:sectPr w:rsidR="00AF59DB" w:rsidSect="00AF59DB">
          <w:footnotePr>
            <w:numFmt w:val="lowerRoman"/>
          </w:footnotePr>
          <w:pgSz w:w="16838" w:h="11906" w:orient="landscape"/>
          <w:pgMar w:top="720" w:right="720" w:bottom="720" w:left="1134" w:header="709" w:footer="284" w:gutter="0"/>
          <w:cols w:space="708"/>
          <w:titlePg/>
          <w:docGrid w:linePitch="360"/>
        </w:sectPr>
      </w:pPr>
    </w:p>
    <w:p w14:paraId="7B23F0C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CD95D1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9D4D775" w14:textId="77777777" w:rsidR="000A5F42" w:rsidRPr="000606CC" w:rsidRDefault="000A5F42" w:rsidP="000A5F42">
      <w:pPr>
        <w:pStyle w:val="NoSpacing"/>
        <w:rPr>
          <w:rStyle w:val="URI"/>
          <w:rFonts w:cstheme="minorHAnsi"/>
          <w:sz w:val="20"/>
          <w:szCs w:val="18"/>
        </w:rPr>
      </w:pPr>
    </w:p>
    <w:p w14:paraId="655A5B6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6714539" w14:textId="77777777" w:rsidR="000A5F42" w:rsidRPr="000606CC" w:rsidRDefault="000A5F42" w:rsidP="000A5F42">
      <w:pPr>
        <w:pStyle w:val="NoSpacing"/>
        <w:rPr>
          <w:rStyle w:val="Strong"/>
          <w:rFonts w:cstheme="minorHAnsi"/>
          <w:sz w:val="20"/>
          <w:szCs w:val="18"/>
        </w:rPr>
      </w:pPr>
    </w:p>
    <w:p w14:paraId="52798E7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1C5C827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405F16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30A3AD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A80BFE0" w14:textId="77777777" w:rsidR="000A5F42" w:rsidRPr="000606CC" w:rsidRDefault="000A5F42" w:rsidP="000A5F42">
      <w:pPr>
        <w:pStyle w:val="NoSpacing"/>
        <w:rPr>
          <w:rStyle w:val="Strong"/>
          <w:rFonts w:cstheme="minorHAnsi"/>
          <w:sz w:val="20"/>
          <w:szCs w:val="18"/>
        </w:rPr>
      </w:pPr>
    </w:p>
    <w:p w14:paraId="084D9F76" w14:textId="1AED949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4EB365B" w14:textId="77777777" w:rsidR="000A5F42" w:rsidRPr="000606CC" w:rsidRDefault="000A5F42" w:rsidP="000A5F42">
      <w:pPr>
        <w:pStyle w:val="NoSpacing"/>
        <w:rPr>
          <w:rStyle w:val="Strong"/>
          <w:rFonts w:cstheme="minorHAnsi"/>
          <w:sz w:val="20"/>
          <w:szCs w:val="18"/>
        </w:rPr>
      </w:pPr>
    </w:p>
    <w:p w14:paraId="6E90F54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A1EBC26" w14:textId="77777777" w:rsidR="000A5F42" w:rsidRPr="000606CC" w:rsidRDefault="000A5F42" w:rsidP="000A5F42">
      <w:pPr>
        <w:pStyle w:val="NoSpacing"/>
        <w:rPr>
          <w:rStyle w:val="Strong"/>
          <w:rFonts w:cstheme="minorHAnsi"/>
          <w:sz w:val="20"/>
          <w:szCs w:val="18"/>
        </w:rPr>
      </w:pPr>
    </w:p>
    <w:p w14:paraId="1824D45A" w14:textId="35F27B9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7F32C4D" w14:textId="77777777" w:rsidR="000A5F42" w:rsidRPr="000606CC" w:rsidRDefault="000A5F42" w:rsidP="000A5F42">
      <w:pPr>
        <w:pStyle w:val="NoSpacing"/>
        <w:rPr>
          <w:rStyle w:val="Strong"/>
          <w:rFonts w:cstheme="minorHAnsi"/>
          <w:sz w:val="20"/>
          <w:szCs w:val="18"/>
        </w:rPr>
      </w:pPr>
    </w:p>
    <w:p w14:paraId="26F77B3D" w14:textId="6C86A8CE"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F3F90E6" w14:textId="5FCF974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44A6BB2B" w14:textId="77777777" w:rsidR="000A5F42" w:rsidRPr="000606CC" w:rsidRDefault="000A5F42" w:rsidP="000A5F42">
      <w:pPr>
        <w:pStyle w:val="NoSpacing"/>
        <w:pBdr>
          <w:bottom w:val="single" w:sz="6" w:space="1" w:color="auto"/>
        </w:pBdr>
        <w:rPr>
          <w:rStyle w:val="Strong"/>
          <w:rFonts w:cstheme="minorHAnsi"/>
          <w:sz w:val="12"/>
          <w:szCs w:val="18"/>
        </w:rPr>
      </w:pPr>
    </w:p>
    <w:p w14:paraId="4B6744F3" w14:textId="77777777" w:rsidR="000A5F42" w:rsidRPr="000606CC" w:rsidRDefault="000A5F42" w:rsidP="000A5F42">
      <w:pPr>
        <w:pStyle w:val="NoSpacing"/>
        <w:rPr>
          <w:rFonts w:cstheme="minorHAnsi"/>
          <w:sz w:val="20"/>
          <w:szCs w:val="18"/>
        </w:rPr>
      </w:pPr>
    </w:p>
    <w:p w14:paraId="53CD006F"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A967A36" w14:textId="77777777" w:rsidR="000A5F42" w:rsidRPr="000606CC" w:rsidRDefault="000A5F42" w:rsidP="000A5F42">
      <w:pPr>
        <w:pStyle w:val="NoSpacing"/>
        <w:rPr>
          <w:rFonts w:cstheme="minorHAnsi"/>
          <w:sz w:val="20"/>
          <w:szCs w:val="18"/>
        </w:rPr>
      </w:pPr>
    </w:p>
    <w:p w14:paraId="79DB6C4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1D64AB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44FC5339" w14:textId="26EFA86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F119357" w14:textId="77777777" w:rsidR="000A5F42" w:rsidRPr="000606CC" w:rsidRDefault="000A5F42" w:rsidP="000A5F42">
      <w:pPr>
        <w:pStyle w:val="NoSpacing"/>
        <w:rPr>
          <w:rFonts w:cstheme="minorHAnsi"/>
          <w:sz w:val="20"/>
          <w:szCs w:val="18"/>
        </w:rPr>
      </w:pPr>
    </w:p>
    <w:p w14:paraId="004E3E1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4B07E6C" w14:textId="1063DA6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1EEEA6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5A41CC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3F00B0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AE4E3F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A0B3AD2" w14:textId="77777777" w:rsidR="000A5F42" w:rsidRPr="000606CC" w:rsidRDefault="000A5F42" w:rsidP="000A5F42">
      <w:pPr>
        <w:pStyle w:val="NoSpacing"/>
        <w:rPr>
          <w:rStyle w:val="Strong"/>
          <w:rFonts w:cstheme="minorHAnsi"/>
          <w:sz w:val="20"/>
          <w:szCs w:val="18"/>
        </w:rPr>
      </w:pPr>
    </w:p>
    <w:p w14:paraId="1BDC894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68BD796" w14:textId="77777777" w:rsidR="000A5F42" w:rsidRPr="000606CC" w:rsidRDefault="000A5F42" w:rsidP="000A5F42">
      <w:pPr>
        <w:pStyle w:val="NoSpacing"/>
        <w:rPr>
          <w:rStyle w:val="Strong"/>
          <w:rFonts w:cstheme="minorHAnsi"/>
          <w:sz w:val="20"/>
          <w:szCs w:val="18"/>
        </w:rPr>
      </w:pPr>
    </w:p>
    <w:p w14:paraId="6DDA916C" w14:textId="4EA7AD7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509C6DB" w14:textId="77777777" w:rsidR="000A5F42" w:rsidRPr="000606CC" w:rsidRDefault="000A5F42" w:rsidP="000A5F42">
      <w:pPr>
        <w:pStyle w:val="NoSpacing"/>
        <w:rPr>
          <w:rStyle w:val="URI"/>
          <w:rFonts w:cstheme="minorHAnsi"/>
          <w:sz w:val="20"/>
          <w:szCs w:val="18"/>
        </w:rPr>
      </w:pPr>
    </w:p>
    <w:p w14:paraId="131EABAF" w14:textId="4B7E8A4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1AAD1040"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8D888" w14:textId="77777777" w:rsidR="00E80310" w:rsidRDefault="00E80310" w:rsidP="00E54DBA">
      <w:r>
        <w:separator/>
      </w:r>
    </w:p>
    <w:p w14:paraId="1747D843" w14:textId="77777777" w:rsidR="00E80310" w:rsidRDefault="00E80310"/>
    <w:p w14:paraId="3A4049BF" w14:textId="77777777" w:rsidR="00E80310" w:rsidRDefault="00E80310" w:rsidP="008714B0"/>
  </w:endnote>
  <w:endnote w:type="continuationSeparator" w:id="0">
    <w:p w14:paraId="4B1321E3" w14:textId="77777777" w:rsidR="00E80310" w:rsidRDefault="00E80310" w:rsidP="00E54DBA">
      <w:r>
        <w:continuationSeparator/>
      </w:r>
    </w:p>
    <w:p w14:paraId="3807E69E" w14:textId="77777777" w:rsidR="00E80310" w:rsidRDefault="00E80310"/>
    <w:p w14:paraId="22271D7B" w14:textId="77777777" w:rsidR="00E80310" w:rsidRDefault="00E8031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4BB3E" w14:textId="0829966E" w:rsidR="00E80310" w:rsidRPr="0042435E" w:rsidRDefault="00E80310"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98673B">
      <w:rPr>
        <w:i/>
        <w:sz w:val="18"/>
      </w:rPr>
      <w:t>Commun</w:t>
    </w:r>
    <w:proofErr w:type="spellEnd"/>
    <w:r w:rsidRPr="0098673B">
      <w:rPr>
        <w:i/>
        <w:sz w:val="18"/>
      </w:rPr>
      <w:t xml:space="preserve"> Dis </w:t>
    </w:r>
    <w:proofErr w:type="spellStart"/>
    <w:r w:rsidRPr="0098673B">
      <w:rPr>
        <w:i/>
        <w:sz w:val="18"/>
      </w:rPr>
      <w:t>Intell</w:t>
    </w:r>
    <w:proofErr w:type="spellEnd"/>
    <w:r w:rsidRPr="0098673B">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https://doi.org/10.33321/cdi.2021.45.61</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114C84">
      <w:rPr>
        <w:sz w:val="18"/>
      </w:rPr>
      <w:t>8/11/2021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E0FFA" w14:textId="661BFE20" w:rsidR="00E80310" w:rsidRPr="00BB5378" w:rsidRDefault="00E80310"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98673B">
      <w:rPr>
        <w:i/>
        <w:sz w:val="18"/>
      </w:rPr>
      <w:t>Commun</w:t>
    </w:r>
    <w:proofErr w:type="spellEnd"/>
    <w:r w:rsidRPr="0098673B">
      <w:rPr>
        <w:i/>
        <w:sz w:val="18"/>
      </w:rPr>
      <w:t xml:space="preserve"> Dis </w:t>
    </w:r>
    <w:proofErr w:type="spellStart"/>
    <w:r w:rsidRPr="0098673B">
      <w:rPr>
        <w:i/>
        <w:sz w:val="18"/>
      </w:rPr>
      <w:t>Intell</w:t>
    </w:r>
    <w:proofErr w:type="spellEnd"/>
    <w:r w:rsidRPr="0098673B">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https://doi.org/10.33321/cdi.2021.45.61</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114C84">
      <w:rPr>
        <w:sz w:val="18"/>
      </w:rPr>
      <w:t>8/11/2021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51926" w14:textId="77777777" w:rsidR="00E80310" w:rsidRPr="00B91FB5" w:rsidRDefault="00E80310" w:rsidP="00B91FB5">
      <w:pPr>
        <w:spacing w:after="0" w:line="240" w:lineRule="auto"/>
        <w:rPr>
          <w:sz w:val="18"/>
          <w:szCs w:val="18"/>
        </w:rPr>
      </w:pPr>
      <w:r w:rsidRPr="00B91FB5">
        <w:rPr>
          <w:sz w:val="18"/>
          <w:szCs w:val="18"/>
        </w:rPr>
        <w:separator/>
      </w:r>
    </w:p>
  </w:footnote>
  <w:footnote w:type="continuationSeparator" w:id="0">
    <w:p w14:paraId="50612B49" w14:textId="77777777" w:rsidR="00E80310" w:rsidRDefault="00E80310" w:rsidP="00E54DBA">
      <w:r>
        <w:continuationSeparator/>
      </w:r>
    </w:p>
  </w:footnote>
  <w:footnote w:type="continuationNotice" w:id="1">
    <w:p w14:paraId="66E4B5B0" w14:textId="77777777" w:rsidR="00E80310" w:rsidRPr="00224EFF" w:rsidRDefault="00E80310" w:rsidP="00224EFF">
      <w:pPr>
        <w:pStyle w:val="Footer"/>
      </w:pPr>
    </w:p>
  </w:footnote>
  <w:footnote w:id="2">
    <w:p w14:paraId="6E77616D" w14:textId="1143BB09" w:rsidR="00E80310" w:rsidRPr="00EE6DF4" w:rsidRDefault="00E80310" w:rsidP="00EE6DF4">
      <w:pPr>
        <w:pStyle w:val="CDIfootnotes"/>
      </w:pPr>
      <w:r w:rsidRPr="00EE6DF4">
        <w:rPr>
          <w:rStyle w:val="FootnoteReference"/>
          <w:vertAlign w:val="baseline"/>
        </w:rPr>
        <w:footnoteRef/>
      </w:r>
      <w:r w:rsidRPr="00EE6DF4">
        <w:tab/>
        <w:t>https://www.health.gov.au/news/health-alerts/novel-coronavirus-2019-ncov-health-alert#local-outbreak-information.</w:t>
      </w:r>
    </w:p>
  </w:footnote>
  <w:footnote w:id="3">
    <w:p w14:paraId="0F038584" w14:textId="038D8822" w:rsidR="00E80310" w:rsidRPr="004D4707" w:rsidRDefault="00E80310" w:rsidP="004D4707">
      <w:pPr>
        <w:pStyle w:val="CDIfootnotes"/>
      </w:pPr>
      <w:r w:rsidRPr="004D4707">
        <w:rPr>
          <w:rStyle w:val="FootnoteReference"/>
          <w:vertAlign w:val="baseline"/>
        </w:rPr>
        <w:footnoteRef/>
      </w:r>
      <w:r w:rsidRPr="004D4707">
        <w:tab/>
        <w:t>https://www.who.int/emergencies/diseases/novel-coronavirus-2019/situation-reports/.</w:t>
      </w:r>
    </w:p>
  </w:footnote>
  <w:footnote w:id="4">
    <w:p w14:paraId="5F6EB89C" w14:textId="5DC8769A" w:rsidR="00E80310" w:rsidRPr="006F5BC2" w:rsidRDefault="00E80310" w:rsidP="006F5BC2">
      <w:pPr>
        <w:pStyle w:val="CDIfootnotes"/>
      </w:pPr>
      <w:r w:rsidRPr="006F5BC2">
        <w:rPr>
          <w:rStyle w:val="FootnoteReference"/>
          <w:vertAlign w:val="baseline"/>
        </w:rPr>
        <w:footnoteRef/>
      </w:r>
      <w:r>
        <w:tab/>
      </w:r>
      <w:r w:rsidRPr="006F5BC2">
        <w:t>https://www.health.gov.au/news/health-alerts/novel-coronavirus-2019-ncov-health-alert/coronavirus-covid-19-current-situation-and-case-numbers.</w:t>
      </w:r>
    </w:p>
  </w:footnote>
  <w:footnote w:id="5">
    <w:p w14:paraId="0B0D63D7" w14:textId="11A9ED97" w:rsidR="00E80310" w:rsidRPr="00376A6A" w:rsidRDefault="00E80310" w:rsidP="00376A6A">
      <w:pPr>
        <w:pStyle w:val="CDIfootnotes"/>
      </w:pPr>
      <w:r w:rsidRPr="00376A6A">
        <w:rPr>
          <w:rStyle w:val="FootnoteReference"/>
          <w:vertAlign w:val="baseline"/>
        </w:rPr>
        <w:footnoteRef/>
      </w:r>
      <w:r>
        <w:tab/>
      </w:r>
      <w:r w:rsidRPr="00376A6A">
        <w:t>Previously known as the National Notifiable Diseases Surveillance System (NNDSS).</w:t>
      </w:r>
    </w:p>
  </w:footnote>
  <w:footnote w:id="6">
    <w:p w14:paraId="44991E64" w14:textId="1B2DABA8" w:rsidR="00E80310" w:rsidRPr="00D757BC" w:rsidRDefault="00E80310" w:rsidP="00D757BC">
      <w:pPr>
        <w:pStyle w:val="CDIfootnotes"/>
      </w:pPr>
      <w:r w:rsidRPr="00D757BC">
        <w:rPr>
          <w:rStyle w:val="FootnoteReference"/>
          <w:vertAlign w:val="baseline"/>
        </w:rPr>
        <w:footnoteRef/>
      </w:r>
      <w:r w:rsidRPr="00D757BC">
        <w:tab/>
        <w:t xml:space="preserve">Almost all cases under initial investigation are known to be locally acquired. Therefore, case numbers and rates of </w:t>
      </w:r>
      <w:proofErr w:type="gramStart"/>
      <w:r w:rsidRPr="00D757BC">
        <w:t>locally-acquired</w:t>
      </w:r>
      <w:proofErr w:type="gramEnd"/>
      <w:r w:rsidRPr="00D757BC">
        <w:t xml:space="preserve"> cases reported in this section include cases under initial investigation. The inclusion of cases under initial investigation among jurisdictional locally-acquired case totals differs from the data analysis in reports prior to and including report 50, and represents also a minor change in practice from report 51, in which cases missing a source of acquisition were also included among cases considered to be locally acquired. Accordingly, comparison of </w:t>
      </w:r>
      <w:proofErr w:type="gramStart"/>
      <w:r w:rsidRPr="00D757BC">
        <w:t>locally-acquired</w:t>
      </w:r>
      <w:proofErr w:type="gramEnd"/>
      <w:r w:rsidRPr="00D757BC">
        <w:t xml:space="preserve"> case numbers and case rates from this report with values tabulated in previous reports should be undertaken with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C2BD" w14:textId="16B4081A" w:rsidR="00E80310" w:rsidRPr="00A153B6" w:rsidRDefault="00354A2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80310">
          <w:t>Surveillance summary</w:t>
        </w:r>
      </w:sdtContent>
    </w:sdt>
    <w:r w:rsidR="00E80310">
      <w:ptab w:relativeTo="margin" w:alignment="right" w:leader="none"/>
    </w:r>
    <w:r w:rsidR="00E80310"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C044A" w14:textId="77777777" w:rsidR="00E80310" w:rsidRPr="000A5F42" w:rsidRDefault="00E80310" w:rsidP="000A5F42">
    <w:pPr>
      <w:pStyle w:val="Header"/>
      <w:jc w:val="center"/>
      <w:rPr>
        <w:b/>
      </w:rPr>
    </w:pPr>
    <w:r w:rsidRPr="00E810C5">
      <w:rPr>
        <w:rFonts w:cs="Myriad Pro"/>
        <w:noProof/>
        <w:color w:val="211D1E"/>
        <w:sz w:val="16"/>
      </w:rPr>
      <w:drawing>
        <wp:inline distT="0" distB="0" distL="0" distR="0" wp14:anchorId="741E66FC" wp14:editId="4D61CC81">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2608"/>
    <w:multiLevelType w:val="multilevel"/>
    <w:tmpl w:val="52EC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0B3E2E"/>
    <w:multiLevelType w:val="hybridMultilevel"/>
    <w:tmpl w:val="31784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C"/>
    <w:rsid w:val="00000B5B"/>
    <w:rsid w:val="00001611"/>
    <w:rsid w:val="00004BC7"/>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2A87"/>
    <w:rsid w:val="000864E0"/>
    <w:rsid w:val="000969B3"/>
    <w:rsid w:val="000A5F42"/>
    <w:rsid w:val="000D4B4D"/>
    <w:rsid w:val="00113D58"/>
    <w:rsid w:val="00114C84"/>
    <w:rsid w:val="001200CB"/>
    <w:rsid w:val="00122DF7"/>
    <w:rsid w:val="001365EF"/>
    <w:rsid w:val="001378A3"/>
    <w:rsid w:val="00155582"/>
    <w:rsid w:val="00161590"/>
    <w:rsid w:val="00171CC0"/>
    <w:rsid w:val="00175494"/>
    <w:rsid w:val="00175629"/>
    <w:rsid w:val="001830EC"/>
    <w:rsid w:val="00183534"/>
    <w:rsid w:val="00186F08"/>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C3600"/>
    <w:rsid w:val="002E2FB3"/>
    <w:rsid w:val="002F327B"/>
    <w:rsid w:val="00301626"/>
    <w:rsid w:val="003059EC"/>
    <w:rsid w:val="00316CCD"/>
    <w:rsid w:val="00324F7E"/>
    <w:rsid w:val="00327B7C"/>
    <w:rsid w:val="003323BC"/>
    <w:rsid w:val="00346D42"/>
    <w:rsid w:val="00346E11"/>
    <w:rsid w:val="00354A27"/>
    <w:rsid w:val="003601C0"/>
    <w:rsid w:val="003635F5"/>
    <w:rsid w:val="00372A88"/>
    <w:rsid w:val="00376A6A"/>
    <w:rsid w:val="00381A0F"/>
    <w:rsid w:val="003A1B3A"/>
    <w:rsid w:val="003A28A2"/>
    <w:rsid w:val="003A40F5"/>
    <w:rsid w:val="003A5481"/>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41342"/>
    <w:rsid w:val="004426D3"/>
    <w:rsid w:val="00464A58"/>
    <w:rsid w:val="00473D2D"/>
    <w:rsid w:val="00487832"/>
    <w:rsid w:val="004A2125"/>
    <w:rsid w:val="004A38F6"/>
    <w:rsid w:val="004B4EB6"/>
    <w:rsid w:val="004C083C"/>
    <w:rsid w:val="004C67C6"/>
    <w:rsid w:val="004D29DE"/>
    <w:rsid w:val="004D4707"/>
    <w:rsid w:val="00506B6C"/>
    <w:rsid w:val="00510EAC"/>
    <w:rsid w:val="00542A57"/>
    <w:rsid w:val="00565974"/>
    <w:rsid w:val="005732C0"/>
    <w:rsid w:val="0057336D"/>
    <w:rsid w:val="0057489A"/>
    <w:rsid w:val="00574ACF"/>
    <w:rsid w:val="00581588"/>
    <w:rsid w:val="0058540B"/>
    <w:rsid w:val="005870BC"/>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0063"/>
    <w:rsid w:val="006151AD"/>
    <w:rsid w:val="00620768"/>
    <w:rsid w:val="0062594B"/>
    <w:rsid w:val="00631406"/>
    <w:rsid w:val="006324FF"/>
    <w:rsid w:val="00633079"/>
    <w:rsid w:val="006351D6"/>
    <w:rsid w:val="00636E0D"/>
    <w:rsid w:val="0064142F"/>
    <w:rsid w:val="00643CB4"/>
    <w:rsid w:val="00656427"/>
    <w:rsid w:val="00660255"/>
    <w:rsid w:val="006971F3"/>
    <w:rsid w:val="006C74A3"/>
    <w:rsid w:val="006D1381"/>
    <w:rsid w:val="006D31BC"/>
    <w:rsid w:val="006E65D9"/>
    <w:rsid w:val="006E7943"/>
    <w:rsid w:val="006F24EA"/>
    <w:rsid w:val="006F5BC2"/>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392B"/>
    <w:rsid w:val="007F0B93"/>
    <w:rsid w:val="007F2ECA"/>
    <w:rsid w:val="00811708"/>
    <w:rsid w:val="00816B90"/>
    <w:rsid w:val="00817799"/>
    <w:rsid w:val="00822F5F"/>
    <w:rsid w:val="00824FD3"/>
    <w:rsid w:val="00826589"/>
    <w:rsid w:val="00834BCC"/>
    <w:rsid w:val="00850D54"/>
    <w:rsid w:val="008714B0"/>
    <w:rsid w:val="00875334"/>
    <w:rsid w:val="00876331"/>
    <w:rsid w:val="00880726"/>
    <w:rsid w:val="00885944"/>
    <w:rsid w:val="0089085A"/>
    <w:rsid w:val="008A3544"/>
    <w:rsid w:val="008B48B8"/>
    <w:rsid w:val="008B5348"/>
    <w:rsid w:val="008B58F8"/>
    <w:rsid w:val="008C0712"/>
    <w:rsid w:val="008C4520"/>
    <w:rsid w:val="008C5F09"/>
    <w:rsid w:val="008D470F"/>
    <w:rsid w:val="008E1F8F"/>
    <w:rsid w:val="008E4768"/>
    <w:rsid w:val="008E51C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771FE"/>
    <w:rsid w:val="0098119A"/>
    <w:rsid w:val="00984AAF"/>
    <w:rsid w:val="0098673B"/>
    <w:rsid w:val="00991B09"/>
    <w:rsid w:val="00993CB2"/>
    <w:rsid w:val="00994B28"/>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4641"/>
    <w:rsid w:val="00A86F9A"/>
    <w:rsid w:val="00A9341D"/>
    <w:rsid w:val="00AA1F83"/>
    <w:rsid w:val="00AA35E6"/>
    <w:rsid w:val="00AA50B6"/>
    <w:rsid w:val="00AB09CC"/>
    <w:rsid w:val="00AB3472"/>
    <w:rsid w:val="00AD0762"/>
    <w:rsid w:val="00AE3DCF"/>
    <w:rsid w:val="00AE4452"/>
    <w:rsid w:val="00AE7C38"/>
    <w:rsid w:val="00AF59DB"/>
    <w:rsid w:val="00B01F99"/>
    <w:rsid w:val="00B02B37"/>
    <w:rsid w:val="00B04E2C"/>
    <w:rsid w:val="00B05276"/>
    <w:rsid w:val="00B132DB"/>
    <w:rsid w:val="00B21FAB"/>
    <w:rsid w:val="00B31427"/>
    <w:rsid w:val="00B33861"/>
    <w:rsid w:val="00B40DE2"/>
    <w:rsid w:val="00B50210"/>
    <w:rsid w:val="00B53955"/>
    <w:rsid w:val="00B6408A"/>
    <w:rsid w:val="00B714B8"/>
    <w:rsid w:val="00B72FCD"/>
    <w:rsid w:val="00B82C2C"/>
    <w:rsid w:val="00B8720B"/>
    <w:rsid w:val="00B876EF"/>
    <w:rsid w:val="00B91FB5"/>
    <w:rsid w:val="00BA4697"/>
    <w:rsid w:val="00BB5378"/>
    <w:rsid w:val="00BB5CC7"/>
    <w:rsid w:val="00BC0BD3"/>
    <w:rsid w:val="00BD0107"/>
    <w:rsid w:val="00BE0C33"/>
    <w:rsid w:val="00BE262C"/>
    <w:rsid w:val="00BE6C3D"/>
    <w:rsid w:val="00C07606"/>
    <w:rsid w:val="00C12542"/>
    <w:rsid w:val="00C24725"/>
    <w:rsid w:val="00C30BA9"/>
    <w:rsid w:val="00C30C27"/>
    <w:rsid w:val="00C3541E"/>
    <w:rsid w:val="00C36A8F"/>
    <w:rsid w:val="00C42834"/>
    <w:rsid w:val="00C42FFA"/>
    <w:rsid w:val="00C507D8"/>
    <w:rsid w:val="00C53234"/>
    <w:rsid w:val="00C62EAC"/>
    <w:rsid w:val="00C63F9F"/>
    <w:rsid w:val="00C7723C"/>
    <w:rsid w:val="00C838F5"/>
    <w:rsid w:val="00C841C0"/>
    <w:rsid w:val="00CA1AF4"/>
    <w:rsid w:val="00CA6068"/>
    <w:rsid w:val="00CB15E1"/>
    <w:rsid w:val="00CB3D46"/>
    <w:rsid w:val="00CB5580"/>
    <w:rsid w:val="00CD1A87"/>
    <w:rsid w:val="00CD35F3"/>
    <w:rsid w:val="00CD5C93"/>
    <w:rsid w:val="00CE342B"/>
    <w:rsid w:val="00CF320C"/>
    <w:rsid w:val="00CF3A4B"/>
    <w:rsid w:val="00CF4001"/>
    <w:rsid w:val="00D05837"/>
    <w:rsid w:val="00D12D8A"/>
    <w:rsid w:val="00D13E0C"/>
    <w:rsid w:val="00D25896"/>
    <w:rsid w:val="00D318D8"/>
    <w:rsid w:val="00D373A1"/>
    <w:rsid w:val="00D37C0F"/>
    <w:rsid w:val="00D45661"/>
    <w:rsid w:val="00D45943"/>
    <w:rsid w:val="00D47D22"/>
    <w:rsid w:val="00D51865"/>
    <w:rsid w:val="00D51D0C"/>
    <w:rsid w:val="00D74140"/>
    <w:rsid w:val="00D757BC"/>
    <w:rsid w:val="00DA6E56"/>
    <w:rsid w:val="00DC24E5"/>
    <w:rsid w:val="00DC6705"/>
    <w:rsid w:val="00DD2DE8"/>
    <w:rsid w:val="00DE38B4"/>
    <w:rsid w:val="00DE5D02"/>
    <w:rsid w:val="00E005A9"/>
    <w:rsid w:val="00E1166E"/>
    <w:rsid w:val="00E24DC0"/>
    <w:rsid w:val="00E2519C"/>
    <w:rsid w:val="00E25F2A"/>
    <w:rsid w:val="00E41455"/>
    <w:rsid w:val="00E42AD2"/>
    <w:rsid w:val="00E4771D"/>
    <w:rsid w:val="00E50856"/>
    <w:rsid w:val="00E538CC"/>
    <w:rsid w:val="00E54BBD"/>
    <w:rsid w:val="00E54DBA"/>
    <w:rsid w:val="00E63D7C"/>
    <w:rsid w:val="00E640D5"/>
    <w:rsid w:val="00E66E2E"/>
    <w:rsid w:val="00E67691"/>
    <w:rsid w:val="00E80310"/>
    <w:rsid w:val="00E80F6F"/>
    <w:rsid w:val="00E90943"/>
    <w:rsid w:val="00E92237"/>
    <w:rsid w:val="00E951EF"/>
    <w:rsid w:val="00EA3D54"/>
    <w:rsid w:val="00EA56D9"/>
    <w:rsid w:val="00EA5CE3"/>
    <w:rsid w:val="00EB51C1"/>
    <w:rsid w:val="00EB5AE1"/>
    <w:rsid w:val="00EB5E0B"/>
    <w:rsid w:val="00EC2171"/>
    <w:rsid w:val="00ED442D"/>
    <w:rsid w:val="00ED70C2"/>
    <w:rsid w:val="00EE18FF"/>
    <w:rsid w:val="00EE489F"/>
    <w:rsid w:val="00EE6DF4"/>
    <w:rsid w:val="00F0647F"/>
    <w:rsid w:val="00F10CE3"/>
    <w:rsid w:val="00F12006"/>
    <w:rsid w:val="00F14B7E"/>
    <w:rsid w:val="00F14F3B"/>
    <w:rsid w:val="00F16362"/>
    <w:rsid w:val="00F207C7"/>
    <w:rsid w:val="00F36B6D"/>
    <w:rsid w:val="00F4108B"/>
    <w:rsid w:val="00F43FA3"/>
    <w:rsid w:val="00F55648"/>
    <w:rsid w:val="00F67CD4"/>
    <w:rsid w:val="00F70046"/>
    <w:rsid w:val="00F71708"/>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7EE825"/>
  <w15:docId w15:val="{0618616A-16A8-4CD4-8809-DA0EA8BB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17</TotalTime>
  <Pages>15</Pages>
  <Words>4916</Words>
  <Characters>26753</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Communicable Diseases Intelligence 2021 - COVID-19 Australia: Epidemiology Report 53</vt:lpstr>
    </vt:vector>
  </TitlesOfParts>
  <Company>Australian Government, Department of Health</Company>
  <LinksUpToDate>false</LinksUpToDate>
  <CharactersWithSpaces>31606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Australia: Epidemiology Report 53</dc:title>
  <dc:subject>This is the fifty-third epidemiological report for coronavirus disease 2019 (COVID-19), reported in Australia as at 23:59 Australian Eastern Daylight Time [AEDT] 24 October 2021. It includes data on COVID-19 cases diagnosed in Australia.</dc:subject>
  <dc:creator>COVID-19 National Incident Room Surveillance Team</dc:creator>
  <cp:keywords>SARS-CoV-2; novel coronavirus; 2019-nCoV; coronavirus disease 2019; COVID-19; acute respiratory disease; epidemiology; Australia</cp:keywords>
  <dc:description>© Commonwealth of Australia CC BY-NC-ND ISSN: 2209-6051 (Online)</dc:description>
  <cp:lastModifiedBy>YOUSEFI, Kasra</cp:lastModifiedBy>
  <cp:revision>6</cp:revision>
  <cp:lastPrinted>2018-05-10T02:19:00Z</cp:lastPrinted>
  <dcterms:created xsi:type="dcterms:W3CDTF">2021-11-03T23:54:00Z</dcterms:created>
  <dcterms:modified xsi:type="dcterms:W3CDTF">2021-11-08T00:36:00Z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8/11/2021</vt:lpwstr>
  </property>
  <property fmtid="{D5CDD505-2E9C-101B-9397-08002B2CF9AE}" pid="5" name="DOI">
    <vt:lpwstr>https://doi.org/10.33321/cdi.2021.45.61</vt:lpwstr>
  </property>
</Properties>
</file>