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DCBB19" w14:textId="77777777" w:rsidR="00033F0D" w:rsidRPr="00FB3EC9" w:rsidRDefault="00033F0D" w:rsidP="00033F0D">
      <w:pPr>
        <w:pStyle w:val="Title"/>
        <w:rPr>
          <w:sz w:val="22"/>
          <w:szCs w:val="24"/>
        </w:rPr>
      </w:pPr>
      <w:r w:rsidRPr="00FB3EC9">
        <w:rPr>
          <w:sz w:val="48"/>
        </w:rPr>
        <w:t xml:space="preserve">SARS-CoV-2 RT-PCR test results across symptomatic COVID-19 cases in Auckland, New Zealand, February–June 2020 </w:t>
      </w:r>
    </w:p>
    <w:p w14:paraId="5E02A597" w14:textId="77777777" w:rsidR="00033F0D" w:rsidRDefault="00033F0D" w:rsidP="00033F0D">
      <w:r>
        <w:t xml:space="preserve">Kevin Howe, Michael Hale, Gary Edwin Reynolds </w:t>
      </w:r>
    </w:p>
    <w:p w14:paraId="26978745" w14:textId="77777777" w:rsidR="00033F0D" w:rsidRPr="00033F0D" w:rsidRDefault="00033F0D" w:rsidP="00033F0D">
      <w:pPr>
        <w:pStyle w:val="Heading1"/>
      </w:pPr>
      <w:r w:rsidRPr="00033F0D">
        <w:t xml:space="preserve">Abstract </w:t>
      </w:r>
    </w:p>
    <w:p w14:paraId="1E2D2DBF" w14:textId="77777777" w:rsidR="00033F0D" w:rsidRDefault="00033F0D" w:rsidP="00033F0D">
      <w:r>
        <w:t xml:space="preserve">During the first wave of COVID-19 transmission in New Zealand, a review of RT-PCR testing in all symptomatic cases reported in the Auckland Region found 74% of test results to have been positive. Detection rate was superior for nasopharyngeal swabs than for oropharyngeal samples, and highest one week after symptom onset. Certain symptom presentations may associate with these cases returning negative results, with dyspnoea reported by a greater proportion of cases who tested negative. </w:t>
      </w:r>
    </w:p>
    <w:p w14:paraId="4640BD65" w14:textId="77777777" w:rsidR="00033F0D" w:rsidRDefault="00033F0D" w:rsidP="00033F0D">
      <w:r>
        <w:t xml:space="preserve">Keywords: coronavirus disease 2019; COVID-19; severe acute respiratory </w:t>
      </w:r>
      <w:r w:rsidR="00E4311E">
        <w:t>syndrome-related coronavirus-2;</w:t>
      </w:r>
      <w:r w:rsidR="00E4311E">
        <w:br/>
      </w:r>
      <w:r>
        <w:t xml:space="preserve">SARS-CoV-2 </w:t>
      </w:r>
    </w:p>
    <w:p w14:paraId="3CAEB0B2" w14:textId="77777777" w:rsidR="00033F0D" w:rsidRPr="00033F0D" w:rsidRDefault="00033F0D" w:rsidP="00033F0D">
      <w:pPr>
        <w:pStyle w:val="Heading1"/>
      </w:pPr>
      <w:r w:rsidRPr="00033F0D">
        <w:t xml:space="preserve">Introduction </w:t>
      </w:r>
    </w:p>
    <w:p w14:paraId="14BD70D0" w14:textId="77777777" w:rsidR="00033F0D" w:rsidRDefault="00033F0D" w:rsidP="00033F0D">
      <w:r>
        <w:t>Since its emergence, coronavirus disease 2019 (COVID-19) rapidly became a global pandemic.</w:t>
      </w:r>
      <w:r>
        <w:rPr>
          <w:vertAlign w:val="superscript"/>
        </w:rPr>
        <w:t>1</w:t>
      </w:r>
      <w:r>
        <w:t xml:space="preserve"> In New Zealand, where an elimination approach was adopted, the number of community cases in its first wave totalled 1,579. This was achieved through an elimination strategy very similar to the ‘aggressive suppression’ strategy used in Australia,</w:t>
      </w:r>
      <w:r>
        <w:rPr>
          <w:vertAlign w:val="superscript"/>
        </w:rPr>
        <w:t>2</w:t>
      </w:r>
      <w:r>
        <w:t xml:space="preserve"> using a combination of lockdowns, contact tracing, and widespread testing to remove community transmission. In </w:t>
      </w:r>
      <w:proofErr w:type="gramStart"/>
      <w:r>
        <w:t>particular, the</w:t>
      </w:r>
      <w:proofErr w:type="gramEnd"/>
      <w:r>
        <w:t xml:space="preserve"> extent of testing is evidenced in positivity rates below 1% in both nations.</w:t>
      </w:r>
      <w:r>
        <w:rPr>
          <w:vertAlign w:val="superscript"/>
        </w:rPr>
        <w:t>3,4</w:t>
      </w:r>
      <w:r>
        <w:t xml:space="preserve"> </w:t>
      </w:r>
    </w:p>
    <w:p w14:paraId="429D8E5D" w14:textId="77777777" w:rsidR="00033F0D" w:rsidRDefault="00033F0D" w:rsidP="00033F0D">
      <w:r>
        <w:t>The predominant modality of testing for severe acute respiratory syndrome-related coronavirus-2 (SARS-CoV-2) is detection of viral RNA from upper-respiratory swabs using reverse transcription polymerase chain reaction (RT-PCR).</w:t>
      </w:r>
      <w:r>
        <w:rPr>
          <w:vertAlign w:val="superscript"/>
        </w:rPr>
        <w:t>5</w:t>
      </w:r>
      <w:r>
        <w:t xml:space="preserve"> However, the reliability of such tests is not well characterised in the literature,</w:t>
      </w:r>
      <w:r>
        <w:rPr>
          <w:vertAlign w:val="superscript"/>
        </w:rPr>
        <w:t>6</w:t>
      </w:r>
      <w:r>
        <w:t xml:space="preserve"> which has also been largely focused on hospitalised patients despite a wide spectrum of presentation ranging from asymptomatic infection</w:t>
      </w:r>
      <w:r>
        <w:rPr>
          <w:vertAlign w:val="superscript"/>
        </w:rPr>
        <w:t>7</w:t>
      </w:r>
      <w:r>
        <w:t xml:space="preserve"> to severe disease.</w:t>
      </w:r>
      <w:r>
        <w:rPr>
          <w:vertAlign w:val="superscript"/>
        </w:rPr>
        <w:t xml:space="preserve">8 </w:t>
      </w:r>
    </w:p>
    <w:p w14:paraId="316B6578" w14:textId="77777777" w:rsidR="00033F0D" w:rsidRPr="00033F0D" w:rsidRDefault="00033F0D" w:rsidP="00033F0D">
      <w:pPr>
        <w:pStyle w:val="Heading1"/>
      </w:pPr>
      <w:r w:rsidRPr="00033F0D">
        <w:t xml:space="preserve">Methods </w:t>
      </w:r>
    </w:p>
    <w:p w14:paraId="002084B7" w14:textId="77777777" w:rsidR="00033F0D" w:rsidRDefault="00033F0D" w:rsidP="00033F0D">
      <w:r>
        <w:t>To evaluate the local RT-PCR test sensitivity, we reviewed test results and routine clinical data (including demographics, symptoms, and outcomes) from all confirmed and probable cases of COVID-19</w:t>
      </w:r>
      <w:r w:rsidR="002B388C">
        <w:rPr>
          <w:rStyle w:val="FootnoteReference"/>
        </w:rPr>
        <w:footnoteReference w:id="2"/>
      </w:r>
      <w:r>
        <w:t xml:space="preserve"> within the metropolitan area of Auckland, New Zealand reported in its first wave, between notification of the first case on 26 February 2020 and recovery of the last case of the initial outbreak on 7 June 2020. Tests performed on confirmed cases, while symptomatic, were included in this study; probable cases who underwent testing were also included, with individual tests from probable cases included if they met criteria of: </w:t>
      </w:r>
    </w:p>
    <w:p w14:paraId="7A9004F8" w14:textId="77777777" w:rsidR="00033F0D" w:rsidRPr="00033F0D" w:rsidRDefault="00033F0D" w:rsidP="00033F0D">
      <w:pPr>
        <w:pStyle w:val="ListParagraph"/>
        <w:numPr>
          <w:ilvl w:val="0"/>
          <w:numId w:val="22"/>
        </w:numPr>
        <w:rPr>
          <w:rFonts w:eastAsia="Times New Roman"/>
        </w:rPr>
      </w:pPr>
      <w:r w:rsidRPr="00033F0D">
        <w:rPr>
          <w:rFonts w:eastAsia="Times New Roman"/>
        </w:rPr>
        <w:t xml:space="preserve">Close contact of identified confirmed case(s) within the 14 days preceding symptom </w:t>
      </w:r>
      <w:proofErr w:type="gramStart"/>
      <w:r w:rsidRPr="00033F0D">
        <w:rPr>
          <w:rFonts w:eastAsia="Times New Roman"/>
        </w:rPr>
        <w:t>onset;</w:t>
      </w:r>
      <w:proofErr w:type="gramEnd"/>
      <w:r w:rsidRPr="00033F0D">
        <w:rPr>
          <w:rFonts w:eastAsia="Times New Roman"/>
        </w:rPr>
        <w:t xml:space="preserve"> and </w:t>
      </w:r>
    </w:p>
    <w:p w14:paraId="021B898C" w14:textId="77777777" w:rsidR="00033F0D" w:rsidRPr="00033F0D" w:rsidRDefault="00033F0D" w:rsidP="00033F0D">
      <w:pPr>
        <w:pStyle w:val="ListParagraph"/>
        <w:numPr>
          <w:ilvl w:val="0"/>
          <w:numId w:val="22"/>
        </w:numPr>
        <w:rPr>
          <w:rFonts w:eastAsia="Times New Roman"/>
        </w:rPr>
      </w:pPr>
      <w:r w:rsidRPr="00033F0D">
        <w:rPr>
          <w:rFonts w:eastAsia="Times New Roman"/>
        </w:rPr>
        <w:lastRenderedPageBreak/>
        <w:t xml:space="preserve">Exhibition of at least two of the following symptoms over course of illness: cough; sore throat; dyspnoea; coryza; anosmia; or fever. </w:t>
      </w:r>
    </w:p>
    <w:p w14:paraId="75786D7D" w14:textId="77777777" w:rsidR="00033F0D" w:rsidRDefault="00033F0D" w:rsidP="00033F0D">
      <w:r>
        <w:t xml:space="preserve">Analysis was performed to compare characteristics between cases with and without negative test results, </w:t>
      </w:r>
      <w:proofErr w:type="gramStart"/>
      <w:r>
        <w:t>in order to</w:t>
      </w:r>
      <w:proofErr w:type="gramEnd"/>
      <w:r>
        <w:t xml:space="preserve"> look for contributing factors for cases testing falsely negative. Data from individual tests were also analysed by site and by timing in relation to symptom onset. This study received institutional ethics approval from the Auckland District Health Board Research Office as a public health investigation. </w:t>
      </w:r>
    </w:p>
    <w:p w14:paraId="280D4601" w14:textId="77777777" w:rsidR="00033F0D" w:rsidRPr="00033F0D" w:rsidRDefault="00033F0D" w:rsidP="00033F0D">
      <w:pPr>
        <w:pStyle w:val="Heading1"/>
      </w:pPr>
      <w:r w:rsidRPr="00033F0D">
        <w:t xml:space="preserve">Results </w:t>
      </w:r>
    </w:p>
    <w:p w14:paraId="20436D01" w14:textId="77777777" w:rsidR="00033F0D" w:rsidRDefault="00033F0D" w:rsidP="00033F0D">
      <w:r>
        <w:t xml:space="preserve">In total, 528 tests from 472 cases were included, comprising 427 tests from 388 confirmed cases and 101 tests from 84 probable cases. Test samples were made up of nasopharyngeal (NP) and oropharyngeal (OP) swabs. Most were taken in community/primary-care settings (n = 502), with a small number (n = 26) from hospitals. </w:t>
      </w:r>
    </w:p>
    <w:p w14:paraId="55B994A1" w14:textId="77777777" w:rsidR="00033F0D" w:rsidRDefault="00033F0D" w:rsidP="00033F0D">
      <w:r>
        <w:t>Of the included cases, the median age was 37 years; 269/472 cases (57%) were female. Fewer than 10% of cases had clinical outcomes of hospitalisation, intensive care unit (ICU) admission, and/or death. Cough was the most common symptom, reported by 342 cases (73%). Between cases with negative result and cases without negative result, no differences in demographic features or clinical outcomes were statistically significant, although some significant differences were observed in symptom presentation. Fever and anosmia were reported by a significantly higher proportion of cases without negative result. Dyspnoea was significantly higher in cases with negative result (Table 1).</w:t>
      </w:r>
    </w:p>
    <w:p w14:paraId="4B87D973" w14:textId="77777777" w:rsidR="00033F0D" w:rsidRDefault="00033F0D" w:rsidP="00033F0D">
      <w:pPr>
        <w:pStyle w:val="CDIFigures"/>
      </w:pPr>
      <w:r>
        <w:t xml:space="preserve">Table 1: Demographic &amp; clinical characteristics of included cases, Auckland, New Zealand, February–June 2020 </w:t>
      </w:r>
    </w:p>
    <w:tbl>
      <w:tblPr>
        <w:tblStyle w:val="CDI-StandardTable"/>
        <w:tblW w:w="0" w:type="auto"/>
        <w:tblCellMar>
          <w:top w:w="57" w:type="dxa"/>
          <w:left w:w="57" w:type="dxa"/>
          <w:bottom w:w="57" w:type="dxa"/>
          <w:right w:w="57" w:type="dxa"/>
        </w:tblCellMar>
        <w:tblLook w:val="04A0" w:firstRow="1" w:lastRow="0" w:firstColumn="1" w:lastColumn="0" w:noHBand="0" w:noVBand="1"/>
        <w:tblDescription w:val="Demographic and clinical characteristics of all cases included in study. Median age is 37, 57% were women, while in clinical outcomes 8.1% required hospitalization, 0.6% required ICU admission, and 0.8% died. None of these were significantly different between cases who did and did not receive negative test results. In symptoms, 73% had cough, 49% had sore throat, 47% had fever, 40% had coryza, 19% had anosmia, and 6.8% had dyspnoea. Fever and anosmia was present in significantly greater proportions in cases without negative results, while dyspnoea was present in patients with negative results.&#10;"/>
      </w:tblPr>
      <w:tblGrid>
        <w:gridCol w:w="1919"/>
        <w:gridCol w:w="2068"/>
        <w:gridCol w:w="2068"/>
        <w:gridCol w:w="2068"/>
        <w:gridCol w:w="2069"/>
      </w:tblGrid>
      <w:tr w:rsidR="00356BA0" w:rsidRPr="00FB3EC9" w14:paraId="3891DCDE" w14:textId="77777777" w:rsidTr="00392949">
        <w:trPr>
          <w:cnfStyle w:val="100000000000" w:firstRow="1" w:lastRow="0" w:firstColumn="0" w:lastColumn="0" w:oddVBand="0" w:evenVBand="0" w:oddHBand="0" w:evenHBand="0" w:firstRowFirstColumn="0" w:firstRowLastColumn="0" w:lastRowFirstColumn="0" w:lastRowLastColumn="0"/>
          <w:tblHeader/>
        </w:trPr>
        <w:tc>
          <w:tcPr>
            <w:tcW w:w="0" w:type="auto"/>
            <w:tcBorders>
              <w:right w:val="single" w:sz="2" w:space="0" w:color="FFFFFF" w:themeColor="background1"/>
            </w:tcBorders>
            <w:vAlign w:val="center"/>
            <w:hideMark/>
          </w:tcPr>
          <w:p w14:paraId="35ADFF5F" w14:textId="77777777" w:rsidR="00033F0D" w:rsidRPr="00FB3EC9" w:rsidRDefault="00033F0D" w:rsidP="00DC62E9">
            <w:pPr>
              <w:rPr>
                <w:color w:val="FFFFFF" w:themeColor="background1"/>
                <w:sz w:val="18"/>
                <w:szCs w:val="18"/>
              </w:rPr>
            </w:pPr>
          </w:p>
        </w:tc>
        <w:tc>
          <w:tcPr>
            <w:tcW w:w="2068" w:type="dxa"/>
            <w:tcBorders>
              <w:left w:val="single" w:sz="2" w:space="0" w:color="FFFFFF" w:themeColor="background1"/>
              <w:right w:val="single" w:sz="2" w:space="0" w:color="FFFFFF" w:themeColor="background1"/>
            </w:tcBorders>
            <w:vAlign w:val="center"/>
            <w:hideMark/>
          </w:tcPr>
          <w:p w14:paraId="6F2ABD3F" w14:textId="77777777" w:rsidR="00033F0D" w:rsidRPr="00FB3EC9" w:rsidRDefault="00033F0D" w:rsidP="00DC62E9">
            <w:pPr>
              <w:pStyle w:val="NormalWeb"/>
              <w:jc w:val="center"/>
              <w:rPr>
                <w:color w:val="FFFFFF" w:themeColor="background1"/>
                <w:sz w:val="18"/>
                <w:szCs w:val="18"/>
              </w:rPr>
            </w:pPr>
            <w:r w:rsidRPr="00FB3EC9">
              <w:rPr>
                <w:color w:val="FFFFFF" w:themeColor="background1"/>
                <w:sz w:val="18"/>
                <w:szCs w:val="18"/>
              </w:rPr>
              <w:t xml:space="preserve">All </w:t>
            </w:r>
            <w:proofErr w:type="spellStart"/>
            <w:r w:rsidRPr="00FB3EC9">
              <w:rPr>
                <w:color w:val="FFFFFF" w:themeColor="background1"/>
                <w:sz w:val="18"/>
                <w:szCs w:val="18"/>
              </w:rPr>
              <w:t>cases</w:t>
            </w:r>
            <w:r w:rsidRPr="00FB3EC9">
              <w:rPr>
                <w:color w:val="FFFFFF" w:themeColor="background1"/>
                <w:sz w:val="18"/>
                <w:szCs w:val="18"/>
                <w:vertAlign w:val="superscript"/>
              </w:rPr>
              <w:t>a</w:t>
            </w:r>
            <w:proofErr w:type="spellEnd"/>
          </w:p>
          <w:p w14:paraId="55AAFCA4" w14:textId="77777777" w:rsidR="00033F0D" w:rsidRPr="00FB3EC9" w:rsidRDefault="00033F0D" w:rsidP="00DC62E9">
            <w:pPr>
              <w:pStyle w:val="NormalWeb"/>
              <w:jc w:val="center"/>
              <w:rPr>
                <w:color w:val="FFFFFF" w:themeColor="background1"/>
                <w:sz w:val="18"/>
                <w:szCs w:val="18"/>
              </w:rPr>
            </w:pPr>
            <w:r w:rsidRPr="00FB3EC9">
              <w:rPr>
                <w:color w:val="FFFFFF" w:themeColor="background1"/>
                <w:sz w:val="18"/>
                <w:szCs w:val="18"/>
              </w:rPr>
              <w:t>(n = 472)</w:t>
            </w:r>
          </w:p>
        </w:tc>
        <w:tc>
          <w:tcPr>
            <w:tcW w:w="2068" w:type="dxa"/>
            <w:tcBorders>
              <w:left w:val="single" w:sz="2" w:space="0" w:color="FFFFFF" w:themeColor="background1"/>
              <w:right w:val="single" w:sz="2" w:space="0" w:color="FFFFFF" w:themeColor="background1"/>
            </w:tcBorders>
            <w:vAlign w:val="center"/>
            <w:hideMark/>
          </w:tcPr>
          <w:p w14:paraId="1BAB0901" w14:textId="77777777" w:rsidR="00033F0D" w:rsidRPr="00FB3EC9" w:rsidRDefault="00033F0D" w:rsidP="00DC62E9">
            <w:pPr>
              <w:pStyle w:val="NormalWeb"/>
              <w:jc w:val="center"/>
              <w:rPr>
                <w:color w:val="FFFFFF" w:themeColor="background1"/>
                <w:sz w:val="18"/>
                <w:szCs w:val="18"/>
              </w:rPr>
            </w:pPr>
            <w:r w:rsidRPr="00FB3EC9">
              <w:rPr>
                <w:color w:val="FFFFFF" w:themeColor="background1"/>
                <w:sz w:val="18"/>
                <w:szCs w:val="18"/>
              </w:rPr>
              <w:t>Cases with</w:t>
            </w:r>
            <w:r w:rsidRPr="00FB3EC9">
              <w:rPr>
                <w:color w:val="FFFFFF" w:themeColor="background1"/>
                <w:sz w:val="18"/>
                <w:szCs w:val="18"/>
              </w:rPr>
              <w:br/>
              <w:t xml:space="preserve">negative </w:t>
            </w:r>
            <w:proofErr w:type="spellStart"/>
            <w:r w:rsidRPr="00FB3EC9">
              <w:rPr>
                <w:color w:val="FFFFFF" w:themeColor="background1"/>
                <w:sz w:val="18"/>
                <w:szCs w:val="18"/>
              </w:rPr>
              <w:t>result</w:t>
            </w:r>
            <w:r w:rsidRPr="00FB3EC9">
              <w:rPr>
                <w:color w:val="FFFFFF" w:themeColor="background1"/>
                <w:sz w:val="18"/>
                <w:szCs w:val="18"/>
                <w:vertAlign w:val="superscript"/>
              </w:rPr>
              <w:t>a</w:t>
            </w:r>
            <w:proofErr w:type="spellEnd"/>
            <w:r w:rsidRPr="00FB3EC9">
              <w:rPr>
                <w:color w:val="FFFFFF" w:themeColor="background1"/>
                <w:sz w:val="18"/>
                <w:szCs w:val="18"/>
              </w:rPr>
              <w:br/>
              <w:t>(n = 117)</w:t>
            </w:r>
          </w:p>
        </w:tc>
        <w:tc>
          <w:tcPr>
            <w:tcW w:w="2068" w:type="dxa"/>
            <w:tcBorders>
              <w:left w:val="single" w:sz="2" w:space="0" w:color="FFFFFF" w:themeColor="background1"/>
              <w:right w:val="single" w:sz="2" w:space="0" w:color="FFFFFF" w:themeColor="background1"/>
            </w:tcBorders>
            <w:vAlign w:val="center"/>
            <w:hideMark/>
          </w:tcPr>
          <w:p w14:paraId="0B8534A6" w14:textId="77777777" w:rsidR="00033F0D" w:rsidRPr="00FB3EC9" w:rsidRDefault="00033F0D" w:rsidP="00DC62E9">
            <w:pPr>
              <w:pStyle w:val="NormalWeb"/>
              <w:jc w:val="center"/>
              <w:rPr>
                <w:color w:val="FFFFFF" w:themeColor="background1"/>
                <w:sz w:val="18"/>
                <w:szCs w:val="18"/>
              </w:rPr>
            </w:pPr>
            <w:r w:rsidRPr="00FB3EC9">
              <w:rPr>
                <w:color w:val="FFFFFF" w:themeColor="background1"/>
                <w:sz w:val="18"/>
                <w:szCs w:val="18"/>
              </w:rPr>
              <w:t xml:space="preserve">Cases without negative </w:t>
            </w:r>
            <w:proofErr w:type="spellStart"/>
            <w:r w:rsidRPr="00FB3EC9">
              <w:rPr>
                <w:color w:val="FFFFFF" w:themeColor="background1"/>
                <w:sz w:val="18"/>
                <w:szCs w:val="18"/>
              </w:rPr>
              <w:t>result</w:t>
            </w:r>
            <w:r w:rsidRPr="00FB3EC9">
              <w:rPr>
                <w:color w:val="FFFFFF" w:themeColor="background1"/>
                <w:sz w:val="18"/>
                <w:szCs w:val="18"/>
                <w:vertAlign w:val="superscript"/>
              </w:rPr>
              <w:t>a</w:t>
            </w:r>
            <w:proofErr w:type="spellEnd"/>
            <w:r w:rsidRPr="00FB3EC9">
              <w:rPr>
                <w:color w:val="FFFFFF" w:themeColor="background1"/>
                <w:sz w:val="18"/>
                <w:szCs w:val="18"/>
              </w:rPr>
              <w:br/>
              <w:t>(n = 355)</w:t>
            </w:r>
          </w:p>
        </w:tc>
        <w:tc>
          <w:tcPr>
            <w:tcW w:w="2069" w:type="dxa"/>
            <w:tcBorders>
              <w:left w:val="single" w:sz="2" w:space="0" w:color="FFFFFF" w:themeColor="background1"/>
            </w:tcBorders>
            <w:vAlign w:val="center"/>
            <w:hideMark/>
          </w:tcPr>
          <w:p w14:paraId="10416A26" w14:textId="77777777" w:rsidR="00033F0D" w:rsidRPr="00FB3EC9" w:rsidRDefault="00033F0D" w:rsidP="00DC62E9">
            <w:pPr>
              <w:pStyle w:val="NormalWeb"/>
              <w:jc w:val="center"/>
              <w:rPr>
                <w:color w:val="FFFFFF" w:themeColor="background1"/>
                <w:sz w:val="18"/>
                <w:szCs w:val="18"/>
              </w:rPr>
            </w:pPr>
            <w:r w:rsidRPr="002B388C">
              <w:rPr>
                <w:i/>
                <w:color w:val="FFFFFF" w:themeColor="background1"/>
                <w:sz w:val="18"/>
                <w:szCs w:val="18"/>
              </w:rPr>
              <w:t>p</w:t>
            </w:r>
            <w:r w:rsidRPr="00FB3EC9">
              <w:rPr>
                <w:color w:val="FFFFFF" w:themeColor="background1"/>
                <w:sz w:val="18"/>
                <w:szCs w:val="18"/>
              </w:rPr>
              <w:t xml:space="preserve"> </w:t>
            </w:r>
            <w:proofErr w:type="spellStart"/>
            <w:r w:rsidRPr="00FB3EC9">
              <w:rPr>
                <w:color w:val="FFFFFF" w:themeColor="background1"/>
                <w:sz w:val="18"/>
                <w:szCs w:val="18"/>
              </w:rPr>
              <w:t>value</w:t>
            </w:r>
            <w:r w:rsidRPr="00FB3EC9">
              <w:rPr>
                <w:color w:val="FFFFFF" w:themeColor="background1"/>
                <w:sz w:val="18"/>
                <w:szCs w:val="18"/>
                <w:vertAlign w:val="superscript"/>
              </w:rPr>
              <w:t>b</w:t>
            </w:r>
            <w:proofErr w:type="spellEnd"/>
          </w:p>
        </w:tc>
      </w:tr>
      <w:tr w:rsidR="00033F0D" w:rsidRPr="00FB3EC9" w14:paraId="7220C8CE" w14:textId="77777777" w:rsidTr="00392949">
        <w:tc>
          <w:tcPr>
            <w:tcW w:w="0" w:type="auto"/>
            <w:vAlign w:val="center"/>
            <w:hideMark/>
          </w:tcPr>
          <w:p w14:paraId="4ED2F8CE" w14:textId="77777777" w:rsidR="00033F0D" w:rsidRPr="00FB3EC9" w:rsidRDefault="00033F0D" w:rsidP="00DC62E9">
            <w:pPr>
              <w:pStyle w:val="NormalWeb"/>
              <w:rPr>
                <w:sz w:val="18"/>
                <w:szCs w:val="18"/>
              </w:rPr>
            </w:pPr>
            <w:r w:rsidRPr="00FB3EC9">
              <w:rPr>
                <w:sz w:val="18"/>
                <w:szCs w:val="18"/>
              </w:rPr>
              <w:t>Median age (years)</w:t>
            </w:r>
          </w:p>
        </w:tc>
        <w:tc>
          <w:tcPr>
            <w:tcW w:w="2068" w:type="dxa"/>
            <w:vAlign w:val="center"/>
            <w:hideMark/>
          </w:tcPr>
          <w:p w14:paraId="0E9FCD9B" w14:textId="77777777" w:rsidR="00033F0D" w:rsidRPr="00FB3EC9" w:rsidRDefault="00033F0D" w:rsidP="00DC62E9">
            <w:pPr>
              <w:pStyle w:val="NormalWeb"/>
              <w:jc w:val="center"/>
              <w:rPr>
                <w:sz w:val="18"/>
                <w:szCs w:val="18"/>
              </w:rPr>
            </w:pPr>
            <w:r w:rsidRPr="00FB3EC9">
              <w:rPr>
                <w:sz w:val="18"/>
                <w:szCs w:val="18"/>
              </w:rPr>
              <w:t>37</w:t>
            </w:r>
          </w:p>
        </w:tc>
        <w:tc>
          <w:tcPr>
            <w:tcW w:w="2068" w:type="dxa"/>
            <w:vAlign w:val="center"/>
            <w:hideMark/>
          </w:tcPr>
          <w:p w14:paraId="239F73D3" w14:textId="77777777" w:rsidR="00033F0D" w:rsidRPr="00FB3EC9" w:rsidRDefault="00033F0D" w:rsidP="00DC62E9">
            <w:pPr>
              <w:pStyle w:val="NormalWeb"/>
              <w:jc w:val="center"/>
              <w:rPr>
                <w:sz w:val="18"/>
                <w:szCs w:val="18"/>
              </w:rPr>
            </w:pPr>
            <w:r w:rsidRPr="00FB3EC9">
              <w:rPr>
                <w:sz w:val="18"/>
                <w:szCs w:val="18"/>
              </w:rPr>
              <w:t>34</w:t>
            </w:r>
          </w:p>
        </w:tc>
        <w:tc>
          <w:tcPr>
            <w:tcW w:w="2068" w:type="dxa"/>
            <w:vAlign w:val="center"/>
            <w:hideMark/>
          </w:tcPr>
          <w:p w14:paraId="372B2831" w14:textId="77777777" w:rsidR="00033F0D" w:rsidRPr="00FB3EC9" w:rsidRDefault="00033F0D" w:rsidP="00DC62E9">
            <w:pPr>
              <w:pStyle w:val="NormalWeb"/>
              <w:jc w:val="center"/>
              <w:rPr>
                <w:sz w:val="18"/>
                <w:szCs w:val="18"/>
              </w:rPr>
            </w:pPr>
            <w:r w:rsidRPr="00FB3EC9">
              <w:rPr>
                <w:sz w:val="18"/>
                <w:szCs w:val="18"/>
              </w:rPr>
              <w:t>39</w:t>
            </w:r>
          </w:p>
        </w:tc>
        <w:tc>
          <w:tcPr>
            <w:tcW w:w="2069" w:type="dxa"/>
            <w:vAlign w:val="center"/>
            <w:hideMark/>
          </w:tcPr>
          <w:p w14:paraId="0DB19EAB" w14:textId="77777777" w:rsidR="00033F0D" w:rsidRPr="00FB3EC9" w:rsidRDefault="00033F0D" w:rsidP="00DC62E9">
            <w:pPr>
              <w:jc w:val="center"/>
              <w:rPr>
                <w:sz w:val="18"/>
                <w:szCs w:val="18"/>
              </w:rPr>
            </w:pPr>
          </w:p>
        </w:tc>
      </w:tr>
      <w:tr w:rsidR="00033F0D" w:rsidRPr="00FB3EC9" w14:paraId="6722778F" w14:textId="77777777" w:rsidTr="00392949">
        <w:trPr>
          <w:cnfStyle w:val="000000010000" w:firstRow="0" w:lastRow="0" w:firstColumn="0" w:lastColumn="0" w:oddVBand="0" w:evenVBand="0" w:oddHBand="0" w:evenHBand="1" w:firstRowFirstColumn="0" w:firstRowLastColumn="0" w:lastRowFirstColumn="0" w:lastRowLastColumn="0"/>
        </w:trPr>
        <w:tc>
          <w:tcPr>
            <w:tcW w:w="0" w:type="auto"/>
            <w:vAlign w:val="center"/>
            <w:hideMark/>
          </w:tcPr>
          <w:p w14:paraId="6EC47A00" w14:textId="77777777" w:rsidR="00033F0D" w:rsidRPr="00FB3EC9" w:rsidRDefault="00033F0D" w:rsidP="00DC62E9">
            <w:pPr>
              <w:pStyle w:val="NormalWeb"/>
              <w:rPr>
                <w:sz w:val="18"/>
                <w:szCs w:val="18"/>
              </w:rPr>
            </w:pPr>
            <w:r w:rsidRPr="00FB3EC9">
              <w:rPr>
                <w:sz w:val="18"/>
                <w:szCs w:val="18"/>
              </w:rPr>
              <w:t>Age range</w:t>
            </w:r>
          </w:p>
        </w:tc>
        <w:tc>
          <w:tcPr>
            <w:tcW w:w="2068" w:type="dxa"/>
            <w:vAlign w:val="center"/>
            <w:hideMark/>
          </w:tcPr>
          <w:p w14:paraId="028932E3" w14:textId="77777777" w:rsidR="00033F0D" w:rsidRPr="00FB3EC9" w:rsidRDefault="00033F0D" w:rsidP="00DC62E9">
            <w:pPr>
              <w:pStyle w:val="NormalWeb"/>
              <w:jc w:val="center"/>
              <w:rPr>
                <w:sz w:val="18"/>
                <w:szCs w:val="18"/>
              </w:rPr>
            </w:pPr>
            <w:r w:rsidRPr="00FB3EC9">
              <w:rPr>
                <w:sz w:val="18"/>
                <w:szCs w:val="18"/>
              </w:rPr>
              <w:t>0.8–99</w:t>
            </w:r>
          </w:p>
        </w:tc>
        <w:tc>
          <w:tcPr>
            <w:tcW w:w="2068" w:type="dxa"/>
            <w:vAlign w:val="center"/>
            <w:hideMark/>
          </w:tcPr>
          <w:p w14:paraId="6471DCB2" w14:textId="77777777" w:rsidR="00033F0D" w:rsidRPr="00FB3EC9" w:rsidRDefault="00033F0D" w:rsidP="00DC62E9">
            <w:pPr>
              <w:pStyle w:val="NormalWeb"/>
              <w:jc w:val="center"/>
              <w:rPr>
                <w:sz w:val="18"/>
                <w:szCs w:val="18"/>
              </w:rPr>
            </w:pPr>
            <w:r w:rsidRPr="00FB3EC9">
              <w:rPr>
                <w:sz w:val="18"/>
                <w:szCs w:val="18"/>
              </w:rPr>
              <w:t>0.8–89</w:t>
            </w:r>
          </w:p>
        </w:tc>
        <w:tc>
          <w:tcPr>
            <w:tcW w:w="2068" w:type="dxa"/>
            <w:vAlign w:val="center"/>
            <w:hideMark/>
          </w:tcPr>
          <w:p w14:paraId="7F2C7546" w14:textId="77777777" w:rsidR="00033F0D" w:rsidRPr="00FB3EC9" w:rsidRDefault="00033F0D" w:rsidP="00DC62E9">
            <w:pPr>
              <w:pStyle w:val="NormalWeb"/>
              <w:jc w:val="center"/>
              <w:rPr>
                <w:sz w:val="18"/>
                <w:szCs w:val="18"/>
              </w:rPr>
            </w:pPr>
            <w:r w:rsidRPr="00FB3EC9">
              <w:rPr>
                <w:sz w:val="18"/>
                <w:szCs w:val="18"/>
              </w:rPr>
              <w:t>10–99</w:t>
            </w:r>
          </w:p>
        </w:tc>
        <w:tc>
          <w:tcPr>
            <w:tcW w:w="2069" w:type="dxa"/>
            <w:vAlign w:val="center"/>
            <w:hideMark/>
          </w:tcPr>
          <w:p w14:paraId="679C02C0" w14:textId="77777777" w:rsidR="00033F0D" w:rsidRPr="00FB3EC9" w:rsidRDefault="00033F0D" w:rsidP="00DC62E9">
            <w:pPr>
              <w:pStyle w:val="NormalWeb"/>
              <w:jc w:val="center"/>
              <w:rPr>
                <w:sz w:val="18"/>
                <w:szCs w:val="18"/>
              </w:rPr>
            </w:pPr>
            <w:r w:rsidRPr="00FB3EC9">
              <w:rPr>
                <w:sz w:val="18"/>
                <w:szCs w:val="18"/>
              </w:rPr>
              <w:t>0.091</w:t>
            </w:r>
          </w:p>
        </w:tc>
      </w:tr>
      <w:tr w:rsidR="00033F0D" w:rsidRPr="00FB3EC9" w14:paraId="56D7B5C6" w14:textId="77777777" w:rsidTr="0053276F">
        <w:tc>
          <w:tcPr>
            <w:tcW w:w="0" w:type="auto"/>
            <w:vAlign w:val="center"/>
            <w:hideMark/>
          </w:tcPr>
          <w:p w14:paraId="305193CC" w14:textId="77777777" w:rsidR="00033F0D" w:rsidRPr="00FB3EC9" w:rsidRDefault="00033F0D" w:rsidP="00DC62E9">
            <w:pPr>
              <w:pStyle w:val="NormalWeb"/>
              <w:rPr>
                <w:sz w:val="18"/>
                <w:szCs w:val="18"/>
              </w:rPr>
            </w:pPr>
            <w:r w:rsidRPr="00FB3EC9">
              <w:rPr>
                <w:sz w:val="18"/>
                <w:szCs w:val="18"/>
              </w:rPr>
              <w:t>Women</w:t>
            </w:r>
          </w:p>
        </w:tc>
        <w:tc>
          <w:tcPr>
            <w:tcW w:w="2068" w:type="dxa"/>
            <w:vAlign w:val="center"/>
            <w:hideMark/>
          </w:tcPr>
          <w:p w14:paraId="449FD3B3" w14:textId="77777777" w:rsidR="00033F0D" w:rsidRPr="00FB3EC9" w:rsidRDefault="00033F0D" w:rsidP="00DC62E9">
            <w:pPr>
              <w:pStyle w:val="NormalWeb"/>
              <w:jc w:val="center"/>
              <w:rPr>
                <w:sz w:val="18"/>
                <w:szCs w:val="18"/>
              </w:rPr>
            </w:pPr>
            <w:r w:rsidRPr="00FB3EC9">
              <w:rPr>
                <w:sz w:val="18"/>
                <w:szCs w:val="18"/>
              </w:rPr>
              <w:t>269 (57)</w:t>
            </w:r>
          </w:p>
        </w:tc>
        <w:tc>
          <w:tcPr>
            <w:tcW w:w="2068" w:type="dxa"/>
            <w:vAlign w:val="center"/>
            <w:hideMark/>
          </w:tcPr>
          <w:p w14:paraId="428944A8" w14:textId="77777777" w:rsidR="00033F0D" w:rsidRPr="00FB3EC9" w:rsidRDefault="00033F0D" w:rsidP="00DC62E9">
            <w:pPr>
              <w:pStyle w:val="NormalWeb"/>
              <w:jc w:val="center"/>
              <w:rPr>
                <w:sz w:val="18"/>
                <w:szCs w:val="18"/>
              </w:rPr>
            </w:pPr>
            <w:r w:rsidRPr="00FB3EC9">
              <w:rPr>
                <w:sz w:val="18"/>
                <w:szCs w:val="18"/>
              </w:rPr>
              <w:t>65 (56)</w:t>
            </w:r>
          </w:p>
        </w:tc>
        <w:tc>
          <w:tcPr>
            <w:tcW w:w="2068" w:type="dxa"/>
            <w:vAlign w:val="center"/>
            <w:hideMark/>
          </w:tcPr>
          <w:p w14:paraId="271BB793" w14:textId="77777777" w:rsidR="00033F0D" w:rsidRPr="00FB3EC9" w:rsidRDefault="00033F0D" w:rsidP="00DC62E9">
            <w:pPr>
              <w:pStyle w:val="NormalWeb"/>
              <w:jc w:val="center"/>
              <w:rPr>
                <w:sz w:val="18"/>
                <w:szCs w:val="18"/>
              </w:rPr>
            </w:pPr>
            <w:r w:rsidRPr="00FB3EC9">
              <w:rPr>
                <w:sz w:val="18"/>
                <w:szCs w:val="18"/>
              </w:rPr>
              <w:t>204 (57)</w:t>
            </w:r>
          </w:p>
        </w:tc>
        <w:tc>
          <w:tcPr>
            <w:tcW w:w="2069" w:type="dxa"/>
            <w:vAlign w:val="center"/>
            <w:hideMark/>
          </w:tcPr>
          <w:p w14:paraId="6D5E545F" w14:textId="77777777" w:rsidR="00033F0D" w:rsidRPr="00FB3EC9" w:rsidRDefault="00033F0D" w:rsidP="00DC62E9">
            <w:pPr>
              <w:pStyle w:val="NormalWeb"/>
              <w:jc w:val="center"/>
              <w:rPr>
                <w:sz w:val="18"/>
                <w:szCs w:val="18"/>
              </w:rPr>
            </w:pPr>
            <w:r w:rsidRPr="00FB3EC9">
              <w:rPr>
                <w:sz w:val="18"/>
                <w:szCs w:val="18"/>
              </w:rPr>
              <w:t>0.747</w:t>
            </w:r>
          </w:p>
        </w:tc>
      </w:tr>
      <w:tr w:rsidR="00845314" w:rsidRPr="00FB3EC9" w14:paraId="7D1D3678" w14:textId="77777777" w:rsidTr="002307FF">
        <w:trPr>
          <w:cnfStyle w:val="000000010000" w:firstRow="0" w:lastRow="0" w:firstColumn="0" w:lastColumn="0" w:oddVBand="0" w:evenVBand="0" w:oddHBand="0" w:evenHBand="1" w:firstRowFirstColumn="0" w:firstRowLastColumn="0" w:lastRowFirstColumn="0" w:lastRowLastColumn="0"/>
        </w:trPr>
        <w:tc>
          <w:tcPr>
            <w:tcW w:w="0" w:type="auto"/>
            <w:shd w:val="clear" w:color="auto" w:fill="404040" w:themeFill="text1" w:themeFillTint="BF"/>
            <w:vAlign w:val="center"/>
            <w:hideMark/>
          </w:tcPr>
          <w:p w14:paraId="2C65511C" w14:textId="77777777" w:rsidR="00033F0D" w:rsidRPr="00FB3EC9" w:rsidRDefault="00033F0D" w:rsidP="00DC62E9">
            <w:pPr>
              <w:pStyle w:val="NormalWeb"/>
              <w:rPr>
                <w:b/>
                <w:color w:val="FFFFFF" w:themeColor="background1"/>
                <w:sz w:val="18"/>
                <w:szCs w:val="18"/>
              </w:rPr>
            </w:pPr>
            <w:r w:rsidRPr="00FB3EC9">
              <w:rPr>
                <w:b/>
                <w:color w:val="FFFFFF" w:themeColor="background1"/>
                <w:sz w:val="18"/>
                <w:szCs w:val="18"/>
              </w:rPr>
              <w:t>Clinical outcomes</w:t>
            </w:r>
          </w:p>
        </w:tc>
        <w:tc>
          <w:tcPr>
            <w:tcW w:w="2068" w:type="dxa"/>
            <w:shd w:val="clear" w:color="auto" w:fill="404040" w:themeFill="text1" w:themeFillTint="BF"/>
            <w:vAlign w:val="center"/>
            <w:hideMark/>
          </w:tcPr>
          <w:p w14:paraId="45E57364" w14:textId="77777777" w:rsidR="00033F0D" w:rsidRPr="00FB3EC9" w:rsidRDefault="00033F0D" w:rsidP="00DC62E9">
            <w:pPr>
              <w:jc w:val="center"/>
              <w:rPr>
                <w:b/>
                <w:color w:val="FFFFFF" w:themeColor="background1"/>
                <w:sz w:val="18"/>
                <w:szCs w:val="18"/>
              </w:rPr>
            </w:pPr>
          </w:p>
        </w:tc>
        <w:tc>
          <w:tcPr>
            <w:tcW w:w="2068" w:type="dxa"/>
            <w:shd w:val="clear" w:color="auto" w:fill="404040" w:themeFill="text1" w:themeFillTint="BF"/>
            <w:vAlign w:val="center"/>
            <w:hideMark/>
          </w:tcPr>
          <w:p w14:paraId="0E88A377" w14:textId="77777777" w:rsidR="00033F0D" w:rsidRPr="00FB3EC9" w:rsidRDefault="00033F0D" w:rsidP="00DC62E9">
            <w:pPr>
              <w:jc w:val="center"/>
              <w:rPr>
                <w:rFonts w:eastAsia="Times New Roman"/>
                <w:b/>
                <w:color w:val="FFFFFF" w:themeColor="background1"/>
                <w:sz w:val="18"/>
                <w:szCs w:val="18"/>
              </w:rPr>
            </w:pPr>
          </w:p>
        </w:tc>
        <w:tc>
          <w:tcPr>
            <w:tcW w:w="2068" w:type="dxa"/>
            <w:shd w:val="clear" w:color="auto" w:fill="404040" w:themeFill="text1" w:themeFillTint="BF"/>
            <w:vAlign w:val="center"/>
            <w:hideMark/>
          </w:tcPr>
          <w:p w14:paraId="2AF3C16E" w14:textId="77777777" w:rsidR="00033F0D" w:rsidRPr="00FB3EC9" w:rsidRDefault="00033F0D" w:rsidP="00DC62E9">
            <w:pPr>
              <w:jc w:val="center"/>
              <w:rPr>
                <w:rFonts w:eastAsia="Times New Roman"/>
                <w:b/>
                <w:color w:val="FFFFFF" w:themeColor="background1"/>
                <w:sz w:val="18"/>
                <w:szCs w:val="18"/>
              </w:rPr>
            </w:pPr>
          </w:p>
        </w:tc>
        <w:tc>
          <w:tcPr>
            <w:tcW w:w="2069" w:type="dxa"/>
            <w:shd w:val="clear" w:color="auto" w:fill="404040" w:themeFill="text1" w:themeFillTint="BF"/>
            <w:vAlign w:val="center"/>
            <w:hideMark/>
          </w:tcPr>
          <w:p w14:paraId="64507173" w14:textId="77777777" w:rsidR="00033F0D" w:rsidRPr="00FB3EC9" w:rsidRDefault="00033F0D" w:rsidP="00DC62E9">
            <w:pPr>
              <w:jc w:val="center"/>
              <w:rPr>
                <w:rFonts w:eastAsia="Times New Roman"/>
                <w:b/>
                <w:color w:val="FFFFFF" w:themeColor="background1"/>
                <w:sz w:val="18"/>
                <w:szCs w:val="18"/>
              </w:rPr>
            </w:pPr>
          </w:p>
        </w:tc>
      </w:tr>
      <w:tr w:rsidR="00033F0D" w:rsidRPr="00FB3EC9" w14:paraId="62FD89F9" w14:textId="77777777" w:rsidTr="0053276F">
        <w:tc>
          <w:tcPr>
            <w:tcW w:w="0" w:type="auto"/>
            <w:shd w:val="clear" w:color="auto" w:fill="auto"/>
            <w:vAlign w:val="center"/>
            <w:hideMark/>
          </w:tcPr>
          <w:p w14:paraId="64BF96CC" w14:textId="77777777" w:rsidR="00033F0D" w:rsidRPr="00FB3EC9" w:rsidRDefault="00033F0D" w:rsidP="00392949">
            <w:pPr>
              <w:numPr>
                <w:ilvl w:val="0"/>
                <w:numId w:val="8"/>
              </w:numPr>
              <w:spacing w:before="100" w:beforeAutospacing="1"/>
              <w:ind w:left="714" w:hanging="357"/>
              <w:rPr>
                <w:rFonts w:eastAsia="Times New Roman"/>
                <w:sz w:val="18"/>
                <w:szCs w:val="18"/>
              </w:rPr>
            </w:pPr>
            <w:r w:rsidRPr="00FB3EC9">
              <w:rPr>
                <w:rFonts w:eastAsia="Times New Roman"/>
                <w:sz w:val="18"/>
                <w:szCs w:val="18"/>
              </w:rPr>
              <w:t>Hospitalisation</w:t>
            </w:r>
          </w:p>
        </w:tc>
        <w:tc>
          <w:tcPr>
            <w:tcW w:w="2068" w:type="dxa"/>
            <w:shd w:val="clear" w:color="auto" w:fill="auto"/>
            <w:vAlign w:val="center"/>
            <w:hideMark/>
          </w:tcPr>
          <w:p w14:paraId="2508FE08" w14:textId="77777777" w:rsidR="00033F0D" w:rsidRPr="00FB3EC9" w:rsidRDefault="00033F0D" w:rsidP="00DC62E9">
            <w:pPr>
              <w:pStyle w:val="NormalWeb"/>
              <w:jc w:val="center"/>
              <w:rPr>
                <w:sz w:val="18"/>
                <w:szCs w:val="18"/>
              </w:rPr>
            </w:pPr>
            <w:r w:rsidRPr="00FB3EC9">
              <w:rPr>
                <w:sz w:val="18"/>
                <w:szCs w:val="18"/>
              </w:rPr>
              <w:t>38 (8.1)</w:t>
            </w:r>
          </w:p>
        </w:tc>
        <w:tc>
          <w:tcPr>
            <w:tcW w:w="2068" w:type="dxa"/>
            <w:shd w:val="clear" w:color="auto" w:fill="auto"/>
            <w:vAlign w:val="center"/>
            <w:hideMark/>
          </w:tcPr>
          <w:p w14:paraId="65063E4A" w14:textId="77777777" w:rsidR="00033F0D" w:rsidRPr="00FB3EC9" w:rsidRDefault="00033F0D" w:rsidP="00DC62E9">
            <w:pPr>
              <w:pStyle w:val="NormalWeb"/>
              <w:jc w:val="center"/>
              <w:rPr>
                <w:sz w:val="18"/>
                <w:szCs w:val="18"/>
              </w:rPr>
            </w:pPr>
            <w:r w:rsidRPr="00FB3EC9">
              <w:rPr>
                <w:sz w:val="18"/>
                <w:szCs w:val="18"/>
              </w:rPr>
              <w:t>15 (13)</w:t>
            </w:r>
          </w:p>
        </w:tc>
        <w:tc>
          <w:tcPr>
            <w:tcW w:w="2068" w:type="dxa"/>
            <w:shd w:val="clear" w:color="auto" w:fill="auto"/>
            <w:vAlign w:val="center"/>
            <w:hideMark/>
          </w:tcPr>
          <w:p w14:paraId="3B907E5D" w14:textId="77777777" w:rsidR="00033F0D" w:rsidRPr="00FB3EC9" w:rsidRDefault="00033F0D" w:rsidP="00DC62E9">
            <w:pPr>
              <w:pStyle w:val="NormalWeb"/>
              <w:jc w:val="center"/>
              <w:rPr>
                <w:sz w:val="18"/>
                <w:szCs w:val="18"/>
              </w:rPr>
            </w:pPr>
            <w:r w:rsidRPr="00FB3EC9">
              <w:rPr>
                <w:sz w:val="18"/>
                <w:szCs w:val="18"/>
              </w:rPr>
              <w:t>23 (6.5)</w:t>
            </w:r>
          </w:p>
        </w:tc>
        <w:tc>
          <w:tcPr>
            <w:tcW w:w="2069" w:type="dxa"/>
            <w:shd w:val="clear" w:color="auto" w:fill="auto"/>
            <w:vAlign w:val="center"/>
            <w:hideMark/>
          </w:tcPr>
          <w:p w14:paraId="314C9BB0" w14:textId="77777777" w:rsidR="00033F0D" w:rsidRPr="00FB3EC9" w:rsidRDefault="00033F0D" w:rsidP="00DC62E9">
            <w:pPr>
              <w:pStyle w:val="NormalWeb"/>
              <w:jc w:val="center"/>
              <w:rPr>
                <w:sz w:val="18"/>
                <w:szCs w:val="18"/>
              </w:rPr>
            </w:pPr>
            <w:r w:rsidRPr="00FB3EC9">
              <w:rPr>
                <w:sz w:val="18"/>
                <w:szCs w:val="18"/>
              </w:rPr>
              <w:t>0.048</w:t>
            </w:r>
          </w:p>
        </w:tc>
      </w:tr>
      <w:tr w:rsidR="00033F0D" w:rsidRPr="00FB3EC9" w14:paraId="2A661628" w14:textId="77777777" w:rsidTr="00392949">
        <w:trPr>
          <w:cnfStyle w:val="000000010000" w:firstRow="0" w:lastRow="0" w:firstColumn="0" w:lastColumn="0" w:oddVBand="0" w:evenVBand="0" w:oddHBand="0" w:evenHBand="1" w:firstRowFirstColumn="0" w:firstRowLastColumn="0" w:lastRowFirstColumn="0" w:lastRowLastColumn="0"/>
        </w:trPr>
        <w:tc>
          <w:tcPr>
            <w:tcW w:w="0" w:type="auto"/>
            <w:shd w:val="clear" w:color="auto" w:fill="auto"/>
            <w:vAlign w:val="center"/>
            <w:hideMark/>
          </w:tcPr>
          <w:p w14:paraId="33A309E6" w14:textId="77777777" w:rsidR="00033F0D" w:rsidRPr="00FB3EC9" w:rsidRDefault="00033F0D" w:rsidP="00392949">
            <w:pPr>
              <w:numPr>
                <w:ilvl w:val="0"/>
                <w:numId w:val="9"/>
              </w:numPr>
              <w:spacing w:before="100" w:beforeAutospacing="1"/>
              <w:ind w:left="714" w:hanging="357"/>
              <w:rPr>
                <w:rFonts w:eastAsia="Times New Roman"/>
                <w:sz w:val="18"/>
                <w:szCs w:val="18"/>
              </w:rPr>
            </w:pPr>
            <w:r w:rsidRPr="00FB3EC9">
              <w:rPr>
                <w:rFonts w:eastAsia="Times New Roman"/>
                <w:sz w:val="18"/>
                <w:szCs w:val="18"/>
              </w:rPr>
              <w:t>ICU admission</w:t>
            </w:r>
          </w:p>
        </w:tc>
        <w:tc>
          <w:tcPr>
            <w:tcW w:w="2068" w:type="dxa"/>
            <w:shd w:val="clear" w:color="auto" w:fill="auto"/>
            <w:vAlign w:val="center"/>
            <w:hideMark/>
          </w:tcPr>
          <w:p w14:paraId="10BF7A60" w14:textId="77777777" w:rsidR="00033F0D" w:rsidRPr="00FB3EC9" w:rsidRDefault="00033F0D" w:rsidP="00DC62E9">
            <w:pPr>
              <w:pStyle w:val="NormalWeb"/>
              <w:jc w:val="center"/>
              <w:rPr>
                <w:sz w:val="18"/>
                <w:szCs w:val="18"/>
              </w:rPr>
            </w:pPr>
            <w:r w:rsidRPr="00FB3EC9">
              <w:rPr>
                <w:sz w:val="18"/>
                <w:szCs w:val="18"/>
              </w:rPr>
              <w:t>3 (0.6)</w:t>
            </w:r>
          </w:p>
        </w:tc>
        <w:tc>
          <w:tcPr>
            <w:tcW w:w="2068" w:type="dxa"/>
            <w:shd w:val="clear" w:color="auto" w:fill="auto"/>
            <w:vAlign w:val="center"/>
            <w:hideMark/>
          </w:tcPr>
          <w:p w14:paraId="1CC662BC" w14:textId="77777777" w:rsidR="00033F0D" w:rsidRPr="00FB3EC9" w:rsidRDefault="00033F0D" w:rsidP="00DC62E9">
            <w:pPr>
              <w:pStyle w:val="NormalWeb"/>
              <w:jc w:val="center"/>
              <w:rPr>
                <w:sz w:val="18"/>
                <w:szCs w:val="18"/>
              </w:rPr>
            </w:pPr>
            <w:r w:rsidRPr="00FB3EC9">
              <w:rPr>
                <w:sz w:val="18"/>
                <w:szCs w:val="18"/>
              </w:rPr>
              <w:t>2 (1.7)</w:t>
            </w:r>
          </w:p>
        </w:tc>
        <w:tc>
          <w:tcPr>
            <w:tcW w:w="2068" w:type="dxa"/>
            <w:shd w:val="clear" w:color="auto" w:fill="auto"/>
            <w:vAlign w:val="center"/>
            <w:hideMark/>
          </w:tcPr>
          <w:p w14:paraId="01C68012" w14:textId="77777777" w:rsidR="00033F0D" w:rsidRPr="00FB3EC9" w:rsidRDefault="00033F0D" w:rsidP="00DC62E9">
            <w:pPr>
              <w:pStyle w:val="NormalWeb"/>
              <w:jc w:val="center"/>
              <w:rPr>
                <w:sz w:val="18"/>
                <w:szCs w:val="18"/>
              </w:rPr>
            </w:pPr>
            <w:r w:rsidRPr="00FB3EC9">
              <w:rPr>
                <w:sz w:val="18"/>
                <w:szCs w:val="18"/>
              </w:rPr>
              <w:t>1 (0.3)</w:t>
            </w:r>
          </w:p>
        </w:tc>
        <w:tc>
          <w:tcPr>
            <w:tcW w:w="2069" w:type="dxa"/>
            <w:shd w:val="clear" w:color="auto" w:fill="auto"/>
            <w:vAlign w:val="center"/>
            <w:hideMark/>
          </w:tcPr>
          <w:p w14:paraId="372BE7BD" w14:textId="77777777" w:rsidR="00033F0D" w:rsidRPr="00FB3EC9" w:rsidRDefault="00033F0D" w:rsidP="00DC62E9">
            <w:pPr>
              <w:pStyle w:val="NormalWeb"/>
              <w:jc w:val="center"/>
              <w:rPr>
                <w:sz w:val="18"/>
                <w:szCs w:val="18"/>
              </w:rPr>
            </w:pPr>
            <w:r w:rsidRPr="00FB3EC9">
              <w:rPr>
                <w:sz w:val="18"/>
                <w:szCs w:val="18"/>
              </w:rPr>
              <w:t>0.153</w:t>
            </w:r>
          </w:p>
        </w:tc>
      </w:tr>
      <w:tr w:rsidR="00033F0D" w:rsidRPr="00FB3EC9" w14:paraId="23900D52" w14:textId="77777777" w:rsidTr="00392949">
        <w:tc>
          <w:tcPr>
            <w:tcW w:w="0" w:type="auto"/>
            <w:shd w:val="clear" w:color="auto" w:fill="auto"/>
            <w:vAlign w:val="center"/>
            <w:hideMark/>
          </w:tcPr>
          <w:p w14:paraId="296CB481" w14:textId="77777777" w:rsidR="00033F0D" w:rsidRPr="00FB3EC9" w:rsidRDefault="00033F0D" w:rsidP="00392949">
            <w:pPr>
              <w:numPr>
                <w:ilvl w:val="0"/>
                <w:numId w:val="10"/>
              </w:numPr>
              <w:spacing w:before="100" w:beforeAutospacing="1"/>
              <w:ind w:left="714" w:hanging="357"/>
              <w:rPr>
                <w:rFonts w:eastAsia="Times New Roman"/>
                <w:sz w:val="18"/>
                <w:szCs w:val="18"/>
              </w:rPr>
            </w:pPr>
            <w:r w:rsidRPr="00FB3EC9">
              <w:rPr>
                <w:rFonts w:eastAsia="Times New Roman"/>
                <w:sz w:val="18"/>
                <w:szCs w:val="18"/>
              </w:rPr>
              <w:t>Death</w:t>
            </w:r>
          </w:p>
        </w:tc>
        <w:tc>
          <w:tcPr>
            <w:tcW w:w="2068" w:type="dxa"/>
            <w:shd w:val="clear" w:color="auto" w:fill="auto"/>
            <w:vAlign w:val="center"/>
            <w:hideMark/>
          </w:tcPr>
          <w:p w14:paraId="4A5586A3" w14:textId="77777777" w:rsidR="00033F0D" w:rsidRPr="00FB3EC9" w:rsidRDefault="00033F0D" w:rsidP="00DC62E9">
            <w:pPr>
              <w:pStyle w:val="NormalWeb"/>
              <w:jc w:val="center"/>
              <w:rPr>
                <w:sz w:val="18"/>
                <w:szCs w:val="18"/>
              </w:rPr>
            </w:pPr>
            <w:r w:rsidRPr="00FB3EC9">
              <w:rPr>
                <w:sz w:val="18"/>
                <w:szCs w:val="18"/>
              </w:rPr>
              <w:t>4 (0.8)</w:t>
            </w:r>
          </w:p>
        </w:tc>
        <w:tc>
          <w:tcPr>
            <w:tcW w:w="2068" w:type="dxa"/>
            <w:shd w:val="clear" w:color="auto" w:fill="auto"/>
            <w:vAlign w:val="center"/>
            <w:hideMark/>
          </w:tcPr>
          <w:p w14:paraId="4E1B09E2" w14:textId="77777777" w:rsidR="00033F0D" w:rsidRPr="00FB3EC9" w:rsidRDefault="00033F0D" w:rsidP="00DC62E9">
            <w:pPr>
              <w:pStyle w:val="NormalWeb"/>
              <w:jc w:val="center"/>
              <w:rPr>
                <w:sz w:val="18"/>
                <w:szCs w:val="18"/>
              </w:rPr>
            </w:pPr>
            <w:r w:rsidRPr="00FB3EC9">
              <w:rPr>
                <w:sz w:val="18"/>
                <w:szCs w:val="18"/>
              </w:rPr>
              <w:t>0 (0)</w:t>
            </w:r>
          </w:p>
        </w:tc>
        <w:tc>
          <w:tcPr>
            <w:tcW w:w="2068" w:type="dxa"/>
            <w:shd w:val="clear" w:color="auto" w:fill="auto"/>
            <w:vAlign w:val="center"/>
            <w:hideMark/>
          </w:tcPr>
          <w:p w14:paraId="7E5707CD" w14:textId="77777777" w:rsidR="00033F0D" w:rsidRPr="00FB3EC9" w:rsidRDefault="00033F0D" w:rsidP="00DC62E9">
            <w:pPr>
              <w:pStyle w:val="NormalWeb"/>
              <w:jc w:val="center"/>
              <w:rPr>
                <w:sz w:val="18"/>
                <w:szCs w:val="18"/>
              </w:rPr>
            </w:pPr>
            <w:r w:rsidRPr="00FB3EC9">
              <w:rPr>
                <w:sz w:val="18"/>
                <w:szCs w:val="18"/>
              </w:rPr>
              <w:t>4 (1.1)</w:t>
            </w:r>
          </w:p>
        </w:tc>
        <w:tc>
          <w:tcPr>
            <w:tcW w:w="2069" w:type="dxa"/>
            <w:shd w:val="clear" w:color="auto" w:fill="auto"/>
            <w:vAlign w:val="center"/>
            <w:hideMark/>
          </w:tcPr>
          <w:p w14:paraId="6BD34878" w14:textId="77777777" w:rsidR="00033F0D" w:rsidRPr="00FB3EC9" w:rsidRDefault="00033F0D" w:rsidP="00DC62E9">
            <w:pPr>
              <w:pStyle w:val="NormalWeb"/>
              <w:jc w:val="center"/>
              <w:rPr>
                <w:sz w:val="18"/>
                <w:szCs w:val="18"/>
              </w:rPr>
            </w:pPr>
            <w:r w:rsidRPr="00FB3EC9">
              <w:rPr>
                <w:sz w:val="18"/>
                <w:szCs w:val="18"/>
              </w:rPr>
              <w:t>0.576</w:t>
            </w:r>
          </w:p>
        </w:tc>
      </w:tr>
      <w:tr w:rsidR="00845314" w:rsidRPr="00FB3EC9" w14:paraId="770D5BBC" w14:textId="77777777" w:rsidTr="002307FF">
        <w:trPr>
          <w:cnfStyle w:val="000000010000" w:firstRow="0" w:lastRow="0" w:firstColumn="0" w:lastColumn="0" w:oddVBand="0" w:evenVBand="0" w:oddHBand="0" w:evenHBand="1" w:firstRowFirstColumn="0" w:firstRowLastColumn="0" w:lastRowFirstColumn="0" w:lastRowLastColumn="0"/>
        </w:trPr>
        <w:tc>
          <w:tcPr>
            <w:tcW w:w="0" w:type="auto"/>
            <w:shd w:val="clear" w:color="auto" w:fill="404040" w:themeFill="text1" w:themeFillTint="BF"/>
            <w:vAlign w:val="center"/>
            <w:hideMark/>
          </w:tcPr>
          <w:p w14:paraId="685BC1A7" w14:textId="77777777" w:rsidR="00033F0D" w:rsidRPr="00FB3EC9" w:rsidRDefault="00033F0D" w:rsidP="00DC62E9">
            <w:pPr>
              <w:pStyle w:val="NormalWeb"/>
              <w:rPr>
                <w:b/>
                <w:color w:val="FFFFFF" w:themeColor="background1"/>
                <w:sz w:val="18"/>
                <w:szCs w:val="18"/>
              </w:rPr>
            </w:pPr>
            <w:r w:rsidRPr="00FB3EC9">
              <w:rPr>
                <w:b/>
                <w:color w:val="FFFFFF" w:themeColor="background1"/>
                <w:sz w:val="18"/>
                <w:szCs w:val="18"/>
              </w:rPr>
              <w:t>Symptoms</w:t>
            </w:r>
          </w:p>
        </w:tc>
        <w:tc>
          <w:tcPr>
            <w:tcW w:w="2068" w:type="dxa"/>
            <w:shd w:val="clear" w:color="auto" w:fill="404040" w:themeFill="text1" w:themeFillTint="BF"/>
            <w:vAlign w:val="center"/>
            <w:hideMark/>
          </w:tcPr>
          <w:p w14:paraId="23210CB8" w14:textId="77777777" w:rsidR="00033F0D" w:rsidRPr="00FB3EC9" w:rsidRDefault="00033F0D" w:rsidP="00DC62E9">
            <w:pPr>
              <w:jc w:val="center"/>
              <w:rPr>
                <w:b/>
                <w:color w:val="FFFFFF" w:themeColor="background1"/>
                <w:sz w:val="18"/>
                <w:szCs w:val="18"/>
              </w:rPr>
            </w:pPr>
          </w:p>
        </w:tc>
        <w:tc>
          <w:tcPr>
            <w:tcW w:w="2068" w:type="dxa"/>
            <w:shd w:val="clear" w:color="auto" w:fill="404040" w:themeFill="text1" w:themeFillTint="BF"/>
            <w:vAlign w:val="center"/>
            <w:hideMark/>
          </w:tcPr>
          <w:p w14:paraId="45F1BBA5" w14:textId="77777777" w:rsidR="00033F0D" w:rsidRPr="00FB3EC9" w:rsidRDefault="00033F0D" w:rsidP="00DC62E9">
            <w:pPr>
              <w:jc w:val="center"/>
              <w:rPr>
                <w:rFonts w:eastAsia="Times New Roman"/>
                <w:b/>
                <w:color w:val="FFFFFF" w:themeColor="background1"/>
                <w:sz w:val="18"/>
                <w:szCs w:val="18"/>
              </w:rPr>
            </w:pPr>
          </w:p>
        </w:tc>
        <w:tc>
          <w:tcPr>
            <w:tcW w:w="2068" w:type="dxa"/>
            <w:shd w:val="clear" w:color="auto" w:fill="404040" w:themeFill="text1" w:themeFillTint="BF"/>
            <w:vAlign w:val="center"/>
            <w:hideMark/>
          </w:tcPr>
          <w:p w14:paraId="65B889BF" w14:textId="77777777" w:rsidR="00033F0D" w:rsidRPr="00FB3EC9" w:rsidRDefault="00033F0D" w:rsidP="00DC62E9">
            <w:pPr>
              <w:jc w:val="center"/>
              <w:rPr>
                <w:rFonts w:eastAsia="Times New Roman"/>
                <w:b/>
                <w:color w:val="FFFFFF" w:themeColor="background1"/>
                <w:sz w:val="18"/>
                <w:szCs w:val="18"/>
              </w:rPr>
            </w:pPr>
          </w:p>
        </w:tc>
        <w:tc>
          <w:tcPr>
            <w:tcW w:w="2069" w:type="dxa"/>
            <w:shd w:val="clear" w:color="auto" w:fill="404040" w:themeFill="text1" w:themeFillTint="BF"/>
            <w:vAlign w:val="center"/>
            <w:hideMark/>
          </w:tcPr>
          <w:p w14:paraId="7389584C" w14:textId="77777777" w:rsidR="00033F0D" w:rsidRPr="00FB3EC9" w:rsidRDefault="00033F0D" w:rsidP="00DC62E9">
            <w:pPr>
              <w:jc w:val="center"/>
              <w:rPr>
                <w:rFonts w:eastAsia="Times New Roman"/>
                <w:b/>
                <w:color w:val="FFFFFF" w:themeColor="background1"/>
                <w:sz w:val="18"/>
                <w:szCs w:val="18"/>
              </w:rPr>
            </w:pPr>
          </w:p>
        </w:tc>
      </w:tr>
      <w:tr w:rsidR="00033F0D" w:rsidRPr="00FB3EC9" w14:paraId="36229C97" w14:textId="77777777" w:rsidTr="00392949">
        <w:tc>
          <w:tcPr>
            <w:tcW w:w="0" w:type="auto"/>
            <w:shd w:val="clear" w:color="auto" w:fill="auto"/>
            <w:vAlign w:val="center"/>
            <w:hideMark/>
          </w:tcPr>
          <w:p w14:paraId="56852C83" w14:textId="77777777" w:rsidR="00033F0D" w:rsidRPr="00FB3EC9" w:rsidRDefault="00033F0D" w:rsidP="00392949">
            <w:pPr>
              <w:numPr>
                <w:ilvl w:val="0"/>
                <w:numId w:val="11"/>
              </w:numPr>
              <w:spacing w:before="100" w:beforeAutospacing="1"/>
              <w:ind w:left="714" w:hanging="357"/>
              <w:rPr>
                <w:rFonts w:eastAsia="Times New Roman"/>
                <w:sz w:val="18"/>
                <w:szCs w:val="18"/>
              </w:rPr>
            </w:pPr>
            <w:r w:rsidRPr="00FB3EC9">
              <w:rPr>
                <w:rFonts w:eastAsia="Times New Roman"/>
                <w:sz w:val="18"/>
                <w:szCs w:val="18"/>
              </w:rPr>
              <w:t>Cough</w:t>
            </w:r>
          </w:p>
        </w:tc>
        <w:tc>
          <w:tcPr>
            <w:tcW w:w="2068" w:type="dxa"/>
            <w:shd w:val="clear" w:color="auto" w:fill="auto"/>
            <w:vAlign w:val="center"/>
            <w:hideMark/>
          </w:tcPr>
          <w:p w14:paraId="4E09891D" w14:textId="77777777" w:rsidR="00033F0D" w:rsidRPr="00FB3EC9" w:rsidRDefault="00033F0D" w:rsidP="00DC62E9">
            <w:pPr>
              <w:pStyle w:val="NormalWeb"/>
              <w:jc w:val="center"/>
              <w:rPr>
                <w:sz w:val="18"/>
                <w:szCs w:val="18"/>
              </w:rPr>
            </w:pPr>
            <w:r w:rsidRPr="00FB3EC9">
              <w:rPr>
                <w:sz w:val="18"/>
                <w:szCs w:val="18"/>
              </w:rPr>
              <w:t>342 (73)</w:t>
            </w:r>
          </w:p>
        </w:tc>
        <w:tc>
          <w:tcPr>
            <w:tcW w:w="2068" w:type="dxa"/>
            <w:shd w:val="clear" w:color="auto" w:fill="auto"/>
            <w:vAlign w:val="center"/>
            <w:hideMark/>
          </w:tcPr>
          <w:p w14:paraId="5EDDEA1C" w14:textId="77777777" w:rsidR="00033F0D" w:rsidRPr="00FB3EC9" w:rsidRDefault="00033F0D" w:rsidP="00DC62E9">
            <w:pPr>
              <w:pStyle w:val="NormalWeb"/>
              <w:jc w:val="center"/>
              <w:rPr>
                <w:sz w:val="18"/>
                <w:szCs w:val="18"/>
              </w:rPr>
            </w:pPr>
            <w:r w:rsidRPr="00FB3EC9">
              <w:rPr>
                <w:sz w:val="18"/>
                <w:szCs w:val="18"/>
              </w:rPr>
              <w:t>91 (78)</w:t>
            </w:r>
          </w:p>
        </w:tc>
        <w:tc>
          <w:tcPr>
            <w:tcW w:w="2068" w:type="dxa"/>
            <w:shd w:val="clear" w:color="auto" w:fill="auto"/>
            <w:vAlign w:val="center"/>
            <w:hideMark/>
          </w:tcPr>
          <w:p w14:paraId="026B2671" w14:textId="77777777" w:rsidR="00033F0D" w:rsidRPr="00FB3EC9" w:rsidRDefault="00033F0D" w:rsidP="00DC62E9">
            <w:pPr>
              <w:pStyle w:val="NormalWeb"/>
              <w:jc w:val="center"/>
              <w:rPr>
                <w:sz w:val="18"/>
                <w:szCs w:val="18"/>
              </w:rPr>
            </w:pPr>
            <w:r w:rsidRPr="00FB3EC9">
              <w:rPr>
                <w:sz w:val="18"/>
                <w:szCs w:val="18"/>
              </w:rPr>
              <w:t>251 (71)</w:t>
            </w:r>
          </w:p>
        </w:tc>
        <w:tc>
          <w:tcPr>
            <w:tcW w:w="2069" w:type="dxa"/>
            <w:shd w:val="clear" w:color="auto" w:fill="auto"/>
            <w:vAlign w:val="center"/>
            <w:hideMark/>
          </w:tcPr>
          <w:p w14:paraId="63AE7099" w14:textId="77777777" w:rsidR="00033F0D" w:rsidRPr="00FB3EC9" w:rsidRDefault="00033F0D" w:rsidP="00DC62E9">
            <w:pPr>
              <w:pStyle w:val="NormalWeb"/>
              <w:jc w:val="center"/>
              <w:rPr>
                <w:sz w:val="18"/>
                <w:szCs w:val="18"/>
              </w:rPr>
            </w:pPr>
            <w:r w:rsidRPr="00FB3EC9">
              <w:rPr>
                <w:sz w:val="18"/>
                <w:szCs w:val="18"/>
              </w:rPr>
              <w:t>0.153</w:t>
            </w:r>
          </w:p>
        </w:tc>
      </w:tr>
      <w:tr w:rsidR="00033F0D" w:rsidRPr="00FB3EC9" w14:paraId="5C30BA6C" w14:textId="77777777" w:rsidTr="00392949">
        <w:trPr>
          <w:cnfStyle w:val="000000010000" w:firstRow="0" w:lastRow="0" w:firstColumn="0" w:lastColumn="0" w:oddVBand="0" w:evenVBand="0" w:oddHBand="0" w:evenHBand="1" w:firstRowFirstColumn="0" w:firstRowLastColumn="0" w:lastRowFirstColumn="0" w:lastRowLastColumn="0"/>
        </w:trPr>
        <w:tc>
          <w:tcPr>
            <w:tcW w:w="0" w:type="auto"/>
            <w:shd w:val="clear" w:color="auto" w:fill="auto"/>
            <w:vAlign w:val="center"/>
            <w:hideMark/>
          </w:tcPr>
          <w:p w14:paraId="68DE12C3" w14:textId="77777777" w:rsidR="00033F0D" w:rsidRPr="00FB3EC9" w:rsidRDefault="00033F0D" w:rsidP="00392949">
            <w:pPr>
              <w:numPr>
                <w:ilvl w:val="0"/>
                <w:numId w:val="12"/>
              </w:numPr>
              <w:spacing w:before="100" w:beforeAutospacing="1"/>
              <w:ind w:left="714" w:hanging="357"/>
              <w:rPr>
                <w:rFonts w:eastAsia="Times New Roman"/>
                <w:sz w:val="18"/>
                <w:szCs w:val="18"/>
              </w:rPr>
            </w:pPr>
            <w:r w:rsidRPr="00FB3EC9">
              <w:rPr>
                <w:rFonts w:eastAsia="Times New Roman"/>
                <w:sz w:val="18"/>
                <w:szCs w:val="18"/>
              </w:rPr>
              <w:t>Sore throat</w:t>
            </w:r>
          </w:p>
        </w:tc>
        <w:tc>
          <w:tcPr>
            <w:tcW w:w="2068" w:type="dxa"/>
            <w:shd w:val="clear" w:color="auto" w:fill="auto"/>
            <w:vAlign w:val="center"/>
            <w:hideMark/>
          </w:tcPr>
          <w:p w14:paraId="2A82AEBD" w14:textId="77777777" w:rsidR="00033F0D" w:rsidRPr="00FB3EC9" w:rsidRDefault="00033F0D" w:rsidP="00DC62E9">
            <w:pPr>
              <w:pStyle w:val="NormalWeb"/>
              <w:jc w:val="center"/>
              <w:rPr>
                <w:sz w:val="18"/>
                <w:szCs w:val="18"/>
              </w:rPr>
            </w:pPr>
            <w:r w:rsidRPr="00FB3EC9">
              <w:rPr>
                <w:sz w:val="18"/>
                <w:szCs w:val="18"/>
              </w:rPr>
              <w:t>230 (49)</w:t>
            </w:r>
          </w:p>
        </w:tc>
        <w:tc>
          <w:tcPr>
            <w:tcW w:w="2068" w:type="dxa"/>
            <w:shd w:val="clear" w:color="auto" w:fill="auto"/>
            <w:vAlign w:val="center"/>
            <w:hideMark/>
          </w:tcPr>
          <w:p w14:paraId="727651B6" w14:textId="77777777" w:rsidR="00033F0D" w:rsidRPr="00FB3EC9" w:rsidRDefault="00033F0D" w:rsidP="00DC62E9">
            <w:pPr>
              <w:pStyle w:val="NormalWeb"/>
              <w:jc w:val="center"/>
              <w:rPr>
                <w:sz w:val="18"/>
                <w:szCs w:val="18"/>
              </w:rPr>
            </w:pPr>
            <w:r w:rsidRPr="00FB3EC9">
              <w:rPr>
                <w:sz w:val="18"/>
                <w:szCs w:val="18"/>
              </w:rPr>
              <w:t>71 (61)</w:t>
            </w:r>
          </w:p>
        </w:tc>
        <w:tc>
          <w:tcPr>
            <w:tcW w:w="2068" w:type="dxa"/>
            <w:shd w:val="clear" w:color="auto" w:fill="auto"/>
            <w:vAlign w:val="center"/>
            <w:hideMark/>
          </w:tcPr>
          <w:p w14:paraId="4029B724" w14:textId="77777777" w:rsidR="00033F0D" w:rsidRPr="00FB3EC9" w:rsidRDefault="00033F0D" w:rsidP="00DC62E9">
            <w:pPr>
              <w:pStyle w:val="NormalWeb"/>
              <w:jc w:val="center"/>
              <w:rPr>
                <w:sz w:val="18"/>
                <w:szCs w:val="18"/>
              </w:rPr>
            </w:pPr>
            <w:r w:rsidRPr="00FB3EC9">
              <w:rPr>
                <w:sz w:val="18"/>
                <w:szCs w:val="18"/>
              </w:rPr>
              <w:t>159 (45)</w:t>
            </w:r>
          </w:p>
        </w:tc>
        <w:tc>
          <w:tcPr>
            <w:tcW w:w="2069" w:type="dxa"/>
            <w:shd w:val="clear" w:color="auto" w:fill="auto"/>
            <w:vAlign w:val="center"/>
            <w:hideMark/>
          </w:tcPr>
          <w:p w14:paraId="1B63BC05" w14:textId="77777777" w:rsidR="00033F0D" w:rsidRPr="00FB3EC9" w:rsidRDefault="00033F0D" w:rsidP="00DC62E9">
            <w:pPr>
              <w:pStyle w:val="NormalWeb"/>
              <w:jc w:val="center"/>
              <w:rPr>
                <w:sz w:val="18"/>
                <w:szCs w:val="18"/>
              </w:rPr>
            </w:pPr>
            <w:r w:rsidRPr="00FB3EC9">
              <w:rPr>
                <w:sz w:val="18"/>
                <w:szCs w:val="18"/>
              </w:rPr>
              <w:t>0.004</w:t>
            </w:r>
          </w:p>
        </w:tc>
      </w:tr>
      <w:tr w:rsidR="00033F0D" w:rsidRPr="00FB3EC9" w14:paraId="2DB4DC88" w14:textId="77777777" w:rsidTr="00392949">
        <w:tc>
          <w:tcPr>
            <w:tcW w:w="0" w:type="auto"/>
            <w:shd w:val="clear" w:color="auto" w:fill="auto"/>
            <w:vAlign w:val="center"/>
            <w:hideMark/>
          </w:tcPr>
          <w:p w14:paraId="546C9A53" w14:textId="77777777" w:rsidR="00033F0D" w:rsidRPr="00FB3EC9" w:rsidRDefault="00033F0D" w:rsidP="00392949">
            <w:pPr>
              <w:numPr>
                <w:ilvl w:val="0"/>
                <w:numId w:val="13"/>
              </w:numPr>
              <w:spacing w:before="100" w:beforeAutospacing="1"/>
              <w:ind w:left="714" w:hanging="357"/>
              <w:rPr>
                <w:rFonts w:eastAsia="Times New Roman"/>
                <w:sz w:val="18"/>
                <w:szCs w:val="18"/>
              </w:rPr>
            </w:pPr>
            <w:r w:rsidRPr="00FB3EC9">
              <w:rPr>
                <w:rFonts w:eastAsia="Times New Roman"/>
                <w:sz w:val="18"/>
                <w:szCs w:val="18"/>
              </w:rPr>
              <w:t>Fever</w:t>
            </w:r>
          </w:p>
        </w:tc>
        <w:tc>
          <w:tcPr>
            <w:tcW w:w="2068" w:type="dxa"/>
            <w:shd w:val="clear" w:color="auto" w:fill="auto"/>
            <w:vAlign w:val="center"/>
            <w:hideMark/>
          </w:tcPr>
          <w:p w14:paraId="65693ADE" w14:textId="77777777" w:rsidR="00033F0D" w:rsidRPr="00FB3EC9" w:rsidRDefault="00033F0D" w:rsidP="00DC62E9">
            <w:pPr>
              <w:pStyle w:val="NormalWeb"/>
              <w:jc w:val="center"/>
              <w:rPr>
                <w:sz w:val="18"/>
                <w:szCs w:val="18"/>
              </w:rPr>
            </w:pPr>
            <w:r w:rsidRPr="00FB3EC9">
              <w:rPr>
                <w:sz w:val="18"/>
                <w:szCs w:val="18"/>
              </w:rPr>
              <w:t>220 (47)</w:t>
            </w:r>
          </w:p>
        </w:tc>
        <w:tc>
          <w:tcPr>
            <w:tcW w:w="2068" w:type="dxa"/>
            <w:shd w:val="clear" w:color="auto" w:fill="auto"/>
            <w:vAlign w:val="center"/>
            <w:hideMark/>
          </w:tcPr>
          <w:p w14:paraId="110432E3" w14:textId="77777777" w:rsidR="00033F0D" w:rsidRPr="00FB3EC9" w:rsidRDefault="00033F0D" w:rsidP="00DC62E9">
            <w:pPr>
              <w:pStyle w:val="NormalWeb"/>
              <w:jc w:val="center"/>
              <w:rPr>
                <w:sz w:val="18"/>
                <w:szCs w:val="18"/>
              </w:rPr>
            </w:pPr>
            <w:r w:rsidRPr="00FB3EC9">
              <w:rPr>
                <w:sz w:val="18"/>
                <w:szCs w:val="18"/>
              </w:rPr>
              <w:t>38 (32)</w:t>
            </w:r>
          </w:p>
        </w:tc>
        <w:tc>
          <w:tcPr>
            <w:tcW w:w="2068" w:type="dxa"/>
            <w:shd w:val="clear" w:color="auto" w:fill="auto"/>
            <w:vAlign w:val="center"/>
            <w:hideMark/>
          </w:tcPr>
          <w:p w14:paraId="6920F8F1" w14:textId="77777777" w:rsidR="00033F0D" w:rsidRPr="00FB3EC9" w:rsidRDefault="00033F0D" w:rsidP="00DC62E9">
            <w:pPr>
              <w:pStyle w:val="NormalWeb"/>
              <w:jc w:val="center"/>
              <w:rPr>
                <w:sz w:val="18"/>
                <w:szCs w:val="18"/>
              </w:rPr>
            </w:pPr>
            <w:r w:rsidRPr="00FB3EC9">
              <w:rPr>
                <w:sz w:val="18"/>
                <w:szCs w:val="18"/>
              </w:rPr>
              <w:t>182 (51)</w:t>
            </w:r>
          </w:p>
        </w:tc>
        <w:tc>
          <w:tcPr>
            <w:tcW w:w="2069" w:type="dxa"/>
            <w:shd w:val="clear" w:color="auto" w:fill="auto"/>
            <w:vAlign w:val="center"/>
            <w:hideMark/>
          </w:tcPr>
          <w:p w14:paraId="30FB2485" w14:textId="77777777" w:rsidR="00033F0D" w:rsidRPr="002B388C" w:rsidRDefault="00033F0D" w:rsidP="00DC62E9">
            <w:pPr>
              <w:pStyle w:val="NormalWeb"/>
              <w:jc w:val="center"/>
              <w:rPr>
                <w:b/>
                <w:sz w:val="18"/>
                <w:szCs w:val="18"/>
              </w:rPr>
            </w:pPr>
            <w:r w:rsidRPr="002B388C">
              <w:rPr>
                <w:b/>
                <w:sz w:val="18"/>
                <w:szCs w:val="18"/>
              </w:rPr>
              <w:t>&lt; 0.001</w:t>
            </w:r>
          </w:p>
        </w:tc>
      </w:tr>
      <w:tr w:rsidR="00033F0D" w:rsidRPr="00FB3EC9" w14:paraId="2BD612B0" w14:textId="77777777" w:rsidTr="00392949">
        <w:trPr>
          <w:cnfStyle w:val="000000010000" w:firstRow="0" w:lastRow="0" w:firstColumn="0" w:lastColumn="0" w:oddVBand="0" w:evenVBand="0" w:oddHBand="0" w:evenHBand="1" w:firstRowFirstColumn="0" w:firstRowLastColumn="0" w:lastRowFirstColumn="0" w:lastRowLastColumn="0"/>
        </w:trPr>
        <w:tc>
          <w:tcPr>
            <w:tcW w:w="0" w:type="auto"/>
            <w:shd w:val="clear" w:color="auto" w:fill="auto"/>
            <w:vAlign w:val="center"/>
            <w:hideMark/>
          </w:tcPr>
          <w:p w14:paraId="0E7D1B8F" w14:textId="77777777" w:rsidR="00033F0D" w:rsidRPr="00FB3EC9" w:rsidRDefault="00033F0D" w:rsidP="00392949">
            <w:pPr>
              <w:numPr>
                <w:ilvl w:val="0"/>
                <w:numId w:val="14"/>
              </w:numPr>
              <w:spacing w:before="100" w:beforeAutospacing="1"/>
              <w:ind w:left="714" w:hanging="357"/>
              <w:rPr>
                <w:rFonts w:eastAsia="Times New Roman"/>
                <w:sz w:val="18"/>
                <w:szCs w:val="18"/>
              </w:rPr>
            </w:pPr>
            <w:r w:rsidRPr="00FB3EC9">
              <w:rPr>
                <w:rFonts w:eastAsia="Times New Roman"/>
                <w:sz w:val="18"/>
                <w:szCs w:val="18"/>
              </w:rPr>
              <w:t>Coryza</w:t>
            </w:r>
          </w:p>
        </w:tc>
        <w:tc>
          <w:tcPr>
            <w:tcW w:w="2068" w:type="dxa"/>
            <w:shd w:val="clear" w:color="auto" w:fill="auto"/>
            <w:vAlign w:val="center"/>
            <w:hideMark/>
          </w:tcPr>
          <w:p w14:paraId="709701BB" w14:textId="77777777" w:rsidR="00033F0D" w:rsidRPr="00FB3EC9" w:rsidRDefault="00033F0D" w:rsidP="00DC62E9">
            <w:pPr>
              <w:pStyle w:val="NormalWeb"/>
              <w:jc w:val="center"/>
              <w:rPr>
                <w:sz w:val="18"/>
                <w:szCs w:val="18"/>
              </w:rPr>
            </w:pPr>
            <w:r w:rsidRPr="00FB3EC9">
              <w:rPr>
                <w:sz w:val="18"/>
                <w:szCs w:val="18"/>
              </w:rPr>
              <w:t>187 (40)</w:t>
            </w:r>
          </w:p>
        </w:tc>
        <w:tc>
          <w:tcPr>
            <w:tcW w:w="2068" w:type="dxa"/>
            <w:shd w:val="clear" w:color="auto" w:fill="auto"/>
            <w:vAlign w:val="center"/>
            <w:hideMark/>
          </w:tcPr>
          <w:p w14:paraId="6C2A5965" w14:textId="77777777" w:rsidR="00033F0D" w:rsidRPr="00FB3EC9" w:rsidRDefault="00033F0D" w:rsidP="00DC62E9">
            <w:pPr>
              <w:pStyle w:val="NormalWeb"/>
              <w:jc w:val="center"/>
              <w:rPr>
                <w:sz w:val="18"/>
                <w:szCs w:val="18"/>
              </w:rPr>
            </w:pPr>
            <w:r w:rsidRPr="00FB3EC9">
              <w:rPr>
                <w:sz w:val="18"/>
                <w:szCs w:val="18"/>
              </w:rPr>
              <w:t>56 (48)</w:t>
            </w:r>
          </w:p>
        </w:tc>
        <w:tc>
          <w:tcPr>
            <w:tcW w:w="2068" w:type="dxa"/>
            <w:shd w:val="clear" w:color="auto" w:fill="auto"/>
            <w:vAlign w:val="center"/>
            <w:hideMark/>
          </w:tcPr>
          <w:p w14:paraId="2FB45846" w14:textId="77777777" w:rsidR="00033F0D" w:rsidRPr="00FB3EC9" w:rsidRDefault="00033F0D" w:rsidP="00DC62E9">
            <w:pPr>
              <w:pStyle w:val="NormalWeb"/>
              <w:jc w:val="center"/>
              <w:rPr>
                <w:sz w:val="18"/>
                <w:szCs w:val="18"/>
              </w:rPr>
            </w:pPr>
            <w:r w:rsidRPr="00FB3EC9">
              <w:rPr>
                <w:sz w:val="18"/>
                <w:szCs w:val="18"/>
              </w:rPr>
              <w:t>131 (37)</w:t>
            </w:r>
          </w:p>
        </w:tc>
        <w:tc>
          <w:tcPr>
            <w:tcW w:w="2069" w:type="dxa"/>
            <w:shd w:val="clear" w:color="auto" w:fill="auto"/>
            <w:vAlign w:val="center"/>
            <w:hideMark/>
          </w:tcPr>
          <w:p w14:paraId="34AB5484" w14:textId="77777777" w:rsidR="00033F0D" w:rsidRPr="00FB3EC9" w:rsidRDefault="00033F0D" w:rsidP="00DC62E9">
            <w:pPr>
              <w:pStyle w:val="NormalWeb"/>
              <w:jc w:val="center"/>
              <w:rPr>
                <w:sz w:val="18"/>
                <w:szCs w:val="18"/>
              </w:rPr>
            </w:pPr>
            <w:r w:rsidRPr="00FB3EC9">
              <w:rPr>
                <w:sz w:val="18"/>
                <w:szCs w:val="18"/>
              </w:rPr>
              <w:t>0.039</w:t>
            </w:r>
          </w:p>
        </w:tc>
      </w:tr>
      <w:tr w:rsidR="00033F0D" w:rsidRPr="00FB3EC9" w14:paraId="3F3D41AF" w14:textId="77777777" w:rsidTr="00392949">
        <w:tc>
          <w:tcPr>
            <w:tcW w:w="0" w:type="auto"/>
            <w:shd w:val="clear" w:color="auto" w:fill="auto"/>
            <w:vAlign w:val="center"/>
            <w:hideMark/>
          </w:tcPr>
          <w:p w14:paraId="4E97AF65" w14:textId="77777777" w:rsidR="00033F0D" w:rsidRPr="00FB3EC9" w:rsidRDefault="00033F0D" w:rsidP="00392949">
            <w:pPr>
              <w:numPr>
                <w:ilvl w:val="0"/>
                <w:numId w:val="15"/>
              </w:numPr>
              <w:spacing w:before="100" w:beforeAutospacing="1"/>
              <w:ind w:left="714" w:hanging="357"/>
              <w:rPr>
                <w:rFonts w:eastAsia="Times New Roman"/>
                <w:sz w:val="18"/>
                <w:szCs w:val="18"/>
              </w:rPr>
            </w:pPr>
            <w:r w:rsidRPr="00FB3EC9">
              <w:rPr>
                <w:rFonts w:eastAsia="Times New Roman"/>
                <w:sz w:val="18"/>
                <w:szCs w:val="18"/>
              </w:rPr>
              <w:t>Anosmia</w:t>
            </w:r>
          </w:p>
        </w:tc>
        <w:tc>
          <w:tcPr>
            <w:tcW w:w="2068" w:type="dxa"/>
            <w:shd w:val="clear" w:color="auto" w:fill="auto"/>
            <w:vAlign w:val="center"/>
            <w:hideMark/>
          </w:tcPr>
          <w:p w14:paraId="2C309E25" w14:textId="77777777" w:rsidR="00033F0D" w:rsidRPr="00FB3EC9" w:rsidRDefault="00033F0D" w:rsidP="00DC62E9">
            <w:pPr>
              <w:pStyle w:val="NormalWeb"/>
              <w:jc w:val="center"/>
              <w:rPr>
                <w:sz w:val="18"/>
                <w:szCs w:val="18"/>
              </w:rPr>
            </w:pPr>
            <w:r w:rsidRPr="00FB3EC9">
              <w:rPr>
                <w:sz w:val="18"/>
                <w:szCs w:val="18"/>
              </w:rPr>
              <w:t>89 (19)</w:t>
            </w:r>
          </w:p>
        </w:tc>
        <w:tc>
          <w:tcPr>
            <w:tcW w:w="2068" w:type="dxa"/>
            <w:shd w:val="clear" w:color="auto" w:fill="auto"/>
            <w:vAlign w:val="center"/>
            <w:hideMark/>
          </w:tcPr>
          <w:p w14:paraId="602FACDC" w14:textId="77777777" w:rsidR="00033F0D" w:rsidRPr="00FB3EC9" w:rsidRDefault="00033F0D" w:rsidP="00DC62E9">
            <w:pPr>
              <w:pStyle w:val="NormalWeb"/>
              <w:jc w:val="center"/>
              <w:rPr>
                <w:sz w:val="18"/>
                <w:szCs w:val="18"/>
              </w:rPr>
            </w:pPr>
            <w:r w:rsidRPr="00FB3EC9">
              <w:rPr>
                <w:sz w:val="18"/>
                <w:szCs w:val="18"/>
              </w:rPr>
              <w:t>11 (9.4)</w:t>
            </w:r>
          </w:p>
        </w:tc>
        <w:tc>
          <w:tcPr>
            <w:tcW w:w="2068" w:type="dxa"/>
            <w:shd w:val="clear" w:color="auto" w:fill="auto"/>
            <w:vAlign w:val="center"/>
            <w:hideMark/>
          </w:tcPr>
          <w:p w14:paraId="20074F56" w14:textId="77777777" w:rsidR="00033F0D" w:rsidRPr="00FB3EC9" w:rsidRDefault="00033F0D" w:rsidP="00DC62E9">
            <w:pPr>
              <w:pStyle w:val="NormalWeb"/>
              <w:jc w:val="center"/>
              <w:rPr>
                <w:sz w:val="18"/>
                <w:szCs w:val="18"/>
              </w:rPr>
            </w:pPr>
            <w:r w:rsidRPr="00FB3EC9">
              <w:rPr>
                <w:sz w:val="18"/>
                <w:szCs w:val="18"/>
              </w:rPr>
              <w:t>78 (22)</w:t>
            </w:r>
          </w:p>
        </w:tc>
        <w:tc>
          <w:tcPr>
            <w:tcW w:w="2069" w:type="dxa"/>
            <w:shd w:val="clear" w:color="auto" w:fill="auto"/>
            <w:vAlign w:val="center"/>
            <w:hideMark/>
          </w:tcPr>
          <w:p w14:paraId="537B60CC" w14:textId="77777777" w:rsidR="00033F0D" w:rsidRPr="002B388C" w:rsidRDefault="00033F0D" w:rsidP="00DC62E9">
            <w:pPr>
              <w:pStyle w:val="NormalWeb"/>
              <w:jc w:val="center"/>
              <w:rPr>
                <w:b/>
                <w:sz w:val="18"/>
                <w:szCs w:val="18"/>
              </w:rPr>
            </w:pPr>
            <w:r w:rsidRPr="002B388C">
              <w:rPr>
                <w:b/>
                <w:sz w:val="18"/>
                <w:szCs w:val="18"/>
              </w:rPr>
              <w:t>0.0025</w:t>
            </w:r>
          </w:p>
        </w:tc>
      </w:tr>
      <w:tr w:rsidR="00033F0D" w:rsidRPr="00FB3EC9" w14:paraId="61A90DD0" w14:textId="77777777" w:rsidTr="00392949">
        <w:trPr>
          <w:cnfStyle w:val="000000010000" w:firstRow="0" w:lastRow="0" w:firstColumn="0" w:lastColumn="0" w:oddVBand="0" w:evenVBand="0" w:oddHBand="0" w:evenHBand="1" w:firstRowFirstColumn="0" w:firstRowLastColumn="0" w:lastRowFirstColumn="0" w:lastRowLastColumn="0"/>
        </w:trPr>
        <w:tc>
          <w:tcPr>
            <w:tcW w:w="0" w:type="auto"/>
            <w:shd w:val="clear" w:color="auto" w:fill="auto"/>
            <w:vAlign w:val="center"/>
            <w:hideMark/>
          </w:tcPr>
          <w:p w14:paraId="2C0DACAB" w14:textId="77777777" w:rsidR="00033F0D" w:rsidRPr="00FB3EC9" w:rsidRDefault="00033F0D" w:rsidP="00392949">
            <w:pPr>
              <w:numPr>
                <w:ilvl w:val="0"/>
                <w:numId w:val="16"/>
              </w:numPr>
              <w:spacing w:before="100" w:beforeAutospacing="1"/>
              <w:ind w:left="714" w:hanging="357"/>
              <w:rPr>
                <w:rFonts w:eastAsia="Times New Roman"/>
                <w:sz w:val="18"/>
                <w:szCs w:val="18"/>
              </w:rPr>
            </w:pPr>
            <w:r w:rsidRPr="00FB3EC9">
              <w:rPr>
                <w:rFonts w:eastAsia="Times New Roman"/>
                <w:sz w:val="18"/>
                <w:szCs w:val="18"/>
              </w:rPr>
              <w:t>Dyspnoea</w:t>
            </w:r>
          </w:p>
        </w:tc>
        <w:tc>
          <w:tcPr>
            <w:tcW w:w="2068" w:type="dxa"/>
            <w:shd w:val="clear" w:color="auto" w:fill="auto"/>
            <w:vAlign w:val="center"/>
            <w:hideMark/>
          </w:tcPr>
          <w:p w14:paraId="23A5EAA6" w14:textId="77777777" w:rsidR="00033F0D" w:rsidRPr="00FB3EC9" w:rsidRDefault="00033F0D" w:rsidP="00DC62E9">
            <w:pPr>
              <w:pStyle w:val="NormalWeb"/>
              <w:jc w:val="center"/>
              <w:rPr>
                <w:sz w:val="18"/>
                <w:szCs w:val="18"/>
              </w:rPr>
            </w:pPr>
            <w:r w:rsidRPr="00FB3EC9">
              <w:rPr>
                <w:sz w:val="18"/>
                <w:szCs w:val="18"/>
              </w:rPr>
              <w:t>32 (6.8)</w:t>
            </w:r>
          </w:p>
        </w:tc>
        <w:tc>
          <w:tcPr>
            <w:tcW w:w="2068" w:type="dxa"/>
            <w:shd w:val="clear" w:color="auto" w:fill="auto"/>
            <w:vAlign w:val="center"/>
            <w:hideMark/>
          </w:tcPr>
          <w:p w14:paraId="2F27A392" w14:textId="77777777" w:rsidR="00033F0D" w:rsidRPr="00FB3EC9" w:rsidRDefault="00033F0D" w:rsidP="00DC62E9">
            <w:pPr>
              <w:pStyle w:val="NormalWeb"/>
              <w:jc w:val="center"/>
              <w:rPr>
                <w:sz w:val="18"/>
                <w:szCs w:val="18"/>
              </w:rPr>
            </w:pPr>
            <w:r w:rsidRPr="00FB3EC9">
              <w:rPr>
                <w:sz w:val="18"/>
                <w:szCs w:val="18"/>
              </w:rPr>
              <w:t>23 (20)</w:t>
            </w:r>
          </w:p>
        </w:tc>
        <w:tc>
          <w:tcPr>
            <w:tcW w:w="2068" w:type="dxa"/>
            <w:shd w:val="clear" w:color="auto" w:fill="auto"/>
            <w:vAlign w:val="center"/>
            <w:hideMark/>
          </w:tcPr>
          <w:p w14:paraId="1EBAD389" w14:textId="77777777" w:rsidR="00033F0D" w:rsidRPr="00FB3EC9" w:rsidRDefault="00033F0D" w:rsidP="00DC62E9">
            <w:pPr>
              <w:pStyle w:val="NormalWeb"/>
              <w:jc w:val="center"/>
              <w:rPr>
                <w:sz w:val="18"/>
                <w:szCs w:val="18"/>
              </w:rPr>
            </w:pPr>
            <w:r w:rsidRPr="00FB3EC9">
              <w:rPr>
                <w:sz w:val="18"/>
                <w:szCs w:val="18"/>
              </w:rPr>
              <w:t>9 (2.5)</w:t>
            </w:r>
          </w:p>
        </w:tc>
        <w:tc>
          <w:tcPr>
            <w:tcW w:w="2069" w:type="dxa"/>
            <w:shd w:val="clear" w:color="auto" w:fill="auto"/>
            <w:vAlign w:val="center"/>
            <w:hideMark/>
          </w:tcPr>
          <w:p w14:paraId="0051EACB" w14:textId="77777777" w:rsidR="00033F0D" w:rsidRPr="002B388C" w:rsidRDefault="00033F0D" w:rsidP="00DC62E9">
            <w:pPr>
              <w:pStyle w:val="NormalWeb"/>
              <w:jc w:val="center"/>
              <w:rPr>
                <w:b/>
                <w:sz w:val="18"/>
                <w:szCs w:val="18"/>
              </w:rPr>
            </w:pPr>
            <w:r w:rsidRPr="002B388C">
              <w:rPr>
                <w:b/>
                <w:sz w:val="18"/>
                <w:szCs w:val="18"/>
              </w:rPr>
              <w:t>&lt; 0.0001</w:t>
            </w:r>
          </w:p>
        </w:tc>
      </w:tr>
    </w:tbl>
    <w:p w14:paraId="2D83DAE1" w14:textId="77777777" w:rsidR="00033F0D" w:rsidRDefault="00033F0D" w:rsidP="00033F0D">
      <w:pPr>
        <w:pStyle w:val="CDIfootnotes"/>
      </w:pPr>
      <w:r>
        <w:t>a</w:t>
      </w:r>
      <w:r>
        <w:tab/>
        <w:t>Percentage shown in parentheses.</w:t>
      </w:r>
    </w:p>
    <w:p w14:paraId="3670A455" w14:textId="77777777" w:rsidR="00033F0D" w:rsidRDefault="00033F0D" w:rsidP="00033F0D">
      <w:pPr>
        <w:pStyle w:val="CDIfootnotes"/>
      </w:pPr>
      <w:r>
        <w:t>b</w:t>
      </w:r>
      <w:r>
        <w:tab/>
        <w:t xml:space="preserve">Statistically significant </w:t>
      </w:r>
      <w:r w:rsidRPr="002B388C">
        <w:rPr>
          <w:i/>
        </w:rPr>
        <w:t>p</w:t>
      </w:r>
      <w:r>
        <w:t xml:space="preserve">-values in bold. Testing for statistical significance performed using Fisher’s exact tests for categorical data and Student’s t-test for case ages. Correction for multiple comparisons was applied using the </w:t>
      </w:r>
      <w:proofErr w:type="spellStart"/>
      <w:r>
        <w:t>Benjamini</w:t>
      </w:r>
      <w:proofErr w:type="spellEnd"/>
      <w:r>
        <w:t>-Hochberg procedure with false discovery rate set at 0.01.</w:t>
      </w:r>
    </w:p>
    <w:p w14:paraId="1A5D2C5E" w14:textId="77777777" w:rsidR="00033F0D" w:rsidRDefault="00033F0D" w:rsidP="00033F0D">
      <w:r>
        <w:lastRenderedPageBreak/>
        <w:t>Across all cases, 74% of tests returned positive results (Table 2). Sub-group analysis of only tests from confirmed cases found 91% of tests positive, with all negative tests in this group preceding at least one positive result. Nasopharyngeal swabs showed 77% of tests positive, compared with 48% for oropharyngeal swabs, an absolute difference of 29%.</w:t>
      </w:r>
      <w:r w:rsidR="002B388C">
        <w:rPr>
          <w:rStyle w:val="FootnoteReference"/>
        </w:rPr>
        <w:footnoteReference w:id="3"/>
      </w:r>
    </w:p>
    <w:p w14:paraId="037BE3AD" w14:textId="77777777" w:rsidR="00033F0D" w:rsidRDefault="00033F0D" w:rsidP="00033F0D">
      <w:r>
        <w:t>Most tests were performed in the first few days after symptom onset: 278 tests (52% of total) were taken 0–4 days post onset. Days 1 and 2 together accounted for 25% of total tests done, and the number of tests performed on subsequent days gradually declined. Proportion of test results positive increased gradually from day of symptom onset (56%; 95% CI: 39–72%) to 7–8 days after (89%; 95% CI: 80–98%), then remained largely unchanged before dropping sharply on days 13–14 (44%; 95% CI: 19–68%) (Figure 1).</w:t>
      </w:r>
    </w:p>
    <w:p w14:paraId="42DA08F0" w14:textId="77777777" w:rsidR="00033F0D" w:rsidRDefault="00033F0D" w:rsidP="00033F0D">
      <w:pPr>
        <w:pStyle w:val="CDIFigures"/>
      </w:pPr>
      <w:r>
        <w:t xml:space="preserve">Figure 1: Proportion of tests positive and number of tests performed in symptomatic COVID-19 </w:t>
      </w:r>
      <w:proofErr w:type="spellStart"/>
      <w:proofErr w:type="gramStart"/>
      <w:r>
        <w:t>patients,</w:t>
      </w:r>
      <w:r w:rsidRPr="0055730D">
        <w:rPr>
          <w:vertAlign w:val="superscript"/>
        </w:rPr>
        <w:t>a</w:t>
      </w:r>
      <w:proofErr w:type="spellEnd"/>
      <w:proofErr w:type="gramEnd"/>
      <w:r>
        <w:t xml:space="preserve"> Auckland, New Zealand, February–June 2020</w:t>
      </w:r>
    </w:p>
    <w:p w14:paraId="4195B5A8" w14:textId="77777777" w:rsidR="00033F0D" w:rsidRDefault="00033F0D">
      <w:pPr>
        <w:rPr>
          <w:rFonts w:eastAsia="Times New Roman"/>
        </w:rPr>
      </w:pPr>
      <w:r>
        <w:rPr>
          <w:rFonts w:eastAsia="Times New Roman"/>
          <w:noProof/>
        </w:rPr>
        <w:drawing>
          <wp:inline distT="0" distB="0" distL="0" distR="0" wp14:anchorId="602C4C0D" wp14:editId="0CA7F6E5">
            <wp:extent cx="6629400" cy="4302831"/>
            <wp:effectExtent l="0" t="0" r="0" b="2540"/>
            <wp:docPr id="2" name="Picture 2" descr="Proportion of tests positive and number of tests performed, by days post symptom onset. Proportion of tests positive highest on days 7-8 post symptom onset, and is significantly higher than on day 0 or after day 13 (with no overlapping 95% confidence intervals). Highest number of tests done on days 1-2 after symptom ons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oportion of tests positive and number of tests performed, by days post symptom onset. Proportion of tests positive highest on days 7-8 post symptom onset, and is significantly higher than on day 0 or after day 13 (with no overlapping 95% confidence intervals). Highest number of tests done on days 1-2 after symptom onset."/>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6634178" cy="4305932"/>
                    </a:xfrm>
                    <a:prstGeom prst="rect">
                      <a:avLst/>
                    </a:prstGeom>
                  </pic:spPr>
                </pic:pic>
              </a:graphicData>
            </a:graphic>
          </wp:inline>
        </w:drawing>
      </w:r>
    </w:p>
    <w:p w14:paraId="2766B909" w14:textId="77777777" w:rsidR="00033F0D" w:rsidRDefault="00033F0D" w:rsidP="00033F0D">
      <w:pPr>
        <w:pStyle w:val="CDIfootnotes"/>
      </w:pPr>
      <w:proofErr w:type="gramStart"/>
      <w:r>
        <w:t>a</w:t>
      </w:r>
      <w:r>
        <w:tab/>
        <w:t>95% confidence intervals</w:t>
      </w:r>
      <w:proofErr w:type="gramEnd"/>
      <w:r>
        <w:t xml:space="preserve"> generated using the Clopper-Pearson method.</w:t>
      </w:r>
    </w:p>
    <w:p w14:paraId="2AD5614B" w14:textId="77777777" w:rsidR="006525CD" w:rsidRDefault="006525CD">
      <w:pPr>
        <w:rPr>
          <w:b/>
        </w:rPr>
      </w:pPr>
      <w:r>
        <w:br w:type="page"/>
      </w:r>
    </w:p>
    <w:p w14:paraId="5702379C" w14:textId="77777777" w:rsidR="00033F0D" w:rsidRDefault="00033F0D" w:rsidP="00033F0D">
      <w:pPr>
        <w:pStyle w:val="CDIFigures"/>
      </w:pPr>
      <w:r>
        <w:lastRenderedPageBreak/>
        <w:t>Table 2: Results for all included SARS-CoV-2 RT-PCR tests, Auckland, New Zealand,</w:t>
      </w:r>
      <w:r>
        <w:br/>
        <w:t>26 February – 7 June 2020</w:t>
      </w:r>
    </w:p>
    <w:tbl>
      <w:tblPr>
        <w:tblStyle w:val="CDI-StandardTable"/>
        <w:tblW w:w="0" w:type="auto"/>
        <w:tblCellMar>
          <w:top w:w="57" w:type="dxa"/>
          <w:left w:w="57" w:type="dxa"/>
          <w:bottom w:w="57" w:type="dxa"/>
          <w:right w:w="57" w:type="dxa"/>
        </w:tblCellMar>
        <w:tblLook w:val="04A0" w:firstRow="1" w:lastRow="0" w:firstColumn="1" w:lastColumn="0" w:noHBand="0" w:noVBand="1"/>
        <w:tblDescription w:val="Proportion of test results positive. Across all cases included in study, 74% of tests were positive, and in tests performed on confirmed cases this is 91%. By swab site, a greater proportion of tests were positive for nasopharyngeal swabs compared to oropharyngeal swabs or those of unknown site.&#10;"/>
      </w:tblPr>
      <w:tblGrid>
        <w:gridCol w:w="1990"/>
        <w:gridCol w:w="1990"/>
        <w:gridCol w:w="1990"/>
        <w:gridCol w:w="1990"/>
        <w:gridCol w:w="2480"/>
      </w:tblGrid>
      <w:tr w:rsidR="006525CD" w:rsidRPr="006525CD" w14:paraId="4BC502FA" w14:textId="77777777" w:rsidTr="00641E85">
        <w:trPr>
          <w:cnfStyle w:val="100000000000" w:firstRow="1" w:lastRow="0" w:firstColumn="0" w:lastColumn="0" w:oddVBand="0" w:evenVBand="0" w:oddHBand="0" w:evenHBand="0" w:firstRowFirstColumn="0" w:firstRowLastColumn="0" w:lastRowFirstColumn="0" w:lastRowLastColumn="0"/>
          <w:tblHeader/>
        </w:trPr>
        <w:tc>
          <w:tcPr>
            <w:tcW w:w="3980" w:type="dxa"/>
            <w:gridSpan w:val="2"/>
            <w:tcBorders>
              <w:bottom w:val="single" w:sz="2" w:space="0" w:color="FFFFFF" w:themeColor="background1"/>
              <w:right w:val="single" w:sz="2" w:space="0" w:color="FFFFFF" w:themeColor="background1"/>
            </w:tcBorders>
            <w:hideMark/>
          </w:tcPr>
          <w:p w14:paraId="0B1C52D0" w14:textId="77777777" w:rsidR="00033F0D" w:rsidRPr="006525CD" w:rsidRDefault="00033F0D">
            <w:pPr>
              <w:rPr>
                <w:color w:val="FFFFFF" w:themeColor="background1"/>
                <w:sz w:val="18"/>
                <w:szCs w:val="18"/>
              </w:rPr>
            </w:pPr>
          </w:p>
        </w:tc>
        <w:tc>
          <w:tcPr>
            <w:tcW w:w="6460" w:type="dxa"/>
            <w:gridSpan w:val="3"/>
            <w:tcBorders>
              <w:left w:val="single" w:sz="2" w:space="0" w:color="FFFFFF" w:themeColor="background1"/>
              <w:bottom w:val="single" w:sz="2" w:space="0" w:color="FFFFFF" w:themeColor="background1"/>
            </w:tcBorders>
            <w:hideMark/>
          </w:tcPr>
          <w:p w14:paraId="58A1A1B2" w14:textId="77777777" w:rsidR="00033F0D" w:rsidRPr="006525CD" w:rsidRDefault="00033F0D" w:rsidP="006525CD">
            <w:pPr>
              <w:pStyle w:val="NormalWeb"/>
              <w:jc w:val="center"/>
              <w:rPr>
                <w:color w:val="FFFFFF" w:themeColor="background1"/>
                <w:sz w:val="18"/>
                <w:szCs w:val="18"/>
              </w:rPr>
            </w:pPr>
            <w:r w:rsidRPr="006525CD">
              <w:rPr>
                <w:color w:val="FFFFFF" w:themeColor="background1"/>
                <w:sz w:val="18"/>
                <w:szCs w:val="18"/>
              </w:rPr>
              <w:t>Positive test results</w:t>
            </w:r>
          </w:p>
        </w:tc>
      </w:tr>
      <w:tr w:rsidR="006525CD" w:rsidRPr="006525CD" w14:paraId="655CEEC3" w14:textId="77777777" w:rsidTr="00641E85">
        <w:trPr>
          <w:cnfStyle w:val="100000000000" w:firstRow="1" w:lastRow="0" w:firstColumn="0" w:lastColumn="0" w:oddVBand="0" w:evenVBand="0" w:oddHBand="0" w:evenHBand="0" w:firstRowFirstColumn="0" w:firstRowLastColumn="0" w:lastRowFirstColumn="0" w:lastRowLastColumn="0"/>
          <w:tblHeader/>
        </w:trPr>
        <w:tc>
          <w:tcPr>
            <w:tcW w:w="1990" w:type="dxa"/>
            <w:tcBorders>
              <w:top w:val="single" w:sz="2" w:space="0" w:color="FFFFFF" w:themeColor="background1"/>
              <w:right w:val="single" w:sz="2" w:space="0" w:color="FFFFFF" w:themeColor="background1"/>
            </w:tcBorders>
            <w:hideMark/>
          </w:tcPr>
          <w:p w14:paraId="60101E70" w14:textId="77777777" w:rsidR="00033F0D" w:rsidRPr="006525CD" w:rsidRDefault="00033F0D">
            <w:pPr>
              <w:rPr>
                <w:color w:val="FFFFFF" w:themeColor="background1"/>
                <w:sz w:val="18"/>
                <w:szCs w:val="18"/>
              </w:rPr>
            </w:pPr>
          </w:p>
        </w:tc>
        <w:tc>
          <w:tcPr>
            <w:tcW w:w="1990" w:type="dxa"/>
            <w:tcBorders>
              <w:top w:val="single" w:sz="2" w:space="0" w:color="FFFFFF" w:themeColor="background1"/>
              <w:left w:val="single" w:sz="2" w:space="0" w:color="FFFFFF" w:themeColor="background1"/>
              <w:right w:val="single" w:sz="2" w:space="0" w:color="FFFFFF" w:themeColor="background1"/>
            </w:tcBorders>
            <w:hideMark/>
          </w:tcPr>
          <w:p w14:paraId="656CA4EC" w14:textId="77777777" w:rsidR="00033F0D" w:rsidRPr="006525CD" w:rsidRDefault="00033F0D" w:rsidP="006525CD">
            <w:pPr>
              <w:pStyle w:val="NormalWeb"/>
              <w:jc w:val="center"/>
              <w:rPr>
                <w:color w:val="FFFFFF" w:themeColor="background1"/>
                <w:sz w:val="18"/>
                <w:szCs w:val="18"/>
              </w:rPr>
            </w:pPr>
            <w:r w:rsidRPr="006525CD">
              <w:rPr>
                <w:color w:val="FFFFFF" w:themeColor="background1"/>
                <w:sz w:val="18"/>
                <w:szCs w:val="18"/>
              </w:rPr>
              <w:t>Number of tests</w:t>
            </w:r>
          </w:p>
        </w:tc>
        <w:tc>
          <w:tcPr>
            <w:tcW w:w="1990" w:type="dxa"/>
            <w:tcBorders>
              <w:top w:val="single" w:sz="2" w:space="0" w:color="FFFFFF" w:themeColor="background1"/>
              <w:left w:val="single" w:sz="2" w:space="0" w:color="FFFFFF" w:themeColor="background1"/>
              <w:right w:val="single" w:sz="2" w:space="0" w:color="FFFFFF" w:themeColor="background1"/>
            </w:tcBorders>
            <w:hideMark/>
          </w:tcPr>
          <w:p w14:paraId="13FFE3B4" w14:textId="77777777" w:rsidR="00033F0D" w:rsidRPr="006525CD" w:rsidRDefault="00033F0D" w:rsidP="006525CD">
            <w:pPr>
              <w:pStyle w:val="NormalWeb"/>
              <w:jc w:val="center"/>
              <w:rPr>
                <w:color w:val="FFFFFF" w:themeColor="background1"/>
                <w:sz w:val="18"/>
                <w:szCs w:val="18"/>
              </w:rPr>
            </w:pPr>
            <w:r w:rsidRPr="006525CD">
              <w:rPr>
                <w:color w:val="FFFFFF" w:themeColor="background1"/>
                <w:sz w:val="18"/>
                <w:szCs w:val="18"/>
              </w:rPr>
              <w:t>n</w:t>
            </w:r>
          </w:p>
        </w:tc>
        <w:tc>
          <w:tcPr>
            <w:tcW w:w="1990" w:type="dxa"/>
            <w:tcBorders>
              <w:top w:val="single" w:sz="2" w:space="0" w:color="FFFFFF" w:themeColor="background1"/>
              <w:left w:val="single" w:sz="2" w:space="0" w:color="FFFFFF" w:themeColor="background1"/>
              <w:right w:val="single" w:sz="2" w:space="0" w:color="FFFFFF" w:themeColor="background1"/>
            </w:tcBorders>
            <w:hideMark/>
          </w:tcPr>
          <w:p w14:paraId="5ACF2E6E" w14:textId="77777777" w:rsidR="00033F0D" w:rsidRPr="006525CD" w:rsidRDefault="00033F0D" w:rsidP="006525CD">
            <w:pPr>
              <w:pStyle w:val="NormalWeb"/>
              <w:jc w:val="center"/>
              <w:rPr>
                <w:color w:val="FFFFFF" w:themeColor="background1"/>
                <w:sz w:val="18"/>
                <w:szCs w:val="18"/>
              </w:rPr>
            </w:pPr>
            <w:r w:rsidRPr="006525CD">
              <w:rPr>
                <w:color w:val="FFFFFF" w:themeColor="background1"/>
                <w:sz w:val="18"/>
                <w:szCs w:val="18"/>
              </w:rPr>
              <w:t>%</w:t>
            </w:r>
          </w:p>
        </w:tc>
        <w:tc>
          <w:tcPr>
            <w:tcW w:w="2480" w:type="dxa"/>
            <w:tcBorders>
              <w:top w:val="single" w:sz="2" w:space="0" w:color="FFFFFF" w:themeColor="background1"/>
              <w:left w:val="single" w:sz="2" w:space="0" w:color="FFFFFF" w:themeColor="background1"/>
            </w:tcBorders>
            <w:hideMark/>
          </w:tcPr>
          <w:p w14:paraId="59351B16" w14:textId="77777777" w:rsidR="00033F0D" w:rsidRPr="006525CD" w:rsidRDefault="00033F0D" w:rsidP="006525CD">
            <w:pPr>
              <w:pStyle w:val="NormalWeb"/>
              <w:jc w:val="center"/>
              <w:rPr>
                <w:color w:val="FFFFFF" w:themeColor="background1"/>
                <w:sz w:val="18"/>
                <w:szCs w:val="18"/>
              </w:rPr>
            </w:pPr>
            <w:r w:rsidRPr="006525CD">
              <w:rPr>
                <w:color w:val="FFFFFF" w:themeColor="background1"/>
                <w:sz w:val="18"/>
                <w:szCs w:val="18"/>
              </w:rPr>
              <w:t xml:space="preserve">95% </w:t>
            </w:r>
            <w:proofErr w:type="spellStart"/>
            <w:r w:rsidRPr="006525CD">
              <w:rPr>
                <w:color w:val="FFFFFF" w:themeColor="background1"/>
                <w:sz w:val="18"/>
                <w:szCs w:val="18"/>
              </w:rPr>
              <w:t>CI</w:t>
            </w:r>
            <w:r w:rsidRPr="006525CD">
              <w:rPr>
                <w:color w:val="FFFFFF" w:themeColor="background1"/>
                <w:sz w:val="18"/>
                <w:szCs w:val="18"/>
                <w:vertAlign w:val="superscript"/>
              </w:rPr>
              <w:t>a</w:t>
            </w:r>
            <w:proofErr w:type="spellEnd"/>
          </w:p>
        </w:tc>
      </w:tr>
      <w:tr w:rsidR="00033F0D" w:rsidRPr="006525CD" w14:paraId="04329E6E" w14:textId="77777777" w:rsidTr="00641E85">
        <w:tc>
          <w:tcPr>
            <w:tcW w:w="1990" w:type="dxa"/>
            <w:hideMark/>
          </w:tcPr>
          <w:p w14:paraId="39408B87" w14:textId="77777777" w:rsidR="00033F0D" w:rsidRPr="006525CD" w:rsidRDefault="00033F0D">
            <w:pPr>
              <w:pStyle w:val="NormalWeb"/>
              <w:rPr>
                <w:sz w:val="18"/>
                <w:szCs w:val="18"/>
              </w:rPr>
            </w:pPr>
            <w:r w:rsidRPr="006525CD">
              <w:rPr>
                <w:sz w:val="18"/>
                <w:szCs w:val="18"/>
              </w:rPr>
              <w:t>All tests</w:t>
            </w:r>
          </w:p>
        </w:tc>
        <w:tc>
          <w:tcPr>
            <w:tcW w:w="1990" w:type="dxa"/>
            <w:hideMark/>
          </w:tcPr>
          <w:p w14:paraId="7C3587F7" w14:textId="77777777" w:rsidR="00033F0D" w:rsidRPr="006525CD" w:rsidRDefault="00033F0D" w:rsidP="006525CD">
            <w:pPr>
              <w:pStyle w:val="NormalWeb"/>
              <w:jc w:val="center"/>
              <w:rPr>
                <w:sz w:val="18"/>
                <w:szCs w:val="18"/>
              </w:rPr>
            </w:pPr>
            <w:r w:rsidRPr="006525CD">
              <w:rPr>
                <w:sz w:val="18"/>
                <w:szCs w:val="18"/>
              </w:rPr>
              <w:t>528</w:t>
            </w:r>
          </w:p>
        </w:tc>
        <w:tc>
          <w:tcPr>
            <w:tcW w:w="1990" w:type="dxa"/>
            <w:hideMark/>
          </w:tcPr>
          <w:p w14:paraId="2CAE0B56" w14:textId="77777777" w:rsidR="00033F0D" w:rsidRPr="006525CD" w:rsidRDefault="00033F0D" w:rsidP="006525CD">
            <w:pPr>
              <w:pStyle w:val="NormalWeb"/>
              <w:jc w:val="center"/>
              <w:rPr>
                <w:sz w:val="18"/>
                <w:szCs w:val="18"/>
              </w:rPr>
            </w:pPr>
            <w:r w:rsidRPr="006525CD">
              <w:rPr>
                <w:sz w:val="18"/>
                <w:szCs w:val="18"/>
              </w:rPr>
              <w:t>390</w:t>
            </w:r>
          </w:p>
        </w:tc>
        <w:tc>
          <w:tcPr>
            <w:tcW w:w="1990" w:type="dxa"/>
            <w:hideMark/>
          </w:tcPr>
          <w:p w14:paraId="2BF5BEC8" w14:textId="77777777" w:rsidR="00033F0D" w:rsidRPr="006525CD" w:rsidRDefault="00033F0D" w:rsidP="006525CD">
            <w:pPr>
              <w:pStyle w:val="NormalWeb"/>
              <w:jc w:val="center"/>
              <w:rPr>
                <w:sz w:val="18"/>
                <w:szCs w:val="18"/>
              </w:rPr>
            </w:pPr>
            <w:r w:rsidRPr="006525CD">
              <w:rPr>
                <w:sz w:val="18"/>
                <w:szCs w:val="18"/>
              </w:rPr>
              <w:t>74</w:t>
            </w:r>
          </w:p>
        </w:tc>
        <w:tc>
          <w:tcPr>
            <w:tcW w:w="2480" w:type="dxa"/>
            <w:hideMark/>
          </w:tcPr>
          <w:p w14:paraId="0DA4BEA6" w14:textId="77777777" w:rsidR="00033F0D" w:rsidRPr="006525CD" w:rsidRDefault="00033F0D" w:rsidP="006525CD">
            <w:pPr>
              <w:pStyle w:val="NormalWeb"/>
              <w:jc w:val="center"/>
              <w:rPr>
                <w:sz w:val="18"/>
                <w:szCs w:val="18"/>
              </w:rPr>
            </w:pPr>
            <w:r w:rsidRPr="006525CD">
              <w:rPr>
                <w:sz w:val="18"/>
                <w:szCs w:val="18"/>
              </w:rPr>
              <w:t>70–78</w:t>
            </w:r>
          </w:p>
        </w:tc>
      </w:tr>
      <w:tr w:rsidR="00033F0D" w:rsidRPr="006525CD" w14:paraId="45A5165A" w14:textId="77777777" w:rsidTr="00641E85">
        <w:trPr>
          <w:cnfStyle w:val="000000010000" w:firstRow="0" w:lastRow="0" w:firstColumn="0" w:lastColumn="0" w:oddVBand="0" w:evenVBand="0" w:oddHBand="0" w:evenHBand="1" w:firstRowFirstColumn="0" w:firstRowLastColumn="0" w:lastRowFirstColumn="0" w:lastRowLastColumn="0"/>
        </w:trPr>
        <w:tc>
          <w:tcPr>
            <w:tcW w:w="1990" w:type="dxa"/>
            <w:hideMark/>
          </w:tcPr>
          <w:p w14:paraId="24F49750" w14:textId="77777777" w:rsidR="00033F0D" w:rsidRPr="006525CD" w:rsidRDefault="00033F0D">
            <w:pPr>
              <w:pStyle w:val="NormalWeb"/>
              <w:rPr>
                <w:sz w:val="18"/>
                <w:szCs w:val="18"/>
              </w:rPr>
            </w:pPr>
            <w:r w:rsidRPr="006525CD">
              <w:rPr>
                <w:sz w:val="18"/>
                <w:szCs w:val="18"/>
              </w:rPr>
              <w:t>Confirmed cases only</w:t>
            </w:r>
          </w:p>
        </w:tc>
        <w:tc>
          <w:tcPr>
            <w:tcW w:w="1990" w:type="dxa"/>
            <w:hideMark/>
          </w:tcPr>
          <w:p w14:paraId="565D9820" w14:textId="77777777" w:rsidR="00033F0D" w:rsidRPr="006525CD" w:rsidRDefault="00033F0D" w:rsidP="006525CD">
            <w:pPr>
              <w:pStyle w:val="NormalWeb"/>
              <w:jc w:val="center"/>
              <w:rPr>
                <w:sz w:val="18"/>
                <w:szCs w:val="18"/>
              </w:rPr>
            </w:pPr>
            <w:r w:rsidRPr="006525CD">
              <w:rPr>
                <w:sz w:val="18"/>
                <w:szCs w:val="18"/>
              </w:rPr>
              <w:t>427</w:t>
            </w:r>
          </w:p>
        </w:tc>
        <w:tc>
          <w:tcPr>
            <w:tcW w:w="1990" w:type="dxa"/>
            <w:hideMark/>
          </w:tcPr>
          <w:p w14:paraId="5FA1E914" w14:textId="77777777" w:rsidR="00033F0D" w:rsidRPr="006525CD" w:rsidRDefault="00033F0D" w:rsidP="006525CD">
            <w:pPr>
              <w:pStyle w:val="NormalWeb"/>
              <w:jc w:val="center"/>
              <w:rPr>
                <w:sz w:val="18"/>
                <w:szCs w:val="18"/>
              </w:rPr>
            </w:pPr>
            <w:r w:rsidRPr="006525CD">
              <w:rPr>
                <w:sz w:val="18"/>
                <w:szCs w:val="18"/>
              </w:rPr>
              <w:t>390</w:t>
            </w:r>
          </w:p>
        </w:tc>
        <w:tc>
          <w:tcPr>
            <w:tcW w:w="1990" w:type="dxa"/>
            <w:hideMark/>
          </w:tcPr>
          <w:p w14:paraId="61777BDB" w14:textId="77777777" w:rsidR="00033F0D" w:rsidRPr="006525CD" w:rsidRDefault="00033F0D" w:rsidP="006525CD">
            <w:pPr>
              <w:pStyle w:val="NormalWeb"/>
              <w:jc w:val="center"/>
              <w:rPr>
                <w:sz w:val="18"/>
                <w:szCs w:val="18"/>
              </w:rPr>
            </w:pPr>
            <w:r w:rsidRPr="006525CD">
              <w:rPr>
                <w:sz w:val="18"/>
                <w:szCs w:val="18"/>
              </w:rPr>
              <w:t>91</w:t>
            </w:r>
          </w:p>
        </w:tc>
        <w:tc>
          <w:tcPr>
            <w:tcW w:w="2480" w:type="dxa"/>
            <w:hideMark/>
          </w:tcPr>
          <w:p w14:paraId="3FD7675C" w14:textId="77777777" w:rsidR="00033F0D" w:rsidRPr="006525CD" w:rsidRDefault="00033F0D" w:rsidP="006525CD">
            <w:pPr>
              <w:pStyle w:val="NormalWeb"/>
              <w:jc w:val="center"/>
              <w:rPr>
                <w:sz w:val="18"/>
                <w:szCs w:val="18"/>
              </w:rPr>
            </w:pPr>
            <w:r w:rsidRPr="006525CD">
              <w:rPr>
                <w:sz w:val="18"/>
                <w:szCs w:val="18"/>
              </w:rPr>
              <w:t>88–94</w:t>
            </w:r>
          </w:p>
        </w:tc>
      </w:tr>
      <w:tr w:rsidR="00033F0D" w:rsidRPr="006525CD" w14:paraId="4E1ACD57" w14:textId="77777777" w:rsidTr="00641E85">
        <w:tc>
          <w:tcPr>
            <w:tcW w:w="1990" w:type="dxa"/>
            <w:hideMark/>
          </w:tcPr>
          <w:p w14:paraId="6957640B" w14:textId="77777777" w:rsidR="00033F0D" w:rsidRPr="006525CD" w:rsidRDefault="00033F0D">
            <w:pPr>
              <w:pStyle w:val="NormalWeb"/>
              <w:rPr>
                <w:sz w:val="18"/>
                <w:szCs w:val="18"/>
              </w:rPr>
            </w:pPr>
            <w:r w:rsidRPr="006525CD">
              <w:rPr>
                <w:sz w:val="18"/>
                <w:szCs w:val="18"/>
              </w:rPr>
              <w:t>Swab site</w:t>
            </w:r>
          </w:p>
        </w:tc>
        <w:tc>
          <w:tcPr>
            <w:tcW w:w="1990" w:type="dxa"/>
            <w:hideMark/>
          </w:tcPr>
          <w:p w14:paraId="58A5E2AB" w14:textId="77777777" w:rsidR="00033F0D" w:rsidRPr="006525CD" w:rsidRDefault="00033F0D" w:rsidP="006525CD">
            <w:pPr>
              <w:jc w:val="center"/>
              <w:rPr>
                <w:sz w:val="18"/>
                <w:szCs w:val="18"/>
              </w:rPr>
            </w:pPr>
          </w:p>
        </w:tc>
        <w:tc>
          <w:tcPr>
            <w:tcW w:w="1990" w:type="dxa"/>
            <w:hideMark/>
          </w:tcPr>
          <w:p w14:paraId="6EF5B0CE" w14:textId="77777777" w:rsidR="00033F0D" w:rsidRPr="006525CD" w:rsidRDefault="00033F0D" w:rsidP="006525CD">
            <w:pPr>
              <w:jc w:val="center"/>
              <w:rPr>
                <w:rFonts w:eastAsia="Times New Roman"/>
                <w:sz w:val="18"/>
                <w:szCs w:val="18"/>
              </w:rPr>
            </w:pPr>
          </w:p>
        </w:tc>
        <w:tc>
          <w:tcPr>
            <w:tcW w:w="1990" w:type="dxa"/>
            <w:hideMark/>
          </w:tcPr>
          <w:p w14:paraId="628CC43F" w14:textId="77777777" w:rsidR="00033F0D" w:rsidRPr="006525CD" w:rsidRDefault="00033F0D" w:rsidP="006525CD">
            <w:pPr>
              <w:jc w:val="center"/>
              <w:rPr>
                <w:rFonts w:eastAsia="Times New Roman"/>
                <w:sz w:val="18"/>
                <w:szCs w:val="18"/>
              </w:rPr>
            </w:pPr>
          </w:p>
        </w:tc>
        <w:tc>
          <w:tcPr>
            <w:tcW w:w="2480" w:type="dxa"/>
            <w:hideMark/>
          </w:tcPr>
          <w:p w14:paraId="4D519701" w14:textId="77777777" w:rsidR="00033F0D" w:rsidRPr="006525CD" w:rsidRDefault="00033F0D" w:rsidP="006525CD">
            <w:pPr>
              <w:jc w:val="center"/>
              <w:rPr>
                <w:rFonts w:eastAsia="Times New Roman"/>
                <w:sz w:val="18"/>
                <w:szCs w:val="18"/>
              </w:rPr>
            </w:pPr>
          </w:p>
        </w:tc>
      </w:tr>
      <w:tr w:rsidR="00033F0D" w:rsidRPr="006525CD" w14:paraId="7E91D3BF" w14:textId="77777777" w:rsidTr="00641E85">
        <w:trPr>
          <w:cnfStyle w:val="000000010000" w:firstRow="0" w:lastRow="0" w:firstColumn="0" w:lastColumn="0" w:oddVBand="0" w:evenVBand="0" w:oddHBand="0" w:evenHBand="1" w:firstRowFirstColumn="0" w:firstRowLastColumn="0" w:lastRowFirstColumn="0" w:lastRowLastColumn="0"/>
        </w:trPr>
        <w:tc>
          <w:tcPr>
            <w:tcW w:w="1990" w:type="dxa"/>
            <w:hideMark/>
          </w:tcPr>
          <w:p w14:paraId="7544637C" w14:textId="77777777" w:rsidR="00033F0D" w:rsidRPr="006525CD" w:rsidRDefault="00033F0D" w:rsidP="00641E85">
            <w:pPr>
              <w:numPr>
                <w:ilvl w:val="0"/>
                <w:numId w:val="17"/>
              </w:numPr>
              <w:spacing w:before="100" w:beforeAutospacing="1"/>
              <w:ind w:left="714" w:hanging="357"/>
              <w:rPr>
                <w:rFonts w:eastAsia="Times New Roman"/>
                <w:sz w:val="18"/>
                <w:szCs w:val="18"/>
              </w:rPr>
            </w:pPr>
            <w:r w:rsidRPr="006525CD">
              <w:rPr>
                <w:rFonts w:eastAsia="Times New Roman"/>
                <w:sz w:val="18"/>
                <w:szCs w:val="18"/>
              </w:rPr>
              <w:t>Nasopharynx</w:t>
            </w:r>
          </w:p>
        </w:tc>
        <w:tc>
          <w:tcPr>
            <w:tcW w:w="1990" w:type="dxa"/>
            <w:hideMark/>
          </w:tcPr>
          <w:p w14:paraId="5BA986EE" w14:textId="77777777" w:rsidR="00033F0D" w:rsidRPr="006525CD" w:rsidRDefault="00033F0D" w:rsidP="006525CD">
            <w:pPr>
              <w:pStyle w:val="NormalWeb"/>
              <w:jc w:val="center"/>
              <w:rPr>
                <w:sz w:val="18"/>
                <w:szCs w:val="18"/>
              </w:rPr>
            </w:pPr>
            <w:r w:rsidRPr="006525CD">
              <w:rPr>
                <w:sz w:val="18"/>
                <w:szCs w:val="18"/>
              </w:rPr>
              <w:t>425</w:t>
            </w:r>
          </w:p>
        </w:tc>
        <w:tc>
          <w:tcPr>
            <w:tcW w:w="1990" w:type="dxa"/>
            <w:hideMark/>
          </w:tcPr>
          <w:p w14:paraId="11AA2E1B" w14:textId="77777777" w:rsidR="00033F0D" w:rsidRPr="006525CD" w:rsidRDefault="00033F0D" w:rsidP="006525CD">
            <w:pPr>
              <w:pStyle w:val="NormalWeb"/>
              <w:jc w:val="center"/>
              <w:rPr>
                <w:sz w:val="18"/>
                <w:szCs w:val="18"/>
              </w:rPr>
            </w:pPr>
            <w:r w:rsidRPr="006525CD">
              <w:rPr>
                <w:sz w:val="18"/>
                <w:szCs w:val="18"/>
              </w:rPr>
              <w:t>329</w:t>
            </w:r>
          </w:p>
        </w:tc>
        <w:tc>
          <w:tcPr>
            <w:tcW w:w="1990" w:type="dxa"/>
            <w:hideMark/>
          </w:tcPr>
          <w:p w14:paraId="48B78CE3" w14:textId="77777777" w:rsidR="00033F0D" w:rsidRPr="006525CD" w:rsidRDefault="00033F0D" w:rsidP="006525CD">
            <w:pPr>
              <w:pStyle w:val="NormalWeb"/>
              <w:jc w:val="center"/>
              <w:rPr>
                <w:sz w:val="18"/>
                <w:szCs w:val="18"/>
              </w:rPr>
            </w:pPr>
            <w:r w:rsidRPr="006525CD">
              <w:rPr>
                <w:sz w:val="18"/>
                <w:szCs w:val="18"/>
              </w:rPr>
              <w:t>77</w:t>
            </w:r>
          </w:p>
        </w:tc>
        <w:tc>
          <w:tcPr>
            <w:tcW w:w="2480" w:type="dxa"/>
            <w:hideMark/>
          </w:tcPr>
          <w:p w14:paraId="44A4BA74" w14:textId="77777777" w:rsidR="00033F0D" w:rsidRPr="006525CD" w:rsidRDefault="00033F0D" w:rsidP="006525CD">
            <w:pPr>
              <w:pStyle w:val="NormalWeb"/>
              <w:jc w:val="center"/>
              <w:rPr>
                <w:sz w:val="18"/>
                <w:szCs w:val="18"/>
              </w:rPr>
            </w:pPr>
            <w:r w:rsidRPr="006525CD">
              <w:rPr>
                <w:sz w:val="18"/>
                <w:szCs w:val="18"/>
              </w:rPr>
              <w:t>73–81</w:t>
            </w:r>
          </w:p>
        </w:tc>
      </w:tr>
      <w:tr w:rsidR="00033F0D" w:rsidRPr="006525CD" w14:paraId="12B1B906" w14:textId="77777777" w:rsidTr="00641E85">
        <w:tc>
          <w:tcPr>
            <w:tcW w:w="1990" w:type="dxa"/>
            <w:hideMark/>
          </w:tcPr>
          <w:p w14:paraId="3B753DE6" w14:textId="77777777" w:rsidR="00033F0D" w:rsidRPr="006525CD" w:rsidRDefault="00033F0D" w:rsidP="00641E85">
            <w:pPr>
              <w:numPr>
                <w:ilvl w:val="0"/>
                <w:numId w:val="18"/>
              </w:numPr>
              <w:spacing w:before="100" w:beforeAutospacing="1"/>
              <w:ind w:left="714" w:hanging="357"/>
              <w:rPr>
                <w:rFonts w:eastAsia="Times New Roman"/>
                <w:sz w:val="18"/>
                <w:szCs w:val="18"/>
              </w:rPr>
            </w:pPr>
            <w:r w:rsidRPr="006525CD">
              <w:rPr>
                <w:rFonts w:eastAsia="Times New Roman"/>
                <w:sz w:val="18"/>
                <w:szCs w:val="18"/>
              </w:rPr>
              <w:t>Oropharynx</w:t>
            </w:r>
          </w:p>
        </w:tc>
        <w:tc>
          <w:tcPr>
            <w:tcW w:w="1990" w:type="dxa"/>
            <w:hideMark/>
          </w:tcPr>
          <w:p w14:paraId="1BD46F9B" w14:textId="77777777" w:rsidR="00033F0D" w:rsidRPr="006525CD" w:rsidRDefault="00033F0D" w:rsidP="006525CD">
            <w:pPr>
              <w:pStyle w:val="NormalWeb"/>
              <w:jc w:val="center"/>
              <w:rPr>
                <w:sz w:val="18"/>
                <w:szCs w:val="18"/>
              </w:rPr>
            </w:pPr>
            <w:r w:rsidRPr="006525CD">
              <w:rPr>
                <w:sz w:val="18"/>
                <w:szCs w:val="18"/>
              </w:rPr>
              <w:t>33</w:t>
            </w:r>
          </w:p>
        </w:tc>
        <w:tc>
          <w:tcPr>
            <w:tcW w:w="1990" w:type="dxa"/>
            <w:hideMark/>
          </w:tcPr>
          <w:p w14:paraId="3FCA58FD" w14:textId="77777777" w:rsidR="00033F0D" w:rsidRPr="006525CD" w:rsidRDefault="00033F0D" w:rsidP="006525CD">
            <w:pPr>
              <w:pStyle w:val="NormalWeb"/>
              <w:jc w:val="center"/>
              <w:rPr>
                <w:sz w:val="18"/>
                <w:szCs w:val="18"/>
              </w:rPr>
            </w:pPr>
            <w:r w:rsidRPr="006525CD">
              <w:rPr>
                <w:sz w:val="18"/>
                <w:szCs w:val="18"/>
              </w:rPr>
              <w:t>16</w:t>
            </w:r>
          </w:p>
        </w:tc>
        <w:tc>
          <w:tcPr>
            <w:tcW w:w="1990" w:type="dxa"/>
            <w:hideMark/>
          </w:tcPr>
          <w:p w14:paraId="50C4A6EB" w14:textId="77777777" w:rsidR="00033F0D" w:rsidRPr="006525CD" w:rsidRDefault="00033F0D" w:rsidP="006525CD">
            <w:pPr>
              <w:pStyle w:val="NormalWeb"/>
              <w:jc w:val="center"/>
              <w:rPr>
                <w:sz w:val="18"/>
                <w:szCs w:val="18"/>
              </w:rPr>
            </w:pPr>
            <w:r w:rsidRPr="006525CD">
              <w:rPr>
                <w:sz w:val="18"/>
                <w:szCs w:val="18"/>
              </w:rPr>
              <w:t>48</w:t>
            </w:r>
          </w:p>
        </w:tc>
        <w:tc>
          <w:tcPr>
            <w:tcW w:w="2480" w:type="dxa"/>
            <w:hideMark/>
          </w:tcPr>
          <w:p w14:paraId="23446A60" w14:textId="77777777" w:rsidR="00033F0D" w:rsidRPr="006525CD" w:rsidRDefault="00033F0D" w:rsidP="006525CD">
            <w:pPr>
              <w:pStyle w:val="NormalWeb"/>
              <w:jc w:val="center"/>
              <w:rPr>
                <w:sz w:val="18"/>
                <w:szCs w:val="18"/>
              </w:rPr>
            </w:pPr>
            <w:r w:rsidRPr="006525CD">
              <w:rPr>
                <w:sz w:val="18"/>
                <w:szCs w:val="18"/>
              </w:rPr>
              <w:t>31–66</w:t>
            </w:r>
          </w:p>
        </w:tc>
      </w:tr>
      <w:tr w:rsidR="00033F0D" w:rsidRPr="006525CD" w14:paraId="490D4C61" w14:textId="77777777" w:rsidTr="00641E85">
        <w:trPr>
          <w:cnfStyle w:val="000000010000" w:firstRow="0" w:lastRow="0" w:firstColumn="0" w:lastColumn="0" w:oddVBand="0" w:evenVBand="0" w:oddHBand="0" w:evenHBand="1" w:firstRowFirstColumn="0" w:firstRowLastColumn="0" w:lastRowFirstColumn="0" w:lastRowLastColumn="0"/>
        </w:trPr>
        <w:tc>
          <w:tcPr>
            <w:tcW w:w="1990" w:type="dxa"/>
            <w:hideMark/>
          </w:tcPr>
          <w:p w14:paraId="4713CDFB" w14:textId="77777777" w:rsidR="00033F0D" w:rsidRPr="006525CD" w:rsidRDefault="00033F0D" w:rsidP="00641E85">
            <w:pPr>
              <w:numPr>
                <w:ilvl w:val="0"/>
                <w:numId w:val="19"/>
              </w:numPr>
              <w:spacing w:before="100" w:beforeAutospacing="1"/>
              <w:ind w:left="714" w:hanging="357"/>
              <w:rPr>
                <w:rFonts w:eastAsia="Times New Roman"/>
                <w:sz w:val="18"/>
                <w:szCs w:val="18"/>
              </w:rPr>
            </w:pPr>
            <w:r w:rsidRPr="006525CD">
              <w:rPr>
                <w:rFonts w:eastAsia="Times New Roman"/>
                <w:sz w:val="18"/>
                <w:szCs w:val="18"/>
              </w:rPr>
              <w:t>Unknown</w:t>
            </w:r>
          </w:p>
        </w:tc>
        <w:tc>
          <w:tcPr>
            <w:tcW w:w="1990" w:type="dxa"/>
            <w:hideMark/>
          </w:tcPr>
          <w:p w14:paraId="5DD1F5DE" w14:textId="77777777" w:rsidR="00033F0D" w:rsidRPr="006525CD" w:rsidRDefault="00033F0D" w:rsidP="006525CD">
            <w:pPr>
              <w:pStyle w:val="NormalWeb"/>
              <w:jc w:val="center"/>
              <w:rPr>
                <w:sz w:val="18"/>
                <w:szCs w:val="18"/>
              </w:rPr>
            </w:pPr>
            <w:r w:rsidRPr="006525CD">
              <w:rPr>
                <w:sz w:val="18"/>
                <w:szCs w:val="18"/>
              </w:rPr>
              <w:t>70</w:t>
            </w:r>
          </w:p>
        </w:tc>
        <w:tc>
          <w:tcPr>
            <w:tcW w:w="1990" w:type="dxa"/>
            <w:hideMark/>
          </w:tcPr>
          <w:p w14:paraId="5AD21DC3" w14:textId="77777777" w:rsidR="00033F0D" w:rsidRPr="006525CD" w:rsidRDefault="00033F0D" w:rsidP="006525CD">
            <w:pPr>
              <w:pStyle w:val="NormalWeb"/>
              <w:jc w:val="center"/>
              <w:rPr>
                <w:sz w:val="18"/>
                <w:szCs w:val="18"/>
              </w:rPr>
            </w:pPr>
            <w:r w:rsidRPr="006525CD">
              <w:rPr>
                <w:sz w:val="18"/>
                <w:szCs w:val="18"/>
              </w:rPr>
              <w:t>45</w:t>
            </w:r>
          </w:p>
        </w:tc>
        <w:tc>
          <w:tcPr>
            <w:tcW w:w="1990" w:type="dxa"/>
            <w:hideMark/>
          </w:tcPr>
          <w:p w14:paraId="49CCB30E" w14:textId="77777777" w:rsidR="00033F0D" w:rsidRPr="006525CD" w:rsidRDefault="00033F0D" w:rsidP="006525CD">
            <w:pPr>
              <w:pStyle w:val="NormalWeb"/>
              <w:jc w:val="center"/>
              <w:rPr>
                <w:sz w:val="18"/>
                <w:szCs w:val="18"/>
              </w:rPr>
            </w:pPr>
            <w:r w:rsidRPr="006525CD">
              <w:rPr>
                <w:sz w:val="18"/>
                <w:szCs w:val="18"/>
              </w:rPr>
              <w:t>64</w:t>
            </w:r>
          </w:p>
        </w:tc>
        <w:tc>
          <w:tcPr>
            <w:tcW w:w="2480" w:type="dxa"/>
            <w:hideMark/>
          </w:tcPr>
          <w:p w14:paraId="4CFE0B88" w14:textId="77777777" w:rsidR="00033F0D" w:rsidRPr="006525CD" w:rsidRDefault="00033F0D" w:rsidP="006525CD">
            <w:pPr>
              <w:pStyle w:val="NormalWeb"/>
              <w:jc w:val="center"/>
              <w:rPr>
                <w:sz w:val="18"/>
                <w:szCs w:val="18"/>
              </w:rPr>
            </w:pPr>
            <w:r w:rsidRPr="006525CD">
              <w:rPr>
                <w:sz w:val="18"/>
                <w:szCs w:val="18"/>
              </w:rPr>
              <w:t>52–75</w:t>
            </w:r>
          </w:p>
        </w:tc>
      </w:tr>
    </w:tbl>
    <w:p w14:paraId="1E37F544" w14:textId="77777777" w:rsidR="00033F0D" w:rsidRDefault="00033F0D" w:rsidP="00033F0D">
      <w:pPr>
        <w:pStyle w:val="CDIfootnotes"/>
      </w:pPr>
      <w:proofErr w:type="gramStart"/>
      <w:r>
        <w:t>a</w:t>
      </w:r>
      <w:r>
        <w:tab/>
        <w:t>95% confidence intervals</w:t>
      </w:r>
      <w:proofErr w:type="gramEnd"/>
      <w:r>
        <w:t xml:space="preserve"> generated using the Clopper-Pearson method.</w:t>
      </w:r>
    </w:p>
    <w:p w14:paraId="63C8E4E1" w14:textId="77777777" w:rsidR="00033F0D" w:rsidRPr="00033F0D" w:rsidRDefault="00033F0D" w:rsidP="00033F0D">
      <w:pPr>
        <w:pStyle w:val="Heading1"/>
      </w:pPr>
      <w:r w:rsidRPr="00033F0D">
        <w:t xml:space="preserve">Discussion </w:t>
      </w:r>
    </w:p>
    <w:p w14:paraId="2D0167E7" w14:textId="77777777" w:rsidR="00033F0D" w:rsidRDefault="00033F0D" w:rsidP="00033F0D">
      <w:r>
        <w:t>Our results are consistent with previous findings from hospitalised patients, with initial detection rates for swabs ranging from 32% to 80% depending on sample type and timing of tests.</w:t>
      </w:r>
      <w:r>
        <w:rPr>
          <w:vertAlign w:val="superscript"/>
        </w:rPr>
        <w:t>9,10</w:t>
      </w:r>
      <w:r>
        <w:t xml:space="preserve"> Swab site also impacted detection rate, with nasopharyngeal swabs superior to oropharyngeal samples. This is supported by prior studies finding both higher detection rates</w:t>
      </w:r>
      <w:r>
        <w:rPr>
          <w:vertAlign w:val="superscript"/>
        </w:rPr>
        <w:t>9</w:t>
      </w:r>
      <w:r>
        <w:t xml:space="preserve"> and viral loads</w:t>
      </w:r>
      <w:r>
        <w:rPr>
          <w:vertAlign w:val="superscript"/>
        </w:rPr>
        <w:t>11</w:t>
      </w:r>
      <w:r>
        <w:t xml:space="preserve"> for nasal swabs than for throat swabs, indicating NP swabs should be preferred for RT-PCR testing. </w:t>
      </w:r>
    </w:p>
    <w:p w14:paraId="29FBCC6E" w14:textId="77777777" w:rsidR="00033F0D" w:rsidRDefault="00033F0D" w:rsidP="00033F0D">
      <w:r>
        <w:t>Our data also indicated changes in detection rate relative to test timing post symptom onset. Although a decrease is expected in the infection’s later stages, we found the proportion of tests positive to peak several days later than was observed in a previous study,</w:t>
      </w:r>
      <w:r>
        <w:rPr>
          <w:vertAlign w:val="superscript"/>
        </w:rPr>
        <w:t>10</w:t>
      </w:r>
      <w:r>
        <w:t xml:space="preserve"> while studies on viral loads indicate these to be highest either at day of onset</w:t>
      </w:r>
      <w:r>
        <w:rPr>
          <w:vertAlign w:val="superscript"/>
        </w:rPr>
        <w:t>12</w:t>
      </w:r>
      <w:r>
        <w:t xml:space="preserve"> or immediately following.</w:t>
      </w:r>
      <w:r>
        <w:rPr>
          <w:vertAlign w:val="superscript"/>
        </w:rPr>
        <w:t>11,13</w:t>
      </w:r>
      <w:r>
        <w:t xml:space="preserve"> This difference may be due to differences in patient characteristics: our study was comprised predominantly of mild cases, while prior studies have largely consisted of hospitalised patients likely exhibiting moderate to severe disease. </w:t>
      </w:r>
    </w:p>
    <w:p w14:paraId="3BDE64B0" w14:textId="77777777" w:rsidR="00033F0D" w:rsidRDefault="00033F0D" w:rsidP="00033F0D">
      <w:r>
        <w:t xml:space="preserve">Certain factors in cases’ clinical presentations may also be associated with greater likelihood of testing negative. While our results did not show false-negative results to be associated with greater or lesser symptomology overall, they do suggest that patterns of symptom presentation may be associated with testing falsely negative. </w:t>
      </w:r>
    </w:p>
    <w:p w14:paraId="5DC98DC6" w14:textId="77777777" w:rsidR="00033F0D" w:rsidRDefault="00033F0D" w:rsidP="00033F0D">
      <w:r>
        <w:t>Despite low seasonal influenza activity during the study period,</w:t>
      </w:r>
      <w:r>
        <w:rPr>
          <w:vertAlign w:val="superscript"/>
        </w:rPr>
        <w:t>14</w:t>
      </w:r>
      <w:r>
        <w:t xml:space="preserve"> a major limitation of this report is lack of certainty in the diagnosis of COVID-19 for probable cases included in its analysis. Beyond potentially biasing the proportion of results positive in this study, this may also be a confounding factor in analysis of detection rate relative to symptom onset and the characteristics of patients receiving false-negative results. Despite implementing strict inclusion criteria to mitigate this, some misclassification of cases likely remains. However, addressing this by omitting probable cases would almost certainly result in an over-estimation of sensitivity, which could have adverse consequences for public health management of disease transmission if relied upon. </w:t>
      </w:r>
    </w:p>
    <w:p w14:paraId="1850DCF8" w14:textId="77777777" w:rsidR="00033F0D" w:rsidRDefault="00033F0D" w:rsidP="00033F0D">
      <w:r>
        <w:t xml:space="preserve">While changes since the early days of the pandemic—such as improved knowledge, test availability, and experience around swab technique—are likely to have resulted in increases in real-world detection rates, our study’s findings nonetheless bring into question the usefulness of individual negative RT-PCR results for ruling out infection in symptomatic patients. Further research is needed to better characterise changes in detection rate and viral load to determine optimal timing for initial testing or re-testing, as well as correlation with serological/antibody changes. Potential associations between patient factors and testing falsely negative also warrant further study. </w:t>
      </w:r>
    </w:p>
    <w:p w14:paraId="7139C91E" w14:textId="77777777" w:rsidR="00033F0D" w:rsidRPr="00033F0D" w:rsidRDefault="00033F0D" w:rsidP="00033F0D">
      <w:pPr>
        <w:pStyle w:val="Heading1"/>
      </w:pPr>
      <w:r w:rsidRPr="00033F0D">
        <w:lastRenderedPageBreak/>
        <w:t xml:space="preserve">Acknowledgements </w:t>
      </w:r>
    </w:p>
    <w:p w14:paraId="50E5787C" w14:textId="77777777" w:rsidR="00033F0D" w:rsidRDefault="00033F0D" w:rsidP="00033F0D">
      <w:r>
        <w:t xml:space="preserve">We would like to thank Dr Emma Church for her advice and comment on this study. </w:t>
      </w:r>
    </w:p>
    <w:p w14:paraId="0E4C1F2B" w14:textId="77777777" w:rsidR="00033F0D" w:rsidRPr="00033F0D" w:rsidRDefault="00033F0D" w:rsidP="00033F0D">
      <w:pPr>
        <w:pStyle w:val="Heading1"/>
      </w:pPr>
      <w:r w:rsidRPr="00033F0D">
        <w:t xml:space="preserve">Author details </w:t>
      </w:r>
    </w:p>
    <w:p w14:paraId="19545A3D" w14:textId="77777777" w:rsidR="00033F0D" w:rsidRDefault="00033F0D" w:rsidP="00033F0D">
      <w:r>
        <w:t>Dr Kevin Howe, MBChB</w:t>
      </w:r>
      <w:r>
        <w:rPr>
          <w:vertAlign w:val="superscript"/>
        </w:rPr>
        <w:t xml:space="preserve">1, 2 </w:t>
      </w:r>
    </w:p>
    <w:p w14:paraId="541690AE" w14:textId="77777777" w:rsidR="00033F0D" w:rsidRDefault="00033F0D" w:rsidP="00033F0D">
      <w:r>
        <w:t>Dr Michael Hale, MBChB, MPH</w:t>
      </w:r>
      <w:r>
        <w:rPr>
          <w:vertAlign w:val="superscript"/>
        </w:rPr>
        <w:t xml:space="preserve">2 </w:t>
      </w:r>
    </w:p>
    <w:p w14:paraId="00B937BC" w14:textId="77777777" w:rsidR="00033F0D" w:rsidRDefault="00033F0D" w:rsidP="00033F0D">
      <w:r>
        <w:t>Dr Gary Edwin Reynolds MBChB, PhD</w:t>
      </w:r>
      <w:r>
        <w:rPr>
          <w:vertAlign w:val="superscript"/>
        </w:rPr>
        <w:t xml:space="preserve">2 </w:t>
      </w:r>
    </w:p>
    <w:p w14:paraId="5C9BD693" w14:textId="77777777" w:rsidR="00033F0D" w:rsidRPr="00033F0D" w:rsidRDefault="00033F0D" w:rsidP="0053276F">
      <w:pPr>
        <w:pStyle w:val="ListParagraph"/>
        <w:numPr>
          <w:ilvl w:val="0"/>
          <w:numId w:val="25"/>
        </w:numPr>
        <w:rPr>
          <w:rFonts w:eastAsia="Times New Roman"/>
        </w:rPr>
      </w:pPr>
      <w:r w:rsidRPr="00033F0D">
        <w:rPr>
          <w:rFonts w:eastAsia="Times New Roman"/>
        </w:rPr>
        <w:t xml:space="preserve">The University of Auckland, School of Medicine, Auckland, New Zealand </w:t>
      </w:r>
    </w:p>
    <w:p w14:paraId="6183B6D8" w14:textId="77777777" w:rsidR="00033F0D" w:rsidRPr="00033F0D" w:rsidRDefault="00033F0D" w:rsidP="0053276F">
      <w:pPr>
        <w:pStyle w:val="ListParagraph"/>
        <w:numPr>
          <w:ilvl w:val="0"/>
          <w:numId w:val="25"/>
        </w:numPr>
        <w:rPr>
          <w:rFonts w:eastAsia="Times New Roman"/>
        </w:rPr>
      </w:pPr>
      <w:r w:rsidRPr="00033F0D">
        <w:rPr>
          <w:rFonts w:eastAsia="Times New Roman"/>
        </w:rPr>
        <w:t xml:space="preserve">Auckland Regional Public Health Service, Auckland, New Zealand </w:t>
      </w:r>
    </w:p>
    <w:p w14:paraId="150A61ED" w14:textId="77777777" w:rsidR="00033F0D" w:rsidRPr="00033F0D" w:rsidRDefault="00033F0D" w:rsidP="00033F0D">
      <w:pPr>
        <w:pStyle w:val="Heading2"/>
      </w:pPr>
      <w:r w:rsidRPr="00033F0D">
        <w:t xml:space="preserve">Corresponding author </w:t>
      </w:r>
    </w:p>
    <w:p w14:paraId="4A5B7253" w14:textId="77777777" w:rsidR="00033F0D" w:rsidRDefault="00033F0D" w:rsidP="00033F0D">
      <w:r>
        <w:t xml:space="preserve">Dr Gary Edwin Reynolds </w:t>
      </w:r>
    </w:p>
    <w:p w14:paraId="313DC0F5" w14:textId="77777777" w:rsidR="0053276F" w:rsidRDefault="00033F0D" w:rsidP="00033F0D">
      <w:r>
        <w:t xml:space="preserve">Auckland Regional Public Health Service, Level 2, Building 15, Cornwall Complex, 40 Claude Road, Greenlane, Auckland, 1051, New Zealand </w:t>
      </w:r>
    </w:p>
    <w:p w14:paraId="29203293" w14:textId="77777777" w:rsidR="0053276F" w:rsidRDefault="00033F0D" w:rsidP="00033F0D">
      <w:r>
        <w:t xml:space="preserve">Phone: +64 21 122 2970 </w:t>
      </w:r>
    </w:p>
    <w:p w14:paraId="5340F463" w14:textId="77777777" w:rsidR="00033F0D" w:rsidRDefault="00033F0D" w:rsidP="00033F0D">
      <w:r>
        <w:t xml:space="preserve">Email: GaryR@adhb.govt.nz </w:t>
      </w:r>
    </w:p>
    <w:p w14:paraId="7DEC62A3" w14:textId="77777777" w:rsidR="00033F0D" w:rsidRPr="00033F0D" w:rsidRDefault="00033F0D" w:rsidP="00033F0D">
      <w:pPr>
        <w:pStyle w:val="Heading1"/>
      </w:pPr>
      <w:r w:rsidRPr="00033F0D">
        <w:t xml:space="preserve">References </w:t>
      </w:r>
    </w:p>
    <w:p w14:paraId="7090FDE6" w14:textId="77777777" w:rsidR="00033F0D" w:rsidRPr="00033F0D" w:rsidRDefault="00033F0D" w:rsidP="00033F0D">
      <w:pPr>
        <w:pStyle w:val="ListParagraph"/>
        <w:numPr>
          <w:ilvl w:val="0"/>
          <w:numId w:val="24"/>
        </w:numPr>
        <w:rPr>
          <w:rFonts w:eastAsia="Times New Roman"/>
        </w:rPr>
      </w:pPr>
      <w:r w:rsidRPr="00033F0D">
        <w:rPr>
          <w:rFonts w:eastAsia="Times New Roman"/>
        </w:rPr>
        <w:t xml:space="preserve">Zhu N, Zhang D, Wang W, Li X, Yang B, Song J et al. A novel coronavirus from patients with pneumonia in China, 2019. </w:t>
      </w:r>
      <w:r w:rsidRPr="001E0E04">
        <w:rPr>
          <w:rStyle w:val="Emphasis"/>
          <w:rFonts w:eastAsia="Times New Roman"/>
          <w:b w:val="0"/>
        </w:rPr>
        <w:t xml:space="preserve">N </w:t>
      </w:r>
      <w:proofErr w:type="spellStart"/>
      <w:r w:rsidRPr="001E0E04">
        <w:rPr>
          <w:rStyle w:val="Emphasis"/>
          <w:rFonts w:eastAsia="Times New Roman"/>
          <w:b w:val="0"/>
        </w:rPr>
        <w:t>Engl</w:t>
      </w:r>
      <w:proofErr w:type="spellEnd"/>
      <w:r w:rsidRPr="001E0E04">
        <w:rPr>
          <w:rStyle w:val="Emphasis"/>
          <w:rFonts w:eastAsia="Times New Roman"/>
          <w:b w:val="0"/>
        </w:rPr>
        <w:t xml:space="preserve"> J Med</w:t>
      </w:r>
      <w:r w:rsidRPr="00033F0D">
        <w:rPr>
          <w:rFonts w:eastAsia="Times New Roman"/>
        </w:rPr>
        <w:t xml:space="preserve">. 2020;382(8):727–33. </w:t>
      </w:r>
    </w:p>
    <w:p w14:paraId="056955F9" w14:textId="77777777" w:rsidR="00033F0D" w:rsidRPr="00033F0D" w:rsidRDefault="00033F0D" w:rsidP="00033F0D">
      <w:pPr>
        <w:pStyle w:val="ListParagraph"/>
        <w:numPr>
          <w:ilvl w:val="0"/>
          <w:numId w:val="24"/>
        </w:numPr>
        <w:rPr>
          <w:rFonts w:eastAsia="Times New Roman"/>
        </w:rPr>
      </w:pPr>
      <w:r w:rsidRPr="00033F0D">
        <w:rPr>
          <w:rFonts w:eastAsia="Times New Roman"/>
        </w:rPr>
        <w:t xml:space="preserve">Australian Government Department of Health. Eliminating COVID-19 a false hope. [Internet.] Canberra: Australian Government Department of Health; 2020. Available from: https://www.health.gov.au/news/eliminating-covid-19-a-false-hope. </w:t>
      </w:r>
    </w:p>
    <w:p w14:paraId="3513D6D9" w14:textId="77777777" w:rsidR="00033F0D" w:rsidRPr="00033F0D" w:rsidRDefault="00033F0D" w:rsidP="00033F0D">
      <w:pPr>
        <w:pStyle w:val="ListParagraph"/>
        <w:numPr>
          <w:ilvl w:val="0"/>
          <w:numId w:val="24"/>
        </w:numPr>
        <w:rPr>
          <w:rFonts w:eastAsia="Times New Roman"/>
        </w:rPr>
      </w:pPr>
      <w:r w:rsidRPr="00033F0D">
        <w:rPr>
          <w:rFonts w:eastAsia="Times New Roman"/>
        </w:rPr>
        <w:t xml:space="preserve">Environmental Science and Research Institute (ESR), Ministry of Health New Zealand. New Zealand Covid-19 Surveillance Dashboard. [Internet.] Wellington: ESR; 2020. Available from: https://nzcoviddashboard.esr.cri.nz/#!/. </w:t>
      </w:r>
    </w:p>
    <w:p w14:paraId="55260ECF" w14:textId="77777777" w:rsidR="00033F0D" w:rsidRPr="00033F0D" w:rsidRDefault="00033F0D" w:rsidP="00033F0D">
      <w:pPr>
        <w:pStyle w:val="ListParagraph"/>
        <w:numPr>
          <w:ilvl w:val="0"/>
          <w:numId w:val="24"/>
        </w:numPr>
        <w:rPr>
          <w:rFonts w:eastAsia="Times New Roman"/>
        </w:rPr>
      </w:pPr>
      <w:r w:rsidRPr="00033F0D">
        <w:rPr>
          <w:rFonts w:eastAsia="Times New Roman"/>
        </w:rPr>
        <w:t xml:space="preserve">Giles ML, Wallace EM, </w:t>
      </w:r>
      <w:proofErr w:type="spellStart"/>
      <w:r w:rsidRPr="00033F0D">
        <w:rPr>
          <w:rFonts w:eastAsia="Times New Roman"/>
        </w:rPr>
        <w:t>Alpren</w:t>
      </w:r>
      <w:proofErr w:type="spellEnd"/>
      <w:r w:rsidRPr="00033F0D">
        <w:rPr>
          <w:rFonts w:eastAsia="Times New Roman"/>
        </w:rPr>
        <w:t xml:space="preserve"> C, Brady N, Crouch S, Romanes F et al. Suppression of SARS-CoV-2 after a second wave in Victoria, Australia. </w:t>
      </w:r>
      <w:r w:rsidRPr="001E0E04">
        <w:rPr>
          <w:rStyle w:val="Emphasis"/>
          <w:rFonts w:eastAsia="Times New Roman"/>
          <w:b w:val="0"/>
        </w:rPr>
        <w:t>Clin Infect Dis</w:t>
      </w:r>
      <w:r w:rsidRPr="00033F0D">
        <w:rPr>
          <w:rFonts w:eastAsia="Times New Roman"/>
        </w:rPr>
        <w:t xml:space="preserve">. 2020. </w:t>
      </w:r>
      <w:proofErr w:type="spellStart"/>
      <w:r w:rsidRPr="00033F0D">
        <w:rPr>
          <w:rFonts w:eastAsia="Times New Roman"/>
        </w:rPr>
        <w:t>doi</w:t>
      </w:r>
      <w:proofErr w:type="spellEnd"/>
      <w:r w:rsidRPr="00033F0D">
        <w:rPr>
          <w:rFonts w:eastAsia="Times New Roman"/>
        </w:rPr>
        <w:t xml:space="preserve">: https://doi.org/10.1093/cid/ciaa1882. </w:t>
      </w:r>
    </w:p>
    <w:p w14:paraId="3012FC15" w14:textId="77777777" w:rsidR="00033F0D" w:rsidRPr="00033F0D" w:rsidRDefault="00033F0D" w:rsidP="00033F0D">
      <w:pPr>
        <w:pStyle w:val="ListParagraph"/>
        <w:numPr>
          <w:ilvl w:val="0"/>
          <w:numId w:val="24"/>
        </w:numPr>
        <w:rPr>
          <w:rFonts w:eastAsia="Times New Roman"/>
        </w:rPr>
      </w:pPr>
      <w:r w:rsidRPr="00033F0D">
        <w:rPr>
          <w:rFonts w:eastAsia="Times New Roman"/>
        </w:rPr>
        <w:t xml:space="preserve">Cheng MP, </w:t>
      </w:r>
      <w:proofErr w:type="spellStart"/>
      <w:r w:rsidRPr="00033F0D">
        <w:rPr>
          <w:rFonts w:eastAsia="Times New Roman"/>
        </w:rPr>
        <w:t>Papenburg</w:t>
      </w:r>
      <w:proofErr w:type="spellEnd"/>
      <w:r w:rsidRPr="00033F0D">
        <w:rPr>
          <w:rFonts w:eastAsia="Times New Roman"/>
        </w:rPr>
        <w:t xml:space="preserve"> J, Desjardins M, </w:t>
      </w:r>
      <w:proofErr w:type="spellStart"/>
      <w:r w:rsidRPr="00033F0D">
        <w:rPr>
          <w:rFonts w:eastAsia="Times New Roman"/>
        </w:rPr>
        <w:t>Kanjilal</w:t>
      </w:r>
      <w:proofErr w:type="spellEnd"/>
      <w:r w:rsidRPr="00033F0D">
        <w:rPr>
          <w:rFonts w:eastAsia="Times New Roman"/>
        </w:rPr>
        <w:t xml:space="preserve"> S, Quach C, </w:t>
      </w:r>
      <w:proofErr w:type="spellStart"/>
      <w:r w:rsidRPr="00033F0D">
        <w:rPr>
          <w:rFonts w:eastAsia="Times New Roman"/>
        </w:rPr>
        <w:t>Libman</w:t>
      </w:r>
      <w:proofErr w:type="spellEnd"/>
      <w:r w:rsidRPr="00033F0D">
        <w:rPr>
          <w:rFonts w:eastAsia="Times New Roman"/>
        </w:rPr>
        <w:t xml:space="preserve"> M et al. Diagnostic testing for severe acute respiratory syndrome–related coronavirus-2. </w:t>
      </w:r>
      <w:r w:rsidRPr="001E0E04">
        <w:rPr>
          <w:rStyle w:val="Emphasis"/>
          <w:rFonts w:eastAsia="Times New Roman"/>
          <w:b w:val="0"/>
        </w:rPr>
        <w:t>Ann Intern Med</w:t>
      </w:r>
      <w:r w:rsidRPr="00033F0D">
        <w:rPr>
          <w:rFonts w:eastAsia="Times New Roman"/>
        </w:rPr>
        <w:t xml:space="preserve">. 2020;172(11):726–34. </w:t>
      </w:r>
    </w:p>
    <w:p w14:paraId="635D8625" w14:textId="77777777" w:rsidR="00033F0D" w:rsidRPr="00033F0D" w:rsidRDefault="00033F0D" w:rsidP="00033F0D">
      <w:pPr>
        <w:pStyle w:val="ListParagraph"/>
        <w:numPr>
          <w:ilvl w:val="0"/>
          <w:numId w:val="24"/>
        </w:numPr>
        <w:rPr>
          <w:rFonts w:eastAsia="Times New Roman"/>
        </w:rPr>
      </w:pPr>
      <w:r w:rsidRPr="00033F0D">
        <w:rPr>
          <w:rFonts w:eastAsia="Times New Roman"/>
        </w:rPr>
        <w:t xml:space="preserve">Marcotte LM, Liao JM. Incorporating test characteristics into SARS-CoV-2 testing policy—sense and sensitivity. </w:t>
      </w:r>
      <w:r w:rsidRPr="001E0E04">
        <w:rPr>
          <w:rStyle w:val="Emphasis"/>
          <w:rFonts w:eastAsia="Times New Roman"/>
          <w:b w:val="0"/>
        </w:rPr>
        <w:t>JAMA Health Forum</w:t>
      </w:r>
      <w:r w:rsidRPr="00033F0D">
        <w:rPr>
          <w:rFonts w:eastAsia="Times New Roman"/>
        </w:rPr>
        <w:t xml:space="preserve">. 2020. doi:10.1001/jamahealthforum.2020.0448. </w:t>
      </w:r>
    </w:p>
    <w:p w14:paraId="15F03573" w14:textId="77777777" w:rsidR="00033F0D" w:rsidRPr="00033F0D" w:rsidRDefault="00033F0D" w:rsidP="00033F0D">
      <w:pPr>
        <w:pStyle w:val="ListParagraph"/>
        <w:numPr>
          <w:ilvl w:val="0"/>
          <w:numId w:val="24"/>
        </w:numPr>
        <w:rPr>
          <w:rFonts w:eastAsia="Times New Roman"/>
        </w:rPr>
      </w:pPr>
      <w:proofErr w:type="spellStart"/>
      <w:r w:rsidRPr="00033F0D">
        <w:rPr>
          <w:rFonts w:eastAsia="Times New Roman"/>
        </w:rPr>
        <w:t>Arons</w:t>
      </w:r>
      <w:proofErr w:type="spellEnd"/>
      <w:r w:rsidRPr="00033F0D">
        <w:rPr>
          <w:rFonts w:eastAsia="Times New Roman"/>
        </w:rPr>
        <w:t xml:space="preserve"> MM, Hatfield KM, Reddy SC, Kimball A, James A, Jacobs JR et al. </w:t>
      </w:r>
      <w:proofErr w:type="spellStart"/>
      <w:r w:rsidRPr="00033F0D">
        <w:rPr>
          <w:rFonts w:eastAsia="Times New Roman"/>
        </w:rPr>
        <w:t>Presymptomatic</w:t>
      </w:r>
      <w:proofErr w:type="spellEnd"/>
      <w:r w:rsidRPr="00033F0D">
        <w:rPr>
          <w:rFonts w:eastAsia="Times New Roman"/>
        </w:rPr>
        <w:t xml:space="preserve"> SARS-CoV-2 infections and transmission in a skilled nursing facility. </w:t>
      </w:r>
      <w:r w:rsidRPr="001E0E04">
        <w:rPr>
          <w:rStyle w:val="Emphasis"/>
          <w:rFonts w:eastAsia="Times New Roman"/>
          <w:b w:val="0"/>
        </w:rPr>
        <w:t xml:space="preserve">N </w:t>
      </w:r>
      <w:proofErr w:type="spellStart"/>
      <w:r w:rsidRPr="001E0E04">
        <w:rPr>
          <w:rStyle w:val="Emphasis"/>
          <w:rFonts w:eastAsia="Times New Roman"/>
          <w:b w:val="0"/>
        </w:rPr>
        <w:t>Engl</w:t>
      </w:r>
      <w:proofErr w:type="spellEnd"/>
      <w:r w:rsidRPr="001E0E04">
        <w:rPr>
          <w:rStyle w:val="Emphasis"/>
          <w:rFonts w:eastAsia="Times New Roman"/>
          <w:b w:val="0"/>
        </w:rPr>
        <w:t xml:space="preserve"> J Med</w:t>
      </w:r>
      <w:r w:rsidRPr="00033F0D">
        <w:rPr>
          <w:rFonts w:eastAsia="Times New Roman"/>
        </w:rPr>
        <w:t xml:space="preserve">. 2020;382(22):2081–90. </w:t>
      </w:r>
    </w:p>
    <w:p w14:paraId="3B3F47DB" w14:textId="77777777" w:rsidR="00033F0D" w:rsidRPr="00033F0D" w:rsidRDefault="00033F0D" w:rsidP="00033F0D">
      <w:pPr>
        <w:pStyle w:val="ListParagraph"/>
        <w:numPr>
          <w:ilvl w:val="0"/>
          <w:numId w:val="24"/>
        </w:numPr>
        <w:rPr>
          <w:rFonts w:eastAsia="Times New Roman"/>
        </w:rPr>
      </w:pPr>
      <w:r w:rsidRPr="00033F0D">
        <w:rPr>
          <w:rFonts w:eastAsia="Times New Roman"/>
        </w:rPr>
        <w:t xml:space="preserve">Zhou F, Yu T, Du R, Fan G, Liu Y, Liu Z et al. Clinical course and risk factors for mortality of adult inpatients with COVID-19 in Wuhan, China: a retrospective cohort study. </w:t>
      </w:r>
      <w:r w:rsidRPr="001E0E04">
        <w:rPr>
          <w:rStyle w:val="Emphasis"/>
          <w:rFonts w:eastAsia="Times New Roman"/>
          <w:b w:val="0"/>
        </w:rPr>
        <w:t>Lancet</w:t>
      </w:r>
      <w:r w:rsidRPr="00033F0D">
        <w:rPr>
          <w:rFonts w:eastAsia="Times New Roman"/>
        </w:rPr>
        <w:t xml:space="preserve">. 2020;395(10229):1054–62. </w:t>
      </w:r>
    </w:p>
    <w:p w14:paraId="05B4768D" w14:textId="77777777" w:rsidR="00033F0D" w:rsidRPr="00033F0D" w:rsidRDefault="00033F0D" w:rsidP="00033F0D">
      <w:pPr>
        <w:pStyle w:val="ListParagraph"/>
        <w:numPr>
          <w:ilvl w:val="0"/>
          <w:numId w:val="24"/>
        </w:numPr>
        <w:rPr>
          <w:rFonts w:eastAsia="Times New Roman"/>
        </w:rPr>
      </w:pPr>
      <w:r w:rsidRPr="00033F0D">
        <w:rPr>
          <w:rFonts w:eastAsia="Times New Roman"/>
        </w:rPr>
        <w:t xml:space="preserve">Wang W, Xu Y, Gao R, Lu R, Han K, Wu G et al. Detection of SARS-CoV-2 in different types of clinical specimens. </w:t>
      </w:r>
      <w:r w:rsidRPr="001E0E04">
        <w:rPr>
          <w:rStyle w:val="Emphasis"/>
          <w:rFonts w:eastAsia="Times New Roman"/>
          <w:b w:val="0"/>
        </w:rPr>
        <w:t>JAMA</w:t>
      </w:r>
      <w:r w:rsidRPr="00033F0D">
        <w:rPr>
          <w:rFonts w:eastAsia="Times New Roman"/>
        </w:rPr>
        <w:t xml:space="preserve">. 2020;323(18):1843–4. </w:t>
      </w:r>
    </w:p>
    <w:p w14:paraId="7734B877" w14:textId="77777777" w:rsidR="00033F0D" w:rsidRPr="00033F0D" w:rsidRDefault="00033F0D" w:rsidP="00033F0D">
      <w:pPr>
        <w:pStyle w:val="ListParagraph"/>
        <w:numPr>
          <w:ilvl w:val="0"/>
          <w:numId w:val="24"/>
        </w:numPr>
        <w:rPr>
          <w:rFonts w:eastAsia="Times New Roman"/>
        </w:rPr>
      </w:pPr>
      <w:proofErr w:type="spellStart"/>
      <w:r w:rsidRPr="00033F0D">
        <w:rPr>
          <w:rFonts w:eastAsia="Times New Roman"/>
        </w:rPr>
        <w:lastRenderedPageBreak/>
        <w:t>Kucirka</w:t>
      </w:r>
      <w:proofErr w:type="spellEnd"/>
      <w:r w:rsidRPr="00033F0D">
        <w:rPr>
          <w:rFonts w:eastAsia="Times New Roman"/>
        </w:rPr>
        <w:t xml:space="preserve"> LM, Lauer SA, </w:t>
      </w:r>
      <w:proofErr w:type="spellStart"/>
      <w:r w:rsidRPr="00033F0D">
        <w:rPr>
          <w:rFonts w:eastAsia="Times New Roman"/>
        </w:rPr>
        <w:t>Laeyendecker</w:t>
      </w:r>
      <w:proofErr w:type="spellEnd"/>
      <w:r w:rsidRPr="00033F0D">
        <w:rPr>
          <w:rFonts w:eastAsia="Times New Roman"/>
        </w:rPr>
        <w:t xml:space="preserve"> O, Boon D, </w:t>
      </w:r>
      <w:proofErr w:type="spellStart"/>
      <w:r w:rsidRPr="00033F0D">
        <w:rPr>
          <w:rFonts w:eastAsia="Times New Roman"/>
        </w:rPr>
        <w:t>Lessler</w:t>
      </w:r>
      <w:proofErr w:type="spellEnd"/>
      <w:r w:rsidRPr="00033F0D">
        <w:rPr>
          <w:rFonts w:eastAsia="Times New Roman"/>
        </w:rPr>
        <w:t xml:space="preserve"> J. Variation in false-negative rate of reverse transcriptase polymerase chain reaction–Based SARS-CoV-2 tests by time since exposure. </w:t>
      </w:r>
      <w:r w:rsidRPr="001E0E04">
        <w:rPr>
          <w:rStyle w:val="Emphasis"/>
          <w:rFonts w:eastAsia="Times New Roman"/>
          <w:b w:val="0"/>
        </w:rPr>
        <w:t>Ann Intern Med</w:t>
      </w:r>
      <w:r w:rsidRPr="00033F0D">
        <w:rPr>
          <w:rFonts w:eastAsia="Times New Roman"/>
        </w:rPr>
        <w:t xml:space="preserve">. 2020;173(4):262–7. </w:t>
      </w:r>
    </w:p>
    <w:p w14:paraId="3C95A4BE" w14:textId="77777777" w:rsidR="00033F0D" w:rsidRPr="00033F0D" w:rsidRDefault="00033F0D" w:rsidP="00033F0D">
      <w:pPr>
        <w:pStyle w:val="ListParagraph"/>
        <w:numPr>
          <w:ilvl w:val="0"/>
          <w:numId w:val="24"/>
        </w:numPr>
        <w:rPr>
          <w:rFonts w:eastAsia="Times New Roman"/>
        </w:rPr>
      </w:pPr>
      <w:r w:rsidRPr="00033F0D">
        <w:rPr>
          <w:rFonts w:eastAsia="Times New Roman"/>
        </w:rPr>
        <w:t xml:space="preserve">Zou L, </w:t>
      </w:r>
      <w:proofErr w:type="spellStart"/>
      <w:r w:rsidRPr="00033F0D">
        <w:rPr>
          <w:rFonts w:eastAsia="Times New Roman"/>
        </w:rPr>
        <w:t>Ruan</w:t>
      </w:r>
      <w:proofErr w:type="spellEnd"/>
      <w:r w:rsidRPr="00033F0D">
        <w:rPr>
          <w:rFonts w:eastAsia="Times New Roman"/>
        </w:rPr>
        <w:t xml:space="preserve"> F, Huang M, Liang L, Huang H, Hong Z et al. SARS-CoV-2 viral load in upper respiratory specimens of infected patients. </w:t>
      </w:r>
      <w:r w:rsidRPr="001E0E04">
        <w:rPr>
          <w:rStyle w:val="Emphasis"/>
          <w:rFonts w:eastAsia="Times New Roman"/>
          <w:b w:val="0"/>
        </w:rPr>
        <w:t xml:space="preserve">N </w:t>
      </w:r>
      <w:proofErr w:type="spellStart"/>
      <w:r w:rsidRPr="001E0E04">
        <w:rPr>
          <w:rStyle w:val="Emphasis"/>
          <w:rFonts w:eastAsia="Times New Roman"/>
          <w:b w:val="0"/>
        </w:rPr>
        <w:t>Engl</w:t>
      </w:r>
      <w:proofErr w:type="spellEnd"/>
      <w:r w:rsidRPr="001E0E04">
        <w:rPr>
          <w:rStyle w:val="Emphasis"/>
          <w:rFonts w:eastAsia="Times New Roman"/>
          <w:b w:val="0"/>
        </w:rPr>
        <w:t xml:space="preserve"> J Med</w:t>
      </w:r>
      <w:r w:rsidRPr="00033F0D">
        <w:rPr>
          <w:rFonts w:eastAsia="Times New Roman"/>
        </w:rPr>
        <w:t xml:space="preserve">. 2020;382(12):1177–9. </w:t>
      </w:r>
    </w:p>
    <w:p w14:paraId="53DDDC12" w14:textId="77777777" w:rsidR="00033F0D" w:rsidRPr="00033F0D" w:rsidRDefault="00033F0D" w:rsidP="00033F0D">
      <w:pPr>
        <w:pStyle w:val="ListParagraph"/>
        <w:numPr>
          <w:ilvl w:val="0"/>
          <w:numId w:val="24"/>
        </w:numPr>
        <w:rPr>
          <w:rFonts w:eastAsia="Times New Roman"/>
        </w:rPr>
      </w:pPr>
      <w:r w:rsidRPr="00033F0D">
        <w:rPr>
          <w:rFonts w:eastAsia="Times New Roman"/>
        </w:rPr>
        <w:t xml:space="preserve">He X, Lau EHY, Wu P, Deng X, Wang J, Hao X et al. Temporal dynamics in viral shedding and transmissibility of COVID-19. </w:t>
      </w:r>
      <w:r w:rsidRPr="001E0E04">
        <w:rPr>
          <w:rStyle w:val="Emphasis"/>
          <w:rFonts w:eastAsia="Times New Roman"/>
          <w:b w:val="0"/>
        </w:rPr>
        <w:t>Nat Med</w:t>
      </w:r>
      <w:r w:rsidRPr="00033F0D">
        <w:rPr>
          <w:rFonts w:eastAsia="Times New Roman"/>
        </w:rPr>
        <w:t xml:space="preserve">. 2020;26(5):672–5. </w:t>
      </w:r>
    </w:p>
    <w:p w14:paraId="01509096" w14:textId="77777777" w:rsidR="00033F0D" w:rsidRPr="00033F0D" w:rsidRDefault="00033F0D" w:rsidP="00033F0D">
      <w:pPr>
        <w:pStyle w:val="ListParagraph"/>
        <w:numPr>
          <w:ilvl w:val="0"/>
          <w:numId w:val="24"/>
        </w:numPr>
        <w:rPr>
          <w:rFonts w:eastAsia="Times New Roman"/>
        </w:rPr>
      </w:pPr>
      <w:proofErr w:type="spellStart"/>
      <w:r w:rsidRPr="00033F0D">
        <w:rPr>
          <w:rFonts w:eastAsia="Times New Roman"/>
        </w:rPr>
        <w:t>Wölfel</w:t>
      </w:r>
      <w:proofErr w:type="spellEnd"/>
      <w:r w:rsidRPr="00033F0D">
        <w:rPr>
          <w:rFonts w:eastAsia="Times New Roman"/>
        </w:rPr>
        <w:t xml:space="preserve"> R, Corman VM, </w:t>
      </w:r>
      <w:proofErr w:type="spellStart"/>
      <w:r w:rsidRPr="00033F0D">
        <w:rPr>
          <w:rFonts w:eastAsia="Times New Roman"/>
        </w:rPr>
        <w:t>Guggemos</w:t>
      </w:r>
      <w:proofErr w:type="spellEnd"/>
      <w:r w:rsidRPr="00033F0D">
        <w:rPr>
          <w:rFonts w:eastAsia="Times New Roman"/>
        </w:rPr>
        <w:t xml:space="preserve"> W, </w:t>
      </w:r>
      <w:proofErr w:type="spellStart"/>
      <w:r w:rsidRPr="00033F0D">
        <w:rPr>
          <w:rFonts w:eastAsia="Times New Roman"/>
        </w:rPr>
        <w:t>Seilmaier</w:t>
      </w:r>
      <w:proofErr w:type="spellEnd"/>
      <w:r w:rsidRPr="00033F0D">
        <w:rPr>
          <w:rFonts w:eastAsia="Times New Roman"/>
        </w:rPr>
        <w:t xml:space="preserve"> M, </w:t>
      </w:r>
      <w:proofErr w:type="spellStart"/>
      <w:r w:rsidRPr="00033F0D">
        <w:rPr>
          <w:rFonts w:eastAsia="Times New Roman"/>
        </w:rPr>
        <w:t>Zange</w:t>
      </w:r>
      <w:proofErr w:type="spellEnd"/>
      <w:r w:rsidRPr="00033F0D">
        <w:rPr>
          <w:rFonts w:eastAsia="Times New Roman"/>
        </w:rPr>
        <w:t xml:space="preserve"> S, Müller MA et al. Virological assessment of hospitalized patients with COVID-2019. </w:t>
      </w:r>
      <w:r w:rsidRPr="001E0E04">
        <w:rPr>
          <w:rStyle w:val="Emphasis"/>
          <w:rFonts w:eastAsia="Times New Roman"/>
          <w:b w:val="0"/>
        </w:rPr>
        <w:t>Nature</w:t>
      </w:r>
      <w:r w:rsidRPr="00033F0D">
        <w:rPr>
          <w:rFonts w:eastAsia="Times New Roman"/>
        </w:rPr>
        <w:t xml:space="preserve">. 2020;581(7809):465–9. </w:t>
      </w:r>
    </w:p>
    <w:p w14:paraId="0AC76924" w14:textId="77777777" w:rsidR="008B5348" w:rsidRPr="007E0C12" w:rsidRDefault="00033F0D" w:rsidP="007E0C12">
      <w:pPr>
        <w:pStyle w:val="ListParagraph"/>
        <w:numPr>
          <w:ilvl w:val="0"/>
          <w:numId w:val="24"/>
        </w:numPr>
        <w:rPr>
          <w:rStyle w:val="A10"/>
          <w:rFonts w:eastAsia="Times New Roman" w:cstheme="minorBidi"/>
          <w:color w:val="auto"/>
        </w:rPr>
        <w:sectPr w:rsidR="008B5348" w:rsidRPr="007E0C12" w:rsidSect="00A30C37">
          <w:headerReference w:type="default" r:id="rId10"/>
          <w:footerReference w:type="default" r:id="rId11"/>
          <w:footerReference w:type="first" r:id="rId12"/>
          <w:footnotePr>
            <w:numFmt w:val="lowerRoman"/>
          </w:footnotePr>
          <w:pgSz w:w="11906" w:h="16838"/>
          <w:pgMar w:top="720" w:right="720" w:bottom="1134" w:left="720" w:header="709" w:footer="284" w:gutter="0"/>
          <w:cols w:space="708"/>
          <w:titlePg/>
          <w:docGrid w:linePitch="360"/>
        </w:sectPr>
      </w:pPr>
      <w:r w:rsidRPr="00033F0D">
        <w:rPr>
          <w:rFonts w:eastAsia="Times New Roman"/>
        </w:rPr>
        <w:t xml:space="preserve">ESR. </w:t>
      </w:r>
      <w:r w:rsidRPr="001E0E04">
        <w:rPr>
          <w:rStyle w:val="Emphasis"/>
          <w:rFonts w:eastAsia="Times New Roman"/>
          <w:b w:val="0"/>
        </w:rPr>
        <w:t>New Zealand influenza intelligence report: week ending 29 September 2019</w:t>
      </w:r>
      <w:r w:rsidRPr="00033F0D">
        <w:rPr>
          <w:rFonts w:eastAsia="Times New Roman"/>
        </w:rPr>
        <w:t>. Wellington: ESR; 2019. Available from: https://www.esr.cri.nz/assets/Influenza-Surveillance-Intelligence-Report-2019_WE29Sept19.pdf.</w:t>
      </w:r>
    </w:p>
    <w:p w14:paraId="1F1948B9" w14:textId="77777777" w:rsidR="000A5F42" w:rsidRPr="000606CC" w:rsidRDefault="000A5F42" w:rsidP="000A5F42">
      <w:pPr>
        <w:pStyle w:val="NoSpacing"/>
        <w:rPr>
          <w:rFonts w:cstheme="minorHAnsi"/>
          <w:sz w:val="18"/>
          <w:szCs w:val="18"/>
        </w:rPr>
      </w:pPr>
      <w:r w:rsidRPr="000606CC">
        <w:rPr>
          <w:rStyle w:val="Strong"/>
          <w:bCs w:val="0"/>
          <w:sz w:val="20"/>
        </w:rPr>
        <w:lastRenderedPageBreak/>
        <w:t>Communicable Diseases Intelligence</w:t>
      </w:r>
    </w:p>
    <w:p w14:paraId="28079A7E" w14:textId="77777777" w:rsidR="000A5F42" w:rsidRPr="000606CC" w:rsidRDefault="000A5F42" w:rsidP="000A5F42">
      <w:pPr>
        <w:pStyle w:val="NoSpacing"/>
        <w:rPr>
          <w:rFonts w:cstheme="minorHAnsi"/>
          <w:sz w:val="20"/>
          <w:szCs w:val="18"/>
        </w:rPr>
      </w:pPr>
      <w:r w:rsidRPr="000606CC">
        <w:rPr>
          <w:rFonts w:cstheme="minorHAnsi"/>
          <w:sz w:val="20"/>
          <w:szCs w:val="18"/>
        </w:rPr>
        <w:t>ISSN: 2209-6051 Online</w:t>
      </w:r>
    </w:p>
    <w:p w14:paraId="46BE9539" w14:textId="77777777" w:rsidR="000A5F42" w:rsidRPr="000606CC" w:rsidRDefault="000A5F42" w:rsidP="000A5F42">
      <w:pPr>
        <w:pStyle w:val="NoSpacing"/>
        <w:rPr>
          <w:rStyle w:val="URI"/>
          <w:rFonts w:cstheme="minorHAnsi"/>
          <w:sz w:val="20"/>
          <w:szCs w:val="18"/>
        </w:rPr>
      </w:pPr>
    </w:p>
    <w:p w14:paraId="186F8BCE" w14:textId="77777777" w:rsidR="000A5F42" w:rsidRPr="000606CC" w:rsidRDefault="000A5F42" w:rsidP="000A5F42">
      <w:pPr>
        <w:pStyle w:val="NoSpacing"/>
        <w:rPr>
          <w:rStyle w:val="Strong"/>
          <w:rFonts w:cs="Calibri"/>
          <w:sz w:val="20"/>
          <w:szCs w:val="18"/>
        </w:rPr>
      </w:pPr>
      <w:r w:rsidRPr="000606CC">
        <w:rPr>
          <w:rStyle w:val="Strong"/>
          <w:rFonts w:cs="Calibri"/>
          <w:b w:val="0"/>
          <w:bCs w:val="0"/>
          <w:sz w:val="20"/>
          <w:szCs w:val="18"/>
        </w:rPr>
        <w:t>Communicable Diseases Intelligence (CDI) is a peer-reviewed scientific journal published by the Office of Health Protection</w:t>
      </w:r>
      <w:r w:rsidR="000325A0">
        <w:rPr>
          <w:rStyle w:val="Strong"/>
          <w:rFonts w:cs="Calibri"/>
          <w:b w:val="0"/>
          <w:bCs w:val="0"/>
          <w:sz w:val="20"/>
          <w:szCs w:val="18"/>
        </w:rPr>
        <w:t xml:space="preserve"> and Response</w:t>
      </w:r>
      <w:r w:rsidRPr="000606CC">
        <w:rPr>
          <w:rStyle w:val="Strong"/>
          <w:rFonts w:cs="Calibri"/>
          <w:b w:val="0"/>
          <w:bCs w:val="0"/>
          <w:sz w:val="20"/>
          <w:szCs w:val="18"/>
        </w:rPr>
        <w:t xml:space="preserve">, Department of Health. The journal aims to disseminate information on the epidemiology, surveillance, </w:t>
      </w:r>
      <w:proofErr w:type="gramStart"/>
      <w:r w:rsidRPr="000606CC">
        <w:rPr>
          <w:rStyle w:val="Strong"/>
          <w:rFonts w:cs="Calibri"/>
          <w:b w:val="0"/>
          <w:bCs w:val="0"/>
          <w:sz w:val="20"/>
          <w:szCs w:val="18"/>
        </w:rPr>
        <w:t>prevention</w:t>
      </w:r>
      <w:proofErr w:type="gramEnd"/>
      <w:r w:rsidRPr="000606CC">
        <w:rPr>
          <w:rStyle w:val="Strong"/>
          <w:rFonts w:cs="Calibri"/>
          <w:b w:val="0"/>
          <w:bCs w:val="0"/>
          <w:sz w:val="20"/>
          <w:szCs w:val="18"/>
        </w:rPr>
        <w:t xml:space="preserve"> and control of communicable diseases of relevance to Australia.</w:t>
      </w:r>
    </w:p>
    <w:p w14:paraId="0A5322C6" w14:textId="77777777" w:rsidR="000A5F42" w:rsidRPr="000606CC" w:rsidRDefault="000A5F42" w:rsidP="000A5F42">
      <w:pPr>
        <w:pStyle w:val="NoSpacing"/>
        <w:rPr>
          <w:rStyle w:val="Strong"/>
          <w:rFonts w:cstheme="minorHAnsi"/>
          <w:sz w:val="20"/>
          <w:szCs w:val="18"/>
        </w:rPr>
      </w:pPr>
    </w:p>
    <w:p w14:paraId="3269BD9A"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Editor: </w:t>
      </w:r>
      <w:r w:rsidR="005C66A6" w:rsidRPr="005C66A6">
        <w:rPr>
          <w:rFonts w:cstheme="minorHAnsi"/>
          <w:sz w:val="20"/>
          <w:szCs w:val="18"/>
        </w:rPr>
        <w:t>Jennie Hood</w:t>
      </w:r>
    </w:p>
    <w:p w14:paraId="1D9B9537"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Deputy Editor: </w:t>
      </w:r>
      <w:r w:rsidR="00C838F5" w:rsidRPr="00C838F5">
        <w:rPr>
          <w:rFonts w:cstheme="minorHAnsi"/>
          <w:sz w:val="20"/>
          <w:szCs w:val="18"/>
        </w:rPr>
        <w:t>Simon Petrie</w:t>
      </w:r>
    </w:p>
    <w:p w14:paraId="74B81168" w14:textId="77777777" w:rsidR="000A5F42" w:rsidRPr="000606CC" w:rsidRDefault="00967410" w:rsidP="000A5F42">
      <w:pPr>
        <w:pStyle w:val="NoSpacing"/>
        <w:rPr>
          <w:rFonts w:cstheme="minorHAnsi"/>
          <w:sz w:val="20"/>
          <w:szCs w:val="18"/>
        </w:rPr>
      </w:pPr>
      <w:r>
        <w:rPr>
          <w:rStyle w:val="Strong"/>
          <w:rFonts w:cstheme="minorHAnsi"/>
          <w:sz w:val="20"/>
          <w:szCs w:val="18"/>
        </w:rPr>
        <w:t>Design</w:t>
      </w:r>
      <w:r w:rsidR="000A5F42" w:rsidRPr="000606CC">
        <w:rPr>
          <w:rStyle w:val="Strong"/>
          <w:rFonts w:cstheme="minorHAnsi"/>
          <w:sz w:val="20"/>
          <w:szCs w:val="18"/>
        </w:rPr>
        <w:t xml:space="preserve"> and Production: </w:t>
      </w:r>
      <w:r w:rsidR="000A5F42" w:rsidRPr="000606CC">
        <w:rPr>
          <w:rFonts w:cstheme="minorHAnsi"/>
          <w:sz w:val="20"/>
          <w:szCs w:val="18"/>
        </w:rPr>
        <w:t>Kasra Yousefi</w:t>
      </w:r>
    </w:p>
    <w:p w14:paraId="5480A5FC" w14:textId="77777777" w:rsidR="000A5F42" w:rsidRPr="000606CC" w:rsidRDefault="000A5F42" w:rsidP="000A5F42">
      <w:pPr>
        <w:pStyle w:val="NoSpacing"/>
        <w:rPr>
          <w:rFonts w:cstheme="minorHAnsi"/>
          <w:b/>
          <w:bCs/>
          <w:sz w:val="20"/>
          <w:szCs w:val="18"/>
        </w:rPr>
      </w:pPr>
      <w:r w:rsidRPr="000606CC">
        <w:rPr>
          <w:rStyle w:val="Strong"/>
          <w:rFonts w:cstheme="minorHAnsi"/>
          <w:sz w:val="20"/>
          <w:szCs w:val="18"/>
        </w:rPr>
        <w:t xml:space="preserve">Editorial Advisory Board: </w:t>
      </w:r>
      <w:r w:rsidRPr="000606CC">
        <w:rPr>
          <w:rFonts w:cstheme="minorHAnsi"/>
          <w:sz w:val="20"/>
          <w:szCs w:val="18"/>
        </w:rPr>
        <w:t xml:space="preserve">David </w:t>
      </w:r>
      <w:proofErr w:type="spellStart"/>
      <w:r w:rsidRPr="000606CC">
        <w:rPr>
          <w:rFonts w:cstheme="minorHAnsi"/>
          <w:sz w:val="20"/>
          <w:szCs w:val="18"/>
        </w:rPr>
        <w:t>Durrheim</w:t>
      </w:r>
      <w:proofErr w:type="spellEnd"/>
      <w:r w:rsidRPr="000606CC">
        <w:rPr>
          <w:rFonts w:cstheme="minorHAnsi"/>
          <w:sz w:val="20"/>
          <w:szCs w:val="18"/>
        </w:rPr>
        <w:t xml:space="preserve">, </w:t>
      </w:r>
      <w:r w:rsidRPr="000606CC">
        <w:rPr>
          <w:rStyle w:val="nobreak"/>
          <w:rFonts w:cstheme="minorHAnsi"/>
          <w:sz w:val="20"/>
          <w:szCs w:val="18"/>
        </w:rPr>
        <w:t xml:space="preserve">Mark </w:t>
      </w:r>
      <w:proofErr w:type="spellStart"/>
      <w:r w:rsidRPr="000606CC">
        <w:rPr>
          <w:rStyle w:val="nobreak"/>
          <w:rFonts w:cstheme="minorHAnsi"/>
          <w:sz w:val="20"/>
          <w:szCs w:val="18"/>
        </w:rPr>
        <w:t>Ferson</w:t>
      </w:r>
      <w:proofErr w:type="spellEnd"/>
      <w:r w:rsidR="00F55648">
        <w:rPr>
          <w:rFonts w:cstheme="minorHAnsi"/>
          <w:sz w:val="20"/>
          <w:szCs w:val="18"/>
        </w:rPr>
        <w:t xml:space="preserve">, John Kaldor, </w:t>
      </w:r>
      <w:r w:rsidRPr="000606CC">
        <w:rPr>
          <w:rStyle w:val="nobreak"/>
          <w:rFonts w:cstheme="minorHAnsi"/>
          <w:sz w:val="20"/>
          <w:szCs w:val="18"/>
        </w:rPr>
        <w:t xml:space="preserve">Martyn </w:t>
      </w:r>
      <w:proofErr w:type="gramStart"/>
      <w:r w:rsidRPr="000606CC">
        <w:rPr>
          <w:rStyle w:val="nobreak"/>
          <w:rFonts w:cstheme="minorHAnsi"/>
          <w:sz w:val="20"/>
          <w:szCs w:val="18"/>
        </w:rPr>
        <w:t>Kirk</w:t>
      </w:r>
      <w:proofErr w:type="gramEnd"/>
      <w:r w:rsidR="00F55648">
        <w:rPr>
          <w:rStyle w:val="nobreak"/>
          <w:rFonts w:cstheme="minorHAnsi"/>
          <w:sz w:val="20"/>
          <w:szCs w:val="18"/>
        </w:rPr>
        <w:t xml:space="preserve"> and Linda </w:t>
      </w:r>
      <w:proofErr w:type="spellStart"/>
      <w:r w:rsidR="00F55648">
        <w:rPr>
          <w:rStyle w:val="nobreak"/>
          <w:rFonts w:cstheme="minorHAnsi"/>
          <w:sz w:val="20"/>
          <w:szCs w:val="18"/>
        </w:rPr>
        <w:t>Selvey</w:t>
      </w:r>
      <w:proofErr w:type="spellEnd"/>
    </w:p>
    <w:p w14:paraId="666CA144" w14:textId="77777777" w:rsidR="000A5F42" w:rsidRPr="000606CC" w:rsidRDefault="000A5F42" w:rsidP="000A5F42">
      <w:pPr>
        <w:pStyle w:val="NoSpacing"/>
        <w:rPr>
          <w:rStyle w:val="Strong"/>
          <w:rFonts w:cstheme="minorHAnsi"/>
          <w:sz w:val="20"/>
          <w:szCs w:val="18"/>
        </w:rPr>
      </w:pPr>
    </w:p>
    <w:p w14:paraId="70739D0B" w14:textId="77777777"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Website</w:t>
      </w:r>
      <w:r w:rsidRPr="000606CC">
        <w:rPr>
          <w:rFonts w:cstheme="minorHAnsi"/>
          <w:sz w:val="20"/>
          <w:szCs w:val="18"/>
        </w:rPr>
        <w:t xml:space="preserve">: </w:t>
      </w:r>
      <w:hyperlink r:id="rId13" w:tooltip="CDI website" w:history="1">
        <w:r w:rsidRPr="000606CC">
          <w:rPr>
            <w:rStyle w:val="Hyperlink"/>
            <w:rFonts w:cstheme="minorHAnsi"/>
            <w:sz w:val="20"/>
            <w:szCs w:val="18"/>
          </w:rPr>
          <w:t>http://www.health.gov.au/cdi</w:t>
        </w:r>
      </w:hyperlink>
      <w:r w:rsidRPr="000606CC">
        <w:rPr>
          <w:rStyle w:val="URI"/>
          <w:rFonts w:cstheme="minorHAnsi"/>
          <w:sz w:val="20"/>
          <w:szCs w:val="18"/>
        </w:rPr>
        <w:t xml:space="preserve"> </w:t>
      </w:r>
    </w:p>
    <w:p w14:paraId="1E5CAC0E" w14:textId="77777777" w:rsidR="000A5F42" w:rsidRPr="000606CC" w:rsidRDefault="000A5F42" w:rsidP="000A5F42">
      <w:pPr>
        <w:pStyle w:val="NoSpacing"/>
        <w:rPr>
          <w:rStyle w:val="Strong"/>
          <w:rFonts w:cstheme="minorHAnsi"/>
          <w:sz w:val="20"/>
          <w:szCs w:val="18"/>
        </w:rPr>
      </w:pPr>
    </w:p>
    <w:p w14:paraId="64414EB4" w14:textId="77777777" w:rsidR="000A5F42" w:rsidRPr="000606CC" w:rsidRDefault="000A5F42" w:rsidP="00E54BBD">
      <w:pPr>
        <w:pStyle w:val="NoSpacing"/>
        <w:rPr>
          <w:rFonts w:cstheme="minorHAnsi"/>
          <w:sz w:val="20"/>
          <w:szCs w:val="18"/>
        </w:rPr>
      </w:pPr>
      <w:r w:rsidRPr="000606CC">
        <w:rPr>
          <w:rStyle w:val="Strong"/>
          <w:rFonts w:cstheme="minorHAnsi"/>
          <w:sz w:val="20"/>
          <w:szCs w:val="18"/>
        </w:rPr>
        <w:t>Contacts</w:t>
      </w:r>
      <w:r w:rsidRPr="000606CC">
        <w:rPr>
          <w:rStyle w:val="Strong"/>
          <w:rFonts w:cstheme="minorHAnsi"/>
          <w:sz w:val="20"/>
          <w:szCs w:val="18"/>
        </w:rPr>
        <w:br/>
      </w:r>
      <w:r w:rsidR="00E54BBD">
        <w:rPr>
          <w:rFonts w:cstheme="minorHAnsi"/>
          <w:sz w:val="20"/>
          <w:szCs w:val="18"/>
        </w:rPr>
        <w:t xml:space="preserve">CDI is produced by </w:t>
      </w:r>
      <w:r w:rsidR="00E54BBD" w:rsidRPr="00E54BBD">
        <w:rPr>
          <w:rFonts w:cstheme="minorHAnsi"/>
          <w:sz w:val="20"/>
          <w:szCs w:val="18"/>
        </w:rPr>
        <w:t>Environmental Health and Health Protection Policy Branch,</w:t>
      </w:r>
      <w:r w:rsidR="00E54BBD">
        <w:rPr>
          <w:rFonts w:cstheme="minorHAnsi"/>
          <w:sz w:val="20"/>
          <w:szCs w:val="18"/>
        </w:rPr>
        <w:t xml:space="preserve"> </w:t>
      </w:r>
      <w:r w:rsidR="00E54BBD" w:rsidRPr="00E54BBD">
        <w:rPr>
          <w:rFonts w:cstheme="minorHAnsi"/>
          <w:sz w:val="20"/>
          <w:szCs w:val="18"/>
        </w:rPr>
        <w:t>Office of Health Protection and Response, Australian Government Department of Health, GPO Box 9848, (MDP 6) CANBERRA ACT 2601</w:t>
      </w:r>
    </w:p>
    <w:p w14:paraId="38754361" w14:textId="77777777" w:rsidR="000A5F42" w:rsidRPr="000606CC" w:rsidRDefault="000A5F42" w:rsidP="000A5F42">
      <w:pPr>
        <w:pStyle w:val="NoSpacing"/>
        <w:rPr>
          <w:rStyle w:val="Strong"/>
          <w:rFonts w:cstheme="minorHAnsi"/>
          <w:sz w:val="20"/>
          <w:szCs w:val="18"/>
        </w:rPr>
      </w:pPr>
    </w:p>
    <w:p w14:paraId="05A6C0F9" w14:textId="77777777"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 xml:space="preserve">Email: </w:t>
      </w:r>
      <w:hyperlink r:id="rId14" w:history="1">
        <w:r w:rsidRPr="000606CC">
          <w:rPr>
            <w:rStyle w:val="Hyperlink"/>
            <w:rFonts w:cstheme="minorHAnsi"/>
            <w:sz w:val="20"/>
            <w:szCs w:val="18"/>
          </w:rPr>
          <w:t>cdi.editor@health.gov.au</w:t>
        </w:r>
      </w:hyperlink>
      <w:r w:rsidRPr="000606CC">
        <w:rPr>
          <w:rStyle w:val="URI"/>
          <w:rFonts w:cstheme="minorHAnsi"/>
          <w:sz w:val="20"/>
          <w:szCs w:val="18"/>
        </w:rPr>
        <w:t xml:space="preserve"> </w:t>
      </w:r>
    </w:p>
    <w:p w14:paraId="6945D70A" w14:textId="77777777" w:rsidR="000A5F42" w:rsidRPr="000606CC" w:rsidRDefault="000A5F42" w:rsidP="000A5F42">
      <w:pPr>
        <w:pStyle w:val="NoSpacing"/>
        <w:rPr>
          <w:rStyle w:val="Strong"/>
          <w:rFonts w:cstheme="minorHAnsi"/>
          <w:sz w:val="20"/>
          <w:szCs w:val="18"/>
        </w:rPr>
      </w:pPr>
    </w:p>
    <w:p w14:paraId="37577885"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Submit an Article</w:t>
      </w:r>
      <w:r w:rsidRPr="000606CC">
        <w:rPr>
          <w:rStyle w:val="Strong"/>
          <w:rFonts w:cstheme="minorHAnsi"/>
          <w:sz w:val="20"/>
          <w:szCs w:val="18"/>
        </w:rPr>
        <w:br/>
      </w:r>
      <w:r w:rsidRPr="000606CC">
        <w:rPr>
          <w:rFonts w:cstheme="minorHAnsi"/>
          <w:sz w:val="20"/>
          <w:szCs w:val="18"/>
        </w:rPr>
        <w:t xml:space="preserve">You are invited to submit your next communicable disease related article to the Communicable Diseases Intelligence (CDI) for consideration. More information regarding CDI can be found at: </w:t>
      </w:r>
      <w:hyperlink r:id="rId15" w:tooltip="CDI Website" w:history="1">
        <w:r w:rsidRPr="000606CC">
          <w:rPr>
            <w:rStyle w:val="Hyperlink"/>
            <w:rFonts w:cstheme="minorHAnsi"/>
            <w:sz w:val="20"/>
            <w:szCs w:val="18"/>
          </w:rPr>
          <w:t>http://health.gov.au/cdi</w:t>
        </w:r>
      </w:hyperlink>
      <w:r w:rsidRPr="000606CC">
        <w:rPr>
          <w:rFonts w:cstheme="minorHAnsi"/>
          <w:sz w:val="20"/>
          <w:szCs w:val="18"/>
        </w:rPr>
        <w:t xml:space="preserve">. </w:t>
      </w:r>
    </w:p>
    <w:p w14:paraId="31B750A5" w14:textId="77777777" w:rsidR="000A5F42" w:rsidRPr="000606CC" w:rsidRDefault="000A5F42" w:rsidP="000A5F42">
      <w:pPr>
        <w:pStyle w:val="NoSpacing"/>
        <w:rPr>
          <w:rFonts w:cstheme="minorHAnsi"/>
          <w:sz w:val="20"/>
          <w:szCs w:val="18"/>
        </w:rPr>
      </w:pPr>
      <w:r w:rsidRPr="000606CC">
        <w:rPr>
          <w:rFonts w:cstheme="minorHAnsi"/>
          <w:sz w:val="20"/>
          <w:szCs w:val="18"/>
        </w:rPr>
        <w:t xml:space="preserve">Further enquiries should be directed to: </w:t>
      </w:r>
      <w:hyperlink r:id="rId16" w:history="1">
        <w:r w:rsidRPr="000606CC">
          <w:rPr>
            <w:rStyle w:val="Hyperlink"/>
            <w:rFonts w:cstheme="minorHAnsi"/>
            <w:sz w:val="20"/>
            <w:szCs w:val="18"/>
          </w:rPr>
          <w:t>cdi.editor@health.gov.au</w:t>
        </w:r>
      </w:hyperlink>
      <w:r w:rsidRPr="000606CC">
        <w:rPr>
          <w:rFonts w:cstheme="minorHAnsi"/>
          <w:sz w:val="20"/>
          <w:szCs w:val="18"/>
        </w:rPr>
        <w:t>.</w:t>
      </w:r>
    </w:p>
    <w:p w14:paraId="609DAAF9" w14:textId="77777777" w:rsidR="000A5F42" w:rsidRPr="000606CC" w:rsidRDefault="000A5F42" w:rsidP="000A5F42">
      <w:pPr>
        <w:pStyle w:val="NoSpacing"/>
        <w:pBdr>
          <w:bottom w:val="single" w:sz="6" w:space="1" w:color="auto"/>
        </w:pBdr>
        <w:rPr>
          <w:rStyle w:val="Strong"/>
          <w:rFonts w:cstheme="minorHAnsi"/>
          <w:sz w:val="12"/>
          <w:szCs w:val="18"/>
        </w:rPr>
      </w:pPr>
    </w:p>
    <w:p w14:paraId="1BB4F4EA" w14:textId="77777777" w:rsidR="000A5F42" w:rsidRPr="000606CC" w:rsidRDefault="000A5F42" w:rsidP="000A5F42">
      <w:pPr>
        <w:pStyle w:val="NoSpacing"/>
        <w:rPr>
          <w:rFonts w:cstheme="minorHAnsi"/>
          <w:sz w:val="20"/>
          <w:szCs w:val="18"/>
        </w:rPr>
      </w:pPr>
    </w:p>
    <w:p w14:paraId="0824826A" w14:textId="77777777" w:rsidR="000A5F42" w:rsidRPr="000606CC" w:rsidRDefault="000A5F42" w:rsidP="000A5F42">
      <w:pPr>
        <w:pStyle w:val="NoSpacing"/>
        <w:rPr>
          <w:rFonts w:cstheme="minorHAnsi"/>
          <w:sz w:val="20"/>
          <w:szCs w:val="18"/>
        </w:rPr>
      </w:pPr>
      <w:r w:rsidRPr="000606CC">
        <w:rPr>
          <w:rFonts w:cstheme="minorHAnsi"/>
          <w:sz w:val="20"/>
          <w:szCs w:val="18"/>
        </w:rPr>
        <w:t>This journal is indexed by Index Medicus and Medline.</w:t>
      </w:r>
    </w:p>
    <w:p w14:paraId="7BABC1F8" w14:textId="77777777" w:rsidR="000A5F42" w:rsidRPr="000606CC" w:rsidRDefault="000A5F42" w:rsidP="000A5F42">
      <w:pPr>
        <w:pStyle w:val="NoSpacing"/>
        <w:rPr>
          <w:rFonts w:cstheme="minorHAnsi"/>
          <w:sz w:val="20"/>
          <w:szCs w:val="18"/>
        </w:rPr>
      </w:pPr>
    </w:p>
    <w:p w14:paraId="073D4068" w14:textId="77777777" w:rsidR="000A5F42" w:rsidRPr="000606CC" w:rsidRDefault="000A5F42" w:rsidP="000A5F42">
      <w:pPr>
        <w:pStyle w:val="NoSpacing"/>
        <w:rPr>
          <w:rFonts w:cstheme="minorHAnsi"/>
          <w:sz w:val="20"/>
          <w:szCs w:val="18"/>
        </w:rPr>
      </w:pPr>
      <w:r w:rsidRPr="000606CC">
        <w:rPr>
          <w:rFonts w:cstheme="minorHAnsi"/>
          <w:sz w:val="20"/>
          <w:szCs w:val="18"/>
        </w:rPr>
        <w:t>Creative Commons Licence - Attribution-</w:t>
      </w:r>
      <w:proofErr w:type="spellStart"/>
      <w:r w:rsidRPr="000606CC">
        <w:rPr>
          <w:rFonts w:cstheme="minorHAnsi"/>
          <w:sz w:val="20"/>
          <w:szCs w:val="18"/>
        </w:rPr>
        <w:t>NonCommercial</w:t>
      </w:r>
      <w:proofErr w:type="spellEnd"/>
      <w:r w:rsidRPr="000606CC">
        <w:rPr>
          <w:rFonts w:cstheme="minorHAnsi"/>
          <w:sz w:val="20"/>
          <w:szCs w:val="18"/>
        </w:rPr>
        <w:t>-</w:t>
      </w:r>
      <w:proofErr w:type="spellStart"/>
      <w:r w:rsidRPr="000606CC">
        <w:rPr>
          <w:rFonts w:cstheme="minorHAnsi"/>
          <w:sz w:val="20"/>
          <w:szCs w:val="18"/>
        </w:rPr>
        <w:t>NoDerivatives</w:t>
      </w:r>
      <w:proofErr w:type="spellEnd"/>
      <w:r w:rsidRPr="000606CC">
        <w:rPr>
          <w:rFonts w:cstheme="minorHAnsi"/>
          <w:sz w:val="20"/>
          <w:szCs w:val="18"/>
        </w:rPr>
        <w:t xml:space="preserve"> CC BY-NC-ND</w:t>
      </w:r>
    </w:p>
    <w:p w14:paraId="53DC8C41" w14:textId="77777777" w:rsidR="000A5F42" w:rsidRPr="000606CC" w:rsidRDefault="000A5F42" w:rsidP="000A5F42">
      <w:pPr>
        <w:pStyle w:val="NoSpacing"/>
        <w:rPr>
          <w:rFonts w:cstheme="minorHAnsi"/>
          <w:sz w:val="20"/>
          <w:szCs w:val="18"/>
        </w:rPr>
      </w:pPr>
      <w:r w:rsidRPr="000606CC">
        <w:rPr>
          <w:rFonts w:cstheme="minorHAnsi"/>
          <w:sz w:val="20"/>
          <w:szCs w:val="18"/>
        </w:rPr>
        <w:t xml:space="preserve">© </w:t>
      </w:r>
      <w:r w:rsidR="001200CB">
        <w:rPr>
          <w:rFonts w:cstheme="minorHAnsi"/>
          <w:sz w:val="20"/>
          <w:szCs w:val="18"/>
        </w:rPr>
        <w:t>202</w:t>
      </w:r>
      <w:r w:rsidR="0024631C">
        <w:rPr>
          <w:rFonts w:cstheme="minorHAnsi"/>
          <w:sz w:val="20"/>
          <w:szCs w:val="18"/>
        </w:rPr>
        <w:t>1</w:t>
      </w:r>
      <w:r w:rsidRPr="000606CC">
        <w:rPr>
          <w:rFonts w:cstheme="minorHAnsi"/>
          <w:sz w:val="20"/>
          <w:szCs w:val="18"/>
        </w:rPr>
        <w:t xml:space="preserve"> Commonwealth of Australia as represented by the Department of Health</w:t>
      </w:r>
    </w:p>
    <w:p w14:paraId="4EFD757A" w14:textId="77777777" w:rsidR="000A5F42" w:rsidRPr="000606CC" w:rsidRDefault="000A5F42" w:rsidP="000A5F42">
      <w:pPr>
        <w:pStyle w:val="NoSpacing"/>
        <w:rPr>
          <w:rFonts w:cstheme="minorHAnsi"/>
          <w:sz w:val="20"/>
          <w:szCs w:val="18"/>
        </w:rPr>
      </w:pPr>
      <w:r w:rsidRPr="000606CC">
        <w:rPr>
          <w:rFonts w:cstheme="minorHAnsi"/>
          <w:sz w:val="20"/>
          <w:szCs w:val="18"/>
        </w:rPr>
        <w:t>This publication is licensed under a Creative Commons Attribution-</w:t>
      </w:r>
      <w:proofErr w:type="spellStart"/>
      <w:r w:rsidRPr="000606CC">
        <w:rPr>
          <w:rFonts w:cstheme="minorHAnsi"/>
          <w:sz w:val="20"/>
          <w:szCs w:val="18"/>
        </w:rPr>
        <w:t>NonCommercial</w:t>
      </w:r>
      <w:proofErr w:type="spellEnd"/>
      <w:r w:rsidRPr="000606CC">
        <w:rPr>
          <w:rFonts w:cstheme="minorHAnsi"/>
          <w:sz w:val="20"/>
          <w:szCs w:val="18"/>
        </w:rPr>
        <w:t>-</w:t>
      </w:r>
      <w:proofErr w:type="spellStart"/>
      <w:r w:rsidRPr="000606CC">
        <w:rPr>
          <w:rFonts w:cstheme="minorHAnsi"/>
          <w:sz w:val="20"/>
          <w:szCs w:val="18"/>
        </w:rPr>
        <w:t>NoDerivatives</w:t>
      </w:r>
      <w:proofErr w:type="spellEnd"/>
      <w:r w:rsidRPr="000606CC">
        <w:rPr>
          <w:rFonts w:cstheme="minorHAnsi"/>
          <w:sz w:val="20"/>
          <w:szCs w:val="18"/>
        </w:rPr>
        <w:t xml:space="preserve"> 4.0 International Licence from </w:t>
      </w:r>
      <w:hyperlink r:id="rId17" w:tooltip="Creative Commons licence" w:history="1">
        <w:r w:rsidRPr="000606CC">
          <w:rPr>
            <w:rStyle w:val="Hyperlink"/>
            <w:rFonts w:cstheme="minorHAnsi"/>
            <w:sz w:val="20"/>
            <w:szCs w:val="18"/>
          </w:rPr>
          <w:t>https://creativecommons.org/licenses/by-nc-nd/4.0/legalcode</w:t>
        </w:r>
      </w:hyperlink>
      <w:r w:rsidRPr="000606CC">
        <w:rPr>
          <w:rStyle w:val="URI"/>
          <w:rFonts w:cstheme="minorHAnsi"/>
          <w:sz w:val="20"/>
          <w:szCs w:val="18"/>
        </w:rPr>
        <w:t xml:space="preserve"> </w:t>
      </w:r>
      <w:r w:rsidRPr="000606CC">
        <w:rPr>
          <w:rFonts w:cstheme="minorHAnsi"/>
          <w:sz w:val="20"/>
          <w:szCs w:val="18"/>
        </w:rPr>
        <w:t>(Licence). You must read and understand the Licence before using any material from this publication.</w:t>
      </w:r>
    </w:p>
    <w:p w14:paraId="6C909751" w14:textId="77777777" w:rsidR="000A5F42" w:rsidRPr="000606CC" w:rsidRDefault="000A5F42" w:rsidP="000A5F42">
      <w:pPr>
        <w:pStyle w:val="NoSpacing"/>
        <w:rPr>
          <w:rFonts w:cstheme="minorHAnsi"/>
          <w:sz w:val="20"/>
          <w:szCs w:val="18"/>
        </w:rPr>
      </w:pPr>
    </w:p>
    <w:p w14:paraId="020A0201"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Restrictions</w:t>
      </w:r>
      <w:r w:rsidRPr="000606CC">
        <w:rPr>
          <w:rStyle w:val="Strong"/>
          <w:rFonts w:cstheme="minorHAnsi"/>
          <w:sz w:val="20"/>
          <w:szCs w:val="18"/>
        </w:rPr>
        <w:br/>
      </w:r>
      <w:r w:rsidRPr="000606CC">
        <w:rPr>
          <w:rFonts w:cstheme="minorHAnsi"/>
          <w:sz w:val="20"/>
          <w:szCs w:val="18"/>
        </w:rPr>
        <w:t>The Licence does not cover, and there is no permission given for, use of any of the following material found in this publication (if</w:t>
      </w:r>
      <w:r w:rsidR="001378A3">
        <w:rPr>
          <w:rFonts w:cstheme="minorHAnsi"/>
          <w:sz w:val="20"/>
          <w:szCs w:val="18"/>
        </w:rPr>
        <w:t> </w:t>
      </w:r>
      <w:r w:rsidRPr="000606CC">
        <w:rPr>
          <w:rFonts w:cstheme="minorHAnsi"/>
          <w:sz w:val="20"/>
          <w:szCs w:val="18"/>
        </w:rPr>
        <w:t xml:space="preserve">any): </w:t>
      </w:r>
    </w:p>
    <w:p w14:paraId="54FB9257"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the Commonwealth Coat of Arms (by way of information, the terms under which the Coat of Arms may be used can be found at </w:t>
      </w:r>
      <w:hyperlink r:id="rId18" w:tooltip="Australian Honours system website" w:history="1">
        <w:r w:rsidRPr="000606CC">
          <w:rPr>
            <w:rStyle w:val="Hyperlink"/>
            <w:rFonts w:cstheme="minorHAnsi"/>
            <w:sz w:val="20"/>
            <w:szCs w:val="18"/>
          </w:rPr>
          <w:t>www.itsanhonour.gov.au</w:t>
        </w:r>
      </w:hyperlink>
      <w:r w:rsidRPr="000606CC">
        <w:rPr>
          <w:rStyle w:val="URI"/>
          <w:rFonts w:cstheme="minorHAnsi"/>
          <w:sz w:val="20"/>
          <w:szCs w:val="18"/>
          <w:u w:val="none"/>
        </w:rPr>
        <w:t>)</w:t>
      </w:r>
      <w:r w:rsidRPr="000606CC">
        <w:rPr>
          <w:rFonts w:cstheme="minorHAnsi"/>
          <w:sz w:val="20"/>
          <w:szCs w:val="18"/>
        </w:rPr>
        <w:t xml:space="preserve">;  </w:t>
      </w:r>
    </w:p>
    <w:p w14:paraId="5229F35E"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logos (including the Department of Health’s logo) and </w:t>
      </w:r>
      <w:proofErr w:type="gramStart"/>
      <w:r w:rsidRPr="000606CC">
        <w:rPr>
          <w:rFonts w:cstheme="minorHAnsi"/>
          <w:sz w:val="20"/>
          <w:szCs w:val="18"/>
        </w:rPr>
        <w:t>trademarks;</w:t>
      </w:r>
      <w:proofErr w:type="gramEnd"/>
    </w:p>
    <w:p w14:paraId="2E6A2CE0"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photographs and </w:t>
      </w:r>
      <w:proofErr w:type="gramStart"/>
      <w:r w:rsidRPr="000606CC">
        <w:rPr>
          <w:rFonts w:cstheme="minorHAnsi"/>
          <w:sz w:val="20"/>
          <w:szCs w:val="18"/>
        </w:rPr>
        <w:t>images;</w:t>
      </w:r>
      <w:proofErr w:type="gramEnd"/>
      <w:r w:rsidRPr="000606CC">
        <w:rPr>
          <w:rFonts w:cstheme="minorHAnsi"/>
          <w:sz w:val="20"/>
          <w:szCs w:val="18"/>
        </w:rPr>
        <w:t xml:space="preserve"> </w:t>
      </w:r>
    </w:p>
    <w:p w14:paraId="3A484B0B"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any signatures; and</w:t>
      </w:r>
    </w:p>
    <w:p w14:paraId="0273AB48"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material belonging to third parties. </w:t>
      </w:r>
    </w:p>
    <w:p w14:paraId="2A7EAB2B" w14:textId="77777777" w:rsidR="000A5F42" w:rsidRPr="000606CC" w:rsidRDefault="000A5F42" w:rsidP="000A5F42">
      <w:pPr>
        <w:pStyle w:val="NoSpacing"/>
        <w:rPr>
          <w:rStyle w:val="Strong"/>
          <w:rFonts w:cstheme="minorHAnsi"/>
          <w:sz w:val="20"/>
          <w:szCs w:val="18"/>
        </w:rPr>
      </w:pPr>
    </w:p>
    <w:p w14:paraId="58796B6F" w14:textId="77777777" w:rsidR="000A5F42" w:rsidRPr="000606CC" w:rsidRDefault="000A5F42" w:rsidP="000A5F42">
      <w:pPr>
        <w:pStyle w:val="NoSpacing"/>
        <w:rPr>
          <w:rStyle w:val="Strong"/>
          <w:rFonts w:cstheme="minorHAnsi"/>
          <w:sz w:val="20"/>
          <w:szCs w:val="18"/>
        </w:rPr>
      </w:pPr>
      <w:r w:rsidRPr="000606CC">
        <w:rPr>
          <w:rStyle w:val="Strong"/>
          <w:rFonts w:cstheme="minorHAnsi"/>
          <w:sz w:val="20"/>
          <w:szCs w:val="18"/>
        </w:rPr>
        <w:t>Disclaimer</w:t>
      </w:r>
      <w:r w:rsidRPr="000606CC">
        <w:rPr>
          <w:rStyle w:val="Strong"/>
          <w:rFonts w:cstheme="minorHAnsi"/>
          <w:sz w:val="20"/>
          <w:szCs w:val="18"/>
        </w:rPr>
        <w:br/>
      </w:r>
      <w:r w:rsidRPr="000606CC">
        <w:rPr>
          <w:rFonts w:cstheme="minorHAnsi"/>
          <w:sz w:val="20"/>
          <w:szCs w:val="18"/>
        </w:rPr>
        <w:t>Opinions expressed in Communicable Diseases Intelligence are those of the authors and not necessarily those of the Australian Government Department of Health or the Communicable Diseases Network Australia. Data may be subject to revision.</w:t>
      </w:r>
    </w:p>
    <w:p w14:paraId="451B77DC" w14:textId="77777777" w:rsidR="000A5F42" w:rsidRPr="000606CC" w:rsidRDefault="000A5F42" w:rsidP="000A5F42">
      <w:pPr>
        <w:pStyle w:val="NoSpacing"/>
        <w:rPr>
          <w:rStyle w:val="Strong"/>
          <w:rFonts w:cstheme="minorHAnsi"/>
          <w:sz w:val="20"/>
          <w:szCs w:val="18"/>
        </w:rPr>
      </w:pPr>
    </w:p>
    <w:p w14:paraId="49D21A66" w14:textId="77777777"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Enquiries</w:t>
      </w:r>
      <w:r w:rsidRPr="000606CC">
        <w:rPr>
          <w:rStyle w:val="Strong"/>
          <w:rFonts w:cstheme="minorHAnsi"/>
          <w:sz w:val="20"/>
          <w:szCs w:val="18"/>
        </w:rPr>
        <w:br/>
      </w:r>
      <w:proofErr w:type="spellStart"/>
      <w:r w:rsidRPr="000606CC">
        <w:rPr>
          <w:rFonts w:cstheme="minorHAnsi"/>
          <w:sz w:val="20"/>
          <w:szCs w:val="18"/>
        </w:rPr>
        <w:t>Enquiries</w:t>
      </w:r>
      <w:proofErr w:type="spellEnd"/>
      <w:r w:rsidRPr="000606CC">
        <w:rPr>
          <w:rFonts w:cstheme="minorHAnsi"/>
          <w:sz w:val="20"/>
          <w:szCs w:val="18"/>
        </w:rPr>
        <w:t xml:space="preserve"> regarding any other use of this publication should be addressed to the Communication Branch, Department of Health, GPO Box 9848, Canberra ACT 2601, or via e-mail to: </w:t>
      </w:r>
      <w:hyperlink r:id="rId19" w:history="1">
        <w:r w:rsidRPr="000606CC">
          <w:rPr>
            <w:rStyle w:val="Hyperlink"/>
            <w:rFonts w:cstheme="minorHAnsi"/>
            <w:sz w:val="20"/>
            <w:szCs w:val="18"/>
          </w:rPr>
          <w:t>copyright@health.gov.au</w:t>
        </w:r>
      </w:hyperlink>
      <w:r w:rsidRPr="000606CC">
        <w:rPr>
          <w:rStyle w:val="URI"/>
          <w:rFonts w:cstheme="minorHAnsi"/>
          <w:sz w:val="20"/>
          <w:szCs w:val="18"/>
        </w:rPr>
        <w:t xml:space="preserve"> </w:t>
      </w:r>
    </w:p>
    <w:p w14:paraId="1C4B8EFA" w14:textId="77777777" w:rsidR="000A5F42" w:rsidRPr="000606CC" w:rsidRDefault="000A5F42" w:rsidP="000A5F42">
      <w:pPr>
        <w:pStyle w:val="NoSpacing"/>
        <w:rPr>
          <w:rStyle w:val="URI"/>
          <w:rFonts w:cstheme="minorHAnsi"/>
          <w:sz w:val="20"/>
          <w:szCs w:val="18"/>
        </w:rPr>
      </w:pPr>
    </w:p>
    <w:p w14:paraId="19B8D115" w14:textId="77777777" w:rsidR="000A5F42" w:rsidRPr="000606CC" w:rsidRDefault="000A5F42" w:rsidP="000A5F42">
      <w:pPr>
        <w:pStyle w:val="NoSpacing"/>
        <w:rPr>
          <w:rStyle w:val="Strong"/>
          <w:rFonts w:cstheme="minorHAnsi"/>
          <w:b w:val="0"/>
          <w:bCs w:val="0"/>
          <w:color w:val="000000"/>
          <w:sz w:val="20"/>
          <w:szCs w:val="18"/>
          <w:u w:val="thick"/>
        </w:rPr>
      </w:pPr>
      <w:r w:rsidRPr="000606CC">
        <w:rPr>
          <w:rStyle w:val="Strong"/>
          <w:rFonts w:cstheme="minorHAnsi"/>
          <w:sz w:val="20"/>
          <w:szCs w:val="18"/>
        </w:rPr>
        <w:t>Communicable Diseases Network Australia</w:t>
      </w:r>
      <w:r w:rsidRPr="000606CC">
        <w:rPr>
          <w:rStyle w:val="Strong"/>
          <w:rFonts w:cstheme="minorHAnsi"/>
          <w:sz w:val="20"/>
          <w:szCs w:val="18"/>
        </w:rPr>
        <w:br/>
      </w:r>
      <w:r w:rsidRPr="000606CC">
        <w:rPr>
          <w:rFonts w:cstheme="minorHAnsi"/>
          <w:sz w:val="20"/>
          <w:szCs w:val="18"/>
        </w:rPr>
        <w:t>Communicable Diseases Intelligence contributes to the work of the Communicable Diseases Network Australia.</w:t>
      </w:r>
      <w:r w:rsidRPr="000606CC">
        <w:rPr>
          <w:rFonts w:cstheme="minorHAnsi"/>
          <w:sz w:val="20"/>
          <w:szCs w:val="18"/>
        </w:rPr>
        <w:br/>
      </w:r>
      <w:hyperlink r:id="rId20" w:tooltip="Communicable Diseases Network Australia website" w:history="1">
        <w:r w:rsidRPr="000606CC">
          <w:rPr>
            <w:rStyle w:val="Hyperlink"/>
            <w:rFonts w:cstheme="minorHAnsi"/>
            <w:sz w:val="20"/>
            <w:szCs w:val="18"/>
          </w:rPr>
          <w:t>http://www.health.gov.au/cdna</w:t>
        </w:r>
      </w:hyperlink>
    </w:p>
    <w:p w14:paraId="6239D84F" w14:textId="77777777" w:rsidR="001B37B8" w:rsidRPr="00E92237" w:rsidRDefault="001B37B8" w:rsidP="001B37B8">
      <w:pPr>
        <w:rPr>
          <w:rFonts w:cs="Myriad Pro"/>
          <w:color w:val="211D1E"/>
          <w:sz w:val="20"/>
          <w:szCs w:val="20"/>
        </w:rPr>
      </w:pPr>
    </w:p>
    <w:sectPr w:rsidR="001B37B8" w:rsidRPr="00E92237" w:rsidSect="002B75A9">
      <w:headerReference w:type="default" r:id="rId21"/>
      <w:footnotePr>
        <w:numFmt w:val="lowerRoman"/>
      </w:footnotePr>
      <w:pgSz w:w="11906" w:h="16838"/>
      <w:pgMar w:top="720" w:right="720" w:bottom="1134" w:left="720"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030F42" w14:textId="77777777" w:rsidR="00C413EE" w:rsidRDefault="00C413EE" w:rsidP="00E54DBA">
      <w:r>
        <w:separator/>
      </w:r>
    </w:p>
    <w:p w14:paraId="0E6D134C" w14:textId="77777777" w:rsidR="00C413EE" w:rsidRDefault="00C413EE"/>
    <w:p w14:paraId="098A068E" w14:textId="77777777" w:rsidR="00C413EE" w:rsidRDefault="00C413EE" w:rsidP="008714B0"/>
  </w:endnote>
  <w:endnote w:type="continuationSeparator" w:id="0">
    <w:p w14:paraId="614207CA" w14:textId="77777777" w:rsidR="00C413EE" w:rsidRDefault="00C413EE" w:rsidP="00E54DBA">
      <w:r>
        <w:continuationSeparator/>
      </w:r>
    </w:p>
    <w:p w14:paraId="3D31C8F1" w14:textId="77777777" w:rsidR="00C413EE" w:rsidRDefault="00C413EE"/>
    <w:p w14:paraId="39F6A95B" w14:textId="77777777" w:rsidR="00C413EE" w:rsidRDefault="00C413EE" w:rsidP="008714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yriad Pro">
    <w:altName w:val="Corbel"/>
    <w:panose1 w:val="00000000000000000000"/>
    <w:charset w:val="00"/>
    <w:family w:val="swiss"/>
    <w:notTrueType/>
    <w:pitch w:val="variable"/>
    <w:sig w:usb0="20000287" w:usb1="00000001" w:usb2="00000000" w:usb3="00000000" w:csb0="0000019F" w:csb1="00000000"/>
  </w:font>
  <w:font w:name="Minion Pro SmBd">
    <w:panose1 w:val="02040603060306020203"/>
    <w:charset w:val="00"/>
    <w:family w:val="roman"/>
    <w:notTrueType/>
    <w:pitch w:val="variable"/>
    <w:sig w:usb0="60000287" w:usb1="00000001" w:usb2="00000000" w:usb3="00000000" w:csb0="0000019F" w:csb1="00000000"/>
  </w:font>
  <w:font w:name="Myriad Pro Cond">
    <w:altName w:val="Corbel"/>
    <w:panose1 w:val="020B0506030403020204"/>
    <w:charset w:val="00"/>
    <w:family w:val="swiss"/>
    <w:notTrueType/>
    <w:pitch w:val="variable"/>
    <w:sig w:usb0="2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DD8F6B" w14:textId="1BD1719A" w:rsidR="00401ED1" w:rsidRPr="0042435E" w:rsidRDefault="0042435E" w:rsidP="00252C9A">
    <w:pPr>
      <w:pStyle w:val="Footer"/>
      <w:pBdr>
        <w:top w:val="single" w:sz="2"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sidR="0053276F">
      <w:rPr>
        <w:noProof/>
        <w:sz w:val="18"/>
      </w:rPr>
      <w:t>3</w:t>
    </w:r>
    <w:r w:rsidRPr="00BE6C3D">
      <w:rPr>
        <w:noProof/>
        <w:sz w:val="18"/>
      </w:rPr>
      <w:fldChar w:fldCharType="end"/>
    </w:r>
    <w:r>
      <w:rPr>
        <w:noProof/>
        <w:sz w:val="18"/>
      </w:rPr>
      <w:t xml:space="preserve"> of </w:t>
    </w:r>
    <w:r w:rsidR="007C6454">
      <w:rPr>
        <w:noProof/>
        <w:sz w:val="18"/>
      </w:rPr>
      <w:fldChar w:fldCharType="begin"/>
    </w:r>
    <w:r w:rsidR="007C6454">
      <w:rPr>
        <w:noProof/>
        <w:sz w:val="18"/>
      </w:rPr>
      <w:instrText xml:space="preserve"> NUMPAGES \* MERGEFORMAT </w:instrText>
    </w:r>
    <w:r w:rsidR="007C6454">
      <w:rPr>
        <w:noProof/>
        <w:sz w:val="18"/>
      </w:rPr>
      <w:fldChar w:fldCharType="separate"/>
    </w:r>
    <w:r w:rsidR="0053276F">
      <w:rPr>
        <w:noProof/>
        <w:sz w:val="18"/>
      </w:rPr>
      <w:t>7</w:t>
    </w:r>
    <w:r w:rsidR="007C6454">
      <w:rPr>
        <w:noProof/>
        <w:sz w:val="18"/>
      </w:rPr>
      <w:fldChar w:fldCharType="end"/>
    </w:r>
    <w:r>
      <w:rPr>
        <w:noProof/>
        <w:sz w:val="18"/>
      </w:rPr>
      <w:t xml:space="preserve"> </w:t>
    </w:r>
    <w:r w:rsidRPr="004315F5">
      <w:rPr>
        <w:sz w:val="18"/>
      </w:rPr>
      <w:t xml:space="preserve"> </w:t>
    </w:r>
    <w:r w:rsidR="00231046">
      <w:rPr>
        <w:noProof/>
        <w:sz w:val="18"/>
      </w:rPr>
      <w:ptab w:relativeTo="margin" w:alignment="center" w:leader="none"/>
    </w:r>
    <w:r w:rsidR="00231046" w:rsidRPr="004315F5">
      <w:rPr>
        <w:sz w:val="18"/>
      </w:rPr>
      <w:t xml:space="preserve"> </w:t>
    </w:r>
    <w:proofErr w:type="spellStart"/>
    <w:r w:rsidR="00CE342B" w:rsidRPr="001E0E04">
      <w:rPr>
        <w:i/>
        <w:sz w:val="18"/>
      </w:rPr>
      <w:t>Commun</w:t>
    </w:r>
    <w:proofErr w:type="spellEnd"/>
    <w:r w:rsidR="00CE342B" w:rsidRPr="001E0E04">
      <w:rPr>
        <w:i/>
        <w:sz w:val="18"/>
      </w:rPr>
      <w:t xml:space="preserve"> Dis </w:t>
    </w:r>
    <w:proofErr w:type="spellStart"/>
    <w:r w:rsidR="00CE342B" w:rsidRPr="001E0E04">
      <w:rPr>
        <w:i/>
        <w:sz w:val="18"/>
      </w:rPr>
      <w:t>Intell</w:t>
    </w:r>
    <w:proofErr w:type="spellEnd"/>
    <w:r w:rsidR="00CE342B" w:rsidRPr="001E0E04">
      <w:rPr>
        <w:i/>
        <w:sz w:val="18"/>
      </w:rPr>
      <w:t xml:space="preserve"> (2018)</w:t>
    </w:r>
    <w:r w:rsidR="00CE342B">
      <w:rPr>
        <w:sz w:val="18"/>
      </w:rPr>
      <w:t xml:space="preserve"> </w:t>
    </w:r>
    <w:r w:rsidR="00231046">
      <w:rPr>
        <w:sz w:val="18"/>
      </w:rPr>
      <w:fldChar w:fldCharType="begin"/>
    </w:r>
    <w:r w:rsidR="00231046">
      <w:rPr>
        <w:sz w:val="18"/>
      </w:rPr>
      <w:instrText xml:space="preserve"> DOCPROPERTY  Year  \* MERGEFORMAT </w:instrText>
    </w:r>
    <w:r w:rsidR="00231046">
      <w:rPr>
        <w:sz w:val="18"/>
      </w:rPr>
      <w:fldChar w:fldCharType="separate"/>
    </w:r>
    <w:r w:rsidR="00C413EE">
      <w:rPr>
        <w:sz w:val="18"/>
      </w:rPr>
      <w:t>2021</w:t>
    </w:r>
    <w:r w:rsidR="00231046">
      <w:rPr>
        <w:sz w:val="18"/>
      </w:rPr>
      <w:fldChar w:fldCharType="end"/>
    </w:r>
    <w:r w:rsidR="00231046">
      <w:rPr>
        <w:sz w:val="18"/>
      </w:rPr>
      <w:t xml:space="preserve"> </w:t>
    </w:r>
    <w:r w:rsidR="00231046">
      <w:rPr>
        <w:sz w:val="18"/>
      </w:rPr>
      <w:fldChar w:fldCharType="begin"/>
    </w:r>
    <w:r w:rsidR="00231046">
      <w:rPr>
        <w:sz w:val="18"/>
      </w:rPr>
      <w:instrText xml:space="preserve"> DOCPROPERTY  Vol  \* MERGEFORMAT </w:instrText>
    </w:r>
    <w:r w:rsidR="00231046">
      <w:rPr>
        <w:sz w:val="18"/>
      </w:rPr>
      <w:fldChar w:fldCharType="separate"/>
    </w:r>
    <w:r w:rsidR="00C413EE">
      <w:rPr>
        <w:sz w:val="18"/>
      </w:rPr>
      <w:t>45</w:t>
    </w:r>
    <w:r w:rsidR="00231046">
      <w:rPr>
        <w:sz w:val="18"/>
      </w:rPr>
      <w:fldChar w:fldCharType="end"/>
    </w:r>
    <w:r w:rsidR="00CE342B">
      <w:rPr>
        <w:sz w:val="18"/>
      </w:rPr>
      <w:t xml:space="preserve"> </w:t>
    </w:r>
    <w:r w:rsidR="00CE342B">
      <w:rPr>
        <w:sz w:val="18"/>
      </w:rPr>
      <w:fldChar w:fldCharType="begin"/>
    </w:r>
    <w:r w:rsidR="00CE342B">
      <w:rPr>
        <w:sz w:val="18"/>
      </w:rPr>
      <w:instrText xml:space="preserve"> DOCPROPERTY  DOI  \* MERGEFORMAT </w:instrText>
    </w:r>
    <w:r w:rsidR="00CE342B">
      <w:rPr>
        <w:sz w:val="18"/>
      </w:rPr>
      <w:fldChar w:fldCharType="separate"/>
    </w:r>
    <w:r w:rsidR="00213B30">
      <w:rPr>
        <w:sz w:val="18"/>
      </w:rPr>
      <w:t>https://doi.org/10.33321/cdi.2021.45.32</w:t>
    </w:r>
    <w:r w:rsidR="00CE342B">
      <w:rPr>
        <w:sz w:val="18"/>
      </w:rPr>
      <w:fldChar w:fldCharType="end"/>
    </w:r>
    <w:r w:rsidR="00231046">
      <w:rPr>
        <w:sz w:val="18"/>
      </w:rPr>
      <w:t xml:space="preserve"> </w:t>
    </w:r>
    <w:proofErr w:type="spellStart"/>
    <w:r w:rsidR="00231046" w:rsidRPr="00155582">
      <w:rPr>
        <w:sz w:val="18"/>
      </w:rPr>
      <w:t>Epub</w:t>
    </w:r>
    <w:proofErr w:type="spellEnd"/>
    <w:r w:rsidR="00CE342B">
      <w:rPr>
        <w:sz w:val="18"/>
      </w:rPr>
      <w:t xml:space="preserve"> </w:t>
    </w:r>
    <w:r w:rsidR="00CE342B">
      <w:rPr>
        <w:sz w:val="18"/>
      </w:rPr>
      <w:fldChar w:fldCharType="begin"/>
    </w:r>
    <w:r w:rsidR="00CE342B">
      <w:rPr>
        <w:sz w:val="18"/>
      </w:rPr>
      <w:instrText xml:space="preserve"> DOCPROPERTY  ePubDate  \* MERGEFORMAT </w:instrText>
    </w:r>
    <w:r w:rsidR="00CE342B">
      <w:rPr>
        <w:sz w:val="18"/>
      </w:rPr>
      <w:fldChar w:fldCharType="separate"/>
    </w:r>
    <w:r w:rsidR="00213B30">
      <w:rPr>
        <w:sz w:val="18"/>
      </w:rPr>
      <w:t>15/6/2021</w:t>
    </w:r>
    <w:r w:rsidR="00CE342B">
      <w:rPr>
        <w:sz w:val="18"/>
      </w:rPr>
      <w:fldChar w:fldCharType="end"/>
    </w:r>
    <w:r>
      <w:rPr>
        <w:sz w:val="18"/>
      </w:rPr>
      <w:ptab w:relativeTo="margin" w:alignment="right" w:leader="none"/>
    </w:r>
    <w:r w:rsidRPr="00155582">
      <w:rPr>
        <w:sz w:val="18"/>
      </w:rPr>
      <w:t>health.gov.au/cdi</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25AD8E" w14:textId="4F4CF53D" w:rsidR="00BB5378" w:rsidRPr="00BB5378" w:rsidRDefault="00BB5378" w:rsidP="00E538CC">
    <w:pPr>
      <w:pStyle w:val="Footer"/>
      <w:pBdr>
        <w:top w:val="single" w:sz="4"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sidR="0053276F">
      <w:rPr>
        <w:noProof/>
        <w:sz w:val="18"/>
      </w:rPr>
      <w:t>1</w:t>
    </w:r>
    <w:r w:rsidRPr="00BE6C3D">
      <w:rPr>
        <w:noProof/>
        <w:sz w:val="18"/>
      </w:rPr>
      <w:fldChar w:fldCharType="end"/>
    </w:r>
    <w:r>
      <w:rPr>
        <w:noProof/>
        <w:sz w:val="18"/>
      </w:rPr>
      <w:t xml:space="preserve"> of </w:t>
    </w:r>
    <w:r w:rsidR="00B132DB">
      <w:rPr>
        <w:noProof/>
        <w:sz w:val="18"/>
      </w:rPr>
      <w:fldChar w:fldCharType="begin"/>
    </w:r>
    <w:r w:rsidR="00B132DB">
      <w:rPr>
        <w:noProof/>
        <w:sz w:val="18"/>
      </w:rPr>
      <w:instrText xml:space="preserve"> NUMPAGES \* MERGEFORMAT </w:instrText>
    </w:r>
    <w:r w:rsidR="00B132DB">
      <w:rPr>
        <w:noProof/>
        <w:sz w:val="18"/>
      </w:rPr>
      <w:fldChar w:fldCharType="separate"/>
    </w:r>
    <w:r w:rsidR="0053276F">
      <w:rPr>
        <w:noProof/>
        <w:sz w:val="18"/>
      </w:rPr>
      <w:t>7</w:t>
    </w:r>
    <w:r w:rsidR="00B132DB">
      <w:rPr>
        <w:noProof/>
        <w:sz w:val="18"/>
      </w:rPr>
      <w:fldChar w:fldCharType="end"/>
    </w:r>
    <w:r>
      <w:rPr>
        <w:noProof/>
        <w:sz w:val="18"/>
      </w:rPr>
      <w:t xml:space="preserve"> </w:t>
    </w:r>
    <w:r>
      <w:rPr>
        <w:noProof/>
        <w:sz w:val="18"/>
      </w:rPr>
      <w:ptab w:relativeTo="margin" w:alignment="center" w:leader="none"/>
    </w:r>
    <w:r w:rsidRPr="004315F5">
      <w:rPr>
        <w:sz w:val="18"/>
      </w:rPr>
      <w:t xml:space="preserve"> </w:t>
    </w:r>
    <w:proofErr w:type="spellStart"/>
    <w:r w:rsidR="00A164D5" w:rsidRPr="001E0E04">
      <w:rPr>
        <w:i/>
        <w:sz w:val="18"/>
      </w:rPr>
      <w:t>Commun</w:t>
    </w:r>
    <w:proofErr w:type="spellEnd"/>
    <w:r w:rsidR="00A164D5" w:rsidRPr="001E0E04">
      <w:rPr>
        <w:i/>
        <w:sz w:val="18"/>
      </w:rPr>
      <w:t xml:space="preserve"> Dis </w:t>
    </w:r>
    <w:proofErr w:type="spellStart"/>
    <w:r w:rsidR="00A164D5" w:rsidRPr="001E0E04">
      <w:rPr>
        <w:i/>
        <w:sz w:val="18"/>
      </w:rPr>
      <w:t>Intell</w:t>
    </w:r>
    <w:proofErr w:type="spellEnd"/>
    <w:r w:rsidR="00A164D5" w:rsidRPr="001E0E04">
      <w:rPr>
        <w:i/>
        <w:sz w:val="18"/>
      </w:rPr>
      <w:t xml:space="preserve"> (2018)</w:t>
    </w:r>
    <w:r w:rsidR="00A164D5">
      <w:rPr>
        <w:sz w:val="18"/>
      </w:rPr>
      <w:t xml:space="preserve"> </w:t>
    </w:r>
    <w:r w:rsidR="005E4229">
      <w:rPr>
        <w:sz w:val="18"/>
      </w:rPr>
      <w:fldChar w:fldCharType="begin"/>
    </w:r>
    <w:r w:rsidR="005E4229">
      <w:rPr>
        <w:sz w:val="18"/>
      </w:rPr>
      <w:instrText xml:space="preserve"> DOCPROPERTY  Year  \* MERGEFORMAT </w:instrText>
    </w:r>
    <w:r w:rsidR="005E4229">
      <w:rPr>
        <w:sz w:val="18"/>
      </w:rPr>
      <w:fldChar w:fldCharType="separate"/>
    </w:r>
    <w:r w:rsidR="00213B30">
      <w:rPr>
        <w:sz w:val="18"/>
      </w:rPr>
      <w:t>2021</w:t>
    </w:r>
    <w:r w:rsidR="005E4229">
      <w:rPr>
        <w:sz w:val="18"/>
      </w:rPr>
      <w:fldChar w:fldCharType="end"/>
    </w:r>
    <w:r w:rsidR="005E4229">
      <w:rPr>
        <w:sz w:val="18"/>
      </w:rPr>
      <w:t xml:space="preserve"> </w:t>
    </w:r>
    <w:r w:rsidR="00581588">
      <w:rPr>
        <w:sz w:val="18"/>
      </w:rPr>
      <w:fldChar w:fldCharType="begin"/>
    </w:r>
    <w:r w:rsidR="00581588">
      <w:rPr>
        <w:sz w:val="18"/>
      </w:rPr>
      <w:instrText xml:space="preserve"> DOCPROPERTY  Vol  \* MERGEFORMAT </w:instrText>
    </w:r>
    <w:r w:rsidR="00581588">
      <w:rPr>
        <w:sz w:val="18"/>
      </w:rPr>
      <w:fldChar w:fldCharType="separate"/>
    </w:r>
    <w:r w:rsidR="00213B30">
      <w:rPr>
        <w:sz w:val="18"/>
      </w:rPr>
      <w:t>45</w:t>
    </w:r>
    <w:r w:rsidR="00581588">
      <w:rPr>
        <w:sz w:val="18"/>
      </w:rPr>
      <w:fldChar w:fldCharType="end"/>
    </w:r>
    <w:r w:rsidR="00047B68">
      <w:rPr>
        <w:sz w:val="18"/>
      </w:rPr>
      <w:t xml:space="preserve"> </w:t>
    </w:r>
    <w:r w:rsidR="00047B68">
      <w:rPr>
        <w:sz w:val="18"/>
      </w:rPr>
      <w:fldChar w:fldCharType="begin"/>
    </w:r>
    <w:r w:rsidR="00047B68">
      <w:rPr>
        <w:sz w:val="18"/>
      </w:rPr>
      <w:instrText xml:space="preserve"> DOCPROPERTY  DOI  \* MERGEFORMAT </w:instrText>
    </w:r>
    <w:r w:rsidR="00047B68">
      <w:rPr>
        <w:sz w:val="18"/>
      </w:rPr>
      <w:fldChar w:fldCharType="separate"/>
    </w:r>
    <w:r w:rsidR="00213B30">
      <w:rPr>
        <w:sz w:val="18"/>
      </w:rPr>
      <w:t>https://doi.org/10.33321/cdi.2021.45.32</w:t>
    </w:r>
    <w:r w:rsidR="00047B68">
      <w:rPr>
        <w:sz w:val="18"/>
      </w:rPr>
      <w:fldChar w:fldCharType="end"/>
    </w:r>
    <w:r w:rsidR="00C24725">
      <w:rPr>
        <w:sz w:val="18"/>
      </w:rPr>
      <w:t xml:space="preserve"> </w:t>
    </w:r>
    <w:proofErr w:type="spellStart"/>
    <w:r w:rsidRPr="00155582">
      <w:rPr>
        <w:sz w:val="18"/>
      </w:rPr>
      <w:t>Epub</w:t>
    </w:r>
    <w:proofErr w:type="spellEnd"/>
    <w:r w:rsidRPr="00155582">
      <w:rPr>
        <w:sz w:val="18"/>
      </w:rPr>
      <w:t xml:space="preserve"> </w:t>
    </w:r>
    <w:r w:rsidR="00422FEB">
      <w:rPr>
        <w:sz w:val="18"/>
      </w:rPr>
      <w:fldChar w:fldCharType="begin"/>
    </w:r>
    <w:r w:rsidR="00422FEB">
      <w:rPr>
        <w:sz w:val="18"/>
      </w:rPr>
      <w:instrText xml:space="preserve"> DOCPROPERTY  ePubDate  \* MERGEFORMAT </w:instrText>
    </w:r>
    <w:r w:rsidR="00422FEB">
      <w:rPr>
        <w:sz w:val="18"/>
      </w:rPr>
      <w:fldChar w:fldCharType="separate"/>
    </w:r>
    <w:r w:rsidR="00213B30">
      <w:rPr>
        <w:sz w:val="18"/>
      </w:rPr>
      <w:t>15/6/2021</w:t>
    </w:r>
    <w:r w:rsidR="00422FEB">
      <w:rPr>
        <w:sz w:val="18"/>
      </w:rPr>
      <w:fldChar w:fldCharType="end"/>
    </w:r>
    <w:r>
      <w:rPr>
        <w:sz w:val="18"/>
      </w:rPr>
      <w:ptab w:relativeTo="margin" w:alignment="right" w:leader="none"/>
    </w:r>
    <w:r w:rsidRPr="00155582">
      <w:rPr>
        <w:sz w:val="18"/>
      </w:rPr>
      <w:t>health.gov.au/cdi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C45367" w14:textId="77777777" w:rsidR="00C413EE" w:rsidRDefault="00C413EE" w:rsidP="00E54DBA">
      <w:r>
        <w:separator/>
      </w:r>
    </w:p>
  </w:footnote>
  <w:footnote w:type="continuationSeparator" w:id="0">
    <w:p w14:paraId="74BFB243" w14:textId="77777777" w:rsidR="00C413EE" w:rsidRDefault="00C413EE" w:rsidP="00E54DBA">
      <w:r>
        <w:continuationSeparator/>
      </w:r>
    </w:p>
  </w:footnote>
  <w:footnote w:type="continuationNotice" w:id="1">
    <w:p w14:paraId="5D30E6EF" w14:textId="77777777" w:rsidR="00C413EE" w:rsidRPr="00224EFF" w:rsidRDefault="00C413EE" w:rsidP="00224EFF">
      <w:pPr>
        <w:pStyle w:val="Footer"/>
      </w:pPr>
    </w:p>
  </w:footnote>
  <w:footnote w:id="2">
    <w:p w14:paraId="6F38AD6A" w14:textId="77777777" w:rsidR="002B388C" w:rsidRDefault="002B388C">
      <w:pPr>
        <w:pStyle w:val="FootnoteText"/>
      </w:pPr>
      <w:r>
        <w:rPr>
          <w:rStyle w:val="FootnoteReference"/>
        </w:rPr>
        <w:footnoteRef/>
      </w:r>
      <w:r>
        <w:t xml:space="preserve"> </w:t>
      </w:r>
      <w:r w:rsidRPr="002B388C">
        <w:t>Confirmed cases were all who had positive laboratory findings for SARS-CoV-2; probable cases were either not tested or tested negative, but classified by medical officers based on a combination of epidemiological exposure, acute respiratory illness, and a timeline of symptoms consistent with infection by the identified exposure.</w:t>
      </w:r>
    </w:p>
  </w:footnote>
  <w:footnote w:id="3">
    <w:p w14:paraId="6C61BC3B" w14:textId="77777777" w:rsidR="002B388C" w:rsidRDefault="002B388C">
      <w:pPr>
        <w:pStyle w:val="FootnoteText"/>
      </w:pPr>
      <w:r>
        <w:rPr>
          <w:rStyle w:val="FootnoteReference"/>
        </w:rPr>
        <w:footnoteRef/>
      </w:r>
      <w:r>
        <w:t xml:space="preserve"> </w:t>
      </w:r>
      <w:r w:rsidRPr="002B388C">
        <w:t xml:space="preserve">The 95% confidence interval (95% CI) for this measure was 11–46%, with </w:t>
      </w:r>
      <w:r w:rsidRPr="002B388C">
        <w:rPr>
          <w:i/>
        </w:rPr>
        <w:t>p</w:t>
      </w:r>
      <w:r w:rsidRPr="002B388C">
        <w:t xml:space="preserve"> &lt; 0.001.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5589DA" w14:textId="77777777" w:rsidR="00257484" w:rsidRPr="00A153B6" w:rsidRDefault="00213B30" w:rsidP="00A153B6">
    <w:pPr>
      <w:pStyle w:val="Header"/>
      <w:pBdr>
        <w:bottom w:val="single" w:sz="6" w:space="1" w:color="auto"/>
      </w:pBdr>
    </w:pPr>
    <w:sdt>
      <w:sdtPr>
        <w:alias w:val="Category"/>
        <w:tag w:val=""/>
        <w:id w:val="-862438058"/>
        <w:dataBinding w:prefixMappings="xmlns:ns0='http://purl.org/dc/elements/1.1/' xmlns:ns1='http://schemas.openxmlformats.org/package/2006/metadata/core-properties' " w:xpath="/ns1:coreProperties[1]/ns1:category[1]" w:storeItemID="{6C3C8BC8-F283-45AE-878A-BAB7291924A1}"/>
        <w:text/>
      </w:sdtPr>
      <w:sdtEndPr/>
      <w:sdtContent>
        <w:r w:rsidR="00285319">
          <w:t>Short report</w:t>
        </w:r>
      </w:sdtContent>
    </w:sdt>
    <w:r w:rsidR="00A153B6">
      <w:ptab w:relativeTo="margin" w:alignment="right" w:leader="none"/>
    </w:r>
    <w:r w:rsidR="00A153B6" w:rsidRPr="00BB5378">
      <w:t>Communicable Diseases Intelligence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AE852B" w14:textId="77777777" w:rsidR="008B5348" w:rsidRPr="000A5F42" w:rsidRDefault="008B5348" w:rsidP="000A5F42">
    <w:pPr>
      <w:pStyle w:val="Header"/>
      <w:jc w:val="center"/>
      <w:rPr>
        <w:b/>
      </w:rPr>
    </w:pPr>
    <w:r w:rsidRPr="00E810C5">
      <w:rPr>
        <w:rFonts w:cs="Myriad Pro"/>
        <w:noProof/>
        <w:color w:val="211D1E"/>
        <w:sz w:val="16"/>
      </w:rPr>
      <w:drawing>
        <wp:inline distT="0" distB="0" distL="0" distR="0" wp14:anchorId="18710A86" wp14:editId="43AD6CEE">
          <wp:extent cx="1804481" cy="436389"/>
          <wp:effectExtent l="0" t="0" r="5715" b="1905"/>
          <wp:docPr id="1" name="Picture 1" descr="Australian Government Department of Health" title="Australian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ustralian Government-inline-word.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2227" cy="45277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6B7C94"/>
    <w:multiLevelType w:val="multilevel"/>
    <w:tmpl w:val="023E6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C42B81"/>
    <w:multiLevelType w:val="multilevel"/>
    <w:tmpl w:val="5D7A9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7E4CE4"/>
    <w:multiLevelType w:val="multilevel"/>
    <w:tmpl w:val="05503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2EE3105"/>
    <w:multiLevelType w:val="multilevel"/>
    <w:tmpl w:val="9B963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2F04BA"/>
    <w:multiLevelType w:val="hybridMultilevel"/>
    <w:tmpl w:val="069024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68E3D18"/>
    <w:multiLevelType w:val="multilevel"/>
    <w:tmpl w:val="F7283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A12447"/>
    <w:multiLevelType w:val="multilevel"/>
    <w:tmpl w:val="FB048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6DA01B8"/>
    <w:multiLevelType w:val="multilevel"/>
    <w:tmpl w:val="3D7C50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B1132B4"/>
    <w:multiLevelType w:val="hybridMultilevel"/>
    <w:tmpl w:val="B65EBBD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46A6245C"/>
    <w:multiLevelType w:val="hybridMultilevel"/>
    <w:tmpl w:val="A15CD276"/>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71D582C"/>
    <w:multiLevelType w:val="hybridMultilevel"/>
    <w:tmpl w:val="B3788E6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A945B47"/>
    <w:multiLevelType w:val="multilevel"/>
    <w:tmpl w:val="F506A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E387769"/>
    <w:multiLevelType w:val="multilevel"/>
    <w:tmpl w:val="9B1C0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04352B4"/>
    <w:multiLevelType w:val="multilevel"/>
    <w:tmpl w:val="F6829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0F458B7"/>
    <w:multiLevelType w:val="hybridMultilevel"/>
    <w:tmpl w:val="72269E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B796BCB"/>
    <w:multiLevelType w:val="hybridMultilevel"/>
    <w:tmpl w:val="4146AA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E047B95"/>
    <w:multiLevelType w:val="multilevel"/>
    <w:tmpl w:val="C3BED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01375B7"/>
    <w:multiLevelType w:val="hybridMultilevel"/>
    <w:tmpl w:val="841462BE"/>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69D5A6D"/>
    <w:multiLevelType w:val="multilevel"/>
    <w:tmpl w:val="9162E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9FC45B7"/>
    <w:multiLevelType w:val="multilevel"/>
    <w:tmpl w:val="65284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A3A7784"/>
    <w:multiLevelType w:val="multilevel"/>
    <w:tmpl w:val="CA14F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DC43C3F"/>
    <w:multiLevelType w:val="hybridMultilevel"/>
    <w:tmpl w:val="DB1674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08862AF"/>
    <w:multiLevelType w:val="multilevel"/>
    <w:tmpl w:val="3F483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4095EB5"/>
    <w:multiLevelType w:val="multilevel"/>
    <w:tmpl w:val="10D62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6AC7496"/>
    <w:multiLevelType w:val="multilevel"/>
    <w:tmpl w:val="E8FC9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9"/>
  </w:num>
  <w:num w:numId="3">
    <w:abstractNumId w:val="10"/>
  </w:num>
  <w:num w:numId="4">
    <w:abstractNumId w:val="2"/>
  </w:num>
  <w:num w:numId="5">
    <w:abstractNumId w:val="19"/>
  </w:num>
  <w:num w:numId="6">
    <w:abstractNumId w:val="21"/>
  </w:num>
  <w:num w:numId="7">
    <w:abstractNumId w:val="6"/>
  </w:num>
  <w:num w:numId="8">
    <w:abstractNumId w:val="23"/>
  </w:num>
  <w:num w:numId="9">
    <w:abstractNumId w:val="18"/>
  </w:num>
  <w:num w:numId="10">
    <w:abstractNumId w:val="3"/>
  </w:num>
  <w:num w:numId="11">
    <w:abstractNumId w:val="20"/>
  </w:num>
  <w:num w:numId="12">
    <w:abstractNumId w:val="1"/>
  </w:num>
  <w:num w:numId="13">
    <w:abstractNumId w:val="12"/>
  </w:num>
  <w:num w:numId="14">
    <w:abstractNumId w:val="16"/>
  </w:num>
  <w:num w:numId="15">
    <w:abstractNumId w:val="11"/>
  </w:num>
  <w:num w:numId="16">
    <w:abstractNumId w:val="24"/>
  </w:num>
  <w:num w:numId="17">
    <w:abstractNumId w:val="5"/>
  </w:num>
  <w:num w:numId="18">
    <w:abstractNumId w:val="22"/>
  </w:num>
  <w:num w:numId="19">
    <w:abstractNumId w:val="13"/>
  </w:num>
  <w:num w:numId="20">
    <w:abstractNumId w:val="0"/>
  </w:num>
  <w:num w:numId="21">
    <w:abstractNumId w:val="7"/>
  </w:num>
  <w:num w:numId="22">
    <w:abstractNumId w:val="15"/>
  </w:num>
  <w:num w:numId="23">
    <w:abstractNumId w:val="14"/>
  </w:num>
  <w:num w:numId="24">
    <w:abstractNumId w:val="8"/>
  </w:num>
  <w:num w:numId="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isplayBackgroundShape/>
  <w:proofState w:spelling="clean" w:grammar="clean"/>
  <w:attachedTemplate r:id="rId1"/>
  <w:defaultTabStop w:val="720"/>
  <w:noPunctuationKerning/>
  <w:characterSpacingControl w:val="doNotCompress"/>
  <w:hdrShapeDefaults>
    <o:shapedefaults v:ext="edit" spidmax="6145"/>
  </w:hdrShapeDefaults>
  <w:footnotePr>
    <w:numFmt w:val="lowerRoman"/>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3EE"/>
    <w:rsid w:val="00000B5B"/>
    <w:rsid w:val="00001611"/>
    <w:rsid w:val="000104A8"/>
    <w:rsid w:val="0001246E"/>
    <w:rsid w:val="000124B1"/>
    <w:rsid w:val="00016FE6"/>
    <w:rsid w:val="00031064"/>
    <w:rsid w:val="00031692"/>
    <w:rsid w:val="00032531"/>
    <w:rsid w:val="000325A0"/>
    <w:rsid w:val="00033F0D"/>
    <w:rsid w:val="000471BF"/>
    <w:rsid w:val="00047B68"/>
    <w:rsid w:val="00052600"/>
    <w:rsid w:val="0005643C"/>
    <w:rsid w:val="0006264A"/>
    <w:rsid w:val="00073D77"/>
    <w:rsid w:val="00081655"/>
    <w:rsid w:val="000864E0"/>
    <w:rsid w:val="000969B3"/>
    <w:rsid w:val="000A5F42"/>
    <w:rsid w:val="000D4B4D"/>
    <w:rsid w:val="00113D58"/>
    <w:rsid w:val="001200CB"/>
    <w:rsid w:val="001378A3"/>
    <w:rsid w:val="00155582"/>
    <w:rsid w:val="00161590"/>
    <w:rsid w:val="00171CC0"/>
    <w:rsid w:val="00175494"/>
    <w:rsid w:val="00175629"/>
    <w:rsid w:val="001830EC"/>
    <w:rsid w:val="00183534"/>
    <w:rsid w:val="001A4A96"/>
    <w:rsid w:val="001A5D05"/>
    <w:rsid w:val="001A796C"/>
    <w:rsid w:val="001B2614"/>
    <w:rsid w:val="001B37B8"/>
    <w:rsid w:val="001B552F"/>
    <w:rsid w:val="001C0893"/>
    <w:rsid w:val="001C1303"/>
    <w:rsid w:val="001C70B2"/>
    <w:rsid w:val="001D37C7"/>
    <w:rsid w:val="001D6888"/>
    <w:rsid w:val="001E0E04"/>
    <w:rsid w:val="00213B30"/>
    <w:rsid w:val="00224EFF"/>
    <w:rsid w:val="00225BC7"/>
    <w:rsid w:val="002276DC"/>
    <w:rsid w:val="00227E00"/>
    <w:rsid w:val="002307CB"/>
    <w:rsid w:val="002307FF"/>
    <w:rsid w:val="00231046"/>
    <w:rsid w:val="00231C1C"/>
    <w:rsid w:val="00234F21"/>
    <w:rsid w:val="00242659"/>
    <w:rsid w:val="002428F7"/>
    <w:rsid w:val="0024315F"/>
    <w:rsid w:val="0024631C"/>
    <w:rsid w:val="00251DE1"/>
    <w:rsid w:val="00252C9A"/>
    <w:rsid w:val="00256309"/>
    <w:rsid w:val="00257484"/>
    <w:rsid w:val="00260636"/>
    <w:rsid w:val="00275C78"/>
    <w:rsid w:val="00280594"/>
    <w:rsid w:val="00281EE3"/>
    <w:rsid w:val="00284E4A"/>
    <w:rsid w:val="00285319"/>
    <w:rsid w:val="002A3799"/>
    <w:rsid w:val="002A3BCC"/>
    <w:rsid w:val="002A4516"/>
    <w:rsid w:val="002A569F"/>
    <w:rsid w:val="002A7066"/>
    <w:rsid w:val="002B001E"/>
    <w:rsid w:val="002B09B7"/>
    <w:rsid w:val="002B388C"/>
    <w:rsid w:val="002B75A9"/>
    <w:rsid w:val="002C21B0"/>
    <w:rsid w:val="002E2FB3"/>
    <w:rsid w:val="002F327B"/>
    <w:rsid w:val="00301626"/>
    <w:rsid w:val="003059EC"/>
    <w:rsid w:val="00316CCD"/>
    <w:rsid w:val="00324F7E"/>
    <w:rsid w:val="003323BC"/>
    <w:rsid w:val="00346D42"/>
    <w:rsid w:val="00346E11"/>
    <w:rsid w:val="00356BA0"/>
    <w:rsid w:val="003601C0"/>
    <w:rsid w:val="003635F5"/>
    <w:rsid w:val="00372A88"/>
    <w:rsid w:val="00381A0F"/>
    <w:rsid w:val="00392949"/>
    <w:rsid w:val="003A1B3A"/>
    <w:rsid w:val="003A40F5"/>
    <w:rsid w:val="003B5B8C"/>
    <w:rsid w:val="003D79B1"/>
    <w:rsid w:val="003E74EE"/>
    <w:rsid w:val="003F0552"/>
    <w:rsid w:val="003F3BC2"/>
    <w:rsid w:val="00401ED1"/>
    <w:rsid w:val="0040224C"/>
    <w:rsid w:val="00413EE1"/>
    <w:rsid w:val="004164BB"/>
    <w:rsid w:val="00421ECE"/>
    <w:rsid w:val="00422FEB"/>
    <w:rsid w:val="0042435E"/>
    <w:rsid w:val="004315F5"/>
    <w:rsid w:val="00433456"/>
    <w:rsid w:val="00433DFA"/>
    <w:rsid w:val="00435D67"/>
    <w:rsid w:val="00443004"/>
    <w:rsid w:val="00464A58"/>
    <w:rsid w:val="00473D2D"/>
    <w:rsid w:val="004931DD"/>
    <w:rsid w:val="004A2125"/>
    <w:rsid w:val="004A38F6"/>
    <w:rsid w:val="004B4EB6"/>
    <w:rsid w:val="004C083C"/>
    <w:rsid w:val="004C67C6"/>
    <w:rsid w:val="004D29DE"/>
    <w:rsid w:val="004E2EE0"/>
    <w:rsid w:val="00510EAC"/>
    <w:rsid w:val="0053276F"/>
    <w:rsid w:val="00542A57"/>
    <w:rsid w:val="0055730D"/>
    <w:rsid w:val="00565974"/>
    <w:rsid w:val="005732C0"/>
    <w:rsid w:val="0057336D"/>
    <w:rsid w:val="0057489A"/>
    <w:rsid w:val="00574ACF"/>
    <w:rsid w:val="00581588"/>
    <w:rsid w:val="0058540B"/>
    <w:rsid w:val="00587C87"/>
    <w:rsid w:val="00590B80"/>
    <w:rsid w:val="005B3134"/>
    <w:rsid w:val="005B4E61"/>
    <w:rsid w:val="005B595A"/>
    <w:rsid w:val="005B66C2"/>
    <w:rsid w:val="005C66A6"/>
    <w:rsid w:val="005D2465"/>
    <w:rsid w:val="005E33DD"/>
    <w:rsid w:val="005E4229"/>
    <w:rsid w:val="005E540E"/>
    <w:rsid w:val="005E55FB"/>
    <w:rsid w:val="005F16BB"/>
    <w:rsid w:val="00607115"/>
    <w:rsid w:val="00620768"/>
    <w:rsid w:val="0062594B"/>
    <w:rsid w:val="00631406"/>
    <w:rsid w:val="006324FF"/>
    <w:rsid w:val="006351D6"/>
    <w:rsid w:val="00636E0D"/>
    <w:rsid w:val="0064142F"/>
    <w:rsid w:val="00641E85"/>
    <w:rsid w:val="00643CB4"/>
    <w:rsid w:val="006525CD"/>
    <w:rsid w:val="00656427"/>
    <w:rsid w:val="00660255"/>
    <w:rsid w:val="006971F3"/>
    <w:rsid w:val="006C74A3"/>
    <w:rsid w:val="006D1381"/>
    <w:rsid w:val="006D31BC"/>
    <w:rsid w:val="006E7943"/>
    <w:rsid w:val="006F24EA"/>
    <w:rsid w:val="00704CA9"/>
    <w:rsid w:val="0071048D"/>
    <w:rsid w:val="00710F86"/>
    <w:rsid w:val="007111A8"/>
    <w:rsid w:val="00731BC3"/>
    <w:rsid w:val="00741192"/>
    <w:rsid w:val="00743A33"/>
    <w:rsid w:val="00744372"/>
    <w:rsid w:val="00746080"/>
    <w:rsid w:val="0075144A"/>
    <w:rsid w:val="00786329"/>
    <w:rsid w:val="00792C7D"/>
    <w:rsid w:val="00794A4D"/>
    <w:rsid w:val="007A5234"/>
    <w:rsid w:val="007B7854"/>
    <w:rsid w:val="007C56A1"/>
    <w:rsid w:val="007C6454"/>
    <w:rsid w:val="007E01E0"/>
    <w:rsid w:val="007E0C12"/>
    <w:rsid w:val="007F0B93"/>
    <w:rsid w:val="007F2ECA"/>
    <w:rsid w:val="00811708"/>
    <w:rsid w:val="00816B90"/>
    <w:rsid w:val="00817799"/>
    <w:rsid w:val="008225D6"/>
    <w:rsid w:val="00822F5F"/>
    <w:rsid w:val="00824FD3"/>
    <w:rsid w:val="00826589"/>
    <w:rsid w:val="0083181B"/>
    <w:rsid w:val="00834BCC"/>
    <w:rsid w:val="00845314"/>
    <w:rsid w:val="00850D54"/>
    <w:rsid w:val="008714B0"/>
    <w:rsid w:val="00876331"/>
    <w:rsid w:val="00880726"/>
    <w:rsid w:val="00882969"/>
    <w:rsid w:val="008A3544"/>
    <w:rsid w:val="008B48B8"/>
    <w:rsid w:val="008B5348"/>
    <w:rsid w:val="008B58F8"/>
    <w:rsid w:val="008C0712"/>
    <w:rsid w:val="008C3AEC"/>
    <w:rsid w:val="008C4520"/>
    <w:rsid w:val="008C5F09"/>
    <w:rsid w:val="008D470F"/>
    <w:rsid w:val="008E1F8F"/>
    <w:rsid w:val="008E4768"/>
    <w:rsid w:val="008E761E"/>
    <w:rsid w:val="008F77B3"/>
    <w:rsid w:val="009008F5"/>
    <w:rsid w:val="00904CC1"/>
    <w:rsid w:val="009066AF"/>
    <w:rsid w:val="00912050"/>
    <w:rsid w:val="00912E48"/>
    <w:rsid w:val="0092746F"/>
    <w:rsid w:val="00935DC9"/>
    <w:rsid w:val="009446C0"/>
    <w:rsid w:val="0096082E"/>
    <w:rsid w:val="00961347"/>
    <w:rsid w:val="00963568"/>
    <w:rsid w:val="009665C0"/>
    <w:rsid w:val="00967410"/>
    <w:rsid w:val="00967D73"/>
    <w:rsid w:val="00977205"/>
    <w:rsid w:val="0098119A"/>
    <w:rsid w:val="00984AAF"/>
    <w:rsid w:val="00991B09"/>
    <w:rsid w:val="00993CB2"/>
    <w:rsid w:val="009A5166"/>
    <w:rsid w:val="009A76F8"/>
    <w:rsid w:val="009B2B83"/>
    <w:rsid w:val="009C49F8"/>
    <w:rsid w:val="009D77CC"/>
    <w:rsid w:val="009E2423"/>
    <w:rsid w:val="009E55A6"/>
    <w:rsid w:val="009E55D7"/>
    <w:rsid w:val="009F4150"/>
    <w:rsid w:val="009F5665"/>
    <w:rsid w:val="009F5DAD"/>
    <w:rsid w:val="00A01BCA"/>
    <w:rsid w:val="00A10458"/>
    <w:rsid w:val="00A11E77"/>
    <w:rsid w:val="00A153B6"/>
    <w:rsid w:val="00A164D5"/>
    <w:rsid w:val="00A273C3"/>
    <w:rsid w:val="00A30C37"/>
    <w:rsid w:val="00A36C65"/>
    <w:rsid w:val="00A41BBE"/>
    <w:rsid w:val="00A443E3"/>
    <w:rsid w:val="00A45BDD"/>
    <w:rsid w:val="00A46A0A"/>
    <w:rsid w:val="00A553F8"/>
    <w:rsid w:val="00A6708F"/>
    <w:rsid w:val="00A71BF6"/>
    <w:rsid w:val="00A86F9A"/>
    <w:rsid w:val="00AA35E6"/>
    <w:rsid w:val="00AA50B6"/>
    <w:rsid w:val="00AB3472"/>
    <w:rsid w:val="00AD0762"/>
    <w:rsid w:val="00AE3DCF"/>
    <w:rsid w:val="00AE4452"/>
    <w:rsid w:val="00AE7C38"/>
    <w:rsid w:val="00B01F99"/>
    <w:rsid w:val="00B02B37"/>
    <w:rsid w:val="00B05276"/>
    <w:rsid w:val="00B132DB"/>
    <w:rsid w:val="00B31427"/>
    <w:rsid w:val="00B33861"/>
    <w:rsid w:val="00B40DE2"/>
    <w:rsid w:val="00B50210"/>
    <w:rsid w:val="00B53955"/>
    <w:rsid w:val="00B6408A"/>
    <w:rsid w:val="00B714B8"/>
    <w:rsid w:val="00B82C2C"/>
    <w:rsid w:val="00B8720B"/>
    <w:rsid w:val="00B876EF"/>
    <w:rsid w:val="00BA4697"/>
    <w:rsid w:val="00BB0D3F"/>
    <w:rsid w:val="00BB5378"/>
    <w:rsid w:val="00BC0BD3"/>
    <w:rsid w:val="00BD0107"/>
    <w:rsid w:val="00BE0C33"/>
    <w:rsid w:val="00BE262C"/>
    <w:rsid w:val="00BE6C3D"/>
    <w:rsid w:val="00C07606"/>
    <w:rsid w:val="00C12542"/>
    <w:rsid w:val="00C24725"/>
    <w:rsid w:val="00C30BA9"/>
    <w:rsid w:val="00C3541E"/>
    <w:rsid w:val="00C36A8F"/>
    <w:rsid w:val="00C413EE"/>
    <w:rsid w:val="00C42834"/>
    <w:rsid w:val="00C42FFA"/>
    <w:rsid w:val="00C507D8"/>
    <w:rsid w:val="00C62EAC"/>
    <w:rsid w:val="00C63F9F"/>
    <w:rsid w:val="00C7723C"/>
    <w:rsid w:val="00C838F5"/>
    <w:rsid w:val="00CA1AF4"/>
    <w:rsid w:val="00CA6068"/>
    <w:rsid w:val="00CB15E1"/>
    <w:rsid w:val="00CB3D46"/>
    <w:rsid w:val="00CC722B"/>
    <w:rsid w:val="00CD1A87"/>
    <w:rsid w:val="00CD35F3"/>
    <w:rsid w:val="00CD5C93"/>
    <w:rsid w:val="00CE342B"/>
    <w:rsid w:val="00CE3FF9"/>
    <w:rsid w:val="00CF320C"/>
    <w:rsid w:val="00CF3A4B"/>
    <w:rsid w:val="00CF4001"/>
    <w:rsid w:val="00D05837"/>
    <w:rsid w:val="00D12D8A"/>
    <w:rsid w:val="00D13E0C"/>
    <w:rsid w:val="00D25896"/>
    <w:rsid w:val="00D373A1"/>
    <w:rsid w:val="00D37C0F"/>
    <w:rsid w:val="00D45661"/>
    <w:rsid w:val="00D45943"/>
    <w:rsid w:val="00D47D22"/>
    <w:rsid w:val="00D51865"/>
    <w:rsid w:val="00D51D0C"/>
    <w:rsid w:val="00D74140"/>
    <w:rsid w:val="00DA6E56"/>
    <w:rsid w:val="00DC24E5"/>
    <w:rsid w:val="00DC62E9"/>
    <w:rsid w:val="00DC6705"/>
    <w:rsid w:val="00DD2DE8"/>
    <w:rsid w:val="00DE38B4"/>
    <w:rsid w:val="00DE5D02"/>
    <w:rsid w:val="00E005A9"/>
    <w:rsid w:val="00E1166E"/>
    <w:rsid w:val="00E24DC0"/>
    <w:rsid w:val="00E2519C"/>
    <w:rsid w:val="00E25F2A"/>
    <w:rsid w:val="00E41455"/>
    <w:rsid w:val="00E42AD2"/>
    <w:rsid w:val="00E4311E"/>
    <w:rsid w:val="00E50856"/>
    <w:rsid w:val="00E538CC"/>
    <w:rsid w:val="00E54BBD"/>
    <w:rsid w:val="00E54DBA"/>
    <w:rsid w:val="00E63D7C"/>
    <w:rsid w:val="00E640D5"/>
    <w:rsid w:val="00E66E2E"/>
    <w:rsid w:val="00E67691"/>
    <w:rsid w:val="00E92237"/>
    <w:rsid w:val="00E951EF"/>
    <w:rsid w:val="00EA3D54"/>
    <w:rsid w:val="00EA56D9"/>
    <w:rsid w:val="00EA5CE3"/>
    <w:rsid w:val="00EB51C1"/>
    <w:rsid w:val="00EB5AE1"/>
    <w:rsid w:val="00EB5E0B"/>
    <w:rsid w:val="00EC2171"/>
    <w:rsid w:val="00ED442D"/>
    <w:rsid w:val="00ED70C2"/>
    <w:rsid w:val="00EE18FF"/>
    <w:rsid w:val="00EE489F"/>
    <w:rsid w:val="00F0647F"/>
    <w:rsid w:val="00F10CE3"/>
    <w:rsid w:val="00F14F3B"/>
    <w:rsid w:val="00F16362"/>
    <w:rsid w:val="00F207C7"/>
    <w:rsid w:val="00F36B6D"/>
    <w:rsid w:val="00F43FA3"/>
    <w:rsid w:val="00F55648"/>
    <w:rsid w:val="00F70046"/>
    <w:rsid w:val="00F748C2"/>
    <w:rsid w:val="00F76C5C"/>
    <w:rsid w:val="00F81EF3"/>
    <w:rsid w:val="00F84496"/>
    <w:rsid w:val="00F85DCB"/>
    <w:rsid w:val="00F86F9C"/>
    <w:rsid w:val="00F90D76"/>
    <w:rsid w:val="00FB3EC9"/>
    <w:rsid w:val="00FC002E"/>
    <w:rsid w:val="00FC4C23"/>
    <w:rsid w:val="00FC642E"/>
    <w:rsid w:val="00FE01D8"/>
    <w:rsid w:val="00FE2AE4"/>
    <w:rsid w:val="00FE689F"/>
    <w:rsid w:val="00FE7809"/>
    <w:rsid w:val="00FF40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163FB4E"/>
  <w15:docId w15:val="{A2B2A8E2-E33C-4A23-98EE-C5A31FC64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1192"/>
  </w:style>
  <w:style w:type="paragraph" w:styleId="Heading1">
    <w:name w:val="heading 1"/>
    <w:basedOn w:val="Normal"/>
    <w:next w:val="Normal"/>
    <w:link w:val="Heading1Char"/>
    <w:uiPriority w:val="9"/>
    <w:qFormat/>
    <w:rsid w:val="00DD2DE8"/>
    <w:pPr>
      <w:spacing w:before="480" w:after="240"/>
      <w:contextualSpacing/>
      <w:outlineLvl w:val="0"/>
    </w:pPr>
    <w:rPr>
      <w:rFonts w:asciiTheme="majorHAnsi" w:eastAsiaTheme="majorEastAsia" w:hAnsiTheme="majorHAnsi" w:cstheme="majorBidi"/>
      <w:b/>
      <w:bCs/>
      <w:sz w:val="32"/>
      <w:szCs w:val="28"/>
    </w:rPr>
  </w:style>
  <w:style w:type="paragraph" w:styleId="Heading2">
    <w:name w:val="heading 2"/>
    <w:basedOn w:val="Normal"/>
    <w:next w:val="Normal"/>
    <w:link w:val="Heading2Char"/>
    <w:uiPriority w:val="9"/>
    <w:unhideWhenUsed/>
    <w:qFormat/>
    <w:rsid w:val="00741192"/>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741192"/>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741192"/>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741192"/>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741192"/>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741192"/>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41192"/>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41192"/>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2DE8"/>
    <w:rPr>
      <w:rFonts w:asciiTheme="majorHAnsi" w:eastAsiaTheme="majorEastAsia" w:hAnsiTheme="majorHAnsi" w:cstheme="majorBidi"/>
      <w:b/>
      <w:bCs/>
      <w:sz w:val="32"/>
      <w:szCs w:val="28"/>
    </w:rPr>
  </w:style>
  <w:style w:type="paragraph" w:styleId="NormalWeb">
    <w:name w:val="Normal (Web)"/>
    <w:basedOn w:val="Normal"/>
    <w:link w:val="NormalWebChar"/>
    <w:uiPriority w:val="99"/>
    <w:unhideWhenUsed/>
    <w:pPr>
      <w:spacing w:before="100" w:beforeAutospacing="1" w:after="100" w:afterAutospacing="1"/>
    </w:pPr>
  </w:style>
  <w:style w:type="character" w:styleId="Strong">
    <w:name w:val="Strong"/>
    <w:uiPriority w:val="99"/>
    <w:qFormat/>
    <w:rsid w:val="00741192"/>
    <w:rPr>
      <w:b/>
      <w:bCs/>
    </w:rPr>
  </w:style>
  <w:style w:type="character" w:customStyle="1" w:styleId="Heading2Char">
    <w:name w:val="Heading 2 Char"/>
    <w:basedOn w:val="DefaultParagraphFont"/>
    <w:link w:val="Heading2"/>
    <w:uiPriority w:val="9"/>
    <w:rsid w:val="00741192"/>
    <w:rPr>
      <w:rFonts w:asciiTheme="majorHAnsi" w:eastAsiaTheme="majorEastAsia" w:hAnsiTheme="majorHAnsi" w:cstheme="majorBidi"/>
      <w:b/>
      <w:bCs/>
      <w:sz w:val="26"/>
      <w:szCs w:val="26"/>
    </w:rPr>
  </w:style>
  <w:style w:type="character" w:styleId="Emphasis">
    <w:name w:val="Emphasis"/>
    <w:uiPriority w:val="20"/>
    <w:qFormat/>
    <w:rsid w:val="00741192"/>
    <w:rPr>
      <w:b/>
      <w:bCs/>
      <w:i/>
      <w:iCs/>
      <w:spacing w:val="10"/>
      <w:bdr w:val="none" w:sz="0" w:space="0" w:color="auto"/>
      <w:shd w:val="clear" w:color="auto" w:fill="auto"/>
    </w:rPr>
  </w:style>
  <w:style w:type="paragraph" w:customStyle="1" w:styleId="table-text">
    <w:name w:val="table-text"/>
    <w:basedOn w:val="Normal"/>
    <w:rsid w:val="00822F5F"/>
    <w:rPr>
      <w:rFonts w:ascii="Myriad Pro" w:hAnsi="Myriad Pro"/>
      <w:color w:val="231F20"/>
      <w:sz w:val="14"/>
      <w:szCs w:val="14"/>
    </w:rPr>
  </w:style>
  <w:style w:type="paragraph" w:customStyle="1" w:styleId="table-h1">
    <w:name w:val="table-h1"/>
    <w:basedOn w:val="Normal"/>
    <w:rsid w:val="00822F5F"/>
    <w:rPr>
      <w:rFonts w:ascii="Myriad Pro" w:hAnsi="Myriad Pro"/>
      <w:b/>
      <w:bCs/>
      <w:color w:val="FFFFFF"/>
      <w:sz w:val="14"/>
      <w:szCs w:val="14"/>
    </w:rPr>
  </w:style>
  <w:style w:type="character" w:customStyle="1" w:styleId="Strong1">
    <w:name w:val="Strong1"/>
    <w:basedOn w:val="DefaultParagraphFont"/>
    <w:rsid w:val="00822F5F"/>
    <w:rPr>
      <w:b/>
      <w:bCs/>
      <w:i w:val="0"/>
      <w:iCs w:val="0"/>
    </w:rPr>
  </w:style>
  <w:style w:type="character" w:customStyle="1" w:styleId="superscript">
    <w:name w:val="superscript"/>
    <w:basedOn w:val="DefaultParagraphFont"/>
    <w:rsid w:val="00822F5F"/>
    <w:rPr>
      <w:vertAlign w:val="superscript"/>
    </w:rPr>
  </w:style>
  <w:style w:type="paragraph" w:customStyle="1" w:styleId="footnote">
    <w:name w:val="footnote"/>
    <w:basedOn w:val="Normal"/>
    <w:rsid w:val="008B48B8"/>
    <w:rPr>
      <w:rFonts w:ascii="Myriad Pro" w:hAnsi="Myriad Pro"/>
      <w:color w:val="231F20"/>
      <w:sz w:val="12"/>
      <w:szCs w:val="12"/>
    </w:rPr>
  </w:style>
  <w:style w:type="paragraph" w:customStyle="1" w:styleId="figure-table-title">
    <w:name w:val="figure-table-title"/>
    <w:basedOn w:val="Normal"/>
    <w:rsid w:val="008B48B8"/>
    <w:pPr>
      <w:spacing w:after="180"/>
    </w:pPr>
    <w:rPr>
      <w:rFonts w:ascii="Minion Pro SmBd" w:hAnsi="Minion Pro SmBd"/>
      <w:b/>
      <w:bCs/>
      <w:color w:val="231F20"/>
      <w:sz w:val="18"/>
      <w:szCs w:val="18"/>
    </w:rPr>
  </w:style>
  <w:style w:type="paragraph" w:styleId="ListParagraph">
    <w:name w:val="List Paragraph"/>
    <w:basedOn w:val="Normal"/>
    <w:uiPriority w:val="34"/>
    <w:qFormat/>
    <w:rsid w:val="00741192"/>
    <w:pPr>
      <w:ind w:left="720"/>
      <w:contextualSpacing/>
    </w:pPr>
  </w:style>
  <w:style w:type="paragraph" w:styleId="Header">
    <w:name w:val="header"/>
    <w:basedOn w:val="Normal"/>
    <w:link w:val="HeaderChar"/>
    <w:uiPriority w:val="99"/>
    <w:unhideWhenUsed/>
    <w:rsid w:val="00E54DBA"/>
    <w:pPr>
      <w:tabs>
        <w:tab w:val="center" w:pos="4513"/>
        <w:tab w:val="right" w:pos="9026"/>
      </w:tabs>
    </w:pPr>
  </w:style>
  <w:style w:type="character" w:customStyle="1" w:styleId="HeaderChar">
    <w:name w:val="Header Char"/>
    <w:basedOn w:val="DefaultParagraphFont"/>
    <w:link w:val="Header"/>
    <w:uiPriority w:val="99"/>
    <w:rsid w:val="00E54DBA"/>
    <w:rPr>
      <w:rFonts w:eastAsiaTheme="minorEastAsia"/>
      <w:sz w:val="24"/>
      <w:szCs w:val="24"/>
    </w:rPr>
  </w:style>
  <w:style w:type="paragraph" w:styleId="Footer">
    <w:name w:val="footer"/>
    <w:basedOn w:val="Normal"/>
    <w:link w:val="FooterChar"/>
    <w:uiPriority w:val="99"/>
    <w:unhideWhenUsed/>
    <w:rsid w:val="00E54DBA"/>
    <w:pPr>
      <w:tabs>
        <w:tab w:val="center" w:pos="4513"/>
        <w:tab w:val="right" w:pos="9026"/>
      </w:tabs>
    </w:pPr>
  </w:style>
  <w:style w:type="character" w:customStyle="1" w:styleId="FooterChar">
    <w:name w:val="Footer Char"/>
    <w:basedOn w:val="DefaultParagraphFont"/>
    <w:link w:val="Footer"/>
    <w:uiPriority w:val="99"/>
    <w:rsid w:val="00E54DBA"/>
    <w:rPr>
      <w:rFonts w:eastAsiaTheme="minorEastAsia"/>
      <w:sz w:val="24"/>
      <w:szCs w:val="24"/>
    </w:rPr>
  </w:style>
  <w:style w:type="paragraph" w:styleId="Title">
    <w:name w:val="Title"/>
    <w:basedOn w:val="Normal"/>
    <w:next w:val="Normal"/>
    <w:link w:val="TitleChar"/>
    <w:uiPriority w:val="10"/>
    <w:qFormat/>
    <w:rsid w:val="00984AAF"/>
    <w:pPr>
      <w:spacing w:line="240" w:lineRule="auto"/>
      <w:contextualSpacing/>
    </w:pPr>
    <w:rPr>
      <w:rFonts w:ascii="Myriad Pro Cond" w:eastAsiaTheme="majorEastAsia" w:hAnsi="Myriad Pro Cond" w:cstheme="majorBidi"/>
      <w:b/>
      <w:spacing w:val="5"/>
      <w:sz w:val="52"/>
      <w:szCs w:val="52"/>
    </w:rPr>
  </w:style>
  <w:style w:type="character" w:customStyle="1" w:styleId="TitleChar">
    <w:name w:val="Title Char"/>
    <w:basedOn w:val="DefaultParagraphFont"/>
    <w:link w:val="Title"/>
    <w:uiPriority w:val="10"/>
    <w:rsid w:val="00984AAF"/>
    <w:rPr>
      <w:rFonts w:ascii="Myriad Pro Cond" w:eastAsiaTheme="majorEastAsia" w:hAnsi="Myriad Pro Cond" w:cstheme="majorBidi"/>
      <w:b/>
      <w:spacing w:val="5"/>
      <w:sz w:val="52"/>
      <w:szCs w:val="52"/>
    </w:rPr>
  </w:style>
  <w:style w:type="character" w:customStyle="1" w:styleId="Heading3Char">
    <w:name w:val="Heading 3 Char"/>
    <w:basedOn w:val="DefaultParagraphFont"/>
    <w:link w:val="Heading3"/>
    <w:uiPriority w:val="9"/>
    <w:rsid w:val="00741192"/>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741192"/>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741192"/>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741192"/>
    <w:rPr>
      <w:rFonts w:asciiTheme="majorHAnsi" w:eastAsiaTheme="majorEastAsia" w:hAnsiTheme="majorHAnsi" w:cstheme="majorBidi"/>
      <w:b/>
      <w:bCs/>
      <w:i/>
      <w:iCs/>
      <w:color w:val="7F7F7F" w:themeColor="text1" w:themeTint="80"/>
    </w:rPr>
  </w:style>
  <w:style w:type="paragraph" w:styleId="Subtitle">
    <w:name w:val="Subtitle"/>
    <w:basedOn w:val="Normal"/>
    <w:next w:val="Normal"/>
    <w:link w:val="SubtitleChar"/>
    <w:uiPriority w:val="11"/>
    <w:qFormat/>
    <w:rsid w:val="00741192"/>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741192"/>
    <w:rPr>
      <w:rFonts w:asciiTheme="majorHAnsi" w:eastAsiaTheme="majorEastAsia" w:hAnsiTheme="majorHAnsi" w:cstheme="majorBidi"/>
      <w:i/>
      <w:iCs/>
      <w:spacing w:val="13"/>
      <w:sz w:val="24"/>
      <w:szCs w:val="24"/>
    </w:rPr>
  </w:style>
  <w:style w:type="paragraph" w:styleId="NoSpacing">
    <w:name w:val="No Spacing"/>
    <w:basedOn w:val="Normal"/>
    <w:link w:val="NoSpacingChar"/>
    <w:uiPriority w:val="1"/>
    <w:qFormat/>
    <w:rsid w:val="00741192"/>
    <w:pPr>
      <w:spacing w:after="0" w:line="240" w:lineRule="auto"/>
    </w:pPr>
  </w:style>
  <w:style w:type="paragraph" w:styleId="Quote">
    <w:name w:val="Quote"/>
    <w:basedOn w:val="Normal"/>
    <w:next w:val="Normal"/>
    <w:link w:val="QuoteChar"/>
    <w:uiPriority w:val="29"/>
    <w:qFormat/>
    <w:rsid w:val="00741192"/>
    <w:pPr>
      <w:spacing w:before="200" w:after="0"/>
      <w:ind w:left="360" w:right="360"/>
    </w:pPr>
    <w:rPr>
      <w:i/>
      <w:iCs/>
    </w:rPr>
  </w:style>
  <w:style w:type="character" w:customStyle="1" w:styleId="QuoteChar">
    <w:name w:val="Quote Char"/>
    <w:basedOn w:val="DefaultParagraphFont"/>
    <w:link w:val="Quote"/>
    <w:uiPriority w:val="29"/>
    <w:rsid w:val="00741192"/>
    <w:rPr>
      <w:i/>
      <w:iCs/>
    </w:rPr>
  </w:style>
  <w:style w:type="paragraph" w:styleId="IntenseQuote">
    <w:name w:val="Intense Quote"/>
    <w:basedOn w:val="Normal"/>
    <w:next w:val="Normal"/>
    <w:link w:val="IntenseQuoteChar"/>
    <w:uiPriority w:val="30"/>
    <w:qFormat/>
    <w:rsid w:val="00741192"/>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741192"/>
    <w:rPr>
      <w:b/>
      <w:bCs/>
      <w:i/>
      <w:iCs/>
    </w:rPr>
  </w:style>
  <w:style w:type="character" w:styleId="SubtleEmphasis">
    <w:name w:val="Subtle Emphasis"/>
    <w:uiPriority w:val="19"/>
    <w:qFormat/>
    <w:rsid w:val="00741192"/>
    <w:rPr>
      <w:i/>
      <w:iCs/>
    </w:rPr>
  </w:style>
  <w:style w:type="character" w:styleId="IntenseEmphasis">
    <w:name w:val="Intense Emphasis"/>
    <w:uiPriority w:val="21"/>
    <w:qFormat/>
    <w:rsid w:val="00741192"/>
    <w:rPr>
      <w:b/>
      <w:bCs/>
    </w:rPr>
  </w:style>
  <w:style w:type="character" w:styleId="SubtleReference">
    <w:name w:val="Subtle Reference"/>
    <w:uiPriority w:val="31"/>
    <w:qFormat/>
    <w:rsid w:val="00741192"/>
    <w:rPr>
      <w:smallCaps/>
    </w:rPr>
  </w:style>
  <w:style w:type="character" w:styleId="IntenseReference">
    <w:name w:val="Intense Reference"/>
    <w:uiPriority w:val="32"/>
    <w:qFormat/>
    <w:rsid w:val="00741192"/>
    <w:rPr>
      <w:smallCaps/>
      <w:spacing w:val="5"/>
      <w:u w:val="single"/>
    </w:rPr>
  </w:style>
  <w:style w:type="character" w:styleId="BookTitle">
    <w:name w:val="Book Title"/>
    <w:uiPriority w:val="33"/>
    <w:qFormat/>
    <w:rsid w:val="00741192"/>
    <w:rPr>
      <w:i/>
      <w:iCs/>
      <w:smallCaps/>
      <w:spacing w:val="5"/>
    </w:rPr>
  </w:style>
  <w:style w:type="character" w:customStyle="1" w:styleId="Heading7Char">
    <w:name w:val="Heading 7 Char"/>
    <w:basedOn w:val="DefaultParagraphFont"/>
    <w:link w:val="Heading7"/>
    <w:uiPriority w:val="9"/>
    <w:semiHidden/>
    <w:rsid w:val="0074119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4119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41192"/>
    <w:rPr>
      <w:rFonts w:asciiTheme="majorHAnsi" w:eastAsiaTheme="majorEastAsia" w:hAnsiTheme="majorHAnsi" w:cstheme="majorBidi"/>
      <w:i/>
      <w:iCs/>
      <w:spacing w:val="5"/>
      <w:sz w:val="20"/>
      <w:szCs w:val="20"/>
    </w:rPr>
  </w:style>
  <w:style w:type="paragraph" w:styleId="TOCHeading">
    <w:name w:val="TOC Heading"/>
    <w:basedOn w:val="Heading1"/>
    <w:next w:val="Normal"/>
    <w:uiPriority w:val="39"/>
    <w:semiHidden/>
    <w:unhideWhenUsed/>
    <w:qFormat/>
    <w:rsid w:val="00741192"/>
    <w:pPr>
      <w:outlineLvl w:val="9"/>
    </w:pPr>
    <w:rPr>
      <w:lang w:bidi="en-US"/>
    </w:rPr>
  </w:style>
  <w:style w:type="paragraph" w:styleId="BalloonText">
    <w:name w:val="Balloon Text"/>
    <w:basedOn w:val="Normal"/>
    <w:link w:val="BalloonTextChar"/>
    <w:uiPriority w:val="99"/>
    <w:semiHidden/>
    <w:unhideWhenUsed/>
    <w:rsid w:val="00C772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723C"/>
    <w:rPr>
      <w:rFonts w:ascii="Tahoma" w:hAnsi="Tahoma" w:cs="Tahoma"/>
      <w:sz w:val="16"/>
      <w:szCs w:val="16"/>
    </w:rPr>
  </w:style>
  <w:style w:type="character" w:styleId="PlaceholderText">
    <w:name w:val="Placeholder Text"/>
    <w:basedOn w:val="DefaultParagraphFont"/>
    <w:uiPriority w:val="99"/>
    <w:semiHidden/>
    <w:rsid w:val="00433DFA"/>
    <w:rPr>
      <w:color w:val="808080"/>
    </w:rPr>
  </w:style>
  <w:style w:type="character" w:customStyle="1" w:styleId="NoSpacingChar">
    <w:name w:val="No Spacing Char"/>
    <w:basedOn w:val="DefaultParagraphFont"/>
    <w:link w:val="NoSpacing"/>
    <w:uiPriority w:val="1"/>
    <w:rsid w:val="007B7854"/>
  </w:style>
  <w:style w:type="paragraph" w:customStyle="1" w:styleId="Pa1">
    <w:name w:val="Pa1"/>
    <w:basedOn w:val="Normal"/>
    <w:next w:val="Normal"/>
    <w:uiPriority w:val="99"/>
    <w:rsid w:val="00D47D22"/>
    <w:pPr>
      <w:autoSpaceDE w:val="0"/>
      <w:autoSpaceDN w:val="0"/>
      <w:adjustRightInd w:val="0"/>
      <w:spacing w:after="0" w:line="241" w:lineRule="atLeast"/>
    </w:pPr>
    <w:rPr>
      <w:rFonts w:ascii="Myriad Pro" w:hAnsi="Myriad Pro"/>
      <w:sz w:val="24"/>
      <w:szCs w:val="24"/>
    </w:rPr>
  </w:style>
  <w:style w:type="character" w:customStyle="1" w:styleId="A10">
    <w:name w:val="A10"/>
    <w:uiPriority w:val="99"/>
    <w:rsid w:val="00D47D22"/>
    <w:rPr>
      <w:rFonts w:cs="Myriad Pro"/>
      <w:color w:val="211D1E"/>
      <w:sz w:val="22"/>
      <w:szCs w:val="22"/>
    </w:rPr>
  </w:style>
  <w:style w:type="character" w:customStyle="1" w:styleId="A11">
    <w:name w:val="A11"/>
    <w:uiPriority w:val="99"/>
    <w:rsid w:val="00D47D22"/>
    <w:rPr>
      <w:rFonts w:cs="Myriad Pro"/>
      <w:color w:val="211D1E"/>
      <w:sz w:val="22"/>
      <w:szCs w:val="22"/>
      <w:u w:val="single"/>
    </w:rPr>
  </w:style>
  <w:style w:type="character" w:customStyle="1" w:styleId="A12">
    <w:name w:val="A12"/>
    <w:uiPriority w:val="99"/>
    <w:rsid w:val="00D47D22"/>
    <w:rPr>
      <w:rFonts w:cs="Myriad Pro"/>
      <w:color w:val="211D1E"/>
      <w:u w:val="single"/>
    </w:rPr>
  </w:style>
  <w:style w:type="character" w:styleId="Hyperlink">
    <w:name w:val="Hyperlink"/>
    <w:basedOn w:val="DefaultParagraphFont"/>
    <w:uiPriority w:val="99"/>
    <w:unhideWhenUsed/>
    <w:rsid w:val="001B37B8"/>
    <w:rPr>
      <w:color w:val="0000FF" w:themeColor="hyperlink"/>
      <w:u w:val="single"/>
    </w:rPr>
  </w:style>
  <w:style w:type="table" w:customStyle="1" w:styleId="CDI-StandardTable">
    <w:name w:val="CDI - Standard Table"/>
    <w:basedOn w:val="TableNormal"/>
    <w:uiPriority w:val="99"/>
    <w:rsid w:val="00AE4452"/>
    <w:pPr>
      <w:spacing w:after="0" w:line="240" w:lineRule="auto"/>
    </w:pPr>
    <w:rPr>
      <w:rFonts w:ascii="Calibri" w:hAnsi="Calibri"/>
    </w:rPr>
    <w:tblPr>
      <w:tblStyleRowBandSize w:val="1"/>
    </w:tblPr>
    <w:tblStylePr w:type="firstRow">
      <w:rPr>
        <w:rFonts w:asciiTheme="minorHAnsi" w:hAnsiTheme="minorHAnsi"/>
        <w:b/>
        <w:sz w:val="22"/>
      </w:rPr>
      <w:tblPr>
        <w:tblCellMar>
          <w:top w:w="120" w:type="dxa"/>
          <w:left w:w="120" w:type="dxa"/>
          <w:bottom w:w="120" w:type="dxa"/>
          <w:right w:w="120" w:type="dxa"/>
        </w:tblCellMar>
      </w:tblPr>
      <w:tcPr>
        <w:shd w:val="clear" w:color="auto" w:fill="404040" w:themeFill="text1" w:themeFillTint="BF"/>
      </w:tcPr>
    </w:tblStylePr>
    <w:tblStylePr w:type="band2Horz">
      <w:tblPr/>
      <w:tcPr>
        <w:shd w:val="clear" w:color="auto" w:fill="F2F2F2" w:themeFill="background1" w:themeFillShade="F2"/>
      </w:tcPr>
    </w:tblStylePr>
  </w:style>
  <w:style w:type="paragraph" w:customStyle="1" w:styleId="CDIfootnotes">
    <w:name w:val="CDI_footnotes"/>
    <w:basedOn w:val="NormalWeb"/>
    <w:link w:val="CDIfootnotesChar"/>
    <w:qFormat/>
    <w:rsid w:val="00DC24E5"/>
    <w:pPr>
      <w:spacing w:line="240" w:lineRule="auto"/>
      <w:ind w:left="720" w:hanging="720"/>
      <w:contextualSpacing/>
    </w:pPr>
    <w:rPr>
      <w:sz w:val="18"/>
    </w:rPr>
  </w:style>
  <w:style w:type="table" w:styleId="LightList">
    <w:name w:val="Light List"/>
    <w:basedOn w:val="TableNormal"/>
    <w:uiPriority w:val="61"/>
    <w:rsid w:val="00433456"/>
    <w:pPr>
      <w:spacing w:after="0" w:line="240" w:lineRule="auto"/>
    </w:pPr>
    <w:tblPr>
      <w:tblStyleRow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TableGrid">
    <w:name w:val="Table Grid"/>
    <w:basedOn w:val="TableNormal"/>
    <w:uiPriority w:val="59"/>
    <w:rsid w:val="004334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DIFigures">
    <w:name w:val="CDI_Figures"/>
    <w:basedOn w:val="NormalWeb"/>
    <w:link w:val="CDIFiguresChar"/>
    <w:qFormat/>
    <w:rsid w:val="00C30BA9"/>
    <w:rPr>
      <w:b/>
    </w:rPr>
  </w:style>
  <w:style w:type="character" w:customStyle="1" w:styleId="NormalWebChar">
    <w:name w:val="Normal (Web) Char"/>
    <w:basedOn w:val="DefaultParagraphFont"/>
    <w:link w:val="NormalWeb"/>
    <w:uiPriority w:val="99"/>
    <w:rsid w:val="00DE5D02"/>
  </w:style>
  <w:style w:type="character" w:customStyle="1" w:styleId="CDIfootnotesChar">
    <w:name w:val="CDI_footnotes Char"/>
    <w:basedOn w:val="NormalWebChar"/>
    <w:link w:val="CDIfootnotes"/>
    <w:rsid w:val="00DC24E5"/>
    <w:rPr>
      <w:sz w:val="18"/>
    </w:rPr>
  </w:style>
  <w:style w:type="character" w:customStyle="1" w:styleId="CDIFiguresChar">
    <w:name w:val="CDI_Figures Char"/>
    <w:basedOn w:val="NormalWebChar"/>
    <w:link w:val="CDIFigures"/>
    <w:rsid w:val="00C30BA9"/>
    <w:rPr>
      <w:b/>
    </w:rPr>
  </w:style>
  <w:style w:type="character" w:customStyle="1" w:styleId="URI">
    <w:name w:val="URI"/>
    <w:uiPriority w:val="99"/>
    <w:rsid w:val="000A5F42"/>
    <w:rPr>
      <w:color w:val="000000"/>
      <w:u w:val="thick"/>
    </w:rPr>
  </w:style>
  <w:style w:type="character" w:customStyle="1" w:styleId="nobreak">
    <w:name w:val="no break"/>
    <w:uiPriority w:val="99"/>
    <w:rsid w:val="000A5F42"/>
    <w:rPr>
      <w:u w:val="none"/>
    </w:rPr>
  </w:style>
  <w:style w:type="paragraph" w:styleId="FootnoteText">
    <w:name w:val="footnote text"/>
    <w:basedOn w:val="Normal"/>
    <w:link w:val="FootnoteTextChar"/>
    <w:uiPriority w:val="99"/>
    <w:semiHidden/>
    <w:unhideWhenUsed/>
    <w:rsid w:val="00224EF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24EFF"/>
    <w:rPr>
      <w:sz w:val="20"/>
      <w:szCs w:val="20"/>
    </w:rPr>
  </w:style>
  <w:style w:type="character" w:styleId="FootnoteReference">
    <w:name w:val="footnote reference"/>
    <w:basedOn w:val="DefaultParagraphFont"/>
    <w:uiPriority w:val="99"/>
    <w:semiHidden/>
    <w:unhideWhenUsed/>
    <w:rsid w:val="00224EF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6342280">
      <w:bodyDiv w:val="1"/>
      <w:marLeft w:val="0"/>
      <w:marRight w:val="0"/>
      <w:marTop w:val="0"/>
      <w:marBottom w:val="0"/>
      <w:divBdr>
        <w:top w:val="none" w:sz="0" w:space="0" w:color="auto"/>
        <w:left w:val="none" w:sz="0" w:space="0" w:color="auto"/>
        <w:bottom w:val="none" w:sz="0" w:space="0" w:color="auto"/>
        <w:right w:val="none" w:sz="0" w:space="0" w:color="auto"/>
      </w:divBdr>
    </w:div>
    <w:div w:id="387656109">
      <w:bodyDiv w:val="1"/>
      <w:marLeft w:val="0"/>
      <w:marRight w:val="0"/>
      <w:marTop w:val="0"/>
      <w:marBottom w:val="0"/>
      <w:divBdr>
        <w:top w:val="none" w:sz="0" w:space="0" w:color="auto"/>
        <w:left w:val="none" w:sz="0" w:space="0" w:color="auto"/>
        <w:bottom w:val="none" w:sz="0" w:space="0" w:color="auto"/>
        <w:right w:val="none" w:sz="0" w:space="0" w:color="auto"/>
      </w:divBdr>
    </w:div>
    <w:div w:id="574974463">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health.gov.au/cdi" TargetMode="External"/><Relationship Id="rId18" Type="http://schemas.openxmlformats.org/officeDocument/2006/relationships/hyperlink" Target="http://www.itsanhonour.gov.au/" TargetMode="External"/><Relationship Id="rId3" Type="http://schemas.openxmlformats.org/officeDocument/2006/relationships/numbering" Target="numbering.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s://creativecommons.org/licenses/by-nc-nd/4.0/legalcode" TargetMode="External"/><Relationship Id="rId2" Type="http://schemas.openxmlformats.org/officeDocument/2006/relationships/customXml" Target="../customXml/item2.xml"/><Relationship Id="rId16" Type="http://schemas.openxmlformats.org/officeDocument/2006/relationships/hyperlink" Target="mailto:cdi.editor@health.gov.au" TargetMode="External"/><Relationship Id="rId20" Type="http://schemas.openxmlformats.org/officeDocument/2006/relationships/hyperlink" Target="http://www.health.gov.au/cdna"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health.gov.au/cdi" TargetMode="Externa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mailto:copyright@health.gov.au"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mailto:cdi.editor@health.gov.au"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tiff"/></Relationships>
</file>

<file path=word/_rels/settings.xml.rels><?xml version="1.0" encoding="UTF-8" standalone="yes"?>
<Relationships xmlns="http://schemas.openxmlformats.org/package/2006/relationships"><Relationship Id="rId1" Type="http://schemas.openxmlformats.org/officeDocument/2006/relationships/attachedTemplate" Target="file:///I:\Staging\CDI\OpenCDI\2021\template-2021.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2019-03-15T00:00:00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617D3CD-033A-4C54-9C9B-3CE2E0C751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template-2021.dotm</Template>
  <TotalTime>3</TotalTime>
  <Pages>7</Pages>
  <Words>2287</Words>
  <Characters>13822</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Communicable Diseases Intelligence 2021 - SARS-CoV-2 RT-PCR Test Results Across Symptomatic COVID-19 Cases in Auckland, New Zealand, February – June 2020</vt:lpstr>
    </vt:vector>
  </TitlesOfParts>
  <Company>Australian Government, Department of Health</Company>
  <LinksUpToDate>false</LinksUpToDate>
  <CharactersWithSpaces>16077</CharactersWithSpaces>
  <SharedDoc>false</SharedDoc>
  <HyperlinkBase>http://www.health.gov.au</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Communicable Diseases Intelligence 2021 - SARS-CoV-2 RT-PCR Test Results Across Symptomatic COVID-19 Cases in Auckland, New Zealand, February – June 2020</dc:title>
  <dc:subject>RT-PCR testing in all symptomatic COVID-19 patients reported in Auckland, New Zealand during its first wave returned 74% positive results. Detection rate was superior for nasopharyngeal swabs compared with oropharyngeal samples, and highest one week after symptom onset, while certain symptom presentations may associate with false-negative results.</dc:subject>
  <dc:creator>Kevin Howe, Michael Hale, Gary Edwin Reynolds</dc:creator>
  <cp:keywords>coronavirus disease 2019; COVID-19; severe acute respiratory syndrome-related coronavirus-2;</cp:keywords>
  <dc:description>© Commonwealth of Australia CC BY-NC-ND ISSN: 2209-6051 (Online)</dc:description>
  <cp:lastModifiedBy>YOUSEFI, Kasra</cp:lastModifiedBy>
  <cp:revision>8</cp:revision>
  <cp:lastPrinted>2018-05-10T02:19:00Z</cp:lastPrinted>
  <dcterms:created xsi:type="dcterms:W3CDTF">2021-05-04T04:36:00Z</dcterms:created>
  <dcterms:modified xsi:type="dcterms:W3CDTF">2021-06-09T06:06:00Z</dcterms:modified>
  <cp:category>Short report</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Year">
    <vt:lpwstr>2021</vt:lpwstr>
  </property>
  <property fmtid="{D5CDD505-2E9C-101B-9397-08002B2CF9AE}" pid="3" name="Vol">
    <vt:i4>45</vt:i4>
  </property>
  <property fmtid="{D5CDD505-2E9C-101B-9397-08002B2CF9AE}" pid="4" name="ePubDate">
    <vt:lpwstr>15/6/2021</vt:lpwstr>
  </property>
  <property fmtid="{D5CDD505-2E9C-101B-9397-08002B2CF9AE}" pid="5" name="DOI">
    <vt:lpwstr>https://doi.org/10.33321/cdi.2021.45.32</vt:lpwstr>
  </property>
</Properties>
</file>