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E8EB" w14:textId="77777777" w:rsidR="00A0243A" w:rsidRPr="00E21E2E" w:rsidRDefault="00A0243A" w:rsidP="00E21E2E">
      <w:pPr>
        <w:pStyle w:val="Title"/>
      </w:pPr>
      <w:r w:rsidRPr="00E21E2E">
        <w:t>Decrease</w:t>
      </w:r>
      <w:bookmarkStart w:id="0" w:name="_GoBack"/>
      <w:bookmarkEnd w:id="0"/>
      <w:r w:rsidRPr="00E21E2E">
        <w:t xml:space="preserve">d incidence of enterovirus and norovirus infections during the COVID-19 pandemic, Victoria, Australia, 2020 </w:t>
      </w:r>
    </w:p>
    <w:p w14:paraId="224978E8" w14:textId="77777777" w:rsidR="00A0243A" w:rsidRDefault="00A0243A" w:rsidP="00A0243A">
      <w:r>
        <w:t xml:space="preserve">Leesa D </w:t>
      </w:r>
      <w:proofErr w:type="spellStart"/>
      <w:r>
        <w:t>Bruggink</w:t>
      </w:r>
      <w:proofErr w:type="spellEnd"/>
      <w:r>
        <w:t xml:space="preserve">, </w:t>
      </w:r>
      <w:proofErr w:type="spellStart"/>
      <w:r>
        <w:t>Arnau</w:t>
      </w:r>
      <w:proofErr w:type="spellEnd"/>
      <w:r>
        <w:t xml:space="preserve"> Garcia-</w:t>
      </w:r>
      <w:proofErr w:type="spellStart"/>
      <w:r>
        <w:t>Clapes</w:t>
      </w:r>
      <w:proofErr w:type="spellEnd"/>
      <w:r>
        <w:t xml:space="preserve">, Thomas Tran, Julian D </w:t>
      </w:r>
      <w:proofErr w:type="spellStart"/>
      <w:r>
        <w:t>Druce</w:t>
      </w:r>
      <w:proofErr w:type="spellEnd"/>
      <w:r>
        <w:t xml:space="preserve">, Bruce R Thorley </w:t>
      </w:r>
    </w:p>
    <w:p w14:paraId="77B02795" w14:textId="77777777" w:rsidR="00A0243A" w:rsidRPr="00A0243A" w:rsidRDefault="00A0243A" w:rsidP="00A0243A">
      <w:pPr>
        <w:pStyle w:val="Heading1"/>
      </w:pPr>
      <w:r w:rsidRPr="00A0243A">
        <w:t xml:space="preserve">Abstract </w:t>
      </w:r>
    </w:p>
    <w:p w14:paraId="1C15464A" w14:textId="078CC49F" w:rsidR="004D6908" w:rsidRDefault="004D6908" w:rsidP="00A0243A">
      <w:r>
        <w:rPr>
          <w:noProof/>
        </w:rPr>
        <mc:AlternateContent>
          <mc:Choice Requires="wps">
            <w:drawing>
              <wp:inline distT="0" distB="0" distL="0" distR="0" wp14:anchorId="0F1B477D" wp14:editId="6A6B7DCD">
                <wp:extent cx="6629400" cy="1066800"/>
                <wp:effectExtent l="0" t="0" r="19050" b="19050"/>
                <wp:docPr id="217" name="Text Box 2" descr="Abstrac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66800"/>
                        </a:xfrm>
                        <a:prstGeom prst="rect">
                          <a:avLst/>
                        </a:prstGeom>
                        <a:solidFill>
                          <a:srgbClr val="FFFFFF"/>
                        </a:solidFill>
                        <a:ln w="9525">
                          <a:solidFill>
                            <a:srgbClr val="000000"/>
                          </a:solidFill>
                          <a:miter lim="800000"/>
                          <a:headEnd/>
                          <a:tailEnd/>
                        </a:ln>
                      </wps:spPr>
                      <wps:txbx>
                        <w:txbxContent>
                          <w:p w14:paraId="2B5CEF4D" w14:textId="4B14CB99" w:rsidR="004D6908" w:rsidRDefault="004D6908">
                            <w:r w:rsidRPr="004D6908">
                              <w:t>Significant reductions in the incidence of enteroviruses and noroviruses, both transmitted primarily by the faecal-oral route, were noted in 2020 compared to the previous decade, in Victoria, Australia. The enterovirus specimen positivity rate was reduced by 84.2% in 2020, while the norovirus outbreak positivity rate declined by 49.0%. The most likely explanation for these reductions is the concurrence of social restrictions, physical distancing, personal hygiene awareness and international and domestic border closures in response to the COVID-19 pandemic.</w:t>
                            </w:r>
                          </w:p>
                        </w:txbxContent>
                      </wps:txbx>
                      <wps:bodyPr rot="0" vert="horz" wrap="square" lIns="91440" tIns="45720" rIns="91440" bIns="45720" anchor="t" anchorCtr="0">
                        <a:noAutofit/>
                      </wps:bodyPr>
                    </wps:wsp>
                  </a:graphicData>
                </a:graphic>
              </wp:inline>
            </w:drawing>
          </mc:Choice>
          <mc:Fallback>
            <w:pict>
              <v:shapetype w14:anchorId="0F1B477D" id="_x0000_t202" coordsize="21600,21600" o:spt="202" path="m,l,21600r21600,l21600,xe">
                <v:stroke joinstyle="miter"/>
                <v:path gradientshapeok="t" o:connecttype="rect"/>
              </v:shapetype>
              <v:shape id="Text Box 2" o:spid="_x0000_s1026" type="#_x0000_t202" alt="Abstract " style="width:522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">
                <v:textbox>
                  <w:txbxContent>
                    <w:p w14:paraId="2B5CEF4D" w14:textId="4B14CB99" w:rsidR="004D6908" w:rsidRDefault="004D6908">
                      <w:r w:rsidRPr="004D6908">
                        <w:t>Significant reductions in the incidence of enteroviruses and noroviruses, both transmitted primarily by the faecal-oral route, were noted in 2020 compared to the previous decade, in Victoria, Australia. The enterovirus specimen positivity rate was reduced by 84.2% in 2020, while the norovirus outbreak positivity rate declined by 49.0%. The most likely explanation for these reductions is the concurrence of social restrictions, physical distancing, personal hygiene awareness and international and domestic border closures in response to the COVID-19 pandemic.</w:t>
                      </w:r>
                    </w:p>
                  </w:txbxContent>
                </v:textbox>
                <w10:anchorlock/>
              </v:shape>
            </w:pict>
          </mc:Fallback>
        </mc:AlternateContent>
      </w:r>
    </w:p>
    <w:p w14:paraId="51E8AF6D" w14:textId="63CF2041" w:rsidR="00A0243A" w:rsidRDefault="00A0243A" w:rsidP="00A0243A">
      <w:r>
        <w:t>The first diagnosed case of coronavirus disease 2019 (COVID-19) in Victoria, Australia, occurred on 25 January 2020.</w:t>
      </w:r>
      <w:r>
        <w:rPr>
          <w:vertAlign w:val="superscript"/>
        </w:rPr>
        <w:t>1</w:t>
      </w:r>
      <w:r>
        <w:t xml:space="preserve"> Victoria has now experienced two waves of COVID-19, the disease caused by the SARS-CoV-2 virus; as of 1 October 2020, there have been 20,183 cases diagnosed in Victoria.</w:t>
      </w:r>
      <w:r>
        <w:rPr>
          <w:vertAlign w:val="superscript"/>
        </w:rPr>
        <w:t xml:space="preserve">2 </w:t>
      </w:r>
    </w:p>
    <w:p w14:paraId="669EBADE" w14:textId="77777777" w:rsidR="00A0243A" w:rsidRDefault="00A0243A" w:rsidP="00A0243A">
      <w:r>
        <w:t>During the COVID-19 pandemic, there have been reports of reduced amounts of inter-seasonal (summer) influenza in the United States of America (USA), as well as very low seasonal (winter) activity in southern hemisphere countries, including Australia.</w:t>
      </w:r>
      <w:r>
        <w:rPr>
          <w:vertAlign w:val="superscript"/>
        </w:rPr>
        <w:t>3</w:t>
      </w:r>
      <w:r>
        <w:t xml:space="preserve"> This report retrospectively examines referral data for enteroviruses and noroviruses to demonstrate that some non-respiratory viruses have also declined in incidence in Victoria, Australia, during the</w:t>
      </w:r>
      <w:r w:rsidR="003D1C83">
        <w:t> </w:t>
      </w:r>
      <w:r>
        <w:t xml:space="preserve">pandemic. </w:t>
      </w:r>
    </w:p>
    <w:p w14:paraId="7273C16B" w14:textId="77777777" w:rsidR="00A0243A" w:rsidRDefault="00A0243A" w:rsidP="00A0243A">
      <w:r>
        <w:t xml:space="preserve">Human enteroviruses are non-enveloped, single-stranded, positive-sense RNA viruses in the family </w:t>
      </w:r>
      <w:r w:rsidRPr="006E4076">
        <w:rPr>
          <w:rStyle w:val="Emphasis"/>
          <w:b w:val="0"/>
        </w:rPr>
        <w:t>Picornaviridae</w:t>
      </w:r>
      <w:r>
        <w:t>.</w:t>
      </w:r>
      <w:r>
        <w:rPr>
          <w:vertAlign w:val="superscript"/>
        </w:rPr>
        <w:t>4</w:t>
      </w:r>
      <w:r>
        <w:t xml:space="preserve"> There are more than 100 types of human enterovirus classified within four species, A–D, which have been implicated in a wide variety of diseases ranging from febrile illness to meningitis, encephalitis, myocarditis and paralysis. Some well-known human enteroviruses include enterovirus-A71, enterovirus-D68 and poliovirus. Many different enterovirus types are detected each year in Australia and globally, with most infections involving children.</w:t>
      </w:r>
      <w:r>
        <w:rPr>
          <w:vertAlign w:val="superscript"/>
        </w:rPr>
        <w:t>5–7</w:t>
      </w:r>
      <w:r>
        <w:t xml:space="preserve"> Human enteroviruses are transmitted person-to-person mainly through the faecal-oral route, but respiratory transmission </w:t>
      </w:r>
      <w:proofErr w:type="gramStart"/>
      <w:r>
        <w:t>may</w:t>
      </w:r>
      <w:proofErr w:type="gramEnd"/>
      <w:r>
        <w:t xml:space="preserve"> also occur.</w:t>
      </w:r>
      <w:r>
        <w:rPr>
          <w:vertAlign w:val="superscript"/>
        </w:rPr>
        <w:t>8</w:t>
      </w:r>
      <w:r>
        <w:t xml:space="preserve"> </w:t>
      </w:r>
    </w:p>
    <w:p w14:paraId="5DD01FDA" w14:textId="77777777" w:rsidR="00A0243A" w:rsidRDefault="00A0243A" w:rsidP="00A0243A">
      <w:r>
        <w:t xml:space="preserve">Noroviruses are non-enveloped, single-stranded, positive-sense RNA viruses in the family </w:t>
      </w:r>
      <w:r w:rsidRPr="006E4076">
        <w:rPr>
          <w:rStyle w:val="Emphasis"/>
          <w:b w:val="0"/>
        </w:rPr>
        <w:t>Caliciviridae</w:t>
      </w:r>
      <w:r>
        <w:t>.</w:t>
      </w:r>
      <w:r>
        <w:rPr>
          <w:vertAlign w:val="superscript"/>
        </w:rPr>
        <w:t>9</w:t>
      </w:r>
      <w:r>
        <w:t xml:space="preserve"> They are considered the most common cause of non-bacterial acute gastroenteritis, and are currently divided into 10 </w:t>
      </w:r>
      <w:proofErr w:type="spellStart"/>
      <w:r>
        <w:t>genogroups</w:t>
      </w:r>
      <w:proofErr w:type="spellEnd"/>
      <w:r>
        <w:t>, of which six are known to infect humans.</w:t>
      </w:r>
      <w:r>
        <w:rPr>
          <w:vertAlign w:val="superscript"/>
        </w:rPr>
        <w:t>10</w:t>
      </w:r>
      <w:r>
        <w:t xml:space="preserve"> Noroviruses are detected all year round, with a peak commonly occurring in spring/summer in Australia and New Zealand.</w:t>
      </w:r>
      <w:r>
        <w:rPr>
          <w:vertAlign w:val="superscript"/>
        </w:rPr>
        <w:t>11</w:t>
      </w:r>
      <w:proofErr w:type="gramStart"/>
      <w:r>
        <w:rPr>
          <w:vertAlign w:val="superscript"/>
        </w:rPr>
        <w:t>,12</w:t>
      </w:r>
      <w:proofErr w:type="gramEnd"/>
      <w:r>
        <w:t xml:space="preserve"> Noroviruses are predominantly transmitted person-to-person through the faecal-oral route.</w:t>
      </w:r>
      <w:r>
        <w:rPr>
          <w:vertAlign w:val="superscript"/>
        </w:rPr>
        <w:t xml:space="preserve">9 </w:t>
      </w:r>
    </w:p>
    <w:p w14:paraId="1462E350" w14:textId="77777777" w:rsidR="00A0243A" w:rsidRDefault="00A0243A" w:rsidP="00A0243A">
      <w:r>
        <w:t>Many specimen types, including respiratory, cerebrospinal fluid (CSF), faecal, blood, plasma and skin or vesicular swabs, are routinely referred to the Victorian Infectious Diseases Reference Laboratory (VIDRL) for testing for enteroviruses, while faecal specimens from gastroenteritis outbreaks (as defined by the Victorian Department of Health and Human Services) are referred for testing for the presence of noroviruses. Screening of specimens for enterovirus and norovirus RNA is performed using real-time reverse-transcription polymerase chain reaction (RT-PCR) methods. The real-time RT-PCR for enterovirus RNA detection is a previously-described in-house assay.</w:t>
      </w:r>
      <w:r>
        <w:rPr>
          <w:vertAlign w:val="superscript"/>
        </w:rPr>
        <w:t>5</w:t>
      </w:r>
      <w:r>
        <w:t xml:space="preserve"> </w:t>
      </w:r>
      <w:proofErr w:type="gramStart"/>
      <w:r>
        <w:t>The</w:t>
      </w:r>
      <w:proofErr w:type="gramEnd"/>
      <w:r>
        <w:t xml:space="preserve"> norovirus real-time RT-PCR is a commercial assay (RIDAGENE Norovirus I &amp; II, R-</w:t>
      </w:r>
      <w:proofErr w:type="spellStart"/>
      <w:r>
        <w:t>Biopharm</w:t>
      </w:r>
      <w:proofErr w:type="spellEnd"/>
      <w:r>
        <w:t>, PG1415) previously evaluated in the laboratory.</w:t>
      </w:r>
      <w:r>
        <w:rPr>
          <w:vertAlign w:val="superscript"/>
        </w:rPr>
        <w:t>13</w:t>
      </w:r>
      <w:r>
        <w:t xml:space="preserve"> All specimens included in this study were referred from Victoria, Australia. Data are </w:t>
      </w:r>
      <w:r>
        <w:lastRenderedPageBreak/>
        <w:t xml:space="preserve">collected as part of routine clinical microbiology testing and for public health surveillance purposes, and are not identifiable to individual patients. </w:t>
      </w:r>
    </w:p>
    <w:p w14:paraId="30B723DE" w14:textId="77777777" w:rsidR="00A0243A" w:rsidRDefault="00A0243A" w:rsidP="00A0243A">
      <w:r>
        <w:t xml:space="preserve">From January 2010 to September 2020 inclusive, VIDRL received 21,123 specimens for enterovirus RT-PCR testing, of which 2,547 (12.1%) had enterovirus RNA detected. CSF (55%) and faeces (12%) were the most common specimen types received for testing, with respiratory specimens, blood and swabs each accounting for less than 10% of the total. When the trends in January to September specimen referrals and percentage of tests positive for enterovirus RNA were examined in the decade 2010–2019 and compared to those from 2020, a noticeable decline in the positivity rate was observed (Figure 1). In 2010–2019, the average number of specimens referred for enterovirus testing from January to September each year was 1,430.6, with a 2.8% reduction to 1390 specimens in 2020. However, the enterovirus specimen positivity rate was significantly reduced, from an average of 12.3% of tests in January to September 2010–2019, to an average of 1.9% of tests in the same period of 2020; an 84.2% reduction (paired two-tailed t-test: </w:t>
      </w:r>
      <w:r w:rsidRPr="006E4076">
        <w:rPr>
          <w:rStyle w:val="Emphasis"/>
          <w:b w:val="0"/>
        </w:rPr>
        <w:t>p</w:t>
      </w:r>
      <w:r>
        <w:t xml:space="preserve"> &lt; 0.05). The average monthly referral of specimens for enterovirus testing in January to September did not differ appreciably in 2020 from 2010–2019; however, the specimen positivity rate for enterovirus RNA was noticeably lower in January to March 2020 compared to the monthly average for the previous decade, and reduced further still from April to September (Table 1, Figure 2).</w:t>
      </w:r>
    </w:p>
    <w:p w14:paraId="7CE7D123" w14:textId="77777777" w:rsidR="00A0243A" w:rsidRDefault="00A0243A" w:rsidP="00A0243A">
      <w:pPr>
        <w:pStyle w:val="CDIFigures"/>
      </w:pPr>
      <w:r>
        <w:t>Figure 1: Number of enterovirus RNA tests and the positivity rate for total tests for January to September each year from 2010 to 2020</w:t>
      </w:r>
    </w:p>
    <w:p w14:paraId="644F3595" w14:textId="77777777" w:rsidR="00A0243A" w:rsidRDefault="00A0243A">
      <w:pPr>
        <w:pStyle w:val="NormalWeb"/>
      </w:pPr>
      <w:r>
        <w:rPr>
          <w:noProof/>
        </w:rPr>
        <w:drawing>
          <wp:inline distT="0" distB="0" distL="0" distR="0" wp14:anchorId="56FF59B9" wp14:editId="1D21EA26">
            <wp:extent cx="6629400" cy="4541817"/>
            <wp:effectExtent l="0" t="0" r="0" b="0"/>
            <wp:docPr id="5" name="Picture 5" descr="Figure 1 is a bar and line graph.  The bars represent the total number of specimens sent for enterovirus testing each year between January and September for 2010 to 2020.  The bars are roughly similar with approximately 1,200 to 1,600 specimens in a given year.  The line represents the positivity rate of the specimens for that period in each year with the rate being similar 2010 to 2019, roughly between 10% and 16% each year, but showing a drastic decline in 2020 to approximatel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bar and line graph.  The bars represent the total number of specimens sent for enterovirus testing each year between January and September for 2010 to 2020.  The bars are roughly similar with approximately 1,200 to 1,600 specimens in a given year.  The line represents the positivity rate of the specimens for that period in each year with the rate being similar 2010 to 2019, roughly between 10% and 16% each year, but showing a drastic decline in 2020 to approximately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3935" cy="4544924"/>
                    </a:xfrm>
                    <a:prstGeom prst="rect">
                      <a:avLst/>
                    </a:prstGeom>
                  </pic:spPr>
                </pic:pic>
              </a:graphicData>
            </a:graphic>
          </wp:inline>
        </w:drawing>
      </w:r>
    </w:p>
    <w:p w14:paraId="4DC7775C" w14:textId="77777777" w:rsidR="002A59A5" w:rsidRDefault="002A59A5">
      <w:pPr>
        <w:rPr>
          <w:b/>
        </w:rPr>
      </w:pPr>
      <w:r>
        <w:br w:type="page"/>
      </w:r>
    </w:p>
    <w:p w14:paraId="783AE347" w14:textId="77777777" w:rsidR="00A0243A" w:rsidRDefault="00A0243A" w:rsidP="00A0243A">
      <w:pPr>
        <w:pStyle w:val="CDIFigures"/>
      </w:pPr>
      <w:r>
        <w:lastRenderedPageBreak/>
        <w:t>Figure 2: Average number of enterovirus RNA tests by month and the positivity rate for 2010 to 2019</w:t>
      </w:r>
      <w:proofErr w:type="gramStart"/>
      <w:r>
        <w:t>,</w:t>
      </w:r>
      <w:proofErr w:type="spellStart"/>
      <w:r w:rsidRPr="001B5910">
        <w:rPr>
          <w:vertAlign w:val="superscript"/>
        </w:rPr>
        <w:t>a</w:t>
      </w:r>
      <w:proofErr w:type="spellEnd"/>
      <w:proofErr w:type="gramEnd"/>
      <w:r>
        <w:t xml:space="preserve"> compared to tests performed in 2020</w:t>
      </w:r>
    </w:p>
    <w:p w14:paraId="062E195A" w14:textId="77777777" w:rsidR="00A0243A" w:rsidRDefault="00A0243A">
      <w:pPr>
        <w:pStyle w:val="NormalWeb"/>
      </w:pPr>
      <w:r>
        <w:rPr>
          <w:noProof/>
        </w:rPr>
        <w:drawing>
          <wp:inline distT="0" distB="0" distL="0" distR="0" wp14:anchorId="39206269" wp14:editId="2A6C2F3C">
            <wp:extent cx="6689308" cy="4124739"/>
            <wp:effectExtent l="0" t="0" r="0" b="9525"/>
            <wp:docPr id="2" name="Picture 2" descr="Figure 2 is a bar and line graph.  The first series of bars represent the average number of specimens sent for enterovirus testing each month of 2010 to 2019, with the second series of bars representing the number of specimens sent for enterovirus testing each month of 2020 for comparison (January to September only).  The first line represent the average monthly positivity rates for 2010 to 2019 and the second line the positivity rate for 2020.  A significant reduction can be seen in the monthly positivity rate for 2020 when compared to the average for the previous de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bar and line graph.  The first series of bars represent the average number of specimens sent for enterovirus testing each month of 2010 to 2019, with the second series of bars representing the number of specimens sent for enterovirus testing each month of 2020 for comparison (January to September only).  The first line represent the average monthly positivity rates for 2010 to 2019 and the second line the positivity rate for 2020.  A significant reduction can be seen in the monthly positivity rate for 2020 when compared to the average for the previous decad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98152" cy="4130193"/>
                    </a:xfrm>
                    <a:prstGeom prst="rect">
                      <a:avLst/>
                    </a:prstGeom>
                  </pic:spPr>
                </pic:pic>
              </a:graphicData>
            </a:graphic>
          </wp:inline>
        </w:drawing>
      </w:r>
    </w:p>
    <w:p w14:paraId="318F3D3B" w14:textId="77777777" w:rsidR="00A0243A" w:rsidRDefault="00A0243A" w:rsidP="00A0243A">
      <w:pPr>
        <w:pStyle w:val="CDIfootnotes"/>
      </w:pPr>
      <w:proofErr w:type="spellStart"/>
      <w:proofErr w:type="gramStart"/>
      <w:r>
        <w:rPr>
          <w:lang w:val="en-US"/>
        </w:rPr>
        <w:t>a</w:t>
      </w:r>
      <w:proofErr w:type="spellEnd"/>
      <w:proofErr w:type="gramEnd"/>
      <w:r>
        <w:rPr>
          <w:lang w:val="en-US"/>
        </w:rPr>
        <w:tab/>
        <w:t>Error bars represent the standard error of the mean.</w:t>
      </w:r>
    </w:p>
    <w:p w14:paraId="5F2CC85D" w14:textId="77777777" w:rsidR="007479E0" w:rsidRDefault="007479E0">
      <w:pPr>
        <w:rPr>
          <w:b/>
        </w:rPr>
      </w:pPr>
      <w:r>
        <w:br w:type="page"/>
      </w:r>
    </w:p>
    <w:p w14:paraId="540F8002" w14:textId="77777777" w:rsidR="00A0243A" w:rsidRDefault="00A0243A" w:rsidP="002A59A5">
      <w:pPr>
        <w:pStyle w:val="CDIFigures"/>
      </w:pPr>
      <w:r>
        <w:lastRenderedPageBreak/>
        <w:t>Table 1: Average number of specimens tested for enterovirus RNA and the enterovirus positivity rate for January to September 2010–2019, compared to the same period of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average number of specimens tested for enterovirus, average number of enterovirus detections and the average positivity rates for January to September in 2010 to 2019, compared to those values seen in 2020.&#10;"/>
      </w:tblPr>
      <w:tblGrid>
        <w:gridCol w:w="1102"/>
        <w:gridCol w:w="1464"/>
        <w:gridCol w:w="1441"/>
        <w:gridCol w:w="1396"/>
        <w:gridCol w:w="1189"/>
        <w:gridCol w:w="1383"/>
        <w:gridCol w:w="1360"/>
        <w:gridCol w:w="1131"/>
      </w:tblGrid>
      <w:tr w:rsidR="002A59A5" w:rsidRPr="002A59A5" w14:paraId="744BD90A" w14:textId="77777777" w:rsidTr="00CB1A3F">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71AEBFF7" w14:textId="77777777" w:rsidR="00A0243A" w:rsidRPr="002A59A5" w:rsidRDefault="00A0243A">
            <w:pPr>
              <w:rPr>
                <w:color w:val="FFFFFF" w:themeColor="background1"/>
              </w:rPr>
            </w:pPr>
          </w:p>
        </w:tc>
        <w:tc>
          <w:tcPr>
            <w:tcW w:w="0" w:type="auto"/>
            <w:gridSpan w:val="4"/>
            <w:tcBorders>
              <w:left w:val="single" w:sz="2" w:space="0" w:color="FFFFFF" w:themeColor="background1"/>
              <w:right w:val="single" w:sz="2" w:space="0" w:color="FFFFFF" w:themeColor="background1"/>
            </w:tcBorders>
            <w:hideMark/>
          </w:tcPr>
          <w:p w14:paraId="58074E81" w14:textId="77777777" w:rsidR="00A0243A" w:rsidRPr="002A59A5" w:rsidRDefault="00A0243A" w:rsidP="00A8388C">
            <w:pPr>
              <w:pStyle w:val="NormalWeb"/>
              <w:jc w:val="center"/>
              <w:rPr>
                <w:color w:val="FFFFFF" w:themeColor="background1"/>
                <w:sz w:val="24"/>
                <w:szCs w:val="24"/>
              </w:rPr>
            </w:pPr>
            <w:r w:rsidRPr="002A59A5">
              <w:rPr>
                <w:color w:val="FFFFFF" w:themeColor="background1"/>
              </w:rPr>
              <w:t>2010–2019</w:t>
            </w:r>
          </w:p>
        </w:tc>
        <w:tc>
          <w:tcPr>
            <w:tcW w:w="0" w:type="auto"/>
            <w:gridSpan w:val="3"/>
            <w:tcBorders>
              <w:left w:val="single" w:sz="2" w:space="0" w:color="FFFFFF" w:themeColor="background1"/>
            </w:tcBorders>
            <w:hideMark/>
          </w:tcPr>
          <w:p w14:paraId="2B5B9ABC" w14:textId="77777777" w:rsidR="00A0243A" w:rsidRPr="002A59A5" w:rsidRDefault="00A0243A" w:rsidP="00A8388C">
            <w:pPr>
              <w:pStyle w:val="NormalWeb"/>
              <w:jc w:val="center"/>
              <w:rPr>
                <w:color w:val="FFFFFF" w:themeColor="background1"/>
              </w:rPr>
            </w:pPr>
            <w:r w:rsidRPr="002A59A5">
              <w:rPr>
                <w:color w:val="FFFFFF" w:themeColor="background1"/>
              </w:rPr>
              <w:t>2020</w:t>
            </w:r>
          </w:p>
        </w:tc>
      </w:tr>
      <w:tr w:rsidR="00A0243A" w14:paraId="4E7DF1B1" w14:textId="77777777" w:rsidTr="00A8388C">
        <w:tc>
          <w:tcPr>
            <w:tcW w:w="0" w:type="auto"/>
            <w:tcBorders>
              <w:right w:val="single" w:sz="2" w:space="0" w:color="000000" w:themeColor="text1"/>
            </w:tcBorders>
            <w:hideMark/>
          </w:tcPr>
          <w:p w14:paraId="1CD23E0F" w14:textId="77777777" w:rsidR="00A0243A" w:rsidRDefault="00A0243A"/>
        </w:tc>
        <w:tc>
          <w:tcPr>
            <w:tcW w:w="0" w:type="auto"/>
            <w:tcBorders>
              <w:left w:val="single" w:sz="2" w:space="0" w:color="000000" w:themeColor="text1"/>
              <w:right w:val="single" w:sz="2" w:space="0" w:color="000000" w:themeColor="text1"/>
            </w:tcBorders>
            <w:hideMark/>
          </w:tcPr>
          <w:p w14:paraId="48A38ECE" w14:textId="77777777" w:rsidR="00A0243A" w:rsidRDefault="00A0243A" w:rsidP="00A8388C">
            <w:pPr>
              <w:pStyle w:val="NormalWeb"/>
              <w:jc w:val="center"/>
              <w:rPr>
                <w:sz w:val="24"/>
                <w:szCs w:val="24"/>
              </w:rPr>
            </w:pPr>
            <w:r>
              <w:t>Average number of outbreaks with specimens tested</w:t>
            </w:r>
          </w:p>
        </w:tc>
        <w:tc>
          <w:tcPr>
            <w:tcW w:w="0" w:type="auto"/>
            <w:tcBorders>
              <w:left w:val="single" w:sz="2" w:space="0" w:color="000000" w:themeColor="text1"/>
              <w:right w:val="single" w:sz="2" w:space="0" w:color="000000" w:themeColor="text1"/>
            </w:tcBorders>
            <w:hideMark/>
          </w:tcPr>
          <w:p w14:paraId="45AA4802" w14:textId="77777777" w:rsidR="00A0243A" w:rsidRDefault="00A0243A" w:rsidP="00A8388C">
            <w:pPr>
              <w:pStyle w:val="NormalWeb"/>
              <w:jc w:val="center"/>
            </w:pPr>
            <w:r>
              <w:t>Average number of outbreaks with norovirus detected</w:t>
            </w:r>
          </w:p>
        </w:tc>
        <w:tc>
          <w:tcPr>
            <w:tcW w:w="0" w:type="auto"/>
            <w:tcBorders>
              <w:left w:val="single" w:sz="2" w:space="0" w:color="000000" w:themeColor="text1"/>
              <w:right w:val="single" w:sz="2" w:space="0" w:color="000000" w:themeColor="text1"/>
            </w:tcBorders>
            <w:hideMark/>
          </w:tcPr>
          <w:p w14:paraId="30994008" w14:textId="77777777" w:rsidR="00A0243A" w:rsidRDefault="00A0243A" w:rsidP="00A8388C">
            <w:pPr>
              <w:pStyle w:val="NormalWeb"/>
              <w:jc w:val="center"/>
            </w:pPr>
            <w:r>
              <w:t>Range of outbreaks with norovirus detections</w:t>
            </w:r>
          </w:p>
        </w:tc>
        <w:tc>
          <w:tcPr>
            <w:tcW w:w="0" w:type="auto"/>
            <w:tcBorders>
              <w:left w:val="single" w:sz="2" w:space="0" w:color="000000" w:themeColor="text1"/>
              <w:right w:val="single" w:sz="2" w:space="0" w:color="000000" w:themeColor="text1"/>
            </w:tcBorders>
            <w:hideMark/>
          </w:tcPr>
          <w:p w14:paraId="023A3B71" w14:textId="77777777" w:rsidR="00A0243A" w:rsidRDefault="00A0243A" w:rsidP="00A8388C">
            <w:pPr>
              <w:pStyle w:val="NormalWeb"/>
              <w:jc w:val="center"/>
            </w:pPr>
            <w:r>
              <w:t>Average norovirus positivity rate</w:t>
            </w:r>
          </w:p>
        </w:tc>
        <w:tc>
          <w:tcPr>
            <w:tcW w:w="0" w:type="auto"/>
            <w:tcBorders>
              <w:left w:val="single" w:sz="2" w:space="0" w:color="000000" w:themeColor="text1"/>
              <w:right w:val="single" w:sz="2" w:space="0" w:color="000000" w:themeColor="text1"/>
            </w:tcBorders>
            <w:hideMark/>
          </w:tcPr>
          <w:p w14:paraId="0F070AF0" w14:textId="77777777" w:rsidR="00A0243A" w:rsidRDefault="00A0243A" w:rsidP="00A8388C">
            <w:pPr>
              <w:pStyle w:val="NormalWeb"/>
              <w:jc w:val="center"/>
            </w:pPr>
            <w:r>
              <w:t>Number of outbreaks with specimens tested</w:t>
            </w:r>
          </w:p>
        </w:tc>
        <w:tc>
          <w:tcPr>
            <w:tcW w:w="0" w:type="auto"/>
            <w:tcBorders>
              <w:left w:val="single" w:sz="2" w:space="0" w:color="000000" w:themeColor="text1"/>
              <w:right w:val="single" w:sz="2" w:space="0" w:color="000000" w:themeColor="text1"/>
            </w:tcBorders>
            <w:hideMark/>
          </w:tcPr>
          <w:p w14:paraId="1C3B451A" w14:textId="77777777" w:rsidR="00A0243A" w:rsidRDefault="00A0243A" w:rsidP="00A8388C">
            <w:pPr>
              <w:pStyle w:val="NormalWeb"/>
              <w:jc w:val="center"/>
            </w:pPr>
            <w:r>
              <w:t>Number of outbreaks with norovirus detected</w:t>
            </w:r>
          </w:p>
        </w:tc>
        <w:tc>
          <w:tcPr>
            <w:tcW w:w="0" w:type="auto"/>
            <w:tcBorders>
              <w:left w:val="single" w:sz="2" w:space="0" w:color="000000" w:themeColor="text1"/>
            </w:tcBorders>
            <w:hideMark/>
          </w:tcPr>
          <w:p w14:paraId="28D6AB7F" w14:textId="77777777" w:rsidR="00A0243A" w:rsidRDefault="00A0243A" w:rsidP="00A8388C">
            <w:pPr>
              <w:pStyle w:val="NormalWeb"/>
              <w:jc w:val="center"/>
            </w:pPr>
            <w:r>
              <w:t>Norovirus positivity rate</w:t>
            </w:r>
          </w:p>
        </w:tc>
      </w:tr>
      <w:tr w:rsidR="00A0243A" w14:paraId="32C2C60F"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0ADE2E0" w14:textId="77777777" w:rsidR="00A0243A" w:rsidRDefault="00A0243A">
            <w:pPr>
              <w:pStyle w:val="NormalWeb"/>
            </w:pPr>
            <w:r>
              <w:t>January</w:t>
            </w:r>
          </w:p>
        </w:tc>
        <w:tc>
          <w:tcPr>
            <w:tcW w:w="0" w:type="auto"/>
            <w:tcBorders>
              <w:left w:val="single" w:sz="2" w:space="0" w:color="000000" w:themeColor="text1"/>
              <w:right w:val="single" w:sz="2" w:space="0" w:color="000000" w:themeColor="text1"/>
            </w:tcBorders>
            <w:hideMark/>
          </w:tcPr>
          <w:p w14:paraId="39E58178" w14:textId="77777777" w:rsidR="00A0243A" w:rsidRDefault="00A0243A" w:rsidP="00A8388C">
            <w:pPr>
              <w:pStyle w:val="NormalWeb"/>
              <w:jc w:val="center"/>
            </w:pPr>
            <w:r>
              <w:t>15.0</w:t>
            </w:r>
          </w:p>
        </w:tc>
        <w:tc>
          <w:tcPr>
            <w:tcW w:w="0" w:type="auto"/>
            <w:tcBorders>
              <w:left w:val="single" w:sz="2" w:space="0" w:color="000000" w:themeColor="text1"/>
              <w:right w:val="single" w:sz="2" w:space="0" w:color="000000" w:themeColor="text1"/>
            </w:tcBorders>
            <w:hideMark/>
          </w:tcPr>
          <w:p w14:paraId="34A4A71F" w14:textId="77777777" w:rsidR="00A0243A" w:rsidRDefault="00A0243A" w:rsidP="00A8388C">
            <w:pPr>
              <w:pStyle w:val="NormalWeb"/>
              <w:jc w:val="center"/>
            </w:pPr>
            <w:r>
              <w:t>9.2</w:t>
            </w:r>
          </w:p>
        </w:tc>
        <w:tc>
          <w:tcPr>
            <w:tcW w:w="0" w:type="auto"/>
            <w:tcBorders>
              <w:left w:val="single" w:sz="2" w:space="0" w:color="000000" w:themeColor="text1"/>
              <w:right w:val="single" w:sz="2" w:space="0" w:color="000000" w:themeColor="text1"/>
            </w:tcBorders>
            <w:hideMark/>
          </w:tcPr>
          <w:p w14:paraId="2BAC1187" w14:textId="77777777" w:rsidR="00A0243A" w:rsidRDefault="00A0243A" w:rsidP="00A8388C">
            <w:pPr>
              <w:pStyle w:val="NormalWeb"/>
              <w:jc w:val="center"/>
            </w:pPr>
            <w:r>
              <w:t>1–35</w:t>
            </w:r>
          </w:p>
        </w:tc>
        <w:tc>
          <w:tcPr>
            <w:tcW w:w="0" w:type="auto"/>
            <w:tcBorders>
              <w:left w:val="single" w:sz="2" w:space="0" w:color="000000" w:themeColor="text1"/>
              <w:right w:val="single" w:sz="2" w:space="0" w:color="000000" w:themeColor="text1"/>
            </w:tcBorders>
            <w:hideMark/>
          </w:tcPr>
          <w:p w14:paraId="0329238A" w14:textId="77777777" w:rsidR="00A0243A" w:rsidRDefault="00A0243A" w:rsidP="00A8388C">
            <w:pPr>
              <w:pStyle w:val="NormalWeb"/>
              <w:jc w:val="center"/>
            </w:pPr>
            <w:r>
              <w:t>61.3%</w:t>
            </w:r>
          </w:p>
        </w:tc>
        <w:tc>
          <w:tcPr>
            <w:tcW w:w="0" w:type="auto"/>
            <w:tcBorders>
              <w:left w:val="single" w:sz="2" w:space="0" w:color="000000" w:themeColor="text1"/>
              <w:right w:val="single" w:sz="2" w:space="0" w:color="000000" w:themeColor="text1"/>
            </w:tcBorders>
            <w:hideMark/>
          </w:tcPr>
          <w:p w14:paraId="5C452126" w14:textId="77777777" w:rsidR="00A0243A" w:rsidRDefault="00A0243A" w:rsidP="00A8388C">
            <w:pPr>
              <w:pStyle w:val="NormalWeb"/>
              <w:jc w:val="center"/>
            </w:pPr>
            <w:r>
              <w:t>13</w:t>
            </w:r>
          </w:p>
        </w:tc>
        <w:tc>
          <w:tcPr>
            <w:tcW w:w="0" w:type="auto"/>
            <w:tcBorders>
              <w:left w:val="single" w:sz="2" w:space="0" w:color="000000" w:themeColor="text1"/>
              <w:right w:val="single" w:sz="2" w:space="0" w:color="000000" w:themeColor="text1"/>
            </w:tcBorders>
            <w:hideMark/>
          </w:tcPr>
          <w:p w14:paraId="63159B9A" w14:textId="77777777" w:rsidR="00A0243A" w:rsidRDefault="00A0243A" w:rsidP="00A8388C">
            <w:pPr>
              <w:pStyle w:val="NormalWeb"/>
              <w:jc w:val="center"/>
            </w:pPr>
            <w:r>
              <w:t>8</w:t>
            </w:r>
          </w:p>
        </w:tc>
        <w:tc>
          <w:tcPr>
            <w:tcW w:w="0" w:type="auto"/>
            <w:tcBorders>
              <w:left w:val="single" w:sz="2" w:space="0" w:color="000000" w:themeColor="text1"/>
            </w:tcBorders>
            <w:hideMark/>
          </w:tcPr>
          <w:p w14:paraId="4EFF49E5" w14:textId="77777777" w:rsidR="00A0243A" w:rsidRDefault="00A0243A" w:rsidP="00A8388C">
            <w:pPr>
              <w:pStyle w:val="NormalWeb"/>
              <w:jc w:val="center"/>
            </w:pPr>
            <w:r>
              <w:t>61.5%</w:t>
            </w:r>
          </w:p>
        </w:tc>
      </w:tr>
      <w:tr w:rsidR="00A0243A" w14:paraId="178CA803" w14:textId="77777777" w:rsidTr="00A8388C">
        <w:tc>
          <w:tcPr>
            <w:tcW w:w="0" w:type="auto"/>
            <w:tcBorders>
              <w:right w:val="single" w:sz="2" w:space="0" w:color="000000" w:themeColor="text1"/>
            </w:tcBorders>
            <w:hideMark/>
          </w:tcPr>
          <w:p w14:paraId="75350E8E" w14:textId="77777777" w:rsidR="00A0243A" w:rsidRDefault="00A0243A">
            <w:pPr>
              <w:pStyle w:val="NormalWeb"/>
            </w:pPr>
            <w:r>
              <w:t>February</w:t>
            </w:r>
          </w:p>
        </w:tc>
        <w:tc>
          <w:tcPr>
            <w:tcW w:w="0" w:type="auto"/>
            <w:tcBorders>
              <w:left w:val="single" w:sz="2" w:space="0" w:color="000000" w:themeColor="text1"/>
              <w:right w:val="single" w:sz="2" w:space="0" w:color="000000" w:themeColor="text1"/>
            </w:tcBorders>
            <w:hideMark/>
          </w:tcPr>
          <w:p w14:paraId="0F7C4703" w14:textId="77777777" w:rsidR="00A0243A" w:rsidRDefault="00A0243A" w:rsidP="00A8388C">
            <w:pPr>
              <w:pStyle w:val="NormalWeb"/>
              <w:jc w:val="center"/>
            </w:pPr>
            <w:r>
              <w:t>11.9</w:t>
            </w:r>
          </w:p>
        </w:tc>
        <w:tc>
          <w:tcPr>
            <w:tcW w:w="0" w:type="auto"/>
            <w:tcBorders>
              <w:left w:val="single" w:sz="2" w:space="0" w:color="000000" w:themeColor="text1"/>
              <w:right w:val="single" w:sz="2" w:space="0" w:color="000000" w:themeColor="text1"/>
            </w:tcBorders>
            <w:hideMark/>
          </w:tcPr>
          <w:p w14:paraId="2DBD0772" w14:textId="77777777" w:rsidR="00A0243A" w:rsidRDefault="00A0243A" w:rsidP="00A8388C">
            <w:pPr>
              <w:pStyle w:val="NormalWeb"/>
              <w:jc w:val="center"/>
            </w:pPr>
            <w:r>
              <w:t>5.9</w:t>
            </w:r>
          </w:p>
        </w:tc>
        <w:tc>
          <w:tcPr>
            <w:tcW w:w="0" w:type="auto"/>
            <w:tcBorders>
              <w:left w:val="single" w:sz="2" w:space="0" w:color="000000" w:themeColor="text1"/>
              <w:right w:val="single" w:sz="2" w:space="0" w:color="000000" w:themeColor="text1"/>
            </w:tcBorders>
            <w:hideMark/>
          </w:tcPr>
          <w:p w14:paraId="47D37396" w14:textId="77777777" w:rsidR="00A0243A" w:rsidRDefault="00A0243A" w:rsidP="00A8388C">
            <w:pPr>
              <w:pStyle w:val="NormalWeb"/>
              <w:jc w:val="center"/>
            </w:pPr>
            <w:r>
              <w:t>3–9</w:t>
            </w:r>
          </w:p>
        </w:tc>
        <w:tc>
          <w:tcPr>
            <w:tcW w:w="0" w:type="auto"/>
            <w:tcBorders>
              <w:left w:val="single" w:sz="2" w:space="0" w:color="000000" w:themeColor="text1"/>
              <w:right w:val="single" w:sz="2" w:space="0" w:color="000000" w:themeColor="text1"/>
            </w:tcBorders>
            <w:hideMark/>
          </w:tcPr>
          <w:p w14:paraId="16060CCC" w14:textId="77777777" w:rsidR="00A0243A" w:rsidRDefault="00A0243A" w:rsidP="00A8388C">
            <w:pPr>
              <w:pStyle w:val="NormalWeb"/>
              <w:jc w:val="center"/>
            </w:pPr>
            <w:r>
              <w:t>49.6%</w:t>
            </w:r>
          </w:p>
        </w:tc>
        <w:tc>
          <w:tcPr>
            <w:tcW w:w="0" w:type="auto"/>
            <w:tcBorders>
              <w:left w:val="single" w:sz="2" w:space="0" w:color="000000" w:themeColor="text1"/>
              <w:right w:val="single" w:sz="2" w:space="0" w:color="000000" w:themeColor="text1"/>
            </w:tcBorders>
            <w:hideMark/>
          </w:tcPr>
          <w:p w14:paraId="0125B6A5" w14:textId="77777777" w:rsidR="00A0243A" w:rsidRDefault="00A0243A" w:rsidP="00A8388C">
            <w:pPr>
              <w:pStyle w:val="NormalWeb"/>
              <w:jc w:val="center"/>
            </w:pPr>
            <w:r>
              <w:t>13</w:t>
            </w:r>
          </w:p>
        </w:tc>
        <w:tc>
          <w:tcPr>
            <w:tcW w:w="0" w:type="auto"/>
            <w:tcBorders>
              <w:left w:val="single" w:sz="2" w:space="0" w:color="000000" w:themeColor="text1"/>
              <w:right w:val="single" w:sz="2" w:space="0" w:color="000000" w:themeColor="text1"/>
            </w:tcBorders>
            <w:hideMark/>
          </w:tcPr>
          <w:p w14:paraId="1EDC84D3" w14:textId="77777777" w:rsidR="00A0243A" w:rsidRDefault="00A0243A" w:rsidP="00A8388C">
            <w:pPr>
              <w:pStyle w:val="NormalWeb"/>
              <w:jc w:val="center"/>
            </w:pPr>
            <w:r>
              <w:t>5</w:t>
            </w:r>
          </w:p>
        </w:tc>
        <w:tc>
          <w:tcPr>
            <w:tcW w:w="0" w:type="auto"/>
            <w:tcBorders>
              <w:left w:val="single" w:sz="2" w:space="0" w:color="000000" w:themeColor="text1"/>
            </w:tcBorders>
            <w:hideMark/>
          </w:tcPr>
          <w:p w14:paraId="0CE064EE" w14:textId="77777777" w:rsidR="00A0243A" w:rsidRDefault="00A0243A" w:rsidP="00A8388C">
            <w:pPr>
              <w:pStyle w:val="NormalWeb"/>
              <w:jc w:val="center"/>
            </w:pPr>
            <w:r>
              <w:t>38.5%</w:t>
            </w:r>
          </w:p>
        </w:tc>
      </w:tr>
      <w:tr w:rsidR="00A0243A" w14:paraId="2FDE39C6"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A163700" w14:textId="77777777" w:rsidR="00A0243A" w:rsidRDefault="00A0243A">
            <w:pPr>
              <w:pStyle w:val="NormalWeb"/>
            </w:pPr>
            <w:r>
              <w:t>March</w:t>
            </w:r>
          </w:p>
        </w:tc>
        <w:tc>
          <w:tcPr>
            <w:tcW w:w="0" w:type="auto"/>
            <w:tcBorders>
              <w:left w:val="single" w:sz="2" w:space="0" w:color="000000" w:themeColor="text1"/>
              <w:right w:val="single" w:sz="2" w:space="0" w:color="000000" w:themeColor="text1"/>
            </w:tcBorders>
            <w:hideMark/>
          </w:tcPr>
          <w:p w14:paraId="1148A3CD" w14:textId="77777777" w:rsidR="00A0243A" w:rsidRDefault="00A0243A" w:rsidP="00A8388C">
            <w:pPr>
              <w:pStyle w:val="NormalWeb"/>
              <w:jc w:val="center"/>
            </w:pPr>
            <w:r>
              <w:t>18.3</w:t>
            </w:r>
          </w:p>
        </w:tc>
        <w:tc>
          <w:tcPr>
            <w:tcW w:w="0" w:type="auto"/>
            <w:tcBorders>
              <w:left w:val="single" w:sz="2" w:space="0" w:color="000000" w:themeColor="text1"/>
              <w:right w:val="single" w:sz="2" w:space="0" w:color="000000" w:themeColor="text1"/>
            </w:tcBorders>
            <w:hideMark/>
          </w:tcPr>
          <w:p w14:paraId="2AC0B26C" w14:textId="77777777" w:rsidR="00A0243A" w:rsidRDefault="00A0243A" w:rsidP="00A8388C">
            <w:pPr>
              <w:pStyle w:val="NormalWeb"/>
              <w:jc w:val="center"/>
            </w:pPr>
            <w:r>
              <w:t>8.4</w:t>
            </w:r>
          </w:p>
        </w:tc>
        <w:tc>
          <w:tcPr>
            <w:tcW w:w="0" w:type="auto"/>
            <w:tcBorders>
              <w:left w:val="single" w:sz="2" w:space="0" w:color="000000" w:themeColor="text1"/>
              <w:right w:val="single" w:sz="2" w:space="0" w:color="000000" w:themeColor="text1"/>
            </w:tcBorders>
            <w:hideMark/>
          </w:tcPr>
          <w:p w14:paraId="3D89AB3E" w14:textId="77777777" w:rsidR="00A0243A" w:rsidRDefault="00A0243A" w:rsidP="00A8388C">
            <w:pPr>
              <w:pStyle w:val="NormalWeb"/>
              <w:jc w:val="center"/>
            </w:pPr>
            <w:r>
              <w:t>4–15</w:t>
            </w:r>
          </w:p>
        </w:tc>
        <w:tc>
          <w:tcPr>
            <w:tcW w:w="0" w:type="auto"/>
            <w:tcBorders>
              <w:left w:val="single" w:sz="2" w:space="0" w:color="000000" w:themeColor="text1"/>
              <w:right w:val="single" w:sz="2" w:space="0" w:color="000000" w:themeColor="text1"/>
            </w:tcBorders>
            <w:hideMark/>
          </w:tcPr>
          <w:p w14:paraId="657B4F16" w14:textId="77777777" w:rsidR="00A0243A" w:rsidRDefault="00A0243A" w:rsidP="00A8388C">
            <w:pPr>
              <w:pStyle w:val="NormalWeb"/>
              <w:jc w:val="center"/>
            </w:pPr>
            <w:r>
              <w:t>45.9%</w:t>
            </w:r>
          </w:p>
        </w:tc>
        <w:tc>
          <w:tcPr>
            <w:tcW w:w="0" w:type="auto"/>
            <w:tcBorders>
              <w:left w:val="single" w:sz="2" w:space="0" w:color="000000" w:themeColor="text1"/>
              <w:right w:val="single" w:sz="2" w:space="0" w:color="000000" w:themeColor="text1"/>
            </w:tcBorders>
            <w:hideMark/>
          </w:tcPr>
          <w:p w14:paraId="4695F42E" w14:textId="77777777" w:rsidR="00A0243A" w:rsidRDefault="00A0243A" w:rsidP="00A8388C">
            <w:pPr>
              <w:pStyle w:val="NormalWeb"/>
              <w:jc w:val="center"/>
            </w:pPr>
            <w:r>
              <w:t>2</w:t>
            </w:r>
          </w:p>
        </w:tc>
        <w:tc>
          <w:tcPr>
            <w:tcW w:w="0" w:type="auto"/>
            <w:tcBorders>
              <w:left w:val="single" w:sz="2" w:space="0" w:color="000000" w:themeColor="text1"/>
              <w:right w:val="single" w:sz="2" w:space="0" w:color="000000" w:themeColor="text1"/>
            </w:tcBorders>
            <w:hideMark/>
          </w:tcPr>
          <w:p w14:paraId="01C565DA" w14:textId="77777777" w:rsidR="00A0243A" w:rsidRDefault="00A0243A" w:rsidP="00A8388C">
            <w:pPr>
              <w:pStyle w:val="NormalWeb"/>
              <w:jc w:val="center"/>
            </w:pPr>
            <w:r>
              <w:t>1</w:t>
            </w:r>
          </w:p>
        </w:tc>
        <w:tc>
          <w:tcPr>
            <w:tcW w:w="0" w:type="auto"/>
            <w:tcBorders>
              <w:left w:val="single" w:sz="2" w:space="0" w:color="000000" w:themeColor="text1"/>
            </w:tcBorders>
            <w:hideMark/>
          </w:tcPr>
          <w:p w14:paraId="0CE10735" w14:textId="77777777" w:rsidR="00A0243A" w:rsidRDefault="00A0243A" w:rsidP="00A8388C">
            <w:pPr>
              <w:pStyle w:val="NormalWeb"/>
              <w:jc w:val="center"/>
            </w:pPr>
            <w:r>
              <w:t>50.0%</w:t>
            </w:r>
          </w:p>
        </w:tc>
      </w:tr>
      <w:tr w:rsidR="00A0243A" w14:paraId="4A0C02BA" w14:textId="77777777" w:rsidTr="00A8388C">
        <w:tc>
          <w:tcPr>
            <w:tcW w:w="0" w:type="auto"/>
            <w:tcBorders>
              <w:right w:val="single" w:sz="2" w:space="0" w:color="000000" w:themeColor="text1"/>
            </w:tcBorders>
            <w:hideMark/>
          </w:tcPr>
          <w:p w14:paraId="7B5B3044" w14:textId="77777777" w:rsidR="00A0243A" w:rsidRDefault="00A0243A">
            <w:pPr>
              <w:pStyle w:val="NormalWeb"/>
            </w:pPr>
            <w:r>
              <w:t>April</w:t>
            </w:r>
          </w:p>
        </w:tc>
        <w:tc>
          <w:tcPr>
            <w:tcW w:w="0" w:type="auto"/>
            <w:tcBorders>
              <w:left w:val="single" w:sz="2" w:space="0" w:color="000000" w:themeColor="text1"/>
              <w:right w:val="single" w:sz="2" w:space="0" w:color="000000" w:themeColor="text1"/>
            </w:tcBorders>
            <w:hideMark/>
          </w:tcPr>
          <w:p w14:paraId="74579F5E" w14:textId="77777777" w:rsidR="00A0243A" w:rsidRDefault="00A0243A" w:rsidP="00A8388C">
            <w:pPr>
              <w:pStyle w:val="NormalWeb"/>
              <w:jc w:val="center"/>
            </w:pPr>
            <w:r>
              <w:t>16.2</w:t>
            </w:r>
          </w:p>
        </w:tc>
        <w:tc>
          <w:tcPr>
            <w:tcW w:w="0" w:type="auto"/>
            <w:tcBorders>
              <w:left w:val="single" w:sz="2" w:space="0" w:color="000000" w:themeColor="text1"/>
              <w:right w:val="single" w:sz="2" w:space="0" w:color="000000" w:themeColor="text1"/>
            </w:tcBorders>
            <w:hideMark/>
          </w:tcPr>
          <w:p w14:paraId="6089C8B7" w14:textId="77777777" w:rsidR="00A0243A" w:rsidRDefault="00A0243A" w:rsidP="00A8388C">
            <w:pPr>
              <w:pStyle w:val="NormalWeb"/>
              <w:jc w:val="center"/>
            </w:pPr>
            <w:r>
              <w:t>9.3</w:t>
            </w:r>
          </w:p>
        </w:tc>
        <w:tc>
          <w:tcPr>
            <w:tcW w:w="0" w:type="auto"/>
            <w:tcBorders>
              <w:left w:val="single" w:sz="2" w:space="0" w:color="000000" w:themeColor="text1"/>
              <w:right w:val="single" w:sz="2" w:space="0" w:color="000000" w:themeColor="text1"/>
            </w:tcBorders>
            <w:hideMark/>
          </w:tcPr>
          <w:p w14:paraId="20E60028" w14:textId="77777777" w:rsidR="00A0243A" w:rsidRDefault="00A0243A" w:rsidP="00A8388C">
            <w:pPr>
              <w:pStyle w:val="NormalWeb"/>
              <w:jc w:val="center"/>
            </w:pPr>
            <w:r>
              <w:t>2–24</w:t>
            </w:r>
          </w:p>
        </w:tc>
        <w:tc>
          <w:tcPr>
            <w:tcW w:w="0" w:type="auto"/>
            <w:tcBorders>
              <w:left w:val="single" w:sz="2" w:space="0" w:color="000000" w:themeColor="text1"/>
              <w:right w:val="single" w:sz="2" w:space="0" w:color="000000" w:themeColor="text1"/>
            </w:tcBorders>
            <w:hideMark/>
          </w:tcPr>
          <w:p w14:paraId="32A0B2AF" w14:textId="77777777" w:rsidR="00A0243A" w:rsidRDefault="00A0243A" w:rsidP="00A8388C">
            <w:pPr>
              <w:pStyle w:val="NormalWeb"/>
              <w:jc w:val="center"/>
            </w:pPr>
            <w:r>
              <w:t>57.4%</w:t>
            </w:r>
          </w:p>
        </w:tc>
        <w:tc>
          <w:tcPr>
            <w:tcW w:w="0" w:type="auto"/>
            <w:tcBorders>
              <w:left w:val="single" w:sz="2" w:space="0" w:color="000000" w:themeColor="text1"/>
              <w:right w:val="single" w:sz="2" w:space="0" w:color="000000" w:themeColor="text1"/>
            </w:tcBorders>
            <w:hideMark/>
          </w:tcPr>
          <w:p w14:paraId="59F3A73C" w14:textId="77777777" w:rsidR="00A0243A" w:rsidRDefault="00A0243A" w:rsidP="00A8388C">
            <w:pPr>
              <w:pStyle w:val="NormalWeb"/>
              <w:jc w:val="center"/>
            </w:pPr>
            <w:r>
              <w:t>6</w:t>
            </w:r>
          </w:p>
        </w:tc>
        <w:tc>
          <w:tcPr>
            <w:tcW w:w="0" w:type="auto"/>
            <w:tcBorders>
              <w:left w:val="single" w:sz="2" w:space="0" w:color="000000" w:themeColor="text1"/>
              <w:right w:val="single" w:sz="2" w:space="0" w:color="000000" w:themeColor="text1"/>
            </w:tcBorders>
            <w:hideMark/>
          </w:tcPr>
          <w:p w14:paraId="73638375" w14:textId="77777777" w:rsidR="00A0243A" w:rsidRDefault="00A0243A" w:rsidP="00A8388C">
            <w:pPr>
              <w:pStyle w:val="NormalWeb"/>
              <w:jc w:val="center"/>
            </w:pPr>
            <w:r>
              <w:t>1</w:t>
            </w:r>
          </w:p>
        </w:tc>
        <w:tc>
          <w:tcPr>
            <w:tcW w:w="0" w:type="auto"/>
            <w:tcBorders>
              <w:left w:val="single" w:sz="2" w:space="0" w:color="000000" w:themeColor="text1"/>
            </w:tcBorders>
            <w:hideMark/>
          </w:tcPr>
          <w:p w14:paraId="4BB71777" w14:textId="77777777" w:rsidR="00A0243A" w:rsidRDefault="00A0243A" w:rsidP="00A8388C">
            <w:pPr>
              <w:pStyle w:val="NormalWeb"/>
              <w:jc w:val="center"/>
            </w:pPr>
            <w:r>
              <w:t>16.7%</w:t>
            </w:r>
          </w:p>
        </w:tc>
      </w:tr>
      <w:tr w:rsidR="00A0243A" w14:paraId="0F8AC2F1"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9D172E2" w14:textId="77777777" w:rsidR="00A0243A" w:rsidRDefault="00A0243A">
            <w:pPr>
              <w:pStyle w:val="NormalWeb"/>
            </w:pPr>
            <w:r>
              <w:t>May</w:t>
            </w:r>
          </w:p>
        </w:tc>
        <w:tc>
          <w:tcPr>
            <w:tcW w:w="0" w:type="auto"/>
            <w:tcBorders>
              <w:left w:val="single" w:sz="2" w:space="0" w:color="000000" w:themeColor="text1"/>
              <w:right w:val="single" w:sz="2" w:space="0" w:color="000000" w:themeColor="text1"/>
            </w:tcBorders>
            <w:hideMark/>
          </w:tcPr>
          <w:p w14:paraId="033135BA" w14:textId="77777777" w:rsidR="00A0243A" w:rsidRDefault="00A0243A" w:rsidP="00A8388C">
            <w:pPr>
              <w:pStyle w:val="NormalWeb"/>
              <w:jc w:val="center"/>
            </w:pPr>
            <w:r>
              <w:t>20.8</w:t>
            </w:r>
          </w:p>
        </w:tc>
        <w:tc>
          <w:tcPr>
            <w:tcW w:w="0" w:type="auto"/>
            <w:tcBorders>
              <w:left w:val="single" w:sz="2" w:space="0" w:color="000000" w:themeColor="text1"/>
              <w:right w:val="single" w:sz="2" w:space="0" w:color="000000" w:themeColor="text1"/>
            </w:tcBorders>
            <w:hideMark/>
          </w:tcPr>
          <w:p w14:paraId="11E6CA15" w14:textId="77777777" w:rsidR="00A0243A" w:rsidRDefault="00A0243A" w:rsidP="00A8388C">
            <w:pPr>
              <w:pStyle w:val="NormalWeb"/>
              <w:jc w:val="center"/>
            </w:pPr>
            <w:r>
              <w:t>12.2</w:t>
            </w:r>
          </w:p>
        </w:tc>
        <w:tc>
          <w:tcPr>
            <w:tcW w:w="0" w:type="auto"/>
            <w:tcBorders>
              <w:left w:val="single" w:sz="2" w:space="0" w:color="000000" w:themeColor="text1"/>
              <w:right w:val="single" w:sz="2" w:space="0" w:color="000000" w:themeColor="text1"/>
            </w:tcBorders>
            <w:hideMark/>
          </w:tcPr>
          <w:p w14:paraId="5DE3533B" w14:textId="77777777" w:rsidR="00A0243A" w:rsidRDefault="00A0243A" w:rsidP="00A8388C">
            <w:pPr>
              <w:pStyle w:val="NormalWeb"/>
              <w:jc w:val="center"/>
            </w:pPr>
            <w:r>
              <w:t>1–33</w:t>
            </w:r>
          </w:p>
        </w:tc>
        <w:tc>
          <w:tcPr>
            <w:tcW w:w="0" w:type="auto"/>
            <w:tcBorders>
              <w:left w:val="single" w:sz="2" w:space="0" w:color="000000" w:themeColor="text1"/>
              <w:right w:val="single" w:sz="2" w:space="0" w:color="000000" w:themeColor="text1"/>
            </w:tcBorders>
            <w:hideMark/>
          </w:tcPr>
          <w:p w14:paraId="74FCF9D6" w14:textId="77777777" w:rsidR="00A0243A" w:rsidRDefault="00A0243A" w:rsidP="00A8388C">
            <w:pPr>
              <w:pStyle w:val="NormalWeb"/>
              <w:jc w:val="center"/>
            </w:pPr>
            <w:r>
              <w:t>58.7%</w:t>
            </w:r>
          </w:p>
        </w:tc>
        <w:tc>
          <w:tcPr>
            <w:tcW w:w="0" w:type="auto"/>
            <w:tcBorders>
              <w:left w:val="single" w:sz="2" w:space="0" w:color="000000" w:themeColor="text1"/>
              <w:right w:val="single" w:sz="2" w:space="0" w:color="000000" w:themeColor="text1"/>
            </w:tcBorders>
            <w:hideMark/>
          </w:tcPr>
          <w:p w14:paraId="28098D2A" w14:textId="77777777" w:rsidR="00A0243A" w:rsidRDefault="00A0243A" w:rsidP="00A8388C">
            <w:pPr>
              <w:pStyle w:val="NormalWeb"/>
              <w:jc w:val="center"/>
            </w:pPr>
            <w:r>
              <w:t>5</w:t>
            </w:r>
          </w:p>
        </w:tc>
        <w:tc>
          <w:tcPr>
            <w:tcW w:w="0" w:type="auto"/>
            <w:tcBorders>
              <w:left w:val="single" w:sz="2" w:space="0" w:color="000000" w:themeColor="text1"/>
              <w:right w:val="single" w:sz="2" w:space="0" w:color="000000" w:themeColor="text1"/>
            </w:tcBorders>
            <w:hideMark/>
          </w:tcPr>
          <w:p w14:paraId="11795901" w14:textId="77777777" w:rsidR="00A0243A" w:rsidRDefault="00A0243A" w:rsidP="00A8388C">
            <w:pPr>
              <w:pStyle w:val="NormalWeb"/>
              <w:jc w:val="center"/>
            </w:pPr>
            <w:r>
              <w:t>0</w:t>
            </w:r>
          </w:p>
        </w:tc>
        <w:tc>
          <w:tcPr>
            <w:tcW w:w="0" w:type="auto"/>
            <w:tcBorders>
              <w:left w:val="single" w:sz="2" w:space="0" w:color="000000" w:themeColor="text1"/>
            </w:tcBorders>
            <w:hideMark/>
          </w:tcPr>
          <w:p w14:paraId="77583F8C" w14:textId="77777777" w:rsidR="00A0243A" w:rsidRDefault="00A0243A" w:rsidP="00A8388C">
            <w:pPr>
              <w:pStyle w:val="NormalWeb"/>
              <w:jc w:val="center"/>
            </w:pPr>
            <w:r>
              <w:t>0.0%</w:t>
            </w:r>
          </w:p>
        </w:tc>
      </w:tr>
      <w:tr w:rsidR="00A0243A" w14:paraId="43040430" w14:textId="77777777" w:rsidTr="00A8388C">
        <w:tc>
          <w:tcPr>
            <w:tcW w:w="0" w:type="auto"/>
            <w:tcBorders>
              <w:right w:val="single" w:sz="2" w:space="0" w:color="000000" w:themeColor="text1"/>
            </w:tcBorders>
            <w:hideMark/>
          </w:tcPr>
          <w:p w14:paraId="59654C60" w14:textId="77777777" w:rsidR="00A0243A" w:rsidRDefault="00A0243A">
            <w:pPr>
              <w:pStyle w:val="NormalWeb"/>
            </w:pPr>
            <w:r>
              <w:t>June</w:t>
            </w:r>
          </w:p>
        </w:tc>
        <w:tc>
          <w:tcPr>
            <w:tcW w:w="0" w:type="auto"/>
            <w:tcBorders>
              <w:left w:val="single" w:sz="2" w:space="0" w:color="000000" w:themeColor="text1"/>
              <w:right w:val="single" w:sz="2" w:space="0" w:color="000000" w:themeColor="text1"/>
            </w:tcBorders>
            <w:hideMark/>
          </w:tcPr>
          <w:p w14:paraId="1E2FDAE4" w14:textId="77777777" w:rsidR="00A0243A" w:rsidRDefault="00A0243A" w:rsidP="00A8388C">
            <w:pPr>
              <w:pStyle w:val="NormalWeb"/>
              <w:jc w:val="center"/>
            </w:pPr>
            <w:r>
              <w:t>23.3</w:t>
            </w:r>
          </w:p>
        </w:tc>
        <w:tc>
          <w:tcPr>
            <w:tcW w:w="0" w:type="auto"/>
            <w:tcBorders>
              <w:left w:val="single" w:sz="2" w:space="0" w:color="000000" w:themeColor="text1"/>
              <w:right w:val="single" w:sz="2" w:space="0" w:color="000000" w:themeColor="text1"/>
            </w:tcBorders>
            <w:hideMark/>
          </w:tcPr>
          <w:p w14:paraId="2CED1267" w14:textId="77777777" w:rsidR="00A0243A" w:rsidRDefault="00A0243A" w:rsidP="00A8388C">
            <w:pPr>
              <w:pStyle w:val="NormalWeb"/>
              <w:jc w:val="center"/>
            </w:pPr>
            <w:r>
              <w:t>15.7</w:t>
            </w:r>
          </w:p>
        </w:tc>
        <w:tc>
          <w:tcPr>
            <w:tcW w:w="0" w:type="auto"/>
            <w:tcBorders>
              <w:left w:val="single" w:sz="2" w:space="0" w:color="000000" w:themeColor="text1"/>
              <w:right w:val="single" w:sz="2" w:space="0" w:color="000000" w:themeColor="text1"/>
            </w:tcBorders>
            <w:hideMark/>
          </w:tcPr>
          <w:p w14:paraId="1DE7CE64" w14:textId="77777777" w:rsidR="00A0243A" w:rsidRDefault="00A0243A" w:rsidP="00A8388C">
            <w:pPr>
              <w:pStyle w:val="NormalWeb"/>
              <w:jc w:val="center"/>
            </w:pPr>
            <w:r>
              <w:t>1–40</w:t>
            </w:r>
          </w:p>
        </w:tc>
        <w:tc>
          <w:tcPr>
            <w:tcW w:w="0" w:type="auto"/>
            <w:tcBorders>
              <w:left w:val="single" w:sz="2" w:space="0" w:color="000000" w:themeColor="text1"/>
              <w:right w:val="single" w:sz="2" w:space="0" w:color="000000" w:themeColor="text1"/>
            </w:tcBorders>
            <w:hideMark/>
          </w:tcPr>
          <w:p w14:paraId="60E5850E" w14:textId="77777777" w:rsidR="00A0243A" w:rsidRDefault="00A0243A" w:rsidP="00A8388C">
            <w:pPr>
              <w:pStyle w:val="NormalWeb"/>
              <w:jc w:val="center"/>
            </w:pPr>
            <w:r>
              <w:t>67.4%</w:t>
            </w:r>
          </w:p>
        </w:tc>
        <w:tc>
          <w:tcPr>
            <w:tcW w:w="0" w:type="auto"/>
            <w:tcBorders>
              <w:left w:val="single" w:sz="2" w:space="0" w:color="000000" w:themeColor="text1"/>
              <w:right w:val="single" w:sz="2" w:space="0" w:color="000000" w:themeColor="text1"/>
            </w:tcBorders>
            <w:hideMark/>
          </w:tcPr>
          <w:p w14:paraId="602E42CD" w14:textId="77777777" w:rsidR="00A0243A" w:rsidRDefault="00A0243A" w:rsidP="00A8388C">
            <w:pPr>
              <w:pStyle w:val="NormalWeb"/>
              <w:jc w:val="center"/>
            </w:pPr>
            <w:r>
              <w:t>2</w:t>
            </w:r>
          </w:p>
        </w:tc>
        <w:tc>
          <w:tcPr>
            <w:tcW w:w="0" w:type="auto"/>
            <w:tcBorders>
              <w:left w:val="single" w:sz="2" w:space="0" w:color="000000" w:themeColor="text1"/>
              <w:right w:val="single" w:sz="2" w:space="0" w:color="000000" w:themeColor="text1"/>
            </w:tcBorders>
            <w:hideMark/>
          </w:tcPr>
          <w:p w14:paraId="69C58EB5" w14:textId="77777777" w:rsidR="00A0243A" w:rsidRDefault="00A0243A" w:rsidP="00A8388C">
            <w:pPr>
              <w:pStyle w:val="NormalWeb"/>
              <w:jc w:val="center"/>
            </w:pPr>
            <w:r>
              <w:t>0</w:t>
            </w:r>
          </w:p>
        </w:tc>
        <w:tc>
          <w:tcPr>
            <w:tcW w:w="0" w:type="auto"/>
            <w:tcBorders>
              <w:left w:val="single" w:sz="2" w:space="0" w:color="000000" w:themeColor="text1"/>
            </w:tcBorders>
            <w:hideMark/>
          </w:tcPr>
          <w:p w14:paraId="5B00A698" w14:textId="77777777" w:rsidR="00A0243A" w:rsidRDefault="00A0243A" w:rsidP="00A8388C">
            <w:pPr>
              <w:pStyle w:val="NormalWeb"/>
              <w:jc w:val="center"/>
            </w:pPr>
            <w:r>
              <w:t>0.0%</w:t>
            </w:r>
          </w:p>
        </w:tc>
      </w:tr>
      <w:tr w:rsidR="00A0243A" w14:paraId="35CBC662"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C217FA8" w14:textId="77777777" w:rsidR="00A0243A" w:rsidRDefault="00A0243A">
            <w:pPr>
              <w:pStyle w:val="NormalWeb"/>
            </w:pPr>
            <w:r>
              <w:t>July</w:t>
            </w:r>
          </w:p>
        </w:tc>
        <w:tc>
          <w:tcPr>
            <w:tcW w:w="0" w:type="auto"/>
            <w:tcBorders>
              <w:left w:val="single" w:sz="2" w:space="0" w:color="000000" w:themeColor="text1"/>
              <w:right w:val="single" w:sz="2" w:space="0" w:color="000000" w:themeColor="text1"/>
            </w:tcBorders>
            <w:hideMark/>
          </w:tcPr>
          <w:p w14:paraId="7C2AF7D1" w14:textId="77777777" w:rsidR="00A0243A" w:rsidRDefault="00A0243A" w:rsidP="00A8388C">
            <w:pPr>
              <w:pStyle w:val="NormalWeb"/>
              <w:jc w:val="center"/>
            </w:pPr>
            <w:r>
              <w:t>28.8</w:t>
            </w:r>
          </w:p>
        </w:tc>
        <w:tc>
          <w:tcPr>
            <w:tcW w:w="0" w:type="auto"/>
            <w:tcBorders>
              <w:left w:val="single" w:sz="2" w:space="0" w:color="000000" w:themeColor="text1"/>
              <w:right w:val="single" w:sz="2" w:space="0" w:color="000000" w:themeColor="text1"/>
            </w:tcBorders>
            <w:hideMark/>
          </w:tcPr>
          <w:p w14:paraId="1771F813" w14:textId="77777777" w:rsidR="00A0243A" w:rsidRDefault="00A0243A" w:rsidP="00A8388C">
            <w:pPr>
              <w:pStyle w:val="NormalWeb"/>
              <w:jc w:val="center"/>
            </w:pPr>
            <w:r>
              <w:t>20.0</w:t>
            </w:r>
          </w:p>
        </w:tc>
        <w:tc>
          <w:tcPr>
            <w:tcW w:w="0" w:type="auto"/>
            <w:tcBorders>
              <w:left w:val="single" w:sz="2" w:space="0" w:color="000000" w:themeColor="text1"/>
              <w:right w:val="single" w:sz="2" w:space="0" w:color="000000" w:themeColor="text1"/>
            </w:tcBorders>
            <w:hideMark/>
          </w:tcPr>
          <w:p w14:paraId="0A46C127" w14:textId="77777777" w:rsidR="00A0243A" w:rsidRDefault="00A0243A" w:rsidP="00A8388C">
            <w:pPr>
              <w:pStyle w:val="NormalWeb"/>
              <w:jc w:val="center"/>
            </w:pPr>
            <w:r>
              <w:t>7–46</w:t>
            </w:r>
          </w:p>
        </w:tc>
        <w:tc>
          <w:tcPr>
            <w:tcW w:w="0" w:type="auto"/>
            <w:tcBorders>
              <w:left w:val="single" w:sz="2" w:space="0" w:color="000000" w:themeColor="text1"/>
              <w:right w:val="single" w:sz="2" w:space="0" w:color="000000" w:themeColor="text1"/>
            </w:tcBorders>
            <w:hideMark/>
          </w:tcPr>
          <w:p w14:paraId="576CBD3F" w14:textId="77777777" w:rsidR="00A0243A" w:rsidRDefault="00A0243A" w:rsidP="00A8388C">
            <w:pPr>
              <w:pStyle w:val="NormalWeb"/>
              <w:jc w:val="center"/>
            </w:pPr>
            <w:r>
              <w:t>69.4%</w:t>
            </w:r>
          </w:p>
        </w:tc>
        <w:tc>
          <w:tcPr>
            <w:tcW w:w="0" w:type="auto"/>
            <w:tcBorders>
              <w:left w:val="single" w:sz="2" w:space="0" w:color="000000" w:themeColor="text1"/>
              <w:right w:val="single" w:sz="2" w:space="0" w:color="000000" w:themeColor="text1"/>
            </w:tcBorders>
            <w:hideMark/>
          </w:tcPr>
          <w:p w14:paraId="01A5100E" w14:textId="77777777" w:rsidR="00A0243A" w:rsidRDefault="00A0243A" w:rsidP="00A8388C">
            <w:pPr>
              <w:pStyle w:val="NormalWeb"/>
              <w:jc w:val="center"/>
            </w:pPr>
            <w:r>
              <w:t>5</w:t>
            </w:r>
          </w:p>
        </w:tc>
        <w:tc>
          <w:tcPr>
            <w:tcW w:w="0" w:type="auto"/>
            <w:tcBorders>
              <w:left w:val="single" w:sz="2" w:space="0" w:color="000000" w:themeColor="text1"/>
              <w:right w:val="single" w:sz="2" w:space="0" w:color="000000" w:themeColor="text1"/>
            </w:tcBorders>
            <w:hideMark/>
          </w:tcPr>
          <w:p w14:paraId="3465875C" w14:textId="77777777" w:rsidR="00A0243A" w:rsidRDefault="00A0243A" w:rsidP="00A8388C">
            <w:pPr>
              <w:pStyle w:val="NormalWeb"/>
              <w:jc w:val="center"/>
            </w:pPr>
            <w:r>
              <w:t>1</w:t>
            </w:r>
          </w:p>
        </w:tc>
        <w:tc>
          <w:tcPr>
            <w:tcW w:w="0" w:type="auto"/>
            <w:tcBorders>
              <w:left w:val="single" w:sz="2" w:space="0" w:color="000000" w:themeColor="text1"/>
            </w:tcBorders>
            <w:hideMark/>
          </w:tcPr>
          <w:p w14:paraId="36069696" w14:textId="77777777" w:rsidR="00A0243A" w:rsidRDefault="00A0243A" w:rsidP="00A8388C">
            <w:pPr>
              <w:pStyle w:val="NormalWeb"/>
              <w:jc w:val="center"/>
            </w:pPr>
            <w:r>
              <w:t>20.0%</w:t>
            </w:r>
          </w:p>
        </w:tc>
      </w:tr>
      <w:tr w:rsidR="00A0243A" w14:paraId="21BA84A3" w14:textId="77777777" w:rsidTr="00A8388C">
        <w:tc>
          <w:tcPr>
            <w:tcW w:w="0" w:type="auto"/>
            <w:tcBorders>
              <w:right w:val="single" w:sz="2" w:space="0" w:color="000000" w:themeColor="text1"/>
            </w:tcBorders>
            <w:hideMark/>
          </w:tcPr>
          <w:p w14:paraId="65865D24" w14:textId="77777777" w:rsidR="00A0243A" w:rsidRDefault="00A0243A">
            <w:pPr>
              <w:pStyle w:val="NormalWeb"/>
            </w:pPr>
            <w:r>
              <w:t>August</w:t>
            </w:r>
          </w:p>
        </w:tc>
        <w:tc>
          <w:tcPr>
            <w:tcW w:w="0" w:type="auto"/>
            <w:tcBorders>
              <w:left w:val="single" w:sz="2" w:space="0" w:color="000000" w:themeColor="text1"/>
              <w:right w:val="single" w:sz="2" w:space="0" w:color="000000" w:themeColor="text1"/>
            </w:tcBorders>
            <w:hideMark/>
          </w:tcPr>
          <w:p w14:paraId="6EB0091D" w14:textId="77777777" w:rsidR="00A0243A" w:rsidRDefault="00A0243A" w:rsidP="00A8388C">
            <w:pPr>
              <w:pStyle w:val="NormalWeb"/>
              <w:jc w:val="center"/>
            </w:pPr>
            <w:r>
              <w:t>26.2</w:t>
            </w:r>
          </w:p>
        </w:tc>
        <w:tc>
          <w:tcPr>
            <w:tcW w:w="0" w:type="auto"/>
            <w:tcBorders>
              <w:left w:val="single" w:sz="2" w:space="0" w:color="000000" w:themeColor="text1"/>
              <w:right w:val="single" w:sz="2" w:space="0" w:color="000000" w:themeColor="text1"/>
            </w:tcBorders>
            <w:hideMark/>
          </w:tcPr>
          <w:p w14:paraId="725A91F9" w14:textId="77777777" w:rsidR="00A0243A" w:rsidRDefault="00A0243A" w:rsidP="00A8388C">
            <w:pPr>
              <w:pStyle w:val="NormalWeb"/>
              <w:jc w:val="center"/>
            </w:pPr>
            <w:r>
              <w:t>17.4</w:t>
            </w:r>
          </w:p>
        </w:tc>
        <w:tc>
          <w:tcPr>
            <w:tcW w:w="0" w:type="auto"/>
            <w:tcBorders>
              <w:left w:val="single" w:sz="2" w:space="0" w:color="000000" w:themeColor="text1"/>
              <w:right w:val="single" w:sz="2" w:space="0" w:color="000000" w:themeColor="text1"/>
            </w:tcBorders>
            <w:hideMark/>
          </w:tcPr>
          <w:p w14:paraId="179EE1CA" w14:textId="77777777" w:rsidR="00A0243A" w:rsidRDefault="00A0243A" w:rsidP="00A8388C">
            <w:pPr>
              <w:pStyle w:val="NormalWeb"/>
              <w:jc w:val="center"/>
            </w:pPr>
            <w:r>
              <w:t>6–36</w:t>
            </w:r>
          </w:p>
        </w:tc>
        <w:tc>
          <w:tcPr>
            <w:tcW w:w="0" w:type="auto"/>
            <w:tcBorders>
              <w:left w:val="single" w:sz="2" w:space="0" w:color="000000" w:themeColor="text1"/>
              <w:right w:val="single" w:sz="2" w:space="0" w:color="000000" w:themeColor="text1"/>
            </w:tcBorders>
            <w:hideMark/>
          </w:tcPr>
          <w:p w14:paraId="4548BE40" w14:textId="77777777" w:rsidR="00A0243A" w:rsidRDefault="00A0243A" w:rsidP="00A8388C">
            <w:pPr>
              <w:pStyle w:val="NormalWeb"/>
              <w:jc w:val="center"/>
            </w:pPr>
            <w:r>
              <w:t>66.4%</w:t>
            </w:r>
          </w:p>
        </w:tc>
        <w:tc>
          <w:tcPr>
            <w:tcW w:w="0" w:type="auto"/>
            <w:tcBorders>
              <w:left w:val="single" w:sz="2" w:space="0" w:color="000000" w:themeColor="text1"/>
              <w:right w:val="single" w:sz="2" w:space="0" w:color="000000" w:themeColor="text1"/>
            </w:tcBorders>
            <w:hideMark/>
          </w:tcPr>
          <w:p w14:paraId="12B77C1D" w14:textId="77777777" w:rsidR="00A0243A" w:rsidRDefault="00A0243A" w:rsidP="00A8388C">
            <w:pPr>
              <w:pStyle w:val="NormalWeb"/>
              <w:jc w:val="center"/>
            </w:pPr>
            <w:r>
              <w:t>2</w:t>
            </w:r>
          </w:p>
        </w:tc>
        <w:tc>
          <w:tcPr>
            <w:tcW w:w="0" w:type="auto"/>
            <w:tcBorders>
              <w:left w:val="single" w:sz="2" w:space="0" w:color="000000" w:themeColor="text1"/>
              <w:right w:val="single" w:sz="2" w:space="0" w:color="000000" w:themeColor="text1"/>
            </w:tcBorders>
            <w:hideMark/>
          </w:tcPr>
          <w:p w14:paraId="2421165D" w14:textId="77777777" w:rsidR="00A0243A" w:rsidRDefault="00A0243A" w:rsidP="00A8388C">
            <w:pPr>
              <w:pStyle w:val="NormalWeb"/>
              <w:jc w:val="center"/>
            </w:pPr>
            <w:r>
              <w:t>0</w:t>
            </w:r>
          </w:p>
        </w:tc>
        <w:tc>
          <w:tcPr>
            <w:tcW w:w="0" w:type="auto"/>
            <w:tcBorders>
              <w:left w:val="single" w:sz="2" w:space="0" w:color="000000" w:themeColor="text1"/>
            </w:tcBorders>
            <w:hideMark/>
          </w:tcPr>
          <w:p w14:paraId="2463BF9C" w14:textId="77777777" w:rsidR="00A0243A" w:rsidRDefault="00A0243A" w:rsidP="00A8388C">
            <w:pPr>
              <w:pStyle w:val="NormalWeb"/>
              <w:jc w:val="center"/>
            </w:pPr>
            <w:r>
              <w:t>0.0%</w:t>
            </w:r>
          </w:p>
        </w:tc>
      </w:tr>
      <w:tr w:rsidR="00A0243A" w14:paraId="0B37AF2D"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B7F2734" w14:textId="77777777" w:rsidR="00A0243A" w:rsidRDefault="00A0243A">
            <w:pPr>
              <w:pStyle w:val="NormalWeb"/>
            </w:pPr>
            <w:r>
              <w:t>September</w:t>
            </w:r>
          </w:p>
        </w:tc>
        <w:tc>
          <w:tcPr>
            <w:tcW w:w="0" w:type="auto"/>
            <w:tcBorders>
              <w:left w:val="single" w:sz="2" w:space="0" w:color="000000" w:themeColor="text1"/>
              <w:right w:val="single" w:sz="2" w:space="0" w:color="000000" w:themeColor="text1"/>
            </w:tcBorders>
            <w:hideMark/>
          </w:tcPr>
          <w:p w14:paraId="280F9C08" w14:textId="77777777" w:rsidR="00A0243A" w:rsidRDefault="00A0243A" w:rsidP="00A8388C">
            <w:pPr>
              <w:pStyle w:val="NormalWeb"/>
              <w:jc w:val="center"/>
            </w:pPr>
            <w:r>
              <w:t>22.8</w:t>
            </w:r>
          </w:p>
        </w:tc>
        <w:tc>
          <w:tcPr>
            <w:tcW w:w="0" w:type="auto"/>
            <w:tcBorders>
              <w:left w:val="single" w:sz="2" w:space="0" w:color="000000" w:themeColor="text1"/>
              <w:right w:val="single" w:sz="2" w:space="0" w:color="000000" w:themeColor="text1"/>
            </w:tcBorders>
            <w:hideMark/>
          </w:tcPr>
          <w:p w14:paraId="79E1A3D6" w14:textId="77777777" w:rsidR="00A0243A" w:rsidRDefault="00A0243A" w:rsidP="00A8388C">
            <w:pPr>
              <w:pStyle w:val="NormalWeb"/>
              <w:jc w:val="center"/>
            </w:pPr>
            <w:r>
              <w:t>14.7</w:t>
            </w:r>
          </w:p>
        </w:tc>
        <w:tc>
          <w:tcPr>
            <w:tcW w:w="0" w:type="auto"/>
            <w:tcBorders>
              <w:left w:val="single" w:sz="2" w:space="0" w:color="000000" w:themeColor="text1"/>
              <w:right w:val="single" w:sz="2" w:space="0" w:color="000000" w:themeColor="text1"/>
            </w:tcBorders>
            <w:hideMark/>
          </w:tcPr>
          <w:p w14:paraId="60574D24" w14:textId="77777777" w:rsidR="00A0243A" w:rsidRDefault="00A0243A" w:rsidP="00A8388C">
            <w:pPr>
              <w:pStyle w:val="NormalWeb"/>
              <w:jc w:val="center"/>
            </w:pPr>
            <w:r>
              <w:t>7–28</w:t>
            </w:r>
          </w:p>
        </w:tc>
        <w:tc>
          <w:tcPr>
            <w:tcW w:w="0" w:type="auto"/>
            <w:tcBorders>
              <w:left w:val="single" w:sz="2" w:space="0" w:color="000000" w:themeColor="text1"/>
              <w:right w:val="single" w:sz="2" w:space="0" w:color="000000" w:themeColor="text1"/>
            </w:tcBorders>
            <w:hideMark/>
          </w:tcPr>
          <w:p w14:paraId="1037366C" w14:textId="77777777" w:rsidR="00A0243A" w:rsidRDefault="00A0243A" w:rsidP="00A8388C">
            <w:pPr>
              <w:pStyle w:val="NormalWeb"/>
              <w:jc w:val="center"/>
            </w:pPr>
            <w:r>
              <w:t>64.5%</w:t>
            </w:r>
          </w:p>
        </w:tc>
        <w:tc>
          <w:tcPr>
            <w:tcW w:w="0" w:type="auto"/>
            <w:tcBorders>
              <w:left w:val="single" w:sz="2" w:space="0" w:color="000000" w:themeColor="text1"/>
              <w:right w:val="single" w:sz="2" w:space="0" w:color="000000" w:themeColor="text1"/>
            </w:tcBorders>
            <w:hideMark/>
          </w:tcPr>
          <w:p w14:paraId="312F86A1" w14:textId="77777777" w:rsidR="00A0243A" w:rsidRDefault="00A0243A" w:rsidP="00A8388C">
            <w:pPr>
              <w:pStyle w:val="NormalWeb"/>
              <w:jc w:val="center"/>
            </w:pPr>
            <w:r>
              <w:t>3</w:t>
            </w:r>
          </w:p>
        </w:tc>
        <w:tc>
          <w:tcPr>
            <w:tcW w:w="0" w:type="auto"/>
            <w:tcBorders>
              <w:left w:val="single" w:sz="2" w:space="0" w:color="000000" w:themeColor="text1"/>
              <w:right w:val="single" w:sz="2" w:space="0" w:color="000000" w:themeColor="text1"/>
            </w:tcBorders>
            <w:hideMark/>
          </w:tcPr>
          <w:p w14:paraId="074CAD93" w14:textId="77777777" w:rsidR="00A0243A" w:rsidRDefault="00A0243A" w:rsidP="00A8388C">
            <w:pPr>
              <w:pStyle w:val="NormalWeb"/>
              <w:jc w:val="center"/>
            </w:pPr>
            <w:r>
              <w:t>0</w:t>
            </w:r>
          </w:p>
        </w:tc>
        <w:tc>
          <w:tcPr>
            <w:tcW w:w="0" w:type="auto"/>
            <w:tcBorders>
              <w:left w:val="single" w:sz="2" w:space="0" w:color="000000" w:themeColor="text1"/>
            </w:tcBorders>
            <w:hideMark/>
          </w:tcPr>
          <w:p w14:paraId="23ABA723" w14:textId="77777777" w:rsidR="00A0243A" w:rsidRDefault="00A0243A" w:rsidP="00A8388C">
            <w:pPr>
              <w:pStyle w:val="NormalWeb"/>
              <w:jc w:val="center"/>
            </w:pPr>
            <w:r>
              <w:t>0.0%</w:t>
            </w:r>
          </w:p>
        </w:tc>
      </w:tr>
      <w:tr w:rsidR="00A0243A" w:rsidRPr="002A59A5" w14:paraId="559A9FDB" w14:textId="77777777" w:rsidTr="00A8388C">
        <w:tc>
          <w:tcPr>
            <w:tcW w:w="0" w:type="auto"/>
            <w:tcBorders>
              <w:right w:val="single" w:sz="2" w:space="0" w:color="000000" w:themeColor="text1"/>
            </w:tcBorders>
            <w:shd w:val="clear" w:color="auto" w:fill="FDE9D9" w:themeFill="accent6" w:themeFillTint="33"/>
            <w:hideMark/>
          </w:tcPr>
          <w:p w14:paraId="7248136F" w14:textId="77777777" w:rsidR="00A0243A" w:rsidRPr="002A59A5" w:rsidRDefault="00A0243A">
            <w:pPr>
              <w:pStyle w:val="NormalWeb"/>
              <w:rPr>
                <w:b/>
              </w:rPr>
            </w:pPr>
            <w:r w:rsidRPr="002A59A5">
              <w:rPr>
                <w:b/>
              </w:rPr>
              <w:t>Total</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521E6B1B" w14:textId="77777777" w:rsidR="00A0243A" w:rsidRPr="002A59A5" w:rsidRDefault="00A0243A" w:rsidP="00A8388C">
            <w:pPr>
              <w:pStyle w:val="NormalWeb"/>
              <w:jc w:val="center"/>
              <w:rPr>
                <w:b/>
              </w:rPr>
            </w:pPr>
            <w:r w:rsidRPr="002A59A5">
              <w:rPr>
                <w:b/>
              </w:rPr>
              <w:t>183.3</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73FFC64B" w14:textId="77777777" w:rsidR="00A0243A" w:rsidRPr="002A59A5" w:rsidRDefault="00A0243A" w:rsidP="00A8388C">
            <w:pPr>
              <w:pStyle w:val="NormalWeb"/>
              <w:jc w:val="center"/>
              <w:rPr>
                <w:b/>
              </w:rPr>
            </w:pPr>
            <w:r w:rsidRPr="002A59A5">
              <w:rPr>
                <w:b/>
              </w:rPr>
              <w:t>112.8</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36672322" w14:textId="77777777" w:rsidR="00A0243A" w:rsidRPr="002A59A5" w:rsidRDefault="00A0243A" w:rsidP="00A8388C">
            <w:pPr>
              <w:pStyle w:val="NormalWeb"/>
              <w:jc w:val="center"/>
              <w:rPr>
                <w:b/>
              </w:rPr>
            </w:pPr>
            <w:r w:rsidRPr="002A59A5">
              <w:rPr>
                <w:b/>
              </w:rPr>
              <w:t>64–197</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2DBB9ACE" w14:textId="77777777" w:rsidR="00A0243A" w:rsidRPr="002A59A5" w:rsidRDefault="00A0243A" w:rsidP="00A8388C">
            <w:pPr>
              <w:pStyle w:val="NormalWeb"/>
              <w:jc w:val="center"/>
              <w:rPr>
                <w:b/>
              </w:rPr>
            </w:pPr>
            <w:r w:rsidRPr="002A59A5">
              <w:rPr>
                <w:b/>
              </w:rPr>
              <w:t>61.5%</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112EA74E" w14:textId="77777777" w:rsidR="00A0243A" w:rsidRPr="002A59A5" w:rsidRDefault="00A0243A" w:rsidP="00A8388C">
            <w:pPr>
              <w:pStyle w:val="NormalWeb"/>
              <w:jc w:val="center"/>
              <w:rPr>
                <w:b/>
              </w:rPr>
            </w:pPr>
            <w:r w:rsidRPr="002A59A5">
              <w:rPr>
                <w:b/>
              </w:rPr>
              <w:t>51</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45D52657" w14:textId="77777777" w:rsidR="00A0243A" w:rsidRPr="002A59A5" w:rsidRDefault="00A0243A" w:rsidP="00A8388C">
            <w:pPr>
              <w:pStyle w:val="NormalWeb"/>
              <w:jc w:val="center"/>
              <w:rPr>
                <w:b/>
              </w:rPr>
            </w:pPr>
            <w:r w:rsidRPr="002A59A5">
              <w:rPr>
                <w:b/>
              </w:rPr>
              <w:t>16</w:t>
            </w:r>
          </w:p>
        </w:tc>
        <w:tc>
          <w:tcPr>
            <w:tcW w:w="0" w:type="auto"/>
            <w:tcBorders>
              <w:left w:val="single" w:sz="2" w:space="0" w:color="000000" w:themeColor="text1"/>
            </w:tcBorders>
            <w:shd w:val="clear" w:color="auto" w:fill="FDE9D9" w:themeFill="accent6" w:themeFillTint="33"/>
            <w:hideMark/>
          </w:tcPr>
          <w:p w14:paraId="1D2CAAA1" w14:textId="77777777" w:rsidR="00A0243A" w:rsidRPr="002A59A5" w:rsidRDefault="00A0243A" w:rsidP="00A8388C">
            <w:pPr>
              <w:pStyle w:val="NormalWeb"/>
              <w:jc w:val="center"/>
              <w:rPr>
                <w:b/>
              </w:rPr>
            </w:pPr>
            <w:r w:rsidRPr="002A59A5">
              <w:rPr>
                <w:b/>
              </w:rPr>
              <w:t>31.4%</w:t>
            </w:r>
          </w:p>
        </w:tc>
      </w:tr>
    </w:tbl>
    <w:p w14:paraId="27F36555" w14:textId="77777777" w:rsidR="007479E0" w:rsidRDefault="007479E0" w:rsidP="00A0243A"/>
    <w:p w14:paraId="3F834060" w14:textId="77777777" w:rsidR="00A0243A" w:rsidRDefault="00A0243A" w:rsidP="00A0243A">
      <w:r>
        <w:t xml:space="preserve">From January 2010 to September 2020 inclusive, VIDRL received faecal specimens from 2,582 gastroenteritis outbreaks for norovirus RT-PCR testing, of which 1,585 outbreaks (61.4%) had norovirus RNA detected in at least one specimen. When the trends in referrals of faecal specimens from gastroenteritis outbreaks and the percentage of outbreaks positive for norovirus were examined for the decade 2010–2019, compared to 2020, a distinct difference was observed (Figure 3). In 2010–2019, the average number of norovirus outbreaks referred each year from January to September was 183.3, but in 2020 it declined to 51, a reduction of 72.2% (Table 2, Figure 4). Additionally, the norovirus positivity rate reduced from an average of 61.5% of outbreaks in January to September in 2010 to 2019, to an average of 31.4% in 2020 (Table 2, Figure 4), a 49.0% reduction (paired two-tailed t-test: </w:t>
      </w:r>
      <w:r w:rsidRPr="006E4076">
        <w:rPr>
          <w:rStyle w:val="Emphasis"/>
          <w:b w:val="0"/>
        </w:rPr>
        <w:t>p</w:t>
      </w:r>
      <w:r>
        <w:t xml:space="preserve"> &lt; 0.05).</w:t>
      </w:r>
    </w:p>
    <w:p w14:paraId="29497C31" w14:textId="77777777" w:rsidR="007479E0" w:rsidRDefault="007479E0">
      <w:pPr>
        <w:rPr>
          <w:b/>
        </w:rPr>
      </w:pPr>
      <w:r>
        <w:br w:type="page"/>
      </w:r>
    </w:p>
    <w:p w14:paraId="032E2B10" w14:textId="77777777" w:rsidR="00A0243A" w:rsidRDefault="00A0243A" w:rsidP="00A0243A">
      <w:pPr>
        <w:pStyle w:val="CDIFigures"/>
      </w:pPr>
      <w:r>
        <w:lastRenderedPageBreak/>
        <w:t>Table 2: Average number of gastroenteritis outbreaks with specimens tested for norovirus RNA and the norovirus positivity rate for January to September 2010–2019, compared to the same period of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average number of gastroenteritis outbreaks tested for norovirus, average number of norovirus detections and the average positivity rates for January to September in 2010 to 2019, compared to those values seen in 2020.&#10;"/>
      </w:tblPr>
      <w:tblGrid>
        <w:gridCol w:w="1102"/>
        <w:gridCol w:w="1252"/>
        <w:gridCol w:w="1478"/>
        <w:gridCol w:w="1468"/>
        <w:gridCol w:w="1313"/>
        <w:gridCol w:w="1190"/>
        <w:gridCol w:w="1416"/>
        <w:gridCol w:w="1247"/>
      </w:tblGrid>
      <w:tr w:rsidR="00D4449E" w:rsidRPr="00D4449E" w14:paraId="52037260" w14:textId="77777777" w:rsidTr="00C57271">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4" w:space="0" w:color="FFFFFF" w:themeColor="background1"/>
            </w:tcBorders>
            <w:hideMark/>
          </w:tcPr>
          <w:p w14:paraId="1D36AE53" w14:textId="77777777" w:rsidR="00A0243A" w:rsidRPr="00D4449E" w:rsidRDefault="00A0243A">
            <w:pPr>
              <w:rPr>
                <w:color w:val="FFFFFF" w:themeColor="background1"/>
              </w:rPr>
            </w:pPr>
          </w:p>
        </w:tc>
        <w:tc>
          <w:tcPr>
            <w:tcW w:w="0" w:type="auto"/>
            <w:gridSpan w:val="4"/>
            <w:tcBorders>
              <w:left w:val="single" w:sz="4" w:space="0" w:color="FFFFFF" w:themeColor="background1"/>
              <w:right w:val="single" w:sz="4" w:space="0" w:color="FFFFFF" w:themeColor="background1"/>
            </w:tcBorders>
            <w:hideMark/>
          </w:tcPr>
          <w:p w14:paraId="55CA71C2" w14:textId="77777777" w:rsidR="00A0243A" w:rsidRPr="00D4449E" w:rsidRDefault="00A0243A" w:rsidP="002041E0">
            <w:pPr>
              <w:pStyle w:val="NormalWeb"/>
              <w:jc w:val="center"/>
              <w:rPr>
                <w:color w:val="FFFFFF" w:themeColor="background1"/>
                <w:sz w:val="24"/>
                <w:szCs w:val="24"/>
              </w:rPr>
            </w:pPr>
            <w:r w:rsidRPr="00D4449E">
              <w:rPr>
                <w:color w:val="FFFFFF" w:themeColor="background1"/>
              </w:rPr>
              <w:t>2010–2019</w:t>
            </w:r>
          </w:p>
        </w:tc>
        <w:tc>
          <w:tcPr>
            <w:tcW w:w="0" w:type="auto"/>
            <w:gridSpan w:val="3"/>
            <w:tcBorders>
              <w:left w:val="single" w:sz="4" w:space="0" w:color="FFFFFF" w:themeColor="background1"/>
            </w:tcBorders>
            <w:hideMark/>
          </w:tcPr>
          <w:p w14:paraId="527AF485" w14:textId="77777777" w:rsidR="00A0243A" w:rsidRPr="00D4449E" w:rsidRDefault="00A0243A" w:rsidP="002041E0">
            <w:pPr>
              <w:pStyle w:val="NormalWeb"/>
              <w:jc w:val="center"/>
              <w:rPr>
                <w:color w:val="FFFFFF" w:themeColor="background1"/>
              </w:rPr>
            </w:pPr>
            <w:r w:rsidRPr="00D4449E">
              <w:rPr>
                <w:color w:val="FFFFFF" w:themeColor="background1"/>
              </w:rPr>
              <w:t>2020</w:t>
            </w:r>
          </w:p>
        </w:tc>
      </w:tr>
      <w:tr w:rsidR="00A0243A" w14:paraId="4B427D05" w14:textId="77777777" w:rsidTr="00A8388C">
        <w:tc>
          <w:tcPr>
            <w:tcW w:w="0" w:type="auto"/>
            <w:tcBorders>
              <w:right w:val="single" w:sz="2" w:space="0" w:color="000000" w:themeColor="text1"/>
            </w:tcBorders>
            <w:hideMark/>
          </w:tcPr>
          <w:p w14:paraId="6947A178" w14:textId="77777777" w:rsidR="00A0243A" w:rsidRDefault="00A0243A"/>
        </w:tc>
        <w:tc>
          <w:tcPr>
            <w:tcW w:w="0" w:type="auto"/>
            <w:tcBorders>
              <w:left w:val="single" w:sz="2" w:space="0" w:color="000000" w:themeColor="text1"/>
              <w:right w:val="single" w:sz="2" w:space="0" w:color="000000" w:themeColor="text1"/>
            </w:tcBorders>
            <w:hideMark/>
          </w:tcPr>
          <w:p w14:paraId="7C0A5534" w14:textId="77777777" w:rsidR="00A0243A" w:rsidRDefault="00A0243A" w:rsidP="00A8388C">
            <w:pPr>
              <w:pStyle w:val="NormalWeb"/>
              <w:jc w:val="center"/>
              <w:rPr>
                <w:sz w:val="24"/>
                <w:szCs w:val="24"/>
              </w:rPr>
            </w:pPr>
            <w:r>
              <w:t>Average number of specimens tested</w:t>
            </w:r>
          </w:p>
        </w:tc>
        <w:tc>
          <w:tcPr>
            <w:tcW w:w="0" w:type="auto"/>
            <w:tcBorders>
              <w:left w:val="single" w:sz="2" w:space="0" w:color="000000" w:themeColor="text1"/>
              <w:right w:val="single" w:sz="2" w:space="0" w:color="000000" w:themeColor="text1"/>
            </w:tcBorders>
            <w:hideMark/>
          </w:tcPr>
          <w:p w14:paraId="33739936" w14:textId="77777777" w:rsidR="00A0243A" w:rsidRDefault="00A0243A" w:rsidP="00A8388C">
            <w:pPr>
              <w:pStyle w:val="NormalWeb"/>
              <w:jc w:val="center"/>
            </w:pPr>
            <w:r>
              <w:t>Average number of specimens with enterovirus detected</w:t>
            </w:r>
          </w:p>
        </w:tc>
        <w:tc>
          <w:tcPr>
            <w:tcW w:w="0" w:type="auto"/>
            <w:tcBorders>
              <w:left w:val="single" w:sz="2" w:space="0" w:color="000000" w:themeColor="text1"/>
              <w:right w:val="single" w:sz="2" w:space="0" w:color="000000" w:themeColor="text1"/>
            </w:tcBorders>
            <w:hideMark/>
          </w:tcPr>
          <w:p w14:paraId="74C9870E" w14:textId="77777777" w:rsidR="00A0243A" w:rsidRDefault="00A0243A" w:rsidP="00A8388C">
            <w:pPr>
              <w:pStyle w:val="NormalWeb"/>
              <w:jc w:val="center"/>
            </w:pPr>
            <w:r>
              <w:t>Range of specimen number with enterovirus detections</w:t>
            </w:r>
          </w:p>
        </w:tc>
        <w:tc>
          <w:tcPr>
            <w:tcW w:w="0" w:type="auto"/>
            <w:tcBorders>
              <w:left w:val="single" w:sz="2" w:space="0" w:color="000000" w:themeColor="text1"/>
              <w:right w:val="single" w:sz="2" w:space="0" w:color="000000" w:themeColor="text1"/>
            </w:tcBorders>
            <w:hideMark/>
          </w:tcPr>
          <w:p w14:paraId="724F0723" w14:textId="77777777" w:rsidR="00A0243A" w:rsidRDefault="00A0243A" w:rsidP="00A8388C">
            <w:pPr>
              <w:pStyle w:val="NormalWeb"/>
              <w:jc w:val="center"/>
            </w:pPr>
            <w:r>
              <w:t>Average enterovirus positivity rate</w:t>
            </w:r>
          </w:p>
        </w:tc>
        <w:tc>
          <w:tcPr>
            <w:tcW w:w="0" w:type="auto"/>
            <w:tcBorders>
              <w:left w:val="single" w:sz="2" w:space="0" w:color="000000" w:themeColor="text1"/>
              <w:right w:val="single" w:sz="2" w:space="0" w:color="000000" w:themeColor="text1"/>
            </w:tcBorders>
            <w:hideMark/>
          </w:tcPr>
          <w:p w14:paraId="5CD1CF03" w14:textId="77777777" w:rsidR="00A0243A" w:rsidRDefault="00A0243A" w:rsidP="00A8388C">
            <w:pPr>
              <w:pStyle w:val="NormalWeb"/>
              <w:jc w:val="center"/>
            </w:pPr>
            <w:r>
              <w:t>Number of specimens tested</w:t>
            </w:r>
          </w:p>
        </w:tc>
        <w:tc>
          <w:tcPr>
            <w:tcW w:w="0" w:type="auto"/>
            <w:tcBorders>
              <w:left w:val="single" w:sz="2" w:space="0" w:color="000000" w:themeColor="text1"/>
              <w:right w:val="single" w:sz="2" w:space="0" w:color="000000" w:themeColor="text1"/>
            </w:tcBorders>
            <w:hideMark/>
          </w:tcPr>
          <w:p w14:paraId="77FF8552" w14:textId="77777777" w:rsidR="00A0243A" w:rsidRDefault="00A0243A" w:rsidP="00A8388C">
            <w:pPr>
              <w:pStyle w:val="NormalWeb"/>
              <w:jc w:val="center"/>
            </w:pPr>
            <w:r>
              <w:t>Number of specimens with enterovirus detected</w:t>
            </w:r>
          </w:p>
        </w:tc>
        <w:tc>
          <w:tcPr>
            <w:tcW w:w="0" w:type="auto"/>
            <w:tcBorders>
              <w:left w:val="single" w:sz="2" w:space="0" w:color="000000" w:themeColor="text1"/>
            </w:tcBorders>
            <w:hideMark/>
          </w:tcPr>
          <w:p w14:paraId="20AA95D3" w14:textId="77777777" w:rsidR="00A0243A" w:rsidRDefault="00A0243A" w:rsidP="00A8388C">
            <w:pPr>
              <w:pStyle w:val="NormalWeb"/>
              <w:jc w:val="center"/>
            </w:pPr>
            <w:r>
              <w:t>Enterovirus positivity rate</w:t>
            </w:r>
          </w:p>
        </w:tc>
      </w:tr>
      <w:tr w:rsidR="00A0243A" w14:paraId="036C928C"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0C2F997" w14:textId="77777777" w:rsidR="00A0243A" w:rsidRDefault="00A0243A">
            <w:pPr>
              <w:pStyle w:val="NormalWeb"/>
            </w:pPr>
            <w:r>
              <w:t>January</w:t>
            </w:r>
          </w:p>
        </w:tc>
        <w:tc>
          <w:tcPr>
            <w:tcW w:w="0" w:type="auto"/>
            <w:tcBorders>
              <w:left w:val="single" w:sz="2" w:space="0" w:color="000000" w:themeColor="text1"/>
              <w:right w:val="single" w:sz="2" w:space="0" w:color="000000" w:themeColor="text1"/>
            </w:tcBorders>
            <w:hideMark/>
          </w:tcPr>
          <w:p w14:paraId="62EDE85A" w14:textId="77777777" w:rsidR="00A0243A" w:rsidRDefault="00A0243A" w:rsidP="00A8388C">
            <w:pPr>
              <w:pStyle w:val="NormalWeb"/>
              <w:jc w:val="center"/>
            </w:pPr>
            <w:r>
              <w:t>158.4</w:t>
            </w:r>
          </w:p>
        </w:tc>
        <w:tc>
          <w:tcPr>
            <w:tcW w:w="0" w:type="auto"/>
            <w:tcBorders>
              <w:left w:val="single" w:sz="2" w:space="0" w:color="000000" w:themeColor="text1"/>
              <w:right w:val="single" w:sz="2" w:space="0" w:color="000000" w:themeColor="text1"/>
            </w:tcBorders>
            <w:hideMark/>
          </w:tcPr>
          <w:p w14:paraId="5BF79E02" w14:textId="77777777" w:rsidR="00A0243A" w:rsidRDefault="00A0243A" w:rsidP="00A8388C">
            <w:pPr>
              <w:pStyle w:val="NormalWeb"/>
              <w:jc w:val="center"/>
            </w:pPr>
            <w:r>
              <w:t>16.2</w:t>
            </w:r>
          </w:p>
        </w:tc>
        <w:tc>
          <w:tcPr>
            <w:tcW w:w="0" w:type="auto"/>
            <w:tcBorders>
              <w:left w:val="single" w:sz="2" w:space="0" w:color="000000" w:themeColor="text1"/>
              <w:right w:val="single" w:sz="2" w:space="0" w:color="000000" w:themeColor="text1"/>
            </w:tcBorders>
            <w:hideMark/>
          </w:tcPr>
          <w:p w14:paraId="4575A059" w14:textId="77777777" w:rsidR="00A0243A" w:rsidRDefault="00A0243A" w:rsidP="00A8388C">
            <w:pPr>
              <w:pStyle w:val="NormalWeb"/>
              <w:jc w:val="center"/>
            </w:pPr>
            <w:r>
              <w:t>8–22</w:t>
            </w:r>
          </w:p>
        </w:tc>
        <w:tc>
          <w:tcPr>
            <w:tcW w:w="0" w:type="auto"/>
            <w:tcBorders>
              <w:left w:val="single" w:sz="2" w:space="0" w:color="000000" w:themeColor="text1"/>
              <w:right w:val="single" w:sz="2" w:space="0" w:color="000000" w:themeColor="text1"/>
            </w:tcBorders>
            <w:hideMark/>
          </w:tcPr>
          <w:p w14:paraId="4C954635" w14:textId="77777777" w:rsidR="00A0243A" w:rsidRDefault="00A0243A" w:rsidP="00A8388C">
            <w:pPr>
              <w:pStyle w:val="NormalWeb"/>
              <w:jc w:val="center"/>
            </w:pPr>
            <w:r>
              <w:t>10.4%</w:t>
            </w:r>
          </w:p>
        </w:tc>
        <w:tc>
          <w:tcPr>
            <w:tcW w:w="0" w:type="auto"/>
            <w:tcBorders>
              <w:left w:val="single" w:sz="2" w:space="0" w:color="000000" w:themeColor="text1"/>
              <w:right w:val="single" w:sz="2" w:space="0" w:color="000000" w:themeColor="text1"/>
            </w:tcBorders>
            <w:hideMark/>
          </w:tcPr>
          <w:p w14:paraId="15B32ADC" w14:textId="77777777" w:rsidR="00A0243A" w:rsidRDefault="00A0243A" w:rsidP="00A8388C">
            <w:pPr>
              <w:pStyle w:val="NormalWeb"/>
              <w:jc w:val="center"/>
            </w:pPr>
            <w:r>
              <w:t>203</w:t>
            </w:r>
          </w:p>
        </w:tc>
        <w:tc>
          <w:tcPr>
            <w:tcW w:w="0" w:type="auto"/>
            <w:tcBorders>
              <w:left w:val="single" w:sz="2" w:space="0" w:color="000000" w:themeColor="text1"/>
              <w:right w:val="single" w:sz="2" w:space="0" w:color="000000" w:themeColor="text1"/>
            </w:tcBorders>
            <w:hideMark/>
          </w:tcPr>
          <w:p w14:paraId="157FF7F7" w14:textId="77777777" w:rsidR="00A0243A" w:rsidRDefault="00A0243A" w:rsidP="00A8388C">
            <w:pPr>
              <w:pStyle w:val="NormalWeb"/>
              <w:jc w:val="center"/>
            </w:pPr>
            <w:r>
              <w:t>5</w:t>
            </w:r>
          </w:p>
        </w:tc>
        <w:tc>
          <w:tcPr>
            <w:tcW w:w="0" w:type="auto"/>
            <w:tcBorders>
              <w:left w:val="single" w:sz="2" w:space="0" w:color="000000" w:themeColor="text1"/>
            </w:tcBorders>
            <w:hideMark/>
          </w:tcPr>
          <w:p w14:paraId="6958817D" w14:textId="77777777" w:rsidR="00A0243A" w:rsidRDefault="00A0243A" w:rsidP="00A8388C">
            <w:pPr>
              <w:pStyle w:val="NormalWeb"/>
              <w:jc w:val="center"/>
            </w:pPr>
            <w:r>
              <w:t>2.5%</w:t>
            </w:r>
          </w:p>
        </w:tc>
      </w:tr>
      <w:tr w:rsidR="00A0243A" w14:paraId="75B55ED3" w14:textId="77777777" w:rsidTr="00A8388C">
        <w:tc>
          <w:tcPr>
            <w:tcW w:w="0" w:type="auto"/>
            <w:tcBorders>
              <w:right w:val="single" w:sz="2" w:space="0" w:color="000000" w:themeColor="text1"/>
            </w:tcBorders>
            <w:hideMark/>
          </w:tcPr>
          <w:p w14:paraId="773EBB2E" w14:textId="77777777" w:rsidR="00A0243A" w:rsidRDefault="00A0243A">
            <w:pPr>
              <w:pStyle w:val="NormalWeb"/>
            </w:pPr>
            <w:r>
              <w:t>February</w:t>
            </w:r>
          </w:p>
        </w:tc>
        <w:tc>
          <w:tcPr>
            <w:tcW w:w="0" w:type="auto"/>
            <w:tcBorders>
              <w:left w:val="single" w:sz="2" w:space="0" w:color="000000" w:themeColor="text1"/>
              <w:right w:val="single" w:sz="2" w:space="0" w:color="000000" w:themeColor="text1"/>
            </w:tcBorders>
            <w:hideMark/>
          </w:tcPr>
          <w:p w14:paraId="3C9FC800" w14:textId="77777777" w:rsidR="00A0243A" w:rsidRDefault="00A0243A" w:rsidP="00A8388C">
            <w:pPr>
              <w:pStyle w:val="NormalWeb"/>
              <w:jc w:val="center"/>
            </w:pPr>
            <w:r>
              <w:t>130.8</w:t>
            </w:r>
          </w:p>
        </w:tc>
        <w:tc>
          <w:tcPr>
            <w:tcW w:w="0" w:type="auto"/>
            <w:tcBorders>
              <w:left w:val="single" w:sz="2" w:space="0" w:color="000000" w:themeColor="text1"/>
              <w:right w:val="single" w:sz="2" w:space="0" w:color="000000" w:themeColor="text1"/>
            </w:tcBorders>
            <w:hideMark/>
          </w:tcPr>
          <w:p w14:paraId="58C87E3E" w14:textId="77777777" w:rsidR="00A0243A" w:rsidRDefault="00A0243A" w:rsidP="00A8388C">
            <w:pPr>
              <w:pStyle w:val="NormalWeb"/>
              <w:jc w:val="center"/>
            </w:pPr>
            <w:r>
              <w:t>12.8</w:t>
            </w:r>
          </w:p>
        </w:tc>
        <w:tc>
          <w:tcPr>
            <w:tcW w:w="0" w:type="auto"/>
            <w:tcBorders>
              <w:left w:val="single" w:sz="2" w:space="0" w:color="000000" w:themeColor="text1"/>
              <w:right w:val="single" w:sz="2" w:space="0" w:color="000000" w:themeColor="text1"/>
            </w:tcBorders>
            <w:hideMark/>
          </w:tcPr>
          <w:p w14:paraId="1E9FECFD" w14:textId="77777777" w:rsidR="00A0243A" w:rsidRDefault="00A0243A" w:rsidP="00A8388C">
            <w:pPr>
              <w:pStyle w:val="NormalWeb"/>
              <w:jc w:val="center"/>
            </w:pPr>
            <w:r>
              <w:t>4–26</w:t>
            </w:r>
          </w:p>
        </w:tc>
        <w:tc>
          <w:tcPr>
            <w:tcW w:w="0" w:type="auto"/>
            <w:tcBorders>
              <w:left w:val="single" w:sz="2" w:space="0" w:color="000000" w:themeColor="text1"/>
              <w:right w:val="single" w:sz="2" w:space="0" w:color="000000" w:themeColor="text1"/>
            </w:tcBorders>
            <w:hideMark/>
          </w:tcPr>
          <w:p w14:paraId="78535EED" w14:textId="77777777" w:rsidR="00A0243A" w:rsidRDefault="00A0243A" w:rsidP="00A8388C">
            <w:pPr>
              <w:pStyle w:val="NormalWeb"/>
              <w:jc w:val="center"/>
            </w:pPr>
            <w:r>
              <w:t>9.5%</w:t>
            </w:r>
          </w:p>
        </w:tc>
        <w:tc>
          <w:tcPr>
            <w:tcW w:w="0" w:type="auto"/>
            <w:tcBorders>
              <w:left w:val="single" w:sz="2" w:space="0" w:color="000000" w:themeColor="text1"/>
              <w:right w:val="single" w:sz="2" w:space="0" w:color="000000" w:themeColor="text1"/>
            </w:tcBorders>
            <w:hideMark/>
          </w:tcPr>
          <w:p w14:paraId="316DB311" w14:textId="77777777" w:rsidR="00A0243A" w:rsidRDefault="00A0243A" w:rsidP="00A8388C">
            <w:pPr>
              <w:pStyle w:val="NormalWeb"/>
              <w:jc w:val="center"/>
            </w:pPr>
            <w:r>
              <w:t>139</w:t>
            </w:r>
          </w:p>
        </w:tc>
        <w:tc>
          <w:tcPr>
            <w:tcW w:w="0" w:type="auto"/>
            <w:tcBorders>
              <w:left w:val="single" w:sz="2" w:space="0" w:color="000000" w:themeColor="text1"/>
              <w:right w:val="single" w:sz="2" w:space="0" w:color="000000" w:themeColor="text1"/>
            </w:tcBorders>
            <w:hideMark/>
          </w:tcPr>
          <w:p w14:paraId="587B6E83" w14:textId="77777777" w:rsidR="00A0243A" w:rsidRDefault="00A0243A" w:rsidP="00A8388C">
            <w:pPr>
              <w:pStyle w:val="NormalWeb"/>
              <w:jc w:val="center"/>
            </w:pPr>
            <w:r>
              <w:t>7</w:t>
            </w:r>
          </w:p>
        </w:tc>
        <w:tc>
          <w:tcPr>
            <w:tcW w:w="0" w:type="auto"/>
            <w:tcBorders>
              <w:left w:val="single" w:sz="2" w:space="0" w:color="000000" w:themeColor="text1"/>
            </w:tcBorders>
            <w:hideMark/>
          </w:tcPr>
          <w:p w14:paraId="124B818B" w14:textId="77777777" w:rsidR="00A0243A" w:rsidRDefault="00A0243A" w:rsidP="00A8388C">
            <w:pPr>
              <w:pStyle w:val="NormalWeb"/>
              <w:jc w:val="center"/>
            </w:pPr>
            <w:r>
              <w:t>5.0%</w:t>
            </w:r>
          </w:p>
        </w:tc>
      </w:tr>
      <w:tr w:rsidR="00A0243A" w14:paraId="61B006BD"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A03C0BC" w14:textId="77777777" w:rsidR="00A0243A" w:rsidRDefault="00A0243A">
            <w:pPr>
              <w:pStyle w:val="NormalWeb"/>
            </w:pPr>
            <w:r>
              <w:t>March</w:t>
            </w:r>
          </w:p>
        </w:tc>
        <w:tc>
          <w:tcPr>
            <w:tcW w:w="0" w:type="auto"/>
            <w:tcBorders>
              <w:left w:val="single" w:sz="2" w:space="0" w:color="000000" w:themeColor="text1"/>
              <w:right w:val="single" w:sz="2" w:space="0" w:color="000000" w:themeColor="text1"/>
            </w:tcBorders>
            <w:hideMark/>
          </w:tcPr>
          <w:p w14:paraId="0D05BE59" w14:textId="77777777" w:rsidR="00A0243A" w:rsidRDefault="00A0243A" w:rsidP="00A8388C">
            <w:pPr>
              <w:pStyle w:val="NormalWeb"/>
              <w:jc w:val="center"/>
            </w:pPr>
            <w:r>
              <w:t>146.7</w:t>
            </w:r>
          </w:p>
        </w:tc>
        <w:tc>
          <w:tcPr>
            <w:tcW w:w="0" w:type="auto"/>
            <w:tcBorders>
              <w:left w:val="single" w:sz="2" w:space="0" w:color="000000" w:themeColor="text1"/>
              <w:right w:val="single" w:sz="2" w:space="0" w:color="000000" w:themeColor="text1"/>
            </w:tcBorders>
            <w:hideMark/>
          </w:tcPr>
          <w:p w14:paraId="30640BD6" w14:textId="77777777" w:rsidR="00A0243A" w:rsidRDefault="00A0243A" w:rsidP="00A8388C">
            <w:pPr>
              <w:pStyle w:val="NormalWeb"/>
              <w:jc w:val="center"/>
            </w:pPr>
            <w:r>
              <w:t>18.5</w:t>
            </w:r>
          </w:p>
        </w:tc>
        <w:tc>
          <w:tcPr>
            <w:tcW w:w="0" w:type="auto"/>
            <w:tcBorders>
              <w:left w:val="single" w:sz="2" w:space="0" w:color="000000" w:themeColor="text1"/>
              <w:right w:val="single" w:sz="2" w:space="0" w:color="000000" w:themeColor="text1"/>
            </w:tcBorders>
            <w:hideMark/>
          </w:tcPr>
          <w:p w14:paraId="0926F0BB" w14:textId="77777777" w:rsidR="00A0243A" w:rsidRDefault="00A0243A" w:rsidP="00A8388C">
            <w:pPr>
              <w:pStyle w:val="NormalWeb"/>
              <w:jc w:val="center"/>
            </w:pPr>
            <w:r>
              <w:t>4–49</w:t>
            </w:r>
          </w:p>
        </w:tc>
        <w:tc>
          <w:tcPr>
            <w:tcW w:w="0" w:type="auto"/>
            <w:tcBorders>
              <w:left w:val="single" w:sz="2" w:space="0" w:color="000000" w:themeColor="text1"/>
              <w:right w:val="single" w:sz="2" w:space="0" w:color="000000" w:themeColor="text1"/>
            </w:tcBorders>
            <w:hideMark/>
          </w:tcPr>
          <w:p w14:paraId="35EDDD32" w14:textId="77777777" w:rsidR="00A0243A" w:rsidRDefault="00A0243A" w:rsidP="00A8388C">
            <w:pPr>
              <w:pStyle w:val="NormalWeb"/>
              <w:jc w:val="center"/>
            </w:pPr>
            <w:r>
              <w:t>12.0%</w:t>
            </w:r>
          </w:p>
        </w:tc>
        <w:tc>
          <w:tcPr>
            <w:tcW w:w="0" w:type="auto"/>
            <w:tcBorders>
              <w:left w:val="single" w:sz="2" w:space="0" w:color="000000" w:themeColor="text1"/>
              <w:right w:val="single" w:sz="2" w:space="0" w:color="000000" w:themeColor="text1"/>
            </w:tcBorders>
            <w:hideMark/>
          </w:tcPr>
          <w:p w14:paraId="014BA7E7" w14:textId="77777777" w:rsidR="00A0243A" w:rsidRDefault="00A0243A" w:rsidP="00A8388C">
            <w:pPr>
              <w:pStyle w:val="NormalWeb"/>
              <w:jc w:val="center"/>
            </w:pPr>
            <w:r>
              <w:t>157</w:t>
            </w:r>
          </w:p>
        </w:tc>
        <w:tc>
          <w:tcPr>
            <w:tcW w:w="0" w:type="auto"/>
            <w:tcBorders>
              <w:left w:val="single" w:sz="2" w:space="0" w:color="000000" w:themeColor="text1"/>
              <w:right w:val="single" w:sz="2" w:space="0" w:color="000000" w:themeColor="text1"/>
            </w:tcBorders>
            <w:hideMark/>
          </w:tcPr>
          <w:p w14:paraId="4E74E923" w14:textId="77777777" w:rsidR="00A0243A" w:rsidRDefault="00A0243A" w:rsidP="00A8388C">
            <w:pPr>
              <w:pStyle w:val="NormalWeb"/>
              <w:jc w:val="center"/>
            </w:pPr>
            <w:r>
              <w:t>5</w:t>
            </w:r>
          </w:p>
        </w:tc>
        <w:tc>
          <w:tcPr>
            <w:tcW w:w="0" w:type="auto"/>
            <w:tcBorders>
              <w:left w:val="single" w:sz="2" w:space="0" w:color="000000" w:themeColor="text1"/>
            </w:tcBorders>
            <w:hideMark/>
          </w:tcPr>
          <w:p w14:paraId="7620C199" w14:textId="77777777" w:rsidR="00A0243A" w:rsidRDefault="00A0243A" w:rsidP="00A8388C">
            <w:pPr>
              <w:pStyle w:val="NormalWeb"/>
              <w:jc w:val="center"/>
            </w:pPr>
            <w:r>
              <w:t>3.2%</w:t>
            </w:r>
          </w:p>
        </w:tc>
      </w:tr>
      <w:tr w:rsidR="00A0243A" w14:paraId="3DDDB519" w14:textId="77777777" w:rsidTr="00A8388C">
        <w:tc>
          <w:tcPr>
            <w:tcW w:w="0" w:type="auto"/>
            <w:tcBorders>
              <w:right w:val="single" w:sz="2" w:space="0" w:color="000000" w:themeColor="text1"/>
            </w:tcBorders>
            <w:hideMark/>
          </w:tcPr>
          <w:p w14:paraId="38FF59C0" w14:textId="77777777" w:rsidR="00A0243A" w:rsidRDefault="00A0243A">
            <w:pPr>
              <w:pStyle w:val="NormalWeb"/>
            </w:pPr>
            <w:r>
              <w:t>April</w:t>
            </w:r>
          </w:p>
        </w:tc>
        <w:tc>
          <w:tcPr>
            <w:tcW w:w="0" w:type="auto"/>
            <w:tcBorders>
              <w:left w:val="single" w:sz="2" w:space="0" w:color="000000" w:themeColor="text1"/>
              <w:right w:val="single" w:sz="2" w:space="0" w:color="000000" w:themeColor="text1"/>
            </w:tcBorders>
            <w:hideMark/>
          </w:tcPr>
          <w:p w14:paraId="3722F377" w14:textId="77777777" w:rsidR="00A0243A" w:rsidRDefault="00A0243A" w:rsidP="00A8388C">
            <w:pPr>
              <w:pStyle w:val="NormalWeb"/>
              <w:jc w:val="center"/>
            </w:pPr>
            <w:r>
              <w:t>140.1</w:t>
            </w:r>
          </w:p>
        </w:tc>
        <w:tc>
          <w:tcPr>
            <w:tcW w:w="0" w:type="auto"/>
            <w:tcBorders>
              <w:left w:val="single" w:sz="2" w:space="0" w:color="000000" w:themeColor="text1"/>
              <w:right w:val="single" w:sz="2" w:space="0" w:color="000000" w:themeColor="text1"/>
            </w:tcBorders>
            <w:hideMark/>
          </w:tcPr>
          <w:p w14:paraId="52E2F877" w14:textId="77777777" w:rsidR="00A0243A" w:rsidRDefault="00A0243A" w:rsidP="00A8388C">
            <w:pPr>
              <w:pStyle w:val="NormalWeb"/>
              <w:jc w:val="center"/>
            </w:pPr>
            <w:r>
              <w:t>16.5</w:t>
            </w:r>
          </w:p>
        </w:tc>
        <w:tc>
          <w:tcPr>
            <w:tcW w:w="0" w:type="auto"/>
            <w:tcBorders>
              <w:left w:val="single" w:sz="2" w:space="0" w:color="000000" w:themeColor="text1"/>
              <w:right w:val="single" w:sz="2" w:space="0" w:color="000000" w:themeColor="text1"/>
            </w:tcBorders>
            <w:hideMark/>
          </w:tcPr>
          <w:p w14:paraId="6862DE12" w14:textId="77777777" w:rsidR="00A0243A" w:rsidRDefault="00A0243A" w:rsidP="00A8388C">
            <w:pPr>
              <w:pStyle w:val="NormalWeb"/>
              <w:jc w:val="center"/>
            </w:pPr>
            <w:r>
              <w:t>5–35</w:t>
            </w:r>
          </w:p>
        </w:tc>
        <w:tc>
          <w:tcPr>
            <w:tcW w:w="0" w:type="auto"/>
            <w:tcBorders>
              <w:left w:val="single" w:sz="2" w:space="0" w:color="000000" w:themeColor="text1"/>
              <w:right w:val="single" w:sz="2" w:space="0" w:color="000000" w:themeColor="text1"/>
            </w:tcBorders>
            <w:hideMark/>
          </w:tcPr>
          <w:p w14:paraId="33EE4782" w14:textId="77777777" w:rsidR="00A0243A" w:rsidRDefault="00A0243A" w:rsidP="00A8388C">
            <w:pPr>
              <w:pStyle w:val="NormalWeb"/>
              <w:jc w:val="center"/>
            </w:pPr>
            <w:r>
              <w:t>11.2%</w:t>
            </w:r>
          </w:p>
        </w:tc>
        <w:tc>
          <w:tcPr>
            <w:tcW w:w="0" w:type="auto"/>
            <w:tcBorders>
              <w:left w:val="single" w:sz="2" w:space="0" w:color="000000" w:themeColor="text1"/>
              <w:right w:val="single" w:sz="2" w:space="0" w:color="000000" w:themeColor="text1"/>
            </w:tcBorders>
            <w:hideMark/>
          </w:tcPr>
          <w:p w14:paraId="573A2070" w14:textId="77777777" w:rsidR="00A0243A" w:rsidRDefault="00A0243A" w:rsidP="00A8388C">
            <w:pPr>
              <w:pStyle w:val="NormalWeb"/>
              <w:jc w:val="center"/>
            </w:pPr>
            <w:r>
              <w:t>149</w:t>
            </w:r>
          </w:p>
        </w:tc>
        <w:tc>
          <w:tcPr>
            <w:tcW w:w="0" w:type="auto"/>
            <w:tcBorders>
              <w:left w:val="single" w:sz="2" w:space="0" w:color="000000" w:themeColor="text1"/>
              <w:right w:val="single" w:sz="2" w:space="0" w:color="000000" w:themeColor="text1"/>
            </w:tcBorders>
            <w:hideMark/>
          </w:tcPr>
          <w:p w14:paraId="6BFB5D33" w14:textId="77777777" w:rsidR="00A0243A" w:rsidRDefault="00A0243A" w:rsidP="00A8388C">
            <w:pPr>
              <w:pStyle w:val="NormalWeb"/>
              <w:jc w:val="center"/>
            </w:pPr>
            <w:r>
              <w:t>2</w:t>
            </w:r>
          </w:p>
        </w:tc>
        <w:tc>
          <w:tcPr>
            <w:tcW w:w="0" w:type="auto"/>
            <w:tcBorders>
              <w:left w:val="single" w:sz="2" w:space="0" w:color="000000" w:themeColor="text1"/>
            </w:tcBorders>
            <w:hideMark/>
          </w:tcPr>
          <w:p w14:paraId="253358AD" w14:textId="77777777" w:rsidR="00A0243A" w:rsidRDefault="00A0243A" w:rsidP="00A8388C">
            <w:pPr>
              <w:pStyle w:val="NormalWeb"/>
              <w:jc w:val="center"/>
            </w:pPr>
            <w:r>
              <w:t>1.3%</w:t>
            </w:r>
          </w:p>
        </w:tc>
      </w:tr>
      <w:tr w:rsidR="00A0243A" w14:paraId="02CDEC37"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D794829" w14:textId="77777777" w:rsidR="00A0243A" w:rsidRDefault="00A0243A">
            <w:pPr>
              <w:pStyle w:val="NormalWeb"/>
            </w:pPr>
            <w:r>
              <w:t>May</w:t>
            </w:r>
          </w:p>
        </w:tc>
        <w:tc>
          <w:tcPr>
            <w:tcW w:w="0" w:type="auto"/>
            <w:tcBorders>
              <w:left w:val="single" w:sz="2" w:space="0" w:color="000000" w:themeColor="text1"/>
              <w:right w:val="single" w:sz="2" w:space="0" w:color="000000" w:themeColor="text1"/>
            </w:tcBorders>
            <w:hideMark/>
          </w:tcPr>
          <w:p w14:paraId="30D2430F" w14:textId="77777777" w:rsidR="00A0243A" w:rsidRDefault="00A0243A" w:rsidP="00A8388C">
            <w:pPr>
              <w:pStyle w:val="NormalWeb"/>
              <w:jc w:val="center"/>
            </w:pPr>
            <w:r>
              <w:t>168.2</w:t>
            </w:r>
          </w:p>
        </w:tc>
        <w:tc>
          <w:tcPr>
            <w:tcW w:w="0" w:type="auto"/>
            <w:tcBorders>
              <w:left w:val="single" w:sz="2" w:space="0" w:color="000000" w:themeColor="text1"/>
              <w:right w:val="single" w:sz="2" w:space="0" w:color="000000" w:themeColor="text1"/>
            </w:tcBorders>
            <w:hideMark/>
          </w:tcPr>
          <w:p w14:paraId="0D635B29" w14:textId="77777777" w:rsidR="00A0243A" w:rsidRDefault="00A0243A" w:rsidP="00A8388C">
            <w:pPr>
              <w:pStyle w:val="NormalWeb"/>
              <w:jc w:val="center"/>
            </w:pPr>
            <w:r>
              <w:t>18.7</w:t>
            </w:r>
          </w:p>
        </w:tc>
        <w:tc>
          <w:tcPr>
            <w:tcW w:w="0" w:type="auto"/>
            <w:tcBorders>
              <w:left w:val="single" w:sz="2" w:space="0" w:color="000000" w:themeColor="text1"/>
              <w:right w:val="single" w:sz="2" w:space="0" w:color="000000" w:themeColor="text1"/>
            </w:tcBorders>
            <w:hideMark/>
          </w:tcPr>
          <w:p w14:paraId="37ACFD06" w14:textId="77777777" w:rsidR="00A0243A" w:rsidRDefault="00A0243A" w:rsidP="00A8388C">
            <w:pPr>
              <w:pStyle w:val="NormalWeb"/>
              <w:jc w:val="center"/>
            </w:pPr>
            <w:r>
              <w:t>10–32</w:t>
            </w:r>
          </w:p>
        </w:tc>
        <w:tc>
          <w:tcPr>
            <w:tcW w:w="0" w:type="auto"/>
            <w:tcBorders>
              <w:left w:val="single" w:sz="2" w:space="0" w:color="000000" w:themeColor="text1"/>
              <w:right w:val="single" w:sz="2" w:space="0" w:color="000000" w:themeColor="text1"/>
            </w:tcBorders>
            <w:hideMark/>
          </w:tcPr>
          <w:p w14:paraId="0273B3D0" w14:textId="77777777" w:rsidR="00A0243A" w:rsidRDefault="00A0243A" w:rsidP="00A8388C">
            <w:pPr>
              <w:pStyle w:val="NormalWeb"/>
              <w:jc w:val="center"/>
            </w:pPr>
            <w:r>
              <w:t>11.2%</w:t>
            </w:r>
          </w:p>
        </w:tc>
        <w:tc>
          <w:tcPr>
            <w:tcW w:w="0" w:type="auto"/>
            <w:tcBorders>
              <w:left w:val="single" w:sz="2" w:space="0" w:color="000000" w:themeColor="text1"/>
              <w:right w:val="single" w:sz="2" w:space="0" w:color="000000" w:themeColor="text1"/>
            </w:tcBorders>
            <w:hideMark/>
          </w:tcPr>
          <w:p w14:paraId="2BC5E3DE" w14:textId="77777777" w:rsidR="00A0243A" w:rsidRDefault="00A0243A" w:rsidP="00A8388C">
            <w:pPr>
              <w:pStyle w:val="NormalWeb"/>
              <w:jc w:val="center"/>
            </w:pPr>
            <w:r>
              <w:t>148</w:t>
            </w:r>
          </w:p>
        </w:tc>
        <w:tc>
          <w:tcPr>
            <w:tcW w:w="0" w:type="auto"/>
            <w:tcBorders>
              <w:left w:val="single" w:sz="2" w:space="0" w:color="000000" w:themeColor="text1"/>
              <w:right w:val="single" w:sz="2" w:space="0" w:color="000000" w:themeColor="text1"/>
            </w:tcBorders>
            <w:hideMark/>
          </w:tcPr>
          <w:p w14:paraId="61C3830E" w14:textId="77777777" w:rsidR="00A0243A" w:rsidRDefault="00A0243A" w:rsidP="00A8388C">
            <w:pPr>
              <w:pStyle w:val="NormalWeb"/>
              <w:jc w:val="center"/>
            </w:pPr>
            <w:r>
              <w:t>1</w:t>
            </w:r>
          </w:p>
        </w:tc>
        <w:tc>
          <w:tcPr>
            <w:tcW w:w="0" w:type="auto"/>
            <w:tcBorders>
              <w:left w:val="single" w:sz="2" w:space="0" w:color="000000" w:themeColor="text1"/>
            </w:tcBorders>
            <w:hideMark/>
          </w:tcPr>
          <w:p w14:paraId="2487A4E7" w14:textId="77777777" w:rsidR="00A0243A" w:rsidRDefault="00A0243A" w:rsidP="00A8388C">
            <w:pPr>
              <w:pStyle w:val="NormalWeb"/>
              <w:jc w:val="center"/>
            </w:pPr>
            <w:r>
              <w:t>0.7%</w:t>
            </w:r>
          </w:p>
        </w:tc>
      </w:tr>
      <w:tr w:rsidR="00A0243A" w14:paraId="09F66DAD" w14:textId="77777777" w:rsidTr="00A8388C">
        <w:tc>
          <w:tcPr>
            <w:tcW w:w="0" w:type="auto"/>
            <w:tcBorders>
              <w:right w:val="single" w:sz="2" w:space="0" w:color="000000" w:themeColor="text1"/>
            </w:tcBorders>
            <w:hideMark/>
          </w:tcPr>
          <w:p w14:paraId="30EBB999" w14:textId="77777777" w:rsidR="00A0243A" w:rsidRDefault="00A0243A">
            <w:pPr>
              <w:pStyle w:val="NormalWeb"/>
            </w:pPr>
            <w:r>
              <w:t>June</w:t>
            </w:r>
          </w:p>
        </w:tc>
        <w:tc>
          <w:tcPr>
            <w:tcW w:w="0" w:type="auto"/>
            <w:tcBorders>
              <w:left w:val="single" w:sz="2" w:space="0" w:color="000000" w:themeColor="text1"/>
              <w:right w:val="single" w:sz="2" w:space="0" w:color="000000" w:themeColor="text1"/>
            </w:tcBorders>
            <w:hideMark/>
          </w:tcPr>
          <w:p w14:paraId="5E3BDE3A" w14:textId="77777777" w:rsidR="00A0243A" w:rsidRDefault="00A0243A" w:rsidP="00A8388C">
            <w:pPr>
              <w:pStyle w:val="NormalWeb"/>
              <w:jc w:val="center"/>
            </w:pPr>
            <w:r>
              <w:t>172.9</w:t>
            </w:r>
          </w:p>
        </w:tc>
        <w:tc>
          <w:tcPr>
            <w:tcW w:w="0" w:type="auto"/>
            <w:tcBorders>
              <w:left w:val="single" w:sz="2" w:space="0" w:color="000000" w:themeColor="text1"/>
              <w:right w:val="single" w:sz="2" w:space="0" w:color="000000" w:themeColor="text1"/>
            </w:tcBorders>
            <w:hideMark/>
          </w:tcPr>
          <w:p w14:paraId="39C93807" w14:textId="77777777" w:rsidR="00A0243A" w:rsidRDefault="00A0243A" w:rsidP="00A8388C">
            <w:pPr>
              <w:pStyle w:val="NormalWeb"/>
              <w:jc w:val="center"/>
            </w:pPr>
            <w:r>
              <w:t>25.3</w:t>
            </w:r>
          </w:p>
        </w:tc>
        <w:tc>
          <w:tcPr>
            <w:tcW w:w="0" w:type="auto"/>
            <w:tcBorders>
              <w:left w:val="single" w:sz="2" w:space="0" w:color="000000" w:themeColor="text1"/>
              <w:right w:val="single" w:sz="2" w:space="0" w:color="000000" w:themeColor="text1"/>
            </w:tcBorders>
            <w:hideMark/>
          </w:tcPr>
          <w:p w14:paraId="77774007" w14:textId="77777777" w:rsidR="00A0243A" w:rsidRDefault="00A0243A" w:rsidP="00A8388C">
            <w:pPr>
              <w:pStyle w:val="NormalWeb"/>
              <w:jc w:val="center"/>
            </w:pPr>
            <w:r>
              <w:t>16–44</w:t>
            </w:r>
          </w:p>
        </w:tc>
        <w:tc>
          <w:tcPr>
            <w:tcW w:w="0" w:type="auto"/>
            <w:tcBorders>
              <w:left w:val="single" w:sz="2" w:space="0" w:color="000000" w:themeColor="text1"/>
              <w:right w:val="single" w:sz="2" w:space="0" w:color="000000" w:themeColor="text1"/>
            </w:tcBorders>
            <w:hideMark/>
          </w:tcPr>
          <w:p w14:paraId="34E0446E" w14:textId="77777777" w:rsidR="00A0243A" w:rsidRDefault="00A0243A" w:rsidP="00A8388C">
            <w:pPr>
              <w:pStyle w:val="NormalWeb"/>
              <w:jc w:val="center"/>
            </w:pPr>
            <w:r>
              <w:t>14.9%</w:t>
            </w:r>
          </w:p>
        </w:tc>
        <w:tc>
          <w:tcPr>
            <w:tcW w:w="0" w:type="auto"/>
            <w:tcBorders>
              <w:left w:val="single" w:sz="2" w:space="0" w:color="000000" w:themeColor="text1"/>
              <w:right w:val="single" w:sz="2" w:space="0" w:color="000000" w:themeColor="text1"/>
            </w:tcBorders>
            <w:hideMark/>
          </w:tcPr>
          <w:p w14:paraId="1AADFB6B" w14:textId="77777777" w:rsidR="00A0243A" w:rsidRDefault="00A0243A" w:rsidP="00A8388C">
            <w:pPr>
              <w:pStyle w:val="NormalWeb"/>
              <w:jc w:val="center"/>
            </w:pPr>
            <w:r>
              <w:t>149</w:t>
            </w:r>
          </w:p>
        </w:tc>
        <w:tc>
          <w:tcPr>
            <w:tcW w:w="0" w:type="auto"/>
            <w:tcBorders>
              <w:left w:val="single" w:sz="2" w:space="0" w:color="000000" w:themeColor="text1"/>
              <w:right w:val="single" w:sz="2" w:space="0" w:color="000000" w:themeColor="text1"/>
            </w:tcBorders>
            <w:hideMark/>
          </w:tcPr>
          <w:p w14:paraId="1F92E7FA" w14:textId="77777777" w:rsidR="00A0243A" w:rsidRDefault="00A0243A" w:rsidP="00A8388C">
            <w:pPr>
              <w:pStyle w:val="NormalWeb"/>
              <w:jc w:val="center"/>
            </w:pPr>
            <w:r>
              <w:t>0</w:t>
            </w:r>
          </w:p>
        </w:tc>
        <w:tc>
          <w:tcPr>
            <w:tcW w:w="0" w:type="auto"/>
            <w:tcBorders>
              <w:left w:val="single" w:sz="2" w:space="0" w:color="000000" w:themeColor="text1"/>
            </w:tcBorders>
            <w:hideMark/>
          </w:tcPr>
          <w:p w14:paraId="61DA2CD2" w14:textId="77777777" w:rsidR="00A0243A" w:rsidRDefault="00A0243A" w:rsidP="00A8388C">
            <w:pPr>
              <w:pStyle w:val="NormalWeb"/>
              <w:jc w:val="center"/>
            </w:pPr>
            <w:r>
              <w:t>0.0%</w:t>
            </w:r>
          </w:p>
        </w:tc>
      </w:tr>
      <w:tr w:rsidR="00A0243A" w14:paraId="0F6856F1"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DDA4337" w14:textId="77777777" w:rsidR="00A0243A" w:rsidRDefault="00A0243A">
            <w:pPr>
              <w:pStyle w:val="NormalWeb"/>
            </w:pPr>
            <w:r>
              <w:t>July</w:t>
            </w:r>
          </w:p>
        </w:tc>
        <w:tc>
          <w:tcPr>
            <w:tcW w:w="0" w:type="auto"/>
            <w:tcBorders>
              <w:left w:val="single" w:sz="2" w:space="0" w:color="000000" w:themeColor="text1"/>
              <w:right w:val="single" w:sz="2" w:space="0" w:color="000000" w:themeColor="text1"/>
            </w:tcBorders>
            <w:hideMark/>
          </w:tcPr>
          <w:p w14:paraId="495165C1" w14:textId="77777777" w:rsidR="00A0243A" w:rsidRDefault="00A0243A" w:rsidP="00A8388C">
            <w:pPr>
              <w:pStyle w:val="NormalWeb"/>
              <w:jc w:val="center"/>
            </w:pPr>
            <w:r>
              <w:t>168.1</w:t>
            </w:r>
          </w:p>
        </w:tc>
        <w:tc>
          <w:tcPr>
            <w:tcW w:w="0" w:type="auto"/>
            <w:tcBorders>
              <w:left w:val="single" w:sz="2" w:space="0" w:color="000000" w:themeColor="text1"/>
              <w:right w:val="single" w:sz="2" w:space="0" w:color="000000" w:themeColor="text1"/>
            </w:tcBorders>
            <w:hideMark/>
          </w:tcPr>
          <w:p w14:paraId="52B96F9C" w14:textId="77777777" w:rsidR="00A0243A" w:rsidRDefault="00A0243A" w:rsidP="00A8388C">
            <w:pPr>
              <w:pStyle w:val="NormalWeb"/>
              <w:jc w:val="center"/>
            </w:pPr>
            <w:r>
              <w:t>24.2</w:t>
            </w:r>
          </w:p>
        </w:tc>
        <w:tc>
          <w:tcPr>
            <w:tcW w:w="0" w:type="auto"/>
            <w:tcBorders>
              <w:left w:val="single" w:sz="2" w:space="0" w:color="000000" w:themeColor="text1"/>
              <w:right w:val="single" w:sz="2" w:space="0" w:color="000000" w:themeColor="text1"/>
            </w:tcBorders>
            <w:hideMark/>
          </w:tcPr>
          <w:p w14:paraId="2EFB8CFD" w14:textId="77777777" w:rsidR="00A0243A" w:rsidRDefault="00A0243A" w:rsidP="00A8388C">
            <w:pPr>
              <w:pStyle w:val="NormalWeb"/>
              <w:jc w:val="center"/>
            </w:pPr>
            <w:r>
              <w:t>9–54</w:t>
            </w:r>
          </w:p>
        </w:tc>
        <w:tc>
          <w:tcPr>
            <w:tcW w:w="0" w:type="auto"/>
            <w:tcBorders>
              <w:left w:val="single" w:sz="2" w:space="0" w:color="000000" w:themeColor="text1"/>
              <w:right w:val="single" w:sz="2" w:space="0" w:color="000000" w:themeColor="text1"/>
            </w:tcBorders>
            <w:hideMark/>
          </w:tcPr>
          <w:p w14:paraId="035C8D2C" w14:textId="77777777" w:rsidR="00A0243A" w:rsidRDefault="00A0243A" w:rsidP="00A8388C">
            <w:pPr>
              <w:pStyle w:val="NormalWeb"/>
              <w:jc w:val="center"/>
            </w:pPr>
            <w:r>
              <w:t>13.9%</w:t>
            </w:r>
          </w:p>
        </w:tc>
        <w:tc>
          <w:tcPr>
            <w:tcW w:w="0" w:type="auto"/>
            <w:tcBorders>
              <w:left w:val="single" w:sz="2" w:space="0" w:color="000000" w:themeColor="text1"/>
              <w:right w:val="single" w:sz="2" w:space="0" w:color="000000" w:themeColor="text1"/>
            </w:tcBorders>
            <w:hideMark/>
          </w:tcPr>
          <w:p w14:paraId="10A07A7F" w14:textId="77777777" w:rsidR="00A0243A" w:rsidRDefault="00A0243A" w:rsidP="00A8388C">
            <w:pPr>
              <w:pStyle w:val="NormalWeb"/>
              <w:jc w:val="center"/>
            </w:pPr>
            <w:r>
              <w:t>183</w:t>
            </w:r>
          </w:p>
        </w:tc>
        <w:tc>
          <w:tcPr>
            <w:tcW w:w="0" w:type="auto"/>
            <w:tcBorders>
              <w:left w:val="single" w:sz="2" w:space="0" w:color="000000" w:themeColor="text1"/>
              <w:right w:val="single" w:sz="2" w:space="0" w:color="000000" w:themeColor="text1"/>
            </w:tcBorders>
            <w:hideMark/>
          </w:tcPr>
          <w:p w14:paraId="778825BC" w14:textId="77777777" w:rsidR="00A0243A" w:rsidRDefault="00A0243A" w:rsidP="00A8388C">
            <w:pPr>
              <w:pStyle w:val="NormalWeb"/>
              <w:jc w:val="center"/>
            </w:pPr>
            <w:r>
              <w:t>5</w:t>
            </w:r>
          </w:p>
        </w:tc>
        <w:tc>
          <w:tcPr>
            <w:tcW w:w="0" w:type="auto"/>
            <w:tcBorders>
              <w:left w:val="single" w:sz="2" w:space="0" w:color="000000" w:themeColor="text1"/>
            </w:tcBorders>
            <w:hideMark/>
          </w:tcPr>
          <w:p w14:paraId="3D1CA811" w14:textId="77777777" w:rsidR="00A0243A" w:rsidRDefault="00A0243A" w:rsidP="00A8388C">
            <w:pPr>
              <w:pStyle w:val="NormalWeb"/>
              <w:jc w:val="center"/>
            </w:pPr>
            <w:r>
              <w:t>2.7%</w:t>
            </w:r>
          </w:p>
        </w:tc>
      </w:tr>
      <w:tr w:rsidR="00A0243A" w14:paraId="33E0366B" w14:textId="77777777" w:rsidTr="00A8388C">
        <w:tc>
          <w:tcPr>
            <w:tcW w:w="0" w:type="auto"/>
            <w:tcBorders>
              <w:right w:val="single" w:sz="2" w:space="0" w:color="000000" w:themeColor="text1"/>
            </w:tcBorders>
            <w:hideMark/>
          </w:tcPr>
          <w:p w14:paraId="30DC08F5" w14:textId="77777777" w:rsidR="00A0243A" w:rsidRDefault="00A0243A">
            <w:pPr>
              <w:pStyle w:val="NormalWeb"/>
            </w:pPr>
            <w:r>
              <w:t>August</w:t>
            </w:r>
          </w:p>
        </w:tc>
        <w:tc>
          <w:tcPr>
            <w:tcW w:w="0" w:type="auto"/>
            <w:tcBorders>
              <w:left w:val="single" w:sz="2" w:space="0" w:color="000000" w:themeColor="text1"/>
              <w:right w:val="single" w:sz="2" w:space="0" w:color="000000" w:themeColor="text1"/>
            </w:tcBorders>
            <w:hideMark/>
          </w:tcPr>
          <w:p w14:paraId="04507BB2" w14:textId="77777777" w:rsidR="00A0243A" w:rsidRDefault="00A0243A" w:rsidP="00A8388C">
            <w:pPr>
              <w:pStyle w:val="NormalWeb"/>
              <w:jc w:val="center"/>
            </w:pPr>
            <w:r>
              <w:t>169.5</w:t>
            </w:r>
          </w:p>
        </w:tc>
        <w:tc>
          <w:tcPr>
            <w:tcW w:w="0" w:type="auto"/>
            <w:tcBorders>
              <w:left w:val="single" w:sz="2" w:space="0" w:color="000000" w:themeColor="text1"/>
              <w:right w:val="single" w:sz="2" w:space="0" w:color="000000" w:themeColor="text1"/>
            </w:tcBorders>
            <w:hideMark/>
          </w:tcPr>
          <w:p w14:paraId="1EA6033B" w14:textId="77777777" w:rsidR="00A0243A" w:rsidRDefault="00A0243A" w:rsidP="00A8388C">
            <w:pPr>
              <w:pStyle w:val="NormalWeb"/>
              <w:jc w:val="center"/>
            </w:pPr>
            <w:r>
              <w:t>20.4</w:t>
            </w:r>
          </w:p>
        </w:tc>
        <w:tc>
          <w:tcPr>
            <w:tcW w:w="0" w:type="auto"/>
            <w:tcBorders>
              <w:left w:val="single" w:sz="2" w:space="0" w:color="000000" w:themeColor="text1"/>
              <w:right w:val="single" w:sz="2" w:space="0" w:color="000000" w:themeColor="text1"/>
            </w:tcBorders>
            <w:hideMark/>
          </w:tcPr>
          <w:p w14:paraId="61D69E50" w14:textId="77777777" w:rsidR="00A0243A" w:rsidRDefault="00A0243A" w:rsidP="00A8388C">
            <w:pPr>
              <w:pStyle w:val="NormalWeb"/>
              <w:jc w:val="center"/>
            </w:pPr>
            <w:r>
              <w:t>10–31</w:t>
            </w:r>
          </w:p>
        </w:tc>
        <w:tc>
          <w:tcPr>
            <w:tcW w:w="0" w:type="auto"/>
            <w:tcBorders>
              <w:left w:val="single" w:sz="2" w:space="0" w:color="000000" w:themeColor="text1"/>
              <w:right w:val="single" w:sz="2" w:space="0" w:color="000000" w:themeColor="text1"/>
            </w:tcBorders>
            <w:hideMark/>
          </w:tcPr>
          <w:p w14:paraId="01843F87" w14:textId="77777777" w:rsidR="00A0243A" w:rsidRDefault="00A0243A" w:rsidP="00A8388C">
            <w:pPr>
              <w:pStyle w:val="NormalWeb"/>
              <w:jc w:val="center"/>
            </w:pPr>
            <w:r>
              <w:t>12.2%</w:t>
            </w:r>
          </w:p>
        </w:tc>
        <w:tc>
          <w:tcPr>
            <w:tcW w:w="0" w:type="auto"/>
            <w:tcBorders>
              <w:left w:val="single" w:sz="2" w:space="0" w:color="000000" w:themeColor="text1"/>
              <w:right w:val="single" w:sz="2" w:space="0" w:color="000000" w:themeColor="text1"/>
            </w:tcBorders>
            <w:hideMark/>
          </w:tcPr>
          <w:p w14:paraId="4985D710" w14:textId="77777777" w:rsidR="00A0243A" w:rsidRDefault="00A0243A" w:rsidP="00A8388C">
            <w:pPr>
              <w:pStyle w:val="NormalWeb"/>
              <w:jc w:val="center"/>
            </w:pPr>
            <w:r>
              <w:t>130</w:t>
            </w:r>
          </w:p>
        </w:tc>
        <w:tc>
          <w:tcPr>
            <w:tcW w:w="0" w:type="auto"/>
            <w:tcBorders>
              <w:left w:val="single" w:sz="2" w:space="0" w:color="000000" w:themeColor="text1"/>
              <w:right w:val="single" w:sz="2" w:space="0" w:color="000000" w:themeColor="text1"/>
            </w:tcBorders>
            <w:hideMark/>
          </w:tcPr>
          <w:p w14:paraId="2E98636C" w14:textId="77777777" w:rsidR="00A0243A" w:rsidRDefault="00A0243A" w:rsidP="00A8388C">
            <w:pPr>
              <w:pStyle w:val="NormalWeb"/>
              <w:jc w:val="center"/>
            </w:pPr>
            <w:r>
              <w:t>1</w:t>
            </w:r>
          </w:p>
        </w:tc>
        <w:tc>
          <w:tcPr>
            <w:tcW w:w="0" w:type="auto"/>
            <w:tcBorders>
              <w:left w:val="single" w:sz="2" w:space="0" w:color="000000" w:themeColor="text1"/>
            </w:tcBorders>
            <w:hideMark/>
          </w:tcPr>
          <w:p w14:paraId="272AE6AD" w14:textId="77777777" w:rsidR="00A0243A" w:rsidRDefault="00A0243A" w:rsidP="00A8388C">
            <w:pPr>
              <w:pStyle w:val="NormalWeb"/>
              <w:jc w:val="center"/>
            </w:pPr>
            <w:r>
              <w:t>0.8%</w:t>
            </w:r>
          </w:p>
        </w:tc>
      </w:tr>
      <w:tr w:rsidR="00A0243A" w14:paraId="7C4255EA" w14:textId="77777777" w:rsidTr="00A8388C">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B9469DC" w14:textId="77777777" w:rsidR="00A0243A" w:rsidRDefault="00A0243A">
            <w:pPr>
              <w:pStyle w:val="NormalWeb"/>
            </w:pPr>
            <w:r>
              <w:t>September</w:t>
            </w:r>
          </w:p>
        </w:tc>
        <w:tc>
          <w:tcPr>
            <w:tcW w:w="0" w:type="auto"/>
            <w:tcBorders>
              <w:left w:val="single" w:sz="2" w:space="0" w:color="000000" w:themeColor="text1"/>
              <w:right w:val="single" w:sz="2" w:space="0" w:color="000000" w:themeColor="text1"/>
            </w:tcBorders>
            <w:hideMark/>
          </w:tcPr>
          <w:p w14:paraId="47ADDF3C" w14:textId="77777777" w:rsidR="00A0243A" w:rsidRDefault="00A0243A" w:rsidP="00A8388C">
            <w:pPr>
              <w:pStyle w:val="NormalWeb"/>
              <w:jc w:val="center"/>
            </w:pPr>
            <w:r>
              <w:t>175.9</w:t>
            </w:r>
          </w:p>
        </w:tc>
        <w:tc>
          <w:tcPr>
            <w:tcW w:w="0" w:type="auto"/>
            <w:tcBorders>
              <w:left w:val="single" w:sz="2" w:space="0" w:color="000000" w:themeColor="text1"/>
              <w:right w:val="single" w:sz="2" w:space="0" w:color="000000" w:themeColor="text1"/>
            </w:tcBorders>
            <w:hideMark/>
          </w:tcPr>
          <w:p w14:paraId="7459D11E" w14:textId="77777777" w:rsidR="00A0243A" w:rsidRDefault="00A0243A" w:rsidP="00A8388C">
            <w:pPr>
              <w:pStyle w:val="NormalWeb"/>
              <w:jc w:val="center"/>
            </w:pPr>
            <w:r>
              <w:t>23.3</w:t>
            </w:r>
          </w:p>
        </w:tc>
        <w:tc>
          <w:tcPr>
            <w:tcW w:w="0" w:type="auto"/>
            <w:tcBorders>
              <w:left w:val="single" w:sz="2" w:space="0" w:color="000000" w:themeColor="text1"/>
              <w:right w:val="single" w:sz="2" w:space="0" w:color="000000" w:themeColor="text1"/>
            </w:tcBorders>
            <w:hideMark/>
          </w:tcPr>
          <w:p w14:paraId="34B86150" w14:textId="77777777" w:rsidR="00A0243A" w:rsidRDefault="00A0243A" w:rsidP="00A8388C">
            <w:pPr>
              <w:pStyle w:val="NormalWeb"/>
              <w:jc w:val="center"/>
            </w:pPr>
            <w:r>
              <w:t>14–31</w:t>
            </w:r>
          </w:p>
        </w:tc>
        <w:tc>
          <w:tcPr>
            <w:tcW w:w="0" w:type="auto"/>
            <w:tcBorders>
              <w:left w:val="single" w:sz="2" w:space="0" w:color="000000" w:themeColor="text1"/>
              <w:right w:val="single" w:sz="2" w:space="0" w:color="000000" w:themeColor="text1"/>
            </w:tcBorders>
            <w:hideMark/>
          </w:tcPr>
          <w:p w14:paraId="207A05D1" w14:textId="77777777" w:rsidR="00A0243A" w:rsidRDefault="00A0243A" w:rsidP="00A8388C">
            <w:pPr>
              <w:pStyle w:val="NormalWeb"/>
              <w:jc w:val="center"/>
            </w:pPr>
            <w:r>
              <w:t>13.4%</w:t>
            </w:r>
          </w:p>
        </w:tc>
        <w:tc>
          <w:tcPr>
            <w:tcW w:w="0" w:type="auto"/>
            <w:tcBorders>
              <w:left w:val="single" w:sz="2" w:space="0" w:color="000000" w:themeColor="text1"/>
              <w:right w:val="single" w:sz="2" w:space="0" w:color="000000" w:themeColor="text1"/>
            </w:tcBorders>
            <w:hideMark/>
          </w:tcPr>
          <w:p w14:paraId="043DEEE8" w14:textId="77777777" w:rsidR="00A0243A" w:rsidRDefault="00A0243A" w:rsidP="00A8388C">
            <w:pPr>
              <w:pStyle w:val="NormalWeb"/>
              <w:jc w:val="center"/>
            </w:pPr>
            <w:r>
              <w:t>132</w:t>
            </w:r>
          </w:p>
        </w:tc>
        <w:tc>
          <w:tcPr>
            <w:tcW w:w="0" w:type="auto"/>
            <w:tcBorders>
              <w:left w:val="single" w:sz="2" w:space="0" w:color="000000" w:themeColor="text1"/>
              <w:right w:val="single" w:sz="2" w:space="0" w:color="000000" w:themeColor="text1"/>
            </w:tcBorders>
            <w:hideMark/>
          </w:tcPr>
          <w:p w14:paraId="5702F4CD" w14:textId="77777777" w:rsidR="00A0243A" w:rsidRDefault="00A0243A" w:rsidP="00A8388C">
            <w:pPr>
              <w:pStyle w:val="NormalWeb"/>
              <w:jc w:val="center"/>
            </w:pPr>
            <w:r>
              <w:t>1</w:t>
            </w:r>
          </w:p>
        </w:tc>
        <w:tc>
          <w:tcPr>
            <w:tcW w:w="0" w:type="auto"/>
            <w:tcBorders>
              <w:left w:val="single" w:sz="2" w:space="0" w:color="000000" w:themeColor="text1"/>
            </w:tcBorders>
            <w:hideMark/>
          </w:tcPr>
          <w:p w14:paraId="277630FE" w14:textId="77777777" w:rsidR="00A0243A" w:rsidRDefault="00A0243A" w:rsidP="00A8388C">
            <w:pPr>
              <w:pStyle w:val="NormalWeb"/>
              <w:jc w:val="center"/>
            </w:pPr>
            <w:r>
              <w:t>0.8%</w:t>
            </w:r>
          </w:p>
        </w:tc>
      </w:tr>
      <w:tr w:rsidR="00A0243A" w:rsidRPr="00D4449E" w14:paraId="39202E17" w14:textId="77777777" w:rsidTr="00A8388C">
        <w:tc>
          <w:tcPr>
            <w:tcW w:w="0" w:type="auto"/>
            <w:tcBorders>
              <w:right w:val="single" w:sz="2" w:space="0" w:color="000000" w:themeColor="text1"/>
            </w:tcBorders>
            <w:shd w:val="clear" w:color="auto" w:fill="FDE9D9" w:themeFill="accent6" w:themeFillTint="33"/>
            <w:hideMark/>
          </w:tcPr>
          <w:p w14:paraId="17E6E374" w14:textId="77777777" w:rsidR="00A0243A" w:rsidRPr="00D4449E" w:rsidRDefault="00A0243A">
            <w:pPr>
              <w:pStyle w:val="NormalWeb"/>
              <w:rPr>
                <w:b/>
              </w:rPr>
            </w:pPr>
            <w:r w:rsidRPr="00D4449E">
              <w:rPr>
                <w:b/>
              </w:rPr>
              <w:t>Total</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0FB08CEB" w14:textId="77777777" w:rsidR="00A0243A" w:rsidRPr="00D4449E" w:rsidRDefault="00A0243A" w:rsidP="00A8388C">
            <w:pPr>
              <w:pStyle w:val="NormalWeb"/>
              <w:jc w:val="center"/>
              <w:rPr>
                <w:b/>
              </w:rPr>
            </w:pPr>
            <w:r w:rsidRPr="00D4449E">
              <w:rPr>
                <w:b/>
              </w:rPr>
              <w:t>1,430.6</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031ADA8F" w14:textId="77777777" w:rsidR="00A0243A" w:rsidRPr="00D4449E" w:rsidRDefault="00A0243A" w:rsidP="00A8388C">
            <w:pPr>
              <w:pStyle w:val="NormalWeb"/>
              <w:jc w:val="center"/>
              <w:rPr>
                <w:b/>
              </w:rPr>
            </w:pPr>
            <w:r w:rsidRPr="00D4449E">
              <w:rPr>
                <w:b/>
              </w:rPr>
              <w:t>175.9</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383F427E" w14:textId="77777777" w:rsidR="00A0243A" w:rsidRPr="00D4449E" w:rsidRDefault="00A0243A" w:rsidP="00A8388C">
            <w:pPr>
              <w:pStyle w:val="NormalWeb"/>
              <w:jc w:val="center"/>
              <w:rPr>
                <w:b/>
              </w:rPr>
            </w:pPr>
            <w:r w:rsidRPr="00D4449E">
              <w:rPr>
                <w:b/>
              </w:rPr>
              <w:t>123–251</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6DE6AB7F" w14:textId="77777777" w:rsidR="00A0243A" w:rsidRPr="00D4449E" w:rsidRDefault="00A0243A" w:rsidP="00A8388C">
            <w:pPr>
              <w:pStyle w:val="NormalWeb"/>
              <w:jc w:val="center"/>
              <w:rPr>
                <w:b/>
              </w:rPr>
            </w:pPr>
            <w:r w:rsidRPr="00D4449E">
              <w:rPr>
                <w:b/>
              </w:rPr>
              <w:t>12.3%</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454E222B" w14:textId="77777777" w:rsidR="00A0243A" w:rsidRPr="00D4449E" w:rsidRDefault="00A0243A" w:rsidP="00A8388C">
            <w:pPr>
              <w:pStyle w:val="NormalWeb"/>
              <w:jc w:val="center"/>
              <w:rPr>
                <w:b/>
              </w:rPr>
            </w:pPr>
            <w:r w:rsidRPr="00D4449E">
              <w:rPr>
                <w:b/>
              </w:rPr>
              <w:t>1,390</w:t>
            </w:r>
          </w:p>
        </w:tc>
        <w:tc>
          <w:tcPr>
            <w:tcW w:w="0" w:type="auto"/>
            <w:tcBorders>
              <w:left w:val="single" w:sz="2" w:space="0" w:color="000000" w:themeColor="text1"/>
              <w:right w:val="single" w:sz="2" w:space="0" w:color="000000" w:themeColor="text1"/>
            </w:tcBorders>
            <w:shd w:val="clear" w:color="auto" w:fill="FDE9D9" w:themeFill="accent6" w:themeFillTint="33"/>
            <w:hideMark/>
          </w:tcPr>
          <w:p w14:paraId="6181AF59" w14:textId="77777777" w:rsidR="00A0243A" w:rsidRPr="00D4449E" w:rsidRDefault="00A0243A" w:rsidP="00A8388C">
            <w:pPr>
              <w:pStyle w:val="NormalWeb"/>
              <w:jc w:val="center"/>
              <w:rPr>
                <w:b/>
              </w:rPr>
            </w:pPr>
            <w:r w:rsidRPr="00D4449E">
              <w:rPr>
                <w:b/>
              </w:rPr>
              <w:t>27</w:t>
            </w:r>
          </w:p>
        </w:tc>
        <w:tc>
          <w:tcPr>
            <w:tcW w:w="0" w:type="auto"/>
            <w:tcBorders>
              <w:left w:val="single" w:sz="2" w:space="0" w:color="000000" w:themeColor="text1"/>
            </w:tcBorders>
            <w:shd w:val="clear" w:color="auto" w:fill="FDE9D9" w:themeFill="accent6" w:themeFillTint="33"/>
            <w:hideMark/>
          </w:tcPr>
          <w:p w14:paraId="4730E078" w14:textId="77777777" w:rsidR="00A0243A" w:rsidRPr="00D4449E" w:rsidRDefault="00A0243A" w:rsidP="00A8388C">
            <w:pPr>
              <w:pStyle w:val="NormalWeb"/>
              <w:jc w:val="center"/>
              <w:rPr>
                <w:b/>
              </w:rPr>
            </w:pPr>
            <w:r w:rsidRPr="00D4449E">
              <w:rPr>
                <w:b/>
              </w:rPr>
              <w:t>1.9%</w:t>
            </w:r>
          </w:p>
        </w:tc>
      </w:tr>
    </w:tbl>
    <w:p w14:paraId="229501AC" w14:textId="77777777" w:rsidR="00D4449E" w:rsidRDefault="00D4449E" w:rsidP="00A0243A">
      <w:pPr>
        <w:pStyle w:val="CDIFigures"/>
      </w:pPr>
    </w:p>
    <w:p w14:paraId="496DEABE" w14:textId="77777777" w:rsidR="00D4449E" w:rsidRDefault="00D4449E" w:rsidP="00D4449E">
      <w:r>
        <w:br w:type="page"/>
      </w:r>
    </w:p>
    <w:p w14:paraId="18D34AE6" w14:textId="77777777" w:rsidR="00A0243A" w:rsidRDefault="00A0243A" w:rsidP="00A0243A">
      <w:pPr>
        <w:pStyle w:val="CDIFigures"/>
      </w:pPr>
      <w:r>
        <w:lastRenderedPageBreak/>
        <w:t>Figure 3: Number of gastroenteritis outbreaks with specimens tested and the norovirus RNA positivity rate for January to September each year from 2010 to 2020</w:t>
      </w:r>
    </w:p>
    <w:p w14:paraId="7CED2527" w14:textId="77777777" w:rsidR="00A0243A" w:rsidRDefault="00A0243A">
      <w:pPr>
        <w:rPr>
          <w:rFonts w:eastAsia="Times New Roman"/>
        </w:rPr>
      </w:pPr>
      <w:r>
        <w:rPr>
          <w:rFonts w:eastAsia="Times New Roman"/>
          <w:noProof/>
        </w:rPr>
        <w:drawing>
          <wp:inline distT="0" distB="0" distL="0" distR="0" wp14:anchorId="135CE984" wp14:editId="6E7722D3">
            <wp:extent cx="6579329" cy="4353339"/>
            <wp:effectExtent l="0" t="0" r="0" b="9525"/>
            <wp:docPr id="3" name="Picture 3" descr="Figure 3 is a bar and line graph.  The bars represent the total number of gastroenteritis outbreaks with specimens sent for norovirus testing each year between January and September for 2010 to 2020.  The bars for 2010 to 2019 vary with between approximately 100 to 280 outbreaks sent for testing in a given year, with 2020 being significantly lower at around 50 outbreaks.  The line represents the positivity rate of the specimens for that period in each year with the rate being similar 2010 to 2019, roughly between 45% and 70% each year, but showing a decline in 2020 to approximately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is a bar and line graph.  The bars represent the total number of gastroenteritis outbreaks with specimens sent for norovirus testing each year between January and September for 2010 to 2020.  The bars for 2010 to 2019 vary with between approximately 100 to 280 outbreaks sent for testing in a given year, with 2020 being significantly lower at around 50 outbreaks.  The line represents the positivity rate of the specimens for that period in each year with the rate being similar 2010 to 2019, roughly between 45% and 70% each year, but showing a decline in 2020 to approximately 3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86694" cy="4358212"/>
                    </a:xfrm>
                    <a:prstGeom prst="rect">
                      <a:avLst/>
                    </a:prstGeom>
                  </pic:spPr>
                </pic:pic>
              </a:graphicData>
            </a:graphic>
          </wp:inline>
        </w:drawing>
      </w:r>
    </w:p>
    <w:p w14:paraId="30B753F0" w14:textId="77777777" w:rsidR="007479E0" w:rsidRDefault="007479E0">
      <w:pPr>
        <w:rPr>
          <w:b/>
        </w:rPr>
      </w:pPr>
      <w:r>
        <w:br w:type="page"/>
      </w:r>
    </w:p>
    <w:p w14:paraId="041BE0F4" w14:textId="77777777" w:rsidR="00A0243A" w:rsidRDefault="00A0243A" w:rsidP="00A0243A">
      <w:pPr>
        <w:pStyle w:val="CDIFigures"/>
      </w:pPr>
      <w:r>
        <w:lastRenderedPageBreak/>
        <w:t>Figure 4: Average number of gastroenteritis outbreaks tested by month for 2010 to 2019</w:t>
      </w:r>
      <w:proofErr w:type="gramStart"/>
      <w:r>
        <w:t>,</w:t>
      </w:r>
      <w:proofErr w:type="spellStart"/>
      <w:r w:rsidRPr="001B5910">
        <w:rPr>
          <w:vertAlign w:val="superscript"/>
        </w:rPr>
        <w:t>a</w:t>
      </w:r>
      <w:proofErr w:type="spellEnd"/>
      <w:proofErr w:type="gramEnd"/>
      <w:r>
        <w:t xml:space="preserve"> compared to the number of outbreaks tested in 2020</w:t>
      </w:r>
    </w:p>
    <w:p w14:paraId="3C919E0C" w14:textId="77777777" w:rsidR="00A0243A" w:rsidRDefault="00A0243A">
      <w:pPr>
        <w:pStyle w:val="NormalWeb"/>
      </w:pPr>
      <w:r>
        <w:rPr>
          <w:noProof/>
        </w:rPr>
        <w:drawing>
          <wp:inline distT="0" distB="0" distL="0" distR="0" wp14:anchorId="6B7FE97E" wp14:editId="252D75E5">
            <wp:extent cx="6664235" cy="4119770"/>
            <wp:effectExtent l="0" t="0" r="3810" b="0"/>
            <wp:docPr id="4" name="Picture 4" descr="Figure 4 is a bar and line graph.  The first series of bars represent the average number of gastroenteritis outbreaks with specimens sent for norovirus testing each month of 2010 to 2019, with the second series of bars representing the number of gastroenteritis outbreaks with specimens sent for norovirus testing each month of 2020 for comparison (January to September only).  The first line represent the average monthly positivity rates for 2010 to 2019 and the second line the positivity rate for 2020.  A significant reduction can be seen in the monthly positivity rate for 2020 from April onwards when compared to the average for the previous de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is a bar and line graph.  The first series of bars represent the average number of gastroenteritis outbreaks with specimens sent for norovirus testing each month of 2010 to 2019, with the second series of bars representing the number of gastroenteritis outbreaks with specimens sent for norovirus testing each month of 2020 for comparison (January to September only).  The first line represent the average monthly positivity rates for 2010 to 2019 and the second line the positivity rate for 2020.  A significant reduction can be seen in the monthly positivity rate for 2020 from April onwards when compared to the average for the previous decad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69016" cy="4122725"/>
                    </a:xfrm>
                    <a:prstGeom prst="rect">
                      <a:avLst/>
                    </a:prstGeom>
                  </pic:spPr>
                </pic:pic>
              </a:graphicData>
            </a:graphic>
          </wp:inline>
        </w:drawing>
      </w:r>
    </w:p>
    <w:p w14:paraId="39690F0C" w14:textId="77777777" w:rsidR="00A0243A" w:rsidRDefault="00A0243A" w:rsidP="00A0243A">
      <w:r>
        <w:t>Victoria, and in particular the capital city Melbourne, was under high-level restrictions from 31 March to 31 May 2020, and from 9 July to 30 September 2020, with lower-level restrictions from 1 June to 8 July.</w:t>
      </w:r>
      <w:r>
        <w:rPr>
          <w:vertAlign w:val="superscript"/>
        </w:rPr>
        <w:t>14</w:t>
      </w:r>
      <w:r>
        <w:t xml:space="preserve"> High-level restrictions included: all non-essential retail closed; gyms and beauty services closed; restaurants and cafes takeaway only; work from home unless an essential worker; online schooling at home; strict limits on home visits and socialising in public; restrictions on travel between rural and metropolitan areas; and border closures between states. Compulsory mask-wearing in public, </w:t>
      </w:r>
      <w:proofErr w:type="spellStart"/>
      <w:r>
        <w:t>nighttime</w:t>
      </w:r>
      <w:proofErr w:type="spellEnd"/>
      <w:r>
        <w:t xml:space="preserve"> curfew and stay at home orders within a 5 km limit were also a feature of the second round of high-level restrictions imposed from 9 July 2020. Lower-level restrictions included: some non-essential retail open with COVID-safe plans; restaurants and cafes serving a limited number of patrons; work from home if you can; and onsite schooling. Australia’s international borders have been closed since 20 March 2020, except for returning Australian citizens/residents.</w:t>
      </w:r>
      <w:r>
        <w:rPr>
          <w:vertAlign w:val="superscript"/>
        </w:rPr>
        <w:t>15</w:t>
      </w:r>
      <w:r>
        <w:t xml:space="preserve"> Communications throughout Australia concerning physical distancing (1.5 m) and hand hygiene have been consistent since the beginning of the pandemic. </w:t>
      </w:r>
    </w:p>
    <w:p w14:paraId="0E730D4A" w14:textId="77777777" w:rsidR="00A0243A" w:rsidRDefault="00A0243A" w:rsidP="00A0243A">
      <w:r>
        <w:t xml:space="preserve">While the number of specimens referred for enterovirus testing remained comparable to previous years for January to September 2020, the enterovirus positivity rate was at record low levels from April onwards, coinciding with the imposition of COVID-19 restrictions in Victoria. The overall reduction of 84.2% in the enterovirus positivity rate for 2020 compared to the previous decade was significant. The number of specimens with enterovirus RNA detected from January to March 2020 was low, but still within the range (or close to that) reported across 2010–2019, and continued a trend first noted in November 2019. </w:t>
      </w:r>
    </w:p>
    <w:p w14:paraId="6ED17FC2" w14:textId="77777777" w:rsidR="00A0243A" w:rsidRDefault="00A0243A" w:rsidP="00A0243A">
      <w:r>
        <w:t xml:space="preserve">Norovirus outbreak referrals for 2020 were down from March compared to 2010–2019, but the norovirus positivity rate reduced sharply from April onwards, with only one norovirus outbreak identified from May to September, coinciding with the initial high-level restrictions. The only previous occurrence of any calendar month with zero </w:t>
      </w:r>
      <w:r>
        <w:lastRenderedPageBreak/>
        <w:t xml:space="preserve">norovirus positive outbreaks in the last 20 years was in June 2003. An overall reduction of 49.0% in the positivity rate for norovirus outbreaks in 2020 compared to the previous decade was significant. </w:t>
      </w:r>
    </w:p>
    <w:p w14:paraId="761F384C" w14:textId="77777777" w:rsidR="00A0243A" w:rsidRDefault="00A0243A" w:rsidP="00A0243A">
      <w:r>
        <w:t xml:space="preserve">This study is limited in the sense that it only examines data from one Australian state, and only one testing site. However, VIDRL is the main testing laboratory for the Victorian Department of Health and Human Services and therefore receives a significant volume of testing referrals for Victorian patients. Further, the ability to compare referrals in 2020 to a decade of previous data reduces this limitation when examining the data for trends. </w:t>
      </w:r>
    </w:p>
    <w:p w14:paraId="26BFC182" w14:textId="77777777" w:rsidR="00A0243A" w:rsidRDefault="00A0243A" w:rsidP="00A0243A">
      <w:r>
        <w:t xml:space="preserve">Enteroviruses and noroviruses, both primarily faecal-oral viruses, have shown a significant reduction in incidence in Victoria, Australia, in 2020 compared to the previous decade. The most likely explanation is the concurrence of social restrictions, physical distancing, personal hygiene awareness and international and domestic border closures resulting from the COVID-19 pandemic in 2020. It remains to be seen whether infectious diseases, other than COVID-19, increase in incidence when restrictions are eased. </w:t>
      </w:r>
    </w:p>
    <w:p w14:paraId="256F627C" w14:textId="77777777" w:rsidR="00A0243A" w:rsidRPr="00A0243A" w:rsidRDefault="00A0243A" w:rsidP="00A0243A">
      <w:pPr>
        <w:pStyle w:val="Heading1"/>
      </w:pPr>
      <w:r w:rsidRPr="00A0243A">
        <w:t xml:space="preserve">Author details </w:t>
      </w:r>
    </w:p>
    <w:p w14:paraId="3D21E2BF" w14:textId="77777777" w:rsidR="00A0243A" w:rsidRDefault="00A0243A" w:rsidP="00A0243A">
      <w:r>
        <w:t xml:space="preserve">Dr Leesa D </w:t>
      </w:r>
      <w:proofErr w:type="spellStart"/>
      <w:r>
        <w:t>Bruggink</w:t>
      </w:r>
      <w:proofErr w:type="spellEnd"/>
      <w:r>
        <w:t>, Senior Medical Scientist</w:t>
      </w:r>
      <w:r>
        <w:rPr>
          <w:vertAlign w:val="superscript"/>
        </w:rPr>
        <w:t xml:space="preserve">1 </w:t>
      </w:r>
    </w:p>
    <w:p w14:paraId="58049FF6" w14:textId="77777777" w:rsidR="00A0243A" w:rsidRDefault="00A0243A" w:rsidP="00A0243A">
      <w:r>
        <w:t xml:space="preserve">Mr </w:t>
      </w:r>
      <w:proofErr w:type="spellStart"/>
      <w:r>
        <w:t>Arnau</w:t>
      </w:r>
      <w:proofErr w:type="spellEnd"/>
      <w:r>
        <w:t xml:space="preserve"> Garcia-</w:t>
      </w:r>
      <w:proofErr w:type="spellStart"/>
      <w:r>
        <w:t>Clapes</w:t>
      </w:r>
      <w:proofErr w:type="spellEnd"/>
      <w:r>
        <w:t>, Administrative Officer</w:t>
      </w:r>
      <w:r>
        <w:rPr>
          <w:vertAlign w:val="superscript"/>
        </w:rPr>
        <w:t xml:space="preserve">1 </w:t>
      </w:r>
    </w:p>
    <w:p w14:paraId="447993C2" w14:textId="77777777" w:rsidR="00A0243A" w:rsidRDefault="00A0243A" w:rsidP="00A0243A">
      <w:r>
        <w:t>Mr Thomas Tran, Senior Medical Scientist</w:t>
      </w:r>
      <w:r>
        <w:rPr>
          <w:vertAlign w:val="superscript"/>
        </w:rPr>
        <w:t xml:space="preserve">2 </w:t>
      </w:r>
    </w:p>
    <w:p w14:paraId="072648D4" w14:textId="77777777" w:rsidR="00A0243A" w:rsidRDefault="00A0243A" w:rsidP="00A0243A">
      <w:r>
        <w:t xml:space="preserve">Dr Julian D </w:t>
      </w:r>
      <w:proofErr w:type="spellStart"/>
      <w:r>
        <w:t>Druce</w:t>
      </w:r>
      <w:proofErr w:type="spellEnd"/>
      <w:r>
        <w:t>, Laboratory Head</w:t>
      </w:r>
      <w:r>
        <w:rPr>
          <w:vertAlign w:val="superscript"/>
        </w:rPr>
        <w:t xml:space="preserve">2 </w:t>
      </w:r>
    </w:p>
    <w:p w14:paraId="62C4AE34" w14:textId="77777777" w:rsidR="00A0243A" w:rsidRDefault="00A0243A" w:rsidP="00A0243A">
      <w:r>
        <w:t>Dr Bruce R Thorley, Laboratory Head</w:t>
      </w:r>
      <w:r>
        <w:rPr>
          <w:vertAlign w:val="superscript"/>
        </w:rPr>
        <w:t xml:space="preserve">1 </w:t>
      </w:r>
    </w:p>
    <w:p w14:paraId="2E5BDBC8" w14:textId="77777777" w:rsidR="00A0243A" w:rsidRPr="00A0243A" w:rsidRDefault="00A0243A" w:rsidP="00A0243A">
      <w:pPr>
        <w:pStyle w:val="ListParagraph"/>
        <w:numPr>
          <w:ilvl w:val="0"/>
          <w:numId w:val="9"/>
        </w:numPr>
        <w:rPr>
          <w:rFonts w:eastAsia="Times New Roman"/>
        </w:rPr>
      </w:pPr>
      <w:r w:rsidRPr="00A0243A">
        <w:rPr>
          <w:rFonts w:eastAsia="Times New Roman"/>
        </w:rPr>
        <w:t xml:space="preserve">Enteric Virus Laboratory, Victorian Infectious Diseases Reference Laboratory (VIDRL), Royal Melbourne Hospital, at the Peter Doherty Institute for Infection and Immunity </w:t>
      </w:r>
    </w:p>
    <w:p w14:paraId="150B47CC" w14:textId="77777777" w:rsidR="00A0243A" w:rsidRPr="00A0243A" w:rsidRDefault="00A0243A" w:rsidP="00A0243A">
      <w:pPr>
        <w:pStyle w:val="ListParagraph"/>
        <w:numPr>
          <w:ilvl w:val="0"/>
          <w:numId w:val="9"/>
        </w:numPr>
        <w:rPr>
          <w:rFonts w:eastAsia="Times New Roman"/>
        </w:rPr>
      </w:pPr>
      <w:r w:rsidRPr="00A0243A">
        <w:rPr>
          <w:rFonts w:eastAsia="Times New Roman"/>
        </w:rPr>
        <w:t xml:space="preserve">Viral Identification Laboratory, Victorian Infectious Diseases Reference Laboratory (VIDRL), Royal Melbourne Hospital, at the Peter Doherty Institute for Infection and Immunity </w:t>
      </w:r>
    </w:p>
    <w:p w14:paraId="6CCE232A" w14:textId="77777777" w:rsidR="00A0243A" w:rsidRPr="00A0243A" w:rsidRDefault="00A0243A" w:rsidP="00A0243A">
      <w:pPr>
        <w:pStyle w:val="Heading1"/>
      </w:pPr>
      <w:r w:rsidRPr="00A0243A">
        <w:t xml:space="preserve">Corresponding author </w:t>
      </w:r>
    </w:p>
    <w:p w14:paraId="3B27FC18" w14:textId="77777777" w:rsidR="00A0243A" w:rsidRDefault="00A0243A" w:rsidP="00A0243A">
      <w:r>
        <w:t xml:space="preserve">Dr Leesa D </w:t>
      </w:r>
      <w:proofErr w:type="spellStart"/>
      <w:r>
        <w:t>Bruggink</w:t>
      </w:r>
      <w:proofErr w:type="spellEnd"/>
      <w:r>
        <w:t xml:space="preserve"> </w:t>
      </w:r>
    </w:p>
    <w:p w14:paraId="07FEE5AF" w14:textId="77777777" w:rsidR="00A0243A" w:rsidRDefault="00A0243A" w:rsidP="00A0243A">
      <w:r>
        <w:t xml:space="preserve">Victorian Infectious Diseases Reference Laboratory, Royal Melbourne Hospital, at the Peter Doherty Institute for Infection and Immunity, 792 Elizabeth St, Melbourne, Victoria, Australia </w:t>
      </w:r>
    </w:p>
    <w:p w14:paraId="58BE308E" w14:textId="77777777" w:rsidR="00A0243A" w:rsidRDefault="00A0243A" w:rsidP="00A0243A">
      <w:r w:rsidRPr="006A5501">
        <w:rPr>
          <w:b/>
        </w:rPr>
        <w:t>Email:</w:t>
      </w:r>
      <w:r>
        <w:t xml:space="preserve"> leesa.bruggink@vidrl.org.au </w:t>
      </w:r>
    </w:p>
    <w:p w14:paraId="1359AA74" w14:textId="77777777" w:rsidR="00A0243A" w:rsidRDefault="00A0243A" w:rsidP="00A0243A">
      <w:r w:rsidRPr="006A5501">
        <w:rPr>
          <w:b/>
        </w:rPr>
        <w:t>Phone:</w:t>
      </w:r>
      <w:r>
        <w:t xml:space="preserve"> +61 03 93429607 </w:t>
      </w:r>
    </w:p>
    <w:p w14:paraId="71ECE912" w14:textId="77777777" w:rsidR="007479E0" w:rsidRDefault="007479E0">
      <w:pPr>
        <w:rPr>
          <w:rFonts w:asciiTheme="majorHAnsi" w:eastAsiaTheme="majorEastAsia" w:hAnsiTheme="majorHAnsi" w:cstheme="majorBidi"/>
          <w:b/>
          <w:bCs/>
          <w:sz w:val="32"/>
          <w:szCs w:val="28"/>
        </w:rPr>
      </w:pPr>
      <w:r>
        <w:br w:type="page"/>
      </w:r>
    </w:p>
    <w:p w14:paraId="28B65BF0" w14:textId="77777777" w:rsidR="00A0243A" w:rsidRPr="00A0243A" w:rsidRDefault="00A0243A" w:rsidP="00A0243A">
      <w:pPr>
        <w:pStyle w:val="Heading1"/>
      </w:pPr>
      <w:r w:rsidRPr="00A0243A">
        <w:lastRenderedPageBreak/>
        <w:t xml:space="preserve">References </w:t>
      </w:r>
    </w:p>
    <w:p w14:paraId="76F1DE86"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Department of Health and Human Services (DHHS). Media releases. [Internet.] Melbourne: Victoria State Government, DHHS; 2020. [Accessed on 29 October 2020.] Available from: https://www2.health.vic.gov.au/about/media-centre/mediareleases. </w:t>
      </w:r>
    </w:p>
    <w:p w14:paraId="37F2C0CD"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DHHS. Coronavirus update for Victoria – 01 October 2020. [Internet.] Melbourne: Victoria State Government, DHHS; 1 October 2020. [Accessed on 29 October 2020.] Available from: https://www.dhhs.vic.gov.au/coronavirus-update-victoria-01-october-2020. </w:t>
      </w:r>
    </w:p>
    <w:p w14:paraId="76DB57B4"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Olsen SJ, </w:t>
      </w:r>
      <w:proofErr w:type="spellStart"/>
      <w:r>
        <w:rPr>
          <w:rFonts w:eastAsia="Times New Roman"/>
        </w:rPr>
        <w:t>Azziz-Baumgartnet</w:t>
      </w:r>
      <w:proofErr w:type="spellEnd"/>
      <w:r>
        <w:rPr>
          <w:rFonts w:eastAsia="Times New Roman"/>
        </w:rPr>
        <w:t xml:space="preserve"> E, Budd AP, </w:t>
      </w:r>
      <w:proofErr w:type="spellStart"/>
      <w:r>
        <w:rPr>
          <w:rFonts w:eastAsia="Times New Roman"/>
        </w:rPr>
        <w:t>Brammer</w:t>
      </w:r>
      <w:proofErr w:type="spellEnd"/>
      <w:r>
        <w:rPr>
          <w:rFonts w:eastAsia="Times New Roman"/>
        </w:rPr>
        <w:t xml:space="preserve"> L, Sullivan S, Pineda RF et al. Decreased influenza activity during the COVID-19 pandemic – United States, Australia, Chile, and South Africa, 2020. </w:t>
      </w:r>
      <w:r w:rsidRPr="006E4076">
        <w:rPr>
          <w:rStyle w:val="Emphasis"/>
          <w:rFonts w:eastAsia="Times New Roman"/>
          <w:b w:val="0"/>
        </w:rPr>
        <w:t xml:space="preserve">MMWR </w:t>
      </w:r>
      <w:proofErr w:type="spellStart"/>
      <w:r w:rsidRPr="006E4076">
        <w:rPr>
          <w:rStyle w:val="Emphasis"/>
          <w:rFonts w:eastAsia="Times New Roman"/>
          <w:b w:val="0"/>
        </w:rPr>
        <w:t>Morb</w:t>
      </w:r>
      <w:proofErr w:type="spellEnd"/>
      <w:r w:rsidRPr="006E4076">
        <w:rPr>
          <w:rStyle w:val="Emphasis"/>
          <w:rFonts w:eastAsia="Times New Roman"/>
          <w:b w:val="0"/>
        </w:rPr>
        <w:t xml:space="preserve"> Mortal </w:t>
      </w:r>
      <w:proofErr w:type="spellStart"/>
      <w:r w:rsidRPr="006E4076">
        <w:rPr>
          <w:rStyle w:val="Emphasis"/>
          <w:rFonts w:eastAsia="Times New Roman"/>
          <w:b w:val="0"/>
        </w:rPr>
        <w:t>Wkly</w:t>
      </w:r>
      <w:proofErr w:type="spellEnd"/>
      <w:r w:rsidRPr="006E4076">
        <w:rPr>
          <w:rStyle w:val="Emphasis"/>
          <w:rFonts w:eastAsia="Times New Roman"/>
          <w:b w:val="0"/>
        </w:rPr>
        <w:t xml:space="preserve"> Rep</w:t>
      </w:r>
      <w:r>
        <w:rPr>
          <w:rFonts w:eastAsia="Times New Roman"/>
        </w:rPr>
        <w:t>. 2020</w:t>
      </w:r>
      <w:proofErr w:type="gramStart"/>
      <w:r>
        <w:rPr>
          <w:rFonts w:eastAsia="Times New Roman"/>
        </w:rPr>
        <w:t>;69</w:t>
      </w:r>
      <w:proofErr w:type="gramEnd"/>
      <w:r>
        <w:rPr>
          <w:rFonts w:eastAsia="Times New Roman"/>
        </w:rPr>
        <w:t xml:space="preserve">(37):1305–9. </w:t>
      </w:r>
    </w:p>
    <w:p w14:paraId="57C08F6C" w14:textId="77777777" w:rsidR="00A0243A" w:rsidRDefault="00A0243A" w:rsidP="00A0243A">
      <w:pPr>
        <w:numPr>
          <w:ilvl w:val="0"/>
          <w:numId w:val="8"/>
        </w:numPr>
        <w:spacing w:before="100" w:beforeAutospacing="1" w:after="100" w:afterAutospacing="1" w:line="240" w:lineRule="auto"/>
        <w:rPr>
          <w:rFonts w:eastAsia="Times New Roman"/>
        </w:rPr>
      </w:pPr>
      <w:proofErr w:type="spellStart"/>
      <w:r>
        <w:rPr>
          <w:rFonts w:eastAsia="Times New Roman"/>
        </w:rPr>
        <w:t>Pallansch</w:t>
      </w:r>
      <w:proofErr w:type="spellEnd"/>
      <w:r>
        <w:rPr>
          <w:rFonts w:eastAsia="Times New Roman"/>
        </w:rPr>
        <w:t xml:space="preserve"> MA, </w:t>
      </w:r>
      <w:proofErr w:type="spellStart"/>
      <w:r>
        <w:rPr>
          <w:rFonts w:eastAsia="Times New Roman"/>
        </w:rPr>
        <w:t>Oberste</w:t>
      </w:r>
      <w:proofErr w:type="spellEnd"/>
      <w:r>
        <w:rPr>
          <w:rFonts w:eastAsia="Times New Roman"/>
        </w:rPr>
        <w:t xml:space="preserve"> MS, Whitton JL. Enteroviruses: polioviruses, </w:t>
      </w:r>
      <w:proofErr w:type="spellStart"/>
      <w:r>
        <w:rPr>
          <w:rFonts w:eastAsia="Times New Roman"/>
        </w:rPr>
        <w:t>coxsackieviruses</w:t>
      </w:r>
      <w:proofErr w:type="spellEnd"/>
      <w:r>
        <w:rPr>
          <w:rFonts w:eastAsia="Times New Roman"/>
        </w:rPr>
        <w:t xml:space="preserve">, echoviruses, and newer enteroviruses. In </w:t>
      </w:r>
      <w:proofErr w:type="spellStart"/>
      <w:r>
        <w:rPr>
          <w:rFonts w:eastAsia="Times New Roman"/>
        </w:rPr>
        <w:t>Knipe</w:t>
      </w:r>
      <w:proofErr w:type="spellEnd"/>
      <w:r>
        <w:rPr>
          <w:rFonts w:eastAsia="Times New Roman"/>
        </w:rPr>
        <w:t xml:space="preserve"> DM, </w:t>
      </w:r>
      <w:proofErr w:type="spellStart"/>
      <w:r>
        <w:rPr>
          <w:rFonts w:eastAsia="Times New Roman"/>
        </w:rPr>
        <w:t>Howley</w:t>
      </w:r>
      <w:proofErr w:type="spellEnd"/>
      <w:r>
        <w:rPr>
          <w:rFonts w:eastAsia="Times New Roman"/>
        </w:rPr>
        <w:t xml:space="preserve"> PM, eds. </w:t>
      </w:r>
      <w:r w:rsidRPr="006E4076">
        <w:rPr>
          <w:rStyle w:val="Emphasis"/>
          <w:rFonts w:eastAsia="Times New Roman"/>
          <w:b w:val="0"/>
        </w:rPr>
        <w:t>Fields Virology. Volume 1</w:t>
      </w:r>
      <w:r>
        <w:rPr>
          <w:rFonts w:eastAsia="Times New Roman"/>
        </w:rPr>
        <w:t xml:space="preserve">. (Sixth edition.) Philadelphia: Wolters Kluwer Health/Lippincott Williams &amp; Wilkins; 2013, 490–530. </w:t>
      </w:r>
    </w:p>
    <w:p w14:paraId="114B05F8" w14:textId="77777777" w:rsidR="00A0243A" w:rsidRDefault="00A0243A" w:rsidP="00A0243A">
      <w:pPr>
        <w:numPr>
          <w:ilvl w:val="0"/>
          <w:numId w:val="8"/>
        </w:numPr>
        <w:spacing w:before="100" w:beforeAutospacing="1" w:after="100" w:afterAutospacing="1" w:line="240" w:lineRule="auto"/>
        <w:rPr>
          <w:rFonts w:eastAsia="Times New Roman"/>
        </w:rPr>
      </w:pPr>
      <w:proofErr w:type="spellStart"/>
      <w:r>
        <w:rPr>
          <w:rFonts w:eastAsia="Times New Roman"/>
        </w:rPr>
        <w:t>Papadakis</w:t>
      </w:r>
      <w:proofErr w:type="spellEnd"/>
      <w:r>
        <w:rPr>
          <w:rFonts w:eastAsia="Times New Roman"/>
        </w:rPr>
        <w:t xml:space="preserve"> G, </w:t>
      </w:r>
      <w:proofErr w:type="spellStart"/>
      <w:r>
        <w:rPr>
          <w:rFonts w:eastAsia="Times New Roman"/>
        </w:rPr>
        <w:t>Chibo</w:t>
      </w:r>
      <w:proofErr w:type="spellEnd"/>
      <w:r>
        <w:rPr>
          <w:rFonts w:eastAsia="Times New Roman"/>
        </w:rPr>
        <w:t xml:space="preserve"> D, </w:t>
      </w:r>
      <w:proofErr w:type="spellStart"/>
      <w:r>
        <w:rPr>
          <w:rFonts w:eastAsia="Times New Roman"/>
        </w:rPr>
        <w:t>Druce</w:t>
      </w:r>
      <w:proofErr w:type="spellEnd"/>
      <w:r>
        <w:rPr>
          <w:rFonts w:eastAsia="Times New Roman"/>
        </w:rPr>
        <w:t xml:space="preserve"> J, Catton M, Birch C. Detection and genotyping of enteroviruses in cerebrospinal fluid in patients in Victoria, Australia, 2007–2013. </w:t>
      </w:r>
      <w:r w:rsidRPr="006E4076">
        <w:rPr>
          <w:rStyle w:val="Emphasis"/>
          <w:rFonts w:eastAsia="Times New Roman"/>
          <w:b w:val="0"/>
        </w:rPr>
        <w:t xml:space="preserve">J Med </w:t>
      </w:r>
      <w:proofErr w:type="spellStart"/>
      <w:r w:rsidRPr="006E4076">
        <w:rPr>
          <w:rStyle w:val="Emphasis"/>
          <w:rFonts w:eastAsia="Times New Roman"/>
          <w:b w:val="0"/>
        </w:rPr>
        <w:t>Virol</w:t>
      </w:r>
      <w:proofErr w:type="spellEnd"/>
      <w:r>
        <w:rPr>
          <w:rFonts w:eastAsia="Times New Roman"/>
        </w:rPr>
        <w:t>. 2014</w:t>
      </w:r>
      <w:proofErr w:type="gramStart"/>
      <w:r>
        <w:rPr>
          <w:rFonts w:eastAsia="Times New Roman"/>
        </w:rPr>
        <w:t>;86</w:t>
      </w:r>
      <w:proofErr w:type="gramEnd"/>
      <w:r>
        <w:rPr>
          <w:rFonts w:eastAsia="Times New Roman"/>
        </w:rPr>
        <w:t xml:space="preserve">(9):1609–13. </w:t>
      </w:r>
    </w:p>
    <w:p w14:paraId="0630A582"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Roberts JA, </w:t>
      </w:r>
      <w:proofErr w:type="spellStart"/>
      <w:r>
        <w:rPr>
          <w:rFonts w:eastAsia="Times New Roman"/>
        </w:rPr>
        <w:t>Hobday</w:t>
      </w:r>
      <w:proofErr w:type="spellEnd"/>
      <w:r>
        <w:rPr>
          <w:rFonts w:eastAsia="Times New Roman"/>
        </w:rPr>
        <w:t xml:space="preserve"> LK, Ibrahim A, Thorley B. Australian National Enterovirus Reference Laboratory annual report, 2018. </w:t>
      </w:r>
      <w:proofErr w:type="spellStart"/>
      <w:r w:rsidRPr="006E4076">
        <w:rPr>
          <w:rStyle w:val="Emphasis"/>
          <w:rFonts w:eastAsia="Times New Roman"/>
          <w:b w:val="0"/>
        </w:rPr>
        <w:t>Commun</w:t>
      </w:r>
      <w:proofErr w:type="spellEnd"/>
      <w:r w:rsidRPr="006E4076">
        <w:rPr>
          <w:rStyle w:val="Emphasis"/>
          <w:rFonts w:eastAsia="Times New Roman"/>
          <w:b w:val="0"/>
        </w:rPr>
        <w:t xml:space="preserve"> Dis </w:t>
      </w:r>
      <w:proofErr w:type="spellStart"/>
      <w:r w:rsidRPr="006E4076">
        <w:rPr>
          <w:rStyle w:val="Emphasis"/>
          <w:rFonts w:eastAsia="Times New Roman"/>
          <w:b w:val="0"/>
        </w:rPr>
        <w:t>Intell</w:t>
      </w:r>
      <w:proofErr w:type="spellEnd"/>
      <w:r w:rsidRPr="006E4076">
        <w:rPr>
          <w:rStyle w:val="Emphasis"/>
          <w:rFonts w:eastAsia="Times New Roman"/>
          <w:b w:val="0"/>
        </w:rPr>
        <w:t xml:space="preserve"> (2018)</w:t>
      </w:r>
      <w:r>
        <w:rPr>
          <w:rFonts w:eastAsia="Times New Roman"/>
        </w:rPr>
        <w:t>. 2020</w:t>
      </w:r>
      <w:proofErr w:type="gramStart"/>
      <w:r>
        <w:rPr>
          <w:rFonts w:eastAsia="Times New Roman"/>
        </w:rPr>
        <w:t>;44</w:t>
      </w:r>
      <w:proofErr w:type="gramEnd"/>
      <w:r>
        <w:rPr>
          <w:rFonts w:eastAsia="Times New Roman"/>
        </w:rPr>
        <w:t xml:space="preserve">. </w:t>
      </w:r>
      <w:proofErr w:type="spellStart"/>
      <w:proofErr w:type="gramStart"/>
      <w:r>
        <w:rPr>
          <w:rFonts w:eastAsia="Times New Roman"/>
        </w:rPr>
        <w:t>doi</w:t>
      </w:r>
      <w:proofErr w:type="spellEnd"/>
      <w:proofErr w:type="gramEnd"/>
      <w:r>
        <w:rPr>
          <w:rFonts w:eastAsia="Times New Roman"/>
        </w:rPr>
        <w:t xml:space="preserve">: https://doi.org/10.33321/cdi.2020.44.26. </w:t>
      </w:r>
    </w:p>
    <w:p w14:paraId="134A185D"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Suresh S, Rawlinson WD, Andrews PI, </w:t>
      </w:r>
      <w:proofErr w:type="spellStart"/>
      <w:r>
        <w:rPr>
          <w:rFonts w:eastAsia="Times New Roman"/>
        </w:rPr>
        <w:t>Stelzer</w:t>
      </w:r>
      <w:proofErr w:type="spellEnd"/>
      <w:r>
        <w:rPr>
          <w:rFonts w:eastAsia="Times New Roman"/>
        </w:rPr>
        <w:t xml:space="preserve">-Braid S. Global epidemiology of </w:t>
      </w:r>
      <w:proofErr w:type="spellStart"/>
      <w:r>
        <w:rPr>
          <w:rFonts w:eastAsia="Times New Roman"/>
        </w:rPr>
        <w:t>nonpolio</w:t>
      </w:r>
      <w:proofErr w:type="spellEnd"/>
      <w:r>
        <w:rPr>
          <w:rFonts w:eastAsia="Times New Roman"/>
        </w:rPr>
        <w:t xml:space="preserve"> enteroviruses causing severe neurological complications: A systematic review and meta-analysis. </w:t>
      </w:r>
      <w:r w:rsidRPr="006E4076">
        <w:rPr>
          <w:rStyle w:val="Emphasis"/>
          <w:rFonts w:eastAsia="Times New Roman"/>
          <w:b w:val="0"/>
        </w:rPr>
        <w:t xml:space="preserve">Rev Med </w:t>
      </w:r>
      <w:proofErr w:type="spellStart"/>
      <w:r w:rsidRPr="006E4076">
        <w:rPr>
          <w:rStyle w:val="Emphasis"/>
          <w:rFonts w:eastAsia="Times New Roman"/>
          <w:b w:val="0"/>
        </w:rPr>
        <w:t>Virol</w:t>
      </w:r>
      <w:proofErr w:type="spellEnd"/>
      <w:r>
        <w:rPr>
          <w:rFonts w:eastAsia="Times New Roman"/>
        </w:rPr>
        <w:t>. 2020</w:t>
      </w:r>
      <w:proofErr w:type="gramStart"/>
      <w:r>
        <w:rPr>
          <w:rFonts w:eastAsia="Times New Roman"/>
        </w:rPr>
        <w:t>;30</w:t>
      </w:r>
      <w:proofErr w:type="gramEnd"/>
      <w:r>
        <w:rPr>
          <w:rFonts w:eastAsia="Times New Roman"/>
        </w:rPr>
        <w:t xml:space="preserve">(1):e2082. </w:t>
      </w:r>
      <w:proofErr w:type="spellStart"/>
      <w:proofErr w:type="gramStart"/>
      <w:r>
        <w:rPr>
          <w:rFonts w:eastAsia="Times New Roman"/>
        </w:rPr>
        <w:t>doi</w:t>
      </w:r>
      <w:proofErr w:type="spellEnd"/>
      <w:proofErr w:type="gramEnd"/>
      <w:r>
        <w:rPr>
          <w:rFonts w:eastAsia="Times New Roman"/>
        </w:rPr>
        <w:t xml:space="preserve">: https://doi.org/10.1002/rmv.2082. </w:t>
      </w:r>
    </w:p>
    <w:p w14:paraId="1C955ABD" w14:textId="77777777" w:rsidR="00A0243A" w:rsidRDefault="00A0243A" w:rsidP="00A0243A">
      <w:pPr>
        <w:numPr>
          <w:ilvl w:val="0"/>
          <w:numId w:val="8"/>
        </w:numPr>
        <w:spacing w:before="100" w:beforeAutospacing="1" w:after="100" w:afterAutospacing="1" w:line="240" w:lineRule="auto"/>
        <w:rPr>
          <w:rFonts w:eastAsia="Times New Roman"/>
        </w:rPr>
      </w:pPr>
      <w:proofErr w:type="spellStart"/>
      <w:r>
        <w:rPr>
          <w:rFonts w:eastAsia="Times New Roman"/>
        </w:rPr>
        <w:t>Oberste</w:t>
      </w:r>
      <w:proofErr w:type="spellEnd"/>
      <w:r>
        <w:rPr>
          <w:rFonts w:eastAsia="Times New Roman"/>
        </w:rPr>
        <w:t xml:space="preserve"> MS, </w:t>
      </w:r>
      <w:proofErr w:type="spellStart"/>
      <w:r>
        <w:rPr>
          <w:rFonts w:eastAsia="Times New Roman"/>
        </w:rPr>
        <w:t>Pallansch</w:t>
      </w:r>
      <w:proofErr w:type="spellEnd"/>
      <w:r>
        <w:rPr>
          <w:rFonts w:eastAsia="Times New Roman"/>
        </w:rPr>
        <w:t xml:space="preserve"> MA. Establishing evidence for enterovirus infection in chronic disease. </w:t>
      </w:r>
      <w:r w:rsidRPr="006E4076">
        <w:rPr>
          <w:rStyle w:val="Emphasis"/>
          <w:rFonts w:eastAsia="Times New Roman"/>
          <w:b w:val="0"/>
        </w:rPr>
        <w:t xml:space="preserve">Ann N Y </w:t>
      </w:r>
      <w:proofErr w:type="spellStart"/>
      <w:r w:rsidRPr="006E4076">
        <w:rPr>
          <w:rStyle w:val="Emphasis"/>
          <w:rFonts w:eastAsia="Times New Roman"/>
          <w:b w:val="0"/>
        </w:rPr>
        <w:t>Acad</w:t>
      </w:r>
      <w:proofErr w:type="spellEnd"/>
      <w:r w:rsidRPr="006E4076">
        <w:rPr>
          <w:rStyle w:val="Emphasis"/>
          <w:rFonts w:eastAsia="Times New Roman"/>
          <w:b w:val="0"/>
        </w:rPr>
        <w:t xml:space="preserve"> Sci</w:t>
      </w:r>
      <w:r>
        <w:rPr>
          <w:rFonts w:eastAsia="Times New Roman"/>
        </w:rPr>
        <w:t>. 2003</w:t>
      </w:r>
      <w:proofErr w:type="gramStart"/>
      <w:r>
        <w:rPr>
          <w:rFonts w:eastAsia="Times New Roman"/>
        </w:rPr>
        <w:t>;1005:23</w:t>
      </w:r>
      <w:proofErr w:type="gramEnd"/>
      <w:r>
        <w:rPr>
          <w:rFonts w:eastAsia="Times New Roman"/>
        </w:rPr>
        <w:t xml:space="preserve">–31. </w:t>
      </w:r>
    </w:p>
    <w:p w14:paraId="28C6CBEB"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Green KY. </w:t>
      </w:r>
      <w:proofErr w:type="spellStart"/>
      <w:r>
        <w:rPr>
          <w:rFonts w:eastAsia="Times New Roman"/>
        </w:rPr>
        <w:t>Caliciviridae</w:t>
      </w:r>
      <w:proofErr w:type="spellEnd"/>
      <w:r>
        <w:rPr>
          <w:rFonts w:eastAsia="Times New Roman"/>
        </w:rPr>
        <w:t xml:space="preserve">: the noroviruses. In </w:t>
      </w:r>
      <w:proofErr w:type="spellStart"/>
      <w:r>
        <w:rPr>
          <w:rFonts w:eastAsia="Times New Roman"/>
        </w:rPr>
        <w:t>Knipe</w:t>
      </w:r>
      <w:proofErr w:type="spellEnd"/>
      <w:r>
        <w:rPr>
          <w:rFonts w:eastAsia="Times New Roman"/>
        </w:rPr>
        <w:t xml:space="preserve"> DM, </w:t>
      </w:r>
      <w:proofErr w:type="spellStart"/>
      <w:r>
        <w:rPr>
          <w:rFonts w:eastAsia="Times New Roman"/>
        </w:rPr>
        <w:t>Howley</w:t>
      </w:r>
      <w:proofErr w:type="spellEnd"/>
      <w:r>
        <w:rPr>
          <w:rFonts w:eastAsia="Times New Roman"/>
        </w:rPr>
        <w:t xml:space="preserve"> PM, eds. </w:t>
      </w:r>
      <w:r w:rsidRPr="006E4076">
        <w:rPr>
          <w:rStyle w:val="Emphasis"/>
          <w:rFonts w:eastAsia="Times New Roman"/>
          <w:b w:val="0"/>
        </w:rPr>
        <w:t>Fields Virology. Volume 1</w:t>
      </w:r>
      <w:r>
        <w:rPr>
          <w:rFonts w:eastAsia="Times New Roman"/>
        </w:rPr>
        <w:t xml:space="preserve">. (Sixth edition.) Philadelphia: Wolters Kluwer Health/Lippincott Williams &amp; Wilkins; 2013, 582–608. </w:t>
      </w:r>
    </w:p>
    <w:p w14:paraId="6D89C63E"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Chhabra P, de </w:t>
      </w:r>
      <w:proofErr w:type="spellStart"/>
      <w:r>
        <w:rPr>
          <w:rFonts w:eastAsia="Times New Roman"/>
        </w:rPr>
        <w:t>Graaf</w:t>
      </w:r>
      <w:proofErr w:type="spellEnd"/>
      <w:r>
        <w:rPr>
          <w:rFonts w:eastAsia="Times New Roman"/>
        </w:rPr>
        <w:t xml:space="preserve"> M, Parra GI, Chan MCW, Green K, </w:t>
      </w:r>
      <w:proofErr w:type="spellStart"/>
      <w:r>
        <w:rPr>
          <w:rFonts w:eastAsia="Times New Roman"/>
        </w:rPr>
        <w:t>Martella</w:t>
      </w:r>
      <w:proofErr w:type="spellEnd"/>
      <w:r>
        <w:rPr>
          <w:rFonts w:eastAsia="Times New Roman"/>
        </w:rPr>
        <w:t xml:space="preserve"> V et al. Updated classification of norovirus </w:t>
      </w:r>
      <w:proofErr w:type="spellStart"/>
      <w:r>
        <w:rPr>
          <w:rFonts w:eastAsia="Times New Roman"/>
        </w:rPr>
        <w:t>genogroups</w:t>
      </w:r>
      <w:proofErr w:type="spellEnd"/>
      <w:r>
        <w:rPr>
          <w:rFonts w:eastAsia="Times New Roman"/>
        </w:rPr>
        <w:t xml:space="preserve"> and genotypes. </w:t>
      </w:r>
      <w:r w:rsidRPr="006E4076">
        <w:rPr>
          <w:rStyle w:val="Emphasis"/>
          <w:rFonts w:eastAsia="Times New Roman"/>
          <w:b w:val="0"/>
        </w:rPr>
        <w:t xml:space="preserve">J Gen </w:t>
      </w:r>
      <w:proofErr w:type="spellStart"/>
      <w:r w:rsidRPr="006E4076">
        <w:rPr>
          <w:rStyle w:val="Emphasis"/>
          <w:rFonts w:eastAsia="Times New Roman"/>
          <w:b w:val="0"/>
        </w:rPr>
        <w:t>Virol</w:t>
      </w:r>
      <w:proofErr w:type="spellEnd"/>
      <w:r>
        <w:rPr>
          <w:rFonts w:eastAsia="Times New Roman"/>
        </w:rPr>
        <w:t>. 2019</w:t>
      </w:r>
      <w:proofErr w:type="gramStart"/>
      <w:r>
        <w:rPr>
          <w:rFonts w:eastAsia="Times New Roman"/>
        </w:rPr>
        <w:t>;100</w:t>
      </w:r>
      <w:proofErr w:type="gramEnd"/>
      <w:r>
        <w:rPr>
          <w:rFonts w:eastAsia="Times New Roman"/>
        </w:rPr>
        <w:t xml:space="preserve">(10):1393–406. </w:t>
      </w:r>
    </w:p>
    <w:p w14:paraId="59872A7D" w14:textId="77777777" w:rsidR="00A0243A" w:rsidRDefault="00A0243A" w:rsidP="00A0243A">
      <w:pPr>
        <w:numPr>
          <w:ilvl w:val="0"/>
          <w:numId w:val="8"/>
        </w:numPr>
        <w:spacing w:before="100" w:beforeAutospacing="1" w:after="100" w:afterAutospacing="1" w:line="240" w:lineRule="auto"/>
        <w:rPr>
          <w:rFonts w:eastAsia="Times New Roman"/>
        </w:rPr>
      </w:pPr>
      <w:proofErr w:type="spellStart"/>
      <w:r>
        <w:rPr>
          <w:rFonts w:eastAsia="Times New Roman"/>
        </w:rPr>
        <w:t>Bruggink</w:t>
      </w:r>
      <w:proofErr w:type="spellEnd"/>
      <w:r>
        <w:rPr>
          <w:rFonts w:eastAsia="Times New Roman"/>
        </w:rPr>
        <w:t xml:space="preserve"> L, </w:t>
      </w:r>
      <w:proofErr w:type="spellStart"/>
      <w:r>
        <w:rPr>
          <w:rFonts w:eastAsia="Times New Roman"/>
        </w:rPr>
        <w:t>Witlox</w:t>
      </w:r>
      <w:proofErr w:type="spellEnd"/>
      <w:r>
        <w:rPr>
          <w:rFonts w:eastAsia="Times New Roman"/>
        </w:rPr>
        <w:t xml:space="preserve"> K, Huang B, </w:t>
      </w:r>
      <w:proofErr w:type="spellStart"/>
      <w:r>
        <w:rPr>
          <w:rFonts w:eastAsia="Times New Roman"/>
        </w:rPr>
        <w:t>Warrilow</w:t>
      </w:r>
      <w:proofErr w:type="spellEnd"/>
      <w:r>
        <w:rPr>
          <w:rFonts w:eastAsia="Times New Roman"/>
        </w:rPr>
        <w:t xml:space="preserve"> D, Marshall J. GII.4 norovirus recombinant causes gastroenteritis epidemic in eastern Australia, winter 2017. </w:t>
      </w:r>
      <w:r w:rsidRPr="006E4076">
        <w:rPr>
          <w:rStyle w:val="Emphasis"/>
          <w:rFonts w:eastAsia="Times New Roman"/>
          <w:b w:val="0"/>
        </w:rPr>
        <w:t xml:space="preserve">J Med </w:t>
      </w:r>
      <w:proofErr w:type="spellStart"/>
      <w:r w:rsidRPr="006E4076">
        <w:rPr>
          <w:rStyle w:val="Emphasis"/>
          <w:rFonts w:eastAsia="Times New Roman"/>
          <w:b w:val="0"/>
        </w:rPr>
        <w:t>Virol</w:t>
      </w:r>
      <w:proofErr w:type="spellEnd"/>
      <w:r>
        <w:rPr>
          <w:rFonts w:eastAsia="Times New Roman"/>
        </w:rPr>
        <w:t>. 2018</w:t>
      </w:r>
      <w:proofErr w:type="gramStart"/>
      <w:r>
        <w:rPr>
          <w:rFonts w:eastAsia="Times New Roman"/>
        </w:rPr>
        <w:t>;90</w:t>
      </w:r>
      <w:proofErr w:type="gramEnd"/>
      <w:r>
        <w:rPr>
          <w:rFonts w:eastAsia="Times New Roman"/>
        </w:rPr>
        <w:t xml:space="preserve">(6):1168–71. </w:t>
      </w:r>
    </w:p>
    <w:p w14:paraId="3175E1E4" w14:textId="77777777" w:rsidR="00A0243A" w:rsidRDefault="00A0243A" w:rsidP="00A0243A">
      <w:pPr>
        <w:numPr>
          <w:ilvl w:val="0"/>
          <w:numId w:val="8"/>
        </w:numPr>
        <w:spacing w:before="100" w:beforeAutospacing="1" w:after="100" w:afterAutospacing="1" w:line="240" w:lineRule="auto"/>
        <w:rPr>
          <w:rFonts w:eastAsia="Times New Roman"/>
        </w:rPr>
      </w:pPr>
      <w:proofErr w:type="spellStart"/>
      <w:r>
        <w:rPr>
          <w:rFonts w:eastAsia="Times New Roman"/>
        </w:rPr>
        <w:t>Lun</w:t>
      </w:r>
      <w:proofErr w:type="spellEnd"/>
      <w:r>
        <w:rPr>
          <w:rFonts w:eastAsia="Times New Roman"/>
        </w:rPr>
        <w:t xml:space="preserve"> JH, Hewitt J, Yan GJH, </w:t>
      </w:r>
      <w:proofErr w:type="spellStart"/>
      <w:r>
        <w:rPr>
          <w:rFonts w:eastAsia="Times New Roman"/>
        </w:rPr>
        <w:t>Tuipulotu</w:t>
      </w:r>
      <w:proofErr w:type="spellEnd"/>
      <w:r>
        <w:rPr>
          <w:rFonts w:eastAsia="Times New Roman"/>
        </w:rPr>
        <w:t xml:space="preserve"> DE, Rawlinson WD, White PA. Recombinant GII.P16/GII.4 Sydney 2012 was the dominant norovirus identified in Australia and New Zealand in 2017. </w:t>
      </w:r>
      <w:r w:rsidRPr="006E4076">
        <w:rPr>
          <w:rStyle w:val="Emphasis"/>
          <w:rFonts w:eastAsia="Times New Roman"/>
          <w:b w:val="0"/>
        </w:rPr>
        <w:t>Viruses</w:t>
      </w:r>
      <w:r>
        <w:rPr>
          <w:rFonts w:eastAsia="Times New Roman"/>
        </w:rPr>
        <w:t>. 2018</w:t>
      </w:r>
      <w:proofErr w:type="gramStart"/>
      <w:r>
        <w:rPr>
          <w:rFonts w:eastAsia="Times New Roman"/>
        </w:rPr>
        <w:t>;10</w:t>
      </w:r>
      <w:proofErr w:type="gramEnd"/>
      <w:r>
        <w:rPr>
          <w:rFonts w:eastAsia="Times New Roman"/>
        </w:rPr>
        <w:t xml:space="preserve">(10):548. </w:t>
      </w:r>
      <w:proofErr w:type="spellStart"/>
      <w:proofErr w:type="gramStart"/>
      <w:r>
        <w:rPr>
          <w:rFonts w:eastAsia="Times New Roman"/>
        </w:rPr>
        <w:t>doi</w:t>
      </w:r>
      <w:proofErr w:type="spellEnd"/>
      <w:proofErr w:type="gramEnd"/>
      <w:r>
        <w:rPr>
          <w:rFonts w:eastAsia="Times New Roman"/>
        </w:rPr>
        <w:t xml:space="preserve">: https://dx.doi.10.3390/v10100548. </w:t>
      </w:r>
    </w:p>
    <w:p w14:paraId="1267B190"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Dunbar NL, </w:t>
      </w:r>
      <w:proofErr w:type="spellStart"/>
      <w:r>
        <w:rPr>
          <w:rFonts w:eastAsia="Times New Roman"/>
        </w:rPr>
        <w:t>Bruggink</w:t>
      </w:r>
      <w:proofErr w:type="spellEnd"/>
      <w:r>
        <w:rPr>
          <w:rFonts w:eastAsia="Times New Roman"/>
        </w:rPr>
        <w:t xml:space="preserve"> LD, Marshall JA. Evaluation of the RIDAGENE real-time PCR assay for the detection of GI and GII norovirus. </w:t>
      </w:r>
      <w:proofErr w:type="spellStart"/>
      <w:r w:rsidRPr="006E4076">
        <w:rPr>
          <w:rStyle w:val="Emphasis"/>
          <w:rFonts w:eastAsia="Times New Roman"/>
          <w:b w:val="0"/>
        </w:rPr>
        <w:t>Diagn</w:t>
      </w:r>
      <w:proofErr w:type="spellEnd"/>
      <w:r w:rsidRPr="006E4076">
        <w:rPr>
          <w:rStyle w:val="Emphasis"/>
          <w:rFonts w:eastAsia="Times New Roman"/>
          <w:b w:val="0"/>
        </w:rPr>
        <w:t xml:space="preserve"> </w:t>
      </w:r>
      <w:proofErr w:type="spellStart"/>
      <w:r w:rsidRPr="006E4076">
        <w:rPr>
          <w:rStyle w:val="Emphasis"/>
          <w:rFonts w:eastAsia="Times New Roman"/>
          <w:b w:val="0"/>
        </w:rPr>
        <w:t>Microbiol</w:t>
      </w:r>
      <w:proofErr w:type="spellEnd"/>
      <w:r w:rsidRPr="006E4076">
        <w:rPr>
          <w:rStyle w:val="Emphasis"/>
          <w:rFonts w:eastAsia="Times New Roman"/>
          <w:b w:val="0"/>
        </w:rPr>
        <w:t xml:space="preserve"> Infect Dis</w:t>
      </w:r>
      <w:r>
        <w:rPr>
          <w:rFonts w:eastAsia="Times New Roman"/>
        </w:rPr>
        <w:t>. 2014</w:t>
      </w:r>
      <w:proofErr w:type="gramStart"/>
      <w:r>
        <w:rPr>
          <w:rFonts w:eastAsia="Times New Roman"/>
        </w:rPr>
        <w:t>;79:317</w:t>
      </w:r>
      <w:proofErr w:type="gramEnd"/>
      <w:r>
        <w:rPr>
          <w:rFonts w:eastAsia="Times New Roman"/>
        </w:rPr>
        <w:t xml:space="preserve">–21. </w:t>
      </w:r>
    </w:p>
    <w:p w14:paraId="2F138A99"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 xml:space="preserve">DHHS. Media hub – coronavirus (COVID-19). [Internet.] Melbourne: Victoria State Government, DHHS; 2020. [Accessed on 29 October 2020.] Available from: https://www.dhhs.vic.gov.au/media-hub-coronavirus-disease-covid-19. </w:t>
      </w:r>
    </w:p>
    <w:p w14:paraId="1BB8ECA5" w14:textId="77777777" w:rsidR="00A0243A" w:rsidRDefault="00A0243A" w:rsidP="00A0243A">
      <w:pPr>
        <w:numPr>
          <w:ilvl w:val="0"/>
          <w:numId w:val="8"/>
        </w:numPr>
        <w:spacing w:before="100" w:beforeAutospacing="1" w:after="100" w:afterAutospacing="1" w:line="240" w:lineRule="auto"/>
        <w:rPr>
          <w:rFonts w:eastAsia="Times New Roman"/>
        </w:rPr>
      </w:pPr>
      <w:r>
        <w:rPr>
          <w:rFonts w:eastAsia="Times New Roman"/>
        </w:rPr>
        <w:t>Prime Minister of Australia. Border restrictions. Media release 19 Mar 2020. [Internet.] Canberra: Australian Government Department of Prime Minister and Cabinet; 19 March 2020. [Accessed on 13 November 2020.] Available from: https://www.pm.gov.au/media/border-restrictions.</w:t>
      </w:r>
    </w:p>
    <w:p w14:paraId="205B4059" w14:textId="77777777"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r>
        <w:rPr>
          <w:rStyle w:val="A10"/>
        </w:rPr>
        <w:br w:type="page"/>
      </w:r>
    </w:p>
    <w:p w14:paraId="67C057F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8FBA36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8B980BC" w14:textId="77777777" w:rsidR="000A5F42" w:rsidRPr="000606CC" w:rsidRDefault="000A5F42" w:rsidP="000A5F42">
      <w:pPr>
        <w:pStyle w:val="NoSpacing"/>
        <w:rPr>
          <w:rStyle w:val="URI"/>
          <w:rFonts w:cstheme="minorHAnsi"/>
          <w:sz w:val="20"/>
          <w:szCs w:val="18"/>
        </w:rPr>
      </w:pPr>
    </w:p>
    <w:p w14:paraId="0F8C9AF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021DA70" w14:textId="77777777" w:rsidR="000A5F42" w:rsidRPr="000606CC" w:rsidRDefault="000A5F42" w:rsidP="000A5F42">
      <w:pPr>
        <w:pStyle w:val="NoSpacing"/>
        <w:rPr>
          <w:rStyle w:val="Strong"/>
          <w:rFonts w:cstheme="minorHAnsi"/>
          <w:sz w:val="20"/>
          <w:szCs w:val="18"/>
        </w:rPr>
      </w:pPr>
    </w:p>
    <w:p w14:paraId="4DC5B2F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346F4AA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C8FC6D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2CC7F6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A403C9B" w14:textId="77777777" w:rsidR="000A5F42" w:rsidRPr="000606CC" w:rsidRDefault="000A5F42" w:rsidP="000A5F42">
      <w:pPr>
        <w:pStyle w:val="NoSpacing"/>
        <w:rPr>
          <w:rStyle w:val="Strong"/>
          <w:rFonts w:cstheme="minorHAnsi"/>
          <w:sz w:val="20"/>
          <w:szCs w:val="18"/>
        </w:rPr>
      </w:pPr>
    </w:p>
    <w:p w14:paraId="2D61C3E7" w14:textId="71C2702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AA5343C" w14:textId="77777777" w:rsidR="000A5F42" w:rsidRPr="000606CC" w:rsidRDefault="000A5F42" w:rsidP="000A5F42">
      <w:pPr>
        <w:pStyle w:val="NoSpacing"/>
        <w:rPr>
          <w:rStyle w:val="Strong"/>
          <w:rFonts w:cstheme="minorHAnsi"/>
          <w:sz w:val="20"/>
          <w:szCs w:val="18"/>
        </w:rPr>
      </w:pPr>
    </w:p>
    <w:p w14:paraId="4ED1A7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14:paraId="5C242FE6" w14:textId="77777777" w:rsidR="000A5F42" w:rsidRPr="000606CC" w:rsidRDefault="000A5F42" w:rsidP="000A5F42">
      <w:pPr>
        <w:pStyle w:val="NoSpacing"/>
        <w:rPr>
          <w:rStyle w:val="Strong"/>
          <w:rFonts w:cstheme="minorHAnsi"/>
          <w:sz w:val="20"/>
          <w:szCs w:val="18"/>
        </w:rPr>
      </w:pPr>
    </w:p>
    <w:p w14:paraId="734E6D9B" w14:textId="61375C6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2CFD875" w14:textId="77777777" w:rsidR="000A5F42" w:rsidRPr="000606CC" w:rsidRDefault="000A5F42" w:rsidP="000A5F42">
      <w:pPr>
        <w:pStyle w:val="NoSpacing"/>
        <w:rPr>
          <w:rStyle w:val="Strong"/>
          <w:rFonts w:cstheme="minorHAnsi"/>
          <w:sz w:val="20"/>
          <w:szCs w:val="18"/>
        </w:rPr>
      </w:pPr>
    </w:p>
    <w:p w14:paraId="1AAFD1CE" w14:textId="0FE2490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6108262" w14:textId="7160E32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2266CC6F" w14:textId="77777777" w:rsidR="000A5F42" w:rsidRPr="000606CC" w:rsidRDefault="000A5F42" w:rsidP="000A5F42">
      <w:pPr>
        <w:pStyle w:val="NoSpacing"/>
        <w:pBdr>
          <w:bottom w:val="single" w:sz="6" w:space="1" w:color="auto"/>
        </w:pBdr>
        <w:rPr>
          <w:rStyle w:val="Strong"/>
          <w:rFonts w:cstheme="minorHAnsi"/>
          <w:sz w:val="12"/>
          <w:szCs w:val="18"/>
        </w:rPr>
      </w:pPr>
    </w:p>
    <w:p w14:paraId="5CBD8834" w14:textId="77777777" w:rsidR="000A5F42" w:rsidRPr="000606CC" w:rsidRDefault="000A5F42" w:rsidP="000A5F42">
      <w:pPr>
        <w:pStyle w:val="NoSpacing"/>
        <w:rPr>
          <w:rFonts w:cstheme="minorHAnsi"/>
          <w:sz w:val="20"/>
          <w:szCs w:val="18"/>
        </w:rPr>
      </w:pPr>
    </w:p>
    <w:p w14:paraId="6E1F107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8C7ED24" w14:textId="77777777" w:rsidR="000A5F42" w:rsidRPr="000606CC" w:rsidRDefault="000A5F42" w:rsidP="000A5F42">
      <w:pPr>
        <w:pStyle w:val="NoSpacing"/>
        <w:rPr>
          <w:rFonts w:cstheme="minorHAnsi"/>
          <w:sz w:val="20"/>
          <w:szCs w:val="18"/>
        </w:rPr>
      </w:pPr>
    </w:p>
    <w:p w14:paraId="68E1493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C33D6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4E1700D1" w14:textId="6370A57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3872372" w14:textId="77777777" w:rsidR="000A5F42" w:rsidRPr="000606CC" w:rsidRDefault="000A5F42" w:rsidP="000A5F42">
      <w:pPr>
        <w:pStyle w:val="NoSpacing"/>
        <w:rPr>
          <w:rFonts w:cstheme="minorHAnsi"/>
          <w:sz w:val="20"/>
          <w:szCs w:val="18"/>
        </w:rPr>
      </w:pPr>
    </w:p>
    <w:p w14:paraId="5267BE3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0F9B3E6" w14:textId="1B72BF1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6776FE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F0D83D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48746B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4B0A722"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78089638" w14:textId="77777777" w:rsidR="000A5F42" w:rsidRPr="000606CC" w:rsidRDefault="000A5F42" w:rsidP="000A5F42">
      <w:pPr>
        <w:pStyle w:val="NoSpacing"/>
        <w:rPr>
          <w:rStyle w:val="Strong"/>
          <w:rFonts w:cstheme="minorHAnsi"/>
          <w:sz w:val="20"/>
          <w:szCs w:val="18"/>
        </w:rPr>
      </w:pPr>
    </w:p>
    <w:p w14:paraId="7C77DE7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D9FAD98" w14:textId="77777777" w:rsidR="000A5F42" w:rsidRPr="000606CC" w:rsidRDefault="000A5F42" w:rsidP="000A5F42">
      <w:pPr>
        <w:pStyle w:val="NoSpacing"/>
        <w:rPr>
          <w:rStyle w:val="Strong"/>
          <w:rFonts w:cstheme="minorHAnsi"/>
          <w:sz w:val="20"/>
          <w:szCs w:val="18"/>
        </w:rPr>
      </w:pPr>
    </w:p>
    <w:p w14:paraId="11D352A6" w14:textId="03B8D89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3166725" w14:textId="77777777" w:rsidR="000A5F42" w:rsidRPr="000606CC" w:rsidRDefault="000A5F42" w:rsidP="000A5F42">
      <w:pPr>
        <w:pStyle w:val="NoSpacing"/>
        <w:rPr>
          <w:rStyle w:val="URI"/>
          <w:rFonts w:cstheme="minorHAnsi"/>
          <w:sz w:val="20"/>
          <w:szCs w:val="18"/>
        </w:rPr>
      </w:pPr>
    </w:p>
    <w:p w14:paraId="3D7FE32A" w14:textId="167AE8B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6E3A8B4F"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E0FBB" w14:textId="77777777" w:rsidR="00640D0D" w:rsidRDefault="00640D0D" w:rsidP="00E54DBA">
      <w:r>
        <w:separator/>
      </w:r>
    </w:p>
    <w:p w14:paraId="60CE219E" w14:textId="77777777" w:rsidR="00640D0D" w:rsidRDefault="00640D0D"/>
    <w:p w14:paraId="5EEC9C70" w14:textId="77777777" w:rsidR="00640D0D" w:rsidRDefault="00640D0D" w:rsidP="008714B0"/>
  </w:endnote>
  <w:endnote w:type="continuationSeparator" w:id="0">
    <w:p w14:paraId="78840473" w14:textId="77777777" w:rsidR="00640D0D" w:rsidRDefault="00640D0D" w:rsidP="00E54DBA">
      <w:r>
        <w:continuationSeparator/>
      </w:r>
    </w:p>
    <w:p w14:paraId="7BABAA48" w14:textId="77777777" w:rsidR="00640D0D" w:rsidRDefault="00640D0D"/>
    <w:p w14:paraId="03B08BC3" w14:textId="77777777" w:rsidR="00640D0D" w:rsidRDefault="00640D0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7F0F" w14:textId="7FB8B48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E1DD2">
      <w:rPr>
        <w:noProof/>
        <w:sz w:val="18"/>
      </w:rPr>
      <w:t>10</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EE1DD2">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6E4076">
      <w:rPr>
        <w:i/>
        <w:sz w:val="18"/>
      </w:rPr>
      <w:t>Commun</w:t>
    </w:r>
    <w:proofErr w:type="spellEnd"/>
    <w:r w:rsidR="00CE342B" w:rsidRPr="006E4076">
      <w:rPr>
        <w:i/>
        <w:sz w:val="18"/>
      </w:rPr>
      <w:t xml:space="preserve"> Dis </w:t>
    </w:r>
    <w:proofErr w:type="spellStart"/>
    <w:r w:rsidR="00CE342B" w:rsidRPr="006E4076">
      <w:rPr>
        <w:i/>
        <w:sz w:val="18"/>
      </w:rPr>
      <w:t>Intell</w:t>
    </w:r>
    <w:proofErr w:type="spellEnd"/>
    <w:r w:rsidR="00CE342B" w:rsidRPr="006E407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640D0D">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640D0D">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E1DD2">
      <w:rPr>
        <w:sz w:val="18"/>
      </w:rPr>
      <w:t>https://doi.org/10.33321/cdi.2021.45.5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E1DD2">
      <w:rPr>
        <w:sz w:val="18"/>
      </w:rPr>
      <w:t>29/1/2021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BEE7" w14:textId="16945EF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E1DD2">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EE1DD2">
      <w:rPr>
        <w:noProof/>
        <w:sz w:val="18"/>
      </w:rPr>
      <w:t>10</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6E4076">
      <w:rPr>
        <w:i/>
        <w:sz w:val="18"/>
      </w:rPr>
      <w:t>Commun</w:t>
    </w:r>
    <w:proofErr w:type="spellEnd"/>
    <w:r w:rsidR="00A164D5" w:rsidRPr="006E4076">
      <w:rPr>
        <w:i/>
        <w:sz w:val="18"/>
      </w:rPr>
      <w:t xml:space="preserve"> Dis </w:t>
    </w:r>
    <w:proofErr w:type="spellStart"/>
    <w:r w:rsidR="00A164D5" w:rsidRPr="006E4076">
      <w:rPr>
        <w:i/>
        <w:sz w:val="18"/>
      </w:rPr>
      <w:t>Intell</w:t>
    </w:r>
    <w:proofErr w:type="spellEnd"/>
    <w:r w:rsidR="00A164D5" w:rsidRPr="006E407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40D0D">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40D0D">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E1DD2">
      <w:rPr>
        <w:sz w:val="18"/>
      </w:rPr>
      <w:t>https://doi.org/10.33321/cdi.2021.45.5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E1DD2">
      <w:rPr>
        <w:sz w:val="18"/>
      </w:rPr>
      <w:t>29/1/2021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3162" w14:textId="77777777" w:rsidR="00640D0D" w:rsidRDefault="00640D0D" w:rsidP="00E54DBA">
      <w:r>
        <w:separator/>
      </w:r>
    </w:p>
  </w:footnote>
  <w:footnote w:type="continuationSeparator" w:id="0">
    <w:p w14:paraId="1CDAED58" w14:textId="77777777" w:rsidR="00640D0D" w:rsidRDefault="00640D0D" w:rsidP="00E54DBA">
      <w:r>
        <w:continuationSeparator/>
      </w:r>
    </w:p>
  </w:footnote>
  <w:footnote w:type="continuationNotice" w:id="1">
    <w:p w14:paraId="684AE51E" w14:textId="77777777" w:rsidR="00640D0D" w:rsidRPr="00224EFF" w:rsidRDefault="00640D0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3DDB" w14:textId="77777777" w:rsidR="00257484" w:rsidRPr="00A153B6" w:rsidRDefault="00EE1DD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601E3">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AE89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724ADDB" wp14:editId="452E7171">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987"/>
    <w:multiLevelType w:val="hybridMultilevel"/>
    <w:tmpl w:val="2400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781A7C"/>
    <w:multiLevelType w:val="multilevel"/>
    <w:tmpl w:val="97AC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9E59CA"/>
    <w:multiLevelType w:val="multilevel"/>
    <w:tmpl w:val="ABE2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0D"/>
    <w:rsid w:val="00000367"/>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41EE"/>
    <w:rsid w:val="00175494"/>
    <w:rsid w:val="00175629"/>
    <w:rsid w:val="001830EC"/>
    <w:rsid w:val="00183534"/>
    <w:rsid w:val="001A4A96"/>
    <w:rsid w:val="001A5D05"/>
    <w:rsid w:val="001A796C"/>
    <w:rsid w:val="001B2614"/>
    <w:rsid w:val="001B37B8"/>
    <w:rsid w:val="001B552F"/>
    <w:rsid w:val="001B5910"/>
    <w:rsid w:val="001C0893"/>
    <w:rsid w:val="001C1303"/>
    <w:rsid w:val="001C70B2"/>
    <w:rsid w:val="001D37C7"/>
    <w:rsid w:val="001D6888"/>
    <w:rsid w:val="002041E0"/>
    <w:rsid w:val="002230A7"/>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59A5"/>
    <w:rsid w:val="002A7066"/>
    <w:rsid w:val="002B001E"/>
    <w:rsid w:val="002B09B7"/>
    <w:rsid w:val="002B147F"/>
    <w:rsid w:val="002B75A9"/>
    <w:rsid w:val="002C21B0"/>
    <w:rsid w:val="002E2FB3"/>
    <w:rsid w:val="002F327B"/>
    <w:rsid w:val="00301626"/>
    <w:rsid w:val="003059EC"/>
    <w:rsid w:val="00316CCD"/>
    <w:rsid w:val="00324F7E"/>
    <w:rsid w:val="003262FD"/>
    <w:rsid w:val="003323BC"/>
    <w:rsid w:val="00346D42"/>
    <w:rsid w:val="00346E11"/>
    <w:rsid w:val="003601C0"/>
    <w:rsid w:val="003601E3"/>
    <w:rsid w:val="003635F5"/>
    <w:rsid w:val="00363E23"/>
    <w:rsid w:val="00372A88"/>
    <w:rsid w:val="00381A0F"/>
    <w:rsid w:val="003951E4"/>
    <w:rsid w:val="003A1B3A"/>
    <w:rsid w:val="003A40F5"/>
    <w:rsid w:val="003B5B8C"/>
    <w:rsid w:val="003D1C83"/>
    <w:rsid w:val="003D79B1"/>
    <w:rsid w:val="003E74EE"/>
    <w:rsid w:val="003F0552"/>
    <w:rsid w:val="003F3BC2"/>
    <w:rsid w:val="00401ED1"/>
    <w:rsid w:val="0040224C"/>
    <w:rsid w:val="00413EE1"/>
    <w:rsid w:val="004164BB"/>
    <w:rsid w:val="00421ECE"/>
    <w:rsid w:val="00422C52"/>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D6908"/>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0B9F"/>
    <w:rsid w:val="005D2465"/>
    <w:rsid w:val="005E33DD"/>
    <w:rsid w:val="005E4229"/>
    <w:rsid w:val="005E540E"/>
    <w:rsid w:val="005E55FB"/>
    <w:rsid w:val="005F16BB"/>
    <w:rsid w:val="00607115"/>
    <w:rsid w:val="00620768"/>
    <w:rsid w:val="0062594B"/>
    <w:rsid w:val="00631406"/>
    <w:rsid w:val="006324FF"/>
    <w:rsid w:val="006351D6"/>
    <w:rsid w:val="00636E0D"/>
    <w:rsid w:val="00640D0D"/>
    <w:rsid w:val="0064142F"/>
    <w:rsid w:val="00643CB4"/>
    <w:rsid w:val="00656427"/>
    <w:rsid w:val="00660255"/>
    <w:rsid w:val="006971F3"/>
    <w:rsid w:val="006A5501"/>
    <w:rsid w:val="006C74A3"/>
    <w:rsid w:val="006D1381"/>
    <w:rsid w:val="006D31BC"/>
    <w:rsid w:val="006E4076"/>
    <w:rsid w:val="006E7943"/>
    <w:rsid w:val="006F24EA"/>
    <w:rsid w:val="00704CA9"/>
    <w:rsid w:val="0071048D"/>
    <w:rsid w:val="00710F86"/>
    <w:rsid w:val="007111A8"/>
    <w:rsid w:val="007230CE"/>
    <w:rsid w:val="00731BC3"/>
    <w:rsid w:val="00741192"/>
    <w:rsid w:val="00743A33"/>
    <w:rsid w:val="00746080"/>
    <w:rsid w:val="007479E0"/>
    <w:rsid w:val="0075144A"/>
    <w:rsid w:val="00786329"/>
    <w:rsid w:val="00792C7D"/>
    <w:rsid w:val="00794A4D"/>
    <w:rsid w:val="007A5234"/>
    <w:rsid w:val="007B7854"/>
    <w:rsid w:val="007C56A1"/>
    <w:rsid w:val="007C6454"/>
    <w:rsid w:val="007E01E0"/>
    <w:rsid w:val="007F0B93"/>
    <w:rsid w:val="007F2ECA"/>
    <w:rsid w:val="00811708"/>
    <w:rsid w:val="008141A6"/>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9F64DA"/>
    <w:rsid w:val="00A01BCA"/>
    <w:rsid w:val="00A0243A"/>
    <w:rsid w:val="00A10458"/>
    <w:rsid w:val="00A153B6"/>
    <w:rsid w:val="00A164D5"/>
    <w:rsid w:val="00A273C3"/>
    <w:rsid w:val="00A30C37"/>
    <w:rsid w:val="00A36C65"/>
    <w:rsid w:val="00A41BBE"/>
    <w:rsid w:val="00A45BDD"/>
    <w:rsid w:val="00A46A0A"/>
    <w:rsid w:val="00A553F8"/>
    <w:rsid w:val="00A66A81"/>
    <w:rsid w:val="00A6708F"/>
    <w:rsid w:val="00A71BF6"/>
    <w:rsid w:val="00A8388C"/>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0574"/>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57271"/>
    <w:rsid w:val="00C62EAC"/>
    <w:rsid w:val="00C63F9F"/>
    <w:rsid w:val="00C7723C"/>
    <w:rsid w:val="00C838F5"/>
    <w:rsid w:val="00CA1AF4"/>
    <w:rsid w:val="00CA6068"/>
    <w:rsid w:val="00CB15E1"/>
    <w:rsid w:val="00CB1A3F"/>
    <w:rsid w:val="00CB3D46"/>
    <w:rsid w:val="00CD1A87"/>
    <w:rsid w:val="00CD35F3"/>
    <w:rsid w:val="00CD5C93"/>
    <w:rsid w:val="00CE342B"/>
    <w:rsid w:val="00CF320C"/>
    <w:rsid w:val="00CF3A4B"/>
    <w:rsid w:val="00CF4001"/>
    <w:rsid w:val="00D05837"/>
    <w:rsid w:val="00D10F0A"/>
    <w:rsid w:val="00D12D8A"/>
    <w:rsid w:val="00D13E0C"/>
    <w:rsid w:val="00D25896"/>
    <w:rsid w:val="00D373A1"/>
    <w:rsid w:val="00D37C0F"/>
    <w:rsid w:val="00D4449E"/>
    <w:rsid w:val="00D45661"/>
    <w:rsid w:val="00D45943"/>
    <w:rsid w:val="00D47D22"/>
    <w:rsid w:val="00D51865"/>
    <w:rsid w:val="00D51D0C"/>
    <w:rsid w:val="00D545D1"/>
    <w:rsid w:val="00D74140"/>
    <w:rsid w:val="00D94A50"/>
    <w:rsid w:val="00DA6E56"/>
    <w:rsid w:val="00DC24E5"/>
    <w:rsid w:val="00DC6705"/>
    <w:rsid w:val="00DD2DE8"/>
    <w:rsid w:val="00DE38B4"/>
    <w:rsid w:val="00DE5D02"/>
    <w:rsid w:val="00E005A9"/>
    <w:rsid w:val="00E1166E"/>
    <w:rsid w:val="00E21E2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1C57"/>
    <w:rsid w:val="00EB51C1"/>
    <w:rsid w:val="00EB5AE1"/>
    <w:rsid w:val="00EB5E0B"/>
    <w:rsid w:val="00EC2171"/>
    <w:rsid w:val="00ED1320"/>
    <w:rsid w:val="00ED442D"/>
    <w:rsid w:val="00ED70C2"/>
    <w:rsid w:val="00EE18FF"/>
    <w:rsid w:val="00EE1DD2"/>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664CF"/>
  <w15:docId w15:val="{3FE93F6B-CA7E-4D52-B763-9762308D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3262FD"/>
    <w:rPr>
      <w:sz w:val="16"/>
      <w:szCs w:val="16"/>
    </w:rPr>
  </w:style>
  <w:style w:type="paragraph" w:styleId="CommentText">
    <w:name w:val="annotation text"/>
    <w:basedOn w:val="Normal"/>
    <w:link w:val="CommentTextChar"/>
    <w:uiPriority w:val="99"/>
    <w:semiHidden/>
    <w:unhideWhenUsed/>
    <w:rsid w:val="003262FD"/>
    <w:pPr>
      <w:spacing w:line="240" w:lineRule="auto"/>
    </w:pPr>
    <w:rPr>
      <w:sz w:val="20"/>
      <w:szCs w:val="20"/>
    </w:rPr>
  </w:style>
  <w:style w:type="character" w:customStyle="1" w:styleId="CommentTextChar">
    <w:name w:val="Comment Text Char"/>
    <w:basedOn w:val="DefaultParagraphFont"/>
    <w:link w:val="CommentText"/>
    <w:uiPriority w:val="99"/>
    <w:semiHidden/>
    <w:rsid w:val="003262FD"/>
    <w:rPr>
      <w:sz w:val="20"/>
      <w:szCs w:val="20"/>
    </w:rPr>
  </w:style>
  <w:style w:type="paragraph" w:styleId="CommentSubject">
    <w:name w:val="annotation subject"/>
    <w:basedOn w:val="CommentText"/>
    <w:next w:val="CommentText"/>
    <w:link w:val="CommentSubjectChar"/>
    <w:uiPriority w:val="99"/>
    <w:semiHidden/>
    <w:unhideWhenUsed/>
    <w:rsid w:val="003262FD"/>
    <w:rPr>
      <w:b/>
      <w:bCs/>
    </w:rPr>
  </w:style>
  <w:style w:type="character" w:customStyle="1" w:styleId="CommentSubjectChar">
    <w:name w:val="Comment Subject Char"/>
    <w:basedOn w:val="CommentTextChar"/>
    <w:link w:val="CommentSubject"/>
    <w:uiPriority w:val="99"/>
    <w:semiHidden/>
    <w:rsid w:val="00326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7BA29D-5991-4ED4-BB0D-1ACE986B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7</TotalTime>
  <Pages>10</Pages>
  <Words>2619</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Communicable Diseases Intelligence 2020 - Decreased incidence of enterovirus and norovirus infections during the COVID-19 pandemic, Victoria, Australia, 2020</vt:lpstr>
    </vt:vector>
  </TitlesOfParts>
  <Company>Australian Government, Department of Health</Company>
  <LinksUpToDate>false</LinksUpToDate>
  <CharactersWithSpaces>18690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Decreased incidence of enterovirus and norovirus infections during the COVID-19 pandemic, Victoria, Australia, 2020</dc:title>
  <dc:subject>A significant reduction in the incidence of enteroviruses and noroviruses, both transmitted primarily by the faecal-oral route, was noted in 2020 compared to the previous decade, in Victoria, Australia.  The most likely explanation is the concurrence of social restrictions, physical distancing, personal hygiene awareness and international and domestic border closures in response to the COVID-19 pandemic.</dc:subject>
  <dc:creator>Leesa D Bruggink, Arnau Garcia-Clapes, Thomas Tran, Julian D Druce, Bruce R Thorley</dc:creator>
  <dc:description>© Commonwealth of Australia CC BY-NC-ND ISSN: 2209-6051 (Online)</dc:description>
  <cp:lastModifiedBy>YOUSEFI, Kasra</cp:lastModifiedBy>
  <cp:revision>8</cp:revision>
  <cp:lastPrinted>2018-05-10T02:19:00Z</cp:lastPrinted>
  <dcterms:created xsi:type="dcterms:W3CDTF">2021-01-05T01:12:00Z</dcterms:created>
  <dcterms:modified xsi:type="dcterms:W3CDTF">2021-01-25T03:59:00Z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29/1/2021</vt:lpwstr>
  </property>
  <property fmtid="{D5CDD505-2E9C-101B-9397-08002B2CF9AE}" pid="5" name="DOI">
    <vt:lpwstr>https://doi.org/10.33321/cdi.2021.45.5</vt:lpwstr>
  </property>
</Properties>
</file>