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3126A" w14:textId="21FD0E9B" w:rsidR="00106AD7" w:rsidRPr="00790E25" w:rsidRDefault="00106AD7" w:rsidP="002126FC">
      <w:pPr>
        <w:pStyle w:val="Title"/>
        <w:rPr>
          <w:sz w:val="48"/>
          <w:szCs w:val="44"/>
        </w:rPr>
      </w:pPr>
      <w:r w:rsidRPr="00790E25">
        <w:rPr>
          <w:sz w:val="48"/>
          <w:szCs w:val="44"/>
        </w:rPr>
        <w:t xml:space="preserve">COVID-19 Australia: Epidemiology Report 51 </w:t>
      </w:r>
    </w:p>
    <w:p w14:paraId="63F655C8" w14:textId="77777777" w:rsidR="00106AD7" w:rsidRDefault="00106AD7" w:rsidP="002126FC">
      <w:pPr>
        <w:rPr>
          <w:rFonts w:eastAsia="Times New Roman"/>
        </w:rPr>
      </w:pPr>
      <w:r>
        <w:rPr>
          <w:rFonts w:eastAsia="Times New Roman"/>
        </w:rPr>
        <w:t xml:space="preserve">Reporting period ending 26 September 2021 </w:t>
      </w:r>
    </w:p>
    <w:p w14:paraId="7C45BB5C" w14:textId="77777777" w:rsidR="00106AD7" w:rsidRDefault="00106AD7" w:rsidP="002126FC">
      <w:r>
        <w:t xml:space="preserve">COVID-19 National Incident Room Surveillance Team </w:t>
      </w:r>
    </w:p>
    <w:p w14:paraId="1A31B33B" w14:textId="339CF25A" w:rsidR="00106AD7" w:rsidRDefault="00106AD7" w:rsidP="00106AD7">
      <w:pPr>
        <w:pStyle w:val="Heading1"/>
      </w:pPr>
      <w:r w:rsidRPr="00106AD7">
        <w:t>Summary</w:t>
      </w:r>
    </w:p>
    <w:p w14:paraId="270A4063" w14:textId="40086ECF" w:rsidR="006F3D5D" w:rsidRPr="006F3D5D" w:rsidRDefault="006F3D5D" w:rsidP="006F3D5D">
      <w:r w:rsidRPr="00C33618">
        <w:rPr>
          <w:rStyle w:val="Emphasis"/>
          <w:noProof/>
          <w:lang w:val="en-GB"/>
        </w:rPr>
        <mc:AlternateContent>
          <mc:Choice Requires="wps">
            <w:drawing>
              <wp:inline distT="0" distB="0" distL="0" distR="0" wp14:anchorId="1E8FCA07" wp14:editId="131976E0">
                <wp:extent cx="6625424" cy="7365688"/>
                <wp:effectExtent l="0" t="0" r="23495" b="2603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7365688"/>
                        </a:xfrm>
                        <a:prstGeom prst="rect">
                          <a:avLst/>
                        </a:prstGeom>
                        <a:solidFill>
                          <a:schemeClr val="accent6">
                            <a:lumMod val="20000"/>
                            <a:lumOff val="80000"/>
                            <a:alpha val="20000"/>
                          </a:schemeClr>
                        </a:solidFill>
                        <a:ln w="3175">
                          <a:solidFill>
                            <a:srgbClr val="FDEADA"/>
                          </a:solidFill>
                          <a:miter lim="800000"/>
                          <a:headEnd/>
                          <a:tailEnd/>
                        </a:ln>
                      </wps:spPr>
                      <wps:txbx>
                        <w:txbxContent>
                          <w:p w14:paraId="4F54D9B3" w14:textId="77777777" w:rsidR="00377F75" w:rsidRPr="00DF02E3" w:rsidRDefault="00377F75" w:rsidP="006F3D5D">
                            <w:pPr>
                              <w:pStyle w:val="NormalWeb"/>
                              <w:rPr>
                                <w:spacing w:val="-4"/>
                                <w:sz w:val="24"/>
                                <w:szCs w:val="24"/>
                              </w:rPr>
                            </w:pPr>
                            <w:r w:rsidRPr="00DF02E3">
                              <w:rPr>
                                <w:rStyle w:val="Strong"/>
                                <w:spacing w:val="-4"/>
                              </w:rPr>
                              <w:t>Trends</w:t>
                            </w:r>
                            <w:r w:rsidRPr="00DF02E3">
                              <w:rPr>
                                <w:spacing w:val="-4"/>
                              </w:rPr>
                              <w:t xml:space="preserve"> – The weekly number of new COVID-19 cases has remained stable in the last two weeks. The daily average of 1,704 cases for this reporting period was </w:t>
                            </w:r>
                            <w:proofErr w:type="gramStart"/>
                            <w:r w:rsidRPr="00DF02E3">
                              <w:rPr>
                                <w:spacing w:val="-4"/>
                              </w:rPr>
                              <w:t>similar to</w:t>
                            </w:r>
                            <w:proofErr w:type="gramEnd"/>
                            <w:r w:rsidRPr="00DF02E3">
                              <w:rPr>
                                <w:spacing w:val="-4"/>
                              </w:rPr>
                              <w:t xml:space="preserve"> the previous fortnight’s daily average of 1,629 cases. There were 23,855 cases of COVID-19 reported this fortnight, bringing the 2021 cumulative case count to 70,616. </w:t>
                            </w:r>
                          </w:p>
                          <w:p w14:paraId="053089AA" w14:textId="192822C6" w:rsidR="00377F75" w:rsidRPr="00DF02E3" w:rsidRDefault="00377F75" w:rsidP="006F3D5D">
                            <w:pPr>
                              <w:pStyle w:val="NormalWeb"/>
                              <w:rPr>
                                <w:spacing w:val="-4"/>
                              </w:rPr>
                            </w:pPr>
                            <w:r w:rsidRPr="00DF02E3">
                              <w:rPr>
                                <w:rStyle w:val="Strong"/>
                                <w:spacing w:val="-4"/>
                              </w:rPr>
                              <w:t>Local cases</w:t>
                            </w:r>
                            <w:r w:rsidRPr="00DF02E3">
                              <w:rPr>
                                <w:spacing w:val="-4"/>
                              </w:rPr>
                              <w:t xml:space="preserve"> – More than 99% (23,825/23,855) of COVID-19 cases reported this fortnight are known to be locally acquired. </w:t>
                            </w:r>
                            <w:proofErr w:type="gramStart"/>
                            <w:r w:rsidRPr="00DF02E3">
                              <w:rPr>
                                <w:spacing w:val="-4"/>
                              </w:rPr>
                              <w:t>The majority of</w:t>
                            </w:r>
                            <w:proofErr w:type="gramEnd"/>
                            <w:r w:rsidRPr="00DF02E3">
                              <w:rPr>
                                <w:spacing w:val="-4"/>
                              </w:rPr>
                              <w:t xml:space="preserve"> these cases were reported in New South Wales (63%; 15,003/23,825), followed by Victoria (36%; 8,550/23,825). </w:t>
                            </w:r>
                          </w:p>
                          <w:p w14:paraId="68858996" w14:textId="77777777" w:rsidR="005E2BA2" w:rsidRPr="00DF02E3" w:rsidRDefault="00377F75" w:rsidP="006F3D5D">
                            <w:pPr>
                              <w:pStyle w:val="NormalWeb"/>
                              <w:rPr>
                                <w:spacing w:val="-4"/>
                              </w:rPr>
                            </w:pPr>
                            <w:r w:rsidRPr="00DF02E3">
                              <w:rPr>
                                <w:rStyle w:val="Strong"/>
                                <w:spacing w:val="-4"/>
                              </w:rPr>
                              <w:t>Clusters and high-risk settings</w:t>
                            </w:r>
                            <w:r w:rsidRPr="00DF02E3">
                              <w:rPr>
                                <w:spacing w:val="-4"/>
                              </w:rPr>
                              <w:t xml:space="preserve"> – For the first time since the start of the </w:t>
                            </w:r>
                            <w:r w:rsidR="005E2BA2" w:rsidRPr="00DF02E3">
                              <w:rPr>
                                <w:spacing w:val="-4"/>
                              </w:rPr>
                              <w:t>Sydney metropolitan outbreak</w:t>
                            </w:r>
                            <w:r w:rsidRPr="00DF02E3">
                              <w:rPr>
                                <w:spacing w:val="-4"/>
                              </w:rPr>
                              <w:t xml:space="preserve">, the number of new locally-acquired cases reported in New South Wales in a fortnight decreased, with 14,868 locally-acquired cases reported this reporting period, compared to 18,639 locally-acquired cases reported in the previous reporting period. As at 26 September 2021, there were 53,865 </w:t>
                            </w:r>
                            <w:proofErr w:type="gramStart"/>
                            <w:r w:rsidRPr="00DF02E3">
                              <w:rPr>
                                <w:spacing w:val="-4"/>
                              </w:rPr>
                              <w:t>locally-acquired</w:t>
                            </w:r>
                            <w:proofErr w:type="gramEnd"/>
                            <w:r w:rsidRPr="00DF02E3">
                              <w:rPr>
                                <w:spacing w:val="-4"/>
                              </w:rPr>
                              <w:t xml:space="preserve"> cases in New South Wales, including 309 deaths, since the first case on 16 June 2021. Genomic testing showed that the outbreak's primary case was infected with the ‘Delta’ SARS-CoV-2 variant of concern (B.1.617.2). Several cases in other states had also been linked to this cluster. At the end of this reporting period, new case numbers were reducing in south-western and western Sydney and increasing case numbers were being seen in South Eastern Sydney, Northern </w:t>
                            </w:r>
                            <w:proofErr w:type="gramStart"/>
                            <w:r w:rsidRPr="00DF02E3">
                              <w:rPr>
                                <w:spacing w:val="-4"/>
                              </w:rPr>
                              <w:t>Sydney</w:t>
                            </w:r>
                            <w:proofErr w:type="gramEnd"/>
                            <w:r w:rsidRPr="00DF02E3">
                              <w:rPr>
                                <w:spacing w:val="-4"/>
                              </w:rPr>
                              <w:t xml:space="preserve"> and Sydney local health districts, as well as in a number of regional areas.</w:t>
                            </w:r>
                          </w:p>
                          <w:p w14:paraId="2696C68D" w14:textId="77777777" w:rsidR="005E2BA2" w:rsidRPr="00DF02E3" w:rsidRDefault="00377F75" w:rsidP="006F3D5D">
                            <w:pPr>
                              <w:pStyle w:val="NormalWeb"/>
                              <w:rPr>
                                <w:spacing w:val="-4"/>
                              </w:rPr>
                            </w:pPr>
                            <w:proofErr w:type="gramStart"/>
                            <w:r w:rsidRPr="00DF02E3">
                              <w:rPr>
                                <w:spacing w:val="-4"/>
                              </w:rPr>
                              <w:t>Locally-acquired</w:t>
                            </w:r>
                            <w:proofErr w:type="gramEnd"/>
                            <w:r w:rsidRPr="00DF02E3">
                              <w:rPr>
                                <w:spacing w:val="-4"/>
                              </w:rPr>
                              <w:t xml:space="preserve"> cases reported in Victoria were linked to cases first reported on 5 August 2021. As at 26 September 2021, there were 12,515 cases associated with the Victorian outbreaks, which involved the Delta variant and were closely associated with the current New South Wales and recent July 2021 Victorian outbreaks. The number of cases reported this reporting period was more than twice that of the previous reporting period. Most cases in the Victorian outbreaks were in Greater Melbourne; however, cases had also been reported in regional Victoria.</w:t>
                            </w:r>
                          </w:p>
                          <w:p w14:paraId="25F947B0" w14:textId="77777777" w:rsidR="00DF02E3" w:rsidRPr="00DF02E3" w:rsidRDefault="00377F75" w:rsidP="006F3D5D">
                            <w:pPr>
                              <w:pStyle w:val="NormalWeb"/>
                              <w:rPr>
                                <w:spacing w:val="-4"/>
                              </w:rPr>
                            </w:pPr>
                            <w:r w:rsidRPr="00DF02E3">
                              <w:rPr>
                                <w:spacing w:val="-4"/>
                              </w:rPr>
                              <w:t>The number of new cases associated with the Australian Capital Territory outbreak remained similar in this reporting period compared to the previous reporting period. The primary case in the outbreak was reported on 12 August 2021 and was infected with the Delta variant. As at 26 September 2021, a total of 769 cases had been reported as part of this outbreak.</w:t>
                            </w:r>
                          </w:p>
                          <w:p w14:paraId="321DE5DF" w14:textId="6519B31D" w:rsidR="00377F75" w:rsidRPr="00DF02E3" w:rsidRDefault="00377F75" w:rsidP="006F3D5D">
                            <w:pPr>
                              <w:pStyle w:val="NormalWeb"/>
                              <w:rPr>
                                <w:spacing w:val="-4"/>
                              </w:rPr>
                            </w:pPr>
                            <w:r w:rsidRPr="00DF02E3">
                              <w:rPr>
                                <w:spacing w:val="-4"/>
                              </w:rPr>
                              <w:t xml:space="preserve">In Queensland, most </w:t>
                            </w:r>
                            <w:proofErr w:type="gramStart"/>
                            <w:r w:rsidRPr="00DF02E3">
                              <w:rPr>
                                <w:spacing w:val="-4"/>
                              </w:rPr>
                              <w:t>locally-acquired</w:t>
                            </w:r>
                            <w:proofErr w:type="gramEnd"/>
                            <w:r w:rsidRPr="00DF02E3">
                              <w:rPr>
                                <w:spacing w:val="-4"/>
                              </w:rPr>
                              <w:t xml:space="preserve"> cases notified during the reporting period were part of an outbreak linked to travellers from New South Wales, with the first cases reported on 5 September 2021. As at 26 September 2021, a total of 14 cases were linked to this outbreak.</w:t>
                            </w:r>
                          </w:p>
                          <w:p w14:paraId="0B9757C1" w14:textId="3CC994FA" w:rsidR="00377F75" w:rsidRPr="00DF02E3" w:rsidRDefault="00377F75" w:rsidP="006F3D5D">
                            <w:pPr>
                              <w:pStyle w:val="NormalWeb"/>
                              <w:rPr>
                                <w:spacing w:val="-4"/>
                              </w:rPr>
                            </w:pPr>
                            <w:r w:rsidRPr="00DF02E3">
                              <w:rPr>
                                <w:rStyle w:val="Strong"/>
                                <w:spacing w:val="-4"/>
                              </w:rPr>
                              <w:t>Aboriginal and Torres Strait Islander persons</w:t>
                            </w:r>
                            <w:r w:rsidRPr="00DF02E3">
                              <w:rPr>
                                <w:spacing w:val="-4"/>
                              </w:rPr>
                              <w:t xml:space="preserve"> – During the reporting period, 1,222 new Aboriginal and Torres Strait Islander cases were notified, of which 1,157 were from New South Wales, 33 from Victoria and 32 from the Australian Capital Territory. To date in 2021, there were 2,960 cases and seven deaths reported among Aboriginal and Torres Strait Islander people. Of </w:t>
                            </w:r>
                            <w:proofErr w:type="gramStart"/>
                            <w:r w:rsidRPr="00DF02E3">
                              <w:rPr>
                                <w:spacing w:val="-4"/>
                              </w:rPr>
                              <w:t>locally-acquired</w:t>
                            </w:r>
                            <w:proofErr w:type="gramEnd"/>
                            <w:r w:rsidRPr="00DF02E3">
                              <w:rPr>
                                <w:spacing w:val="-4"/>
                              </w:rPr>
                              <w:t xml:space="preserve"> cases notified in 2021, 32% (916/2,916) lived in a regional or remote area. </w:t>
                            </w:r>
                          </w:p>
                        </w:txbxContent>
                      </wps:txbx>
                      <wps:bodyPr rot="0" vert="horz" wrap="square" lIns="91440" tIns="45720" rIns="91440" bIns="45720" anchor="t" anchorCtr="0">
                        <a:noAutofit/>
                      </wps:bodyPr>
                    </wps:wsp>
                  </a:graphicData>
                </a:graphic>
              </wp:inline>
            </w:drawing>
          </mc:Choice>
          <mc:Fallback>
            <w:pict>
              <v:shapetype w14:anchorId="1E8FCA07" id="_x0000_t202" coordsize="21600,21600" o:spt="202" path="m,l,21600r21600,l21600,xe">
                <v:stroke joinstyle="miter"/>
                <v:path gradientshapeok="t" o:connecttype="rect"/>
              </v:shapetype>
              <v:shape id="Text Box 2" o:spid="_x0000_s1026" type="#_x0000_t202" style="width:521.7pt;height:5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" fillcolor="#fde9d9 [665]" strokecolor="#fdeada" strokeweight=".25pt">
                <v:fill opacity="13107f"/>
                <v:textbox>
                  <w:txbxContent>
                    <w:p w14:paraId="4F54D9B3" w14:textId="77777777" w:rsidR="00377F75" w:rsidRPr="00DF02E3" w:rsidRDefault="00377F75" w:rsidP="006F3D5D">
                      <w:pPr>
                        <w:pStyle w:val="NormalWeb"/>
                        <w:rPr>
                          <w:spacing w:val="-4"/>
                          <w:sz w:val="24"/>
                          <w:szCs w:val="24"/>
                        </w:rPr>
                      </w:pPr>
                      <w:r w:rsidRPr="00DF02E3">
                        <w:rPr>
                          <w:rStyle w:val="Strong"/>
                          <w:spacing w:val="-4"/>
                        </w:rPr>
                        <w:t>Trends</w:t>
                      </w:r>
                      <w:r w:rsidRPr="00DF02E3">
                        <w:rPr>
                          <w:spacing w:val="-4"/>
                        </w:rPr>
                        <w:t xml:space="preserve"> – The weekly number of new COVID-19 cases has remained stable in the last two weeks. The daily average of 1,704 cases for this reporting period was similar to the previous fortnight’s daily average of 1,629 cases. There were 23,855 cases of COVID-19 reported this fortnight, bringing the 2021 cumulative case count to 70,616. </w:t>
                      </w:r>
                    </w:p>
                    <w:p w14:paraId="053089AA" w14:textId="192822C6" w:rsidR="00377F75" w:rsidRPr="00DF02E3" w:rsidRDefault="00377F75" w:rsidP="006F3D5D">
                      <w:pPr>
                        <w:pStyle w:val="NormalWeb"/>
                        <w:rPr>
                          <w:spacing w:val="-4"/>
                        </w:rPr>
                      </w:pPr>
                      <w:r w:rsidRPr="00DF02E3">
                        <w:rPr>
                          <w:rStyle w:val="Strong"/>
                          <w:spacing w:val="-4"/>
                        </w:rPr>
                        <w:t>Local cases</w:t>
                      </w:r>
                      <w:r w:rsidRPr="00DF02E3">
                        <w:rPr>
                          <w:spacing w:val="-4"/>
                        </w:rPr>
                        <w:t xml:space="preserve"> – More than 99% (23,825/23,855) of COVID-19 cases reported this fortnight are known to be locally acquired. The majority of these cases were reported in New South Wales (63%; 15,003/23,825), followed by Victoria (36%; 8,550/23,825). </w:t>
                      </w:r>
                    </w:p>
                    <w:p w14:paraId="68858996" w14:textId="77777777" w:rsidR="005E2BA2" w:rsidRPr="00DF02E3" w:rsidRDefault="00377F75" w:rsidP="006F3D5D">
                      <w:pPr>
                        <w:pStyle w:val="NormalWeb"/>
                        <w:rPr>
                          <w:spacing w:val="-4"/>
                        </w:rPr>
                      </w:pPr>
                      <w:r w:rsidRPr="00DF02E3">
                        <w:rPr>
                          <w:rStyle w:val="Strong"/>
                          <w:spacing w:val="-4"/>
                        </w:rPr>
                        <w:t>Clusters and high-risk settings</w:t>
                      </w:r>
                      <w:r w:rsidRPr="00DF02E3">
                        <w:rPr>
                          <w:spacing w:val="-4"/>
                        </w:rPr>
                        <w:t xml:space="preserve"> – For the first time since the start of the </w:t>
                      </w:r>
                      <w:r w:rsidR="005E2BA2" w:rsidRPr="00DF02E3">
                        <w:rPr>
                          <w:spacing w:val="-4"/>
                        </w:rPr>
                        <w:t>Sydney metropolitan outbreak</w:t>
                      </w:r>
                      <w:r w:rsidRPr="00DF02E3">
                        <w:rPr>
                          <w:spacing w:val="-4"/>
                        </w:rPr>
                        <w:t>, the number of new locally-acquired cases reported in New South Wales in a fortnight decreased, with 14,868 locally-acquired cases reported this reporting period, compared to 18,639 locally-acquired cases reported in the previous reporting period. As at 26 September 2021, there were 53,865 locally-acquired cases in New South Wales, including 309 deaths, since the first case on 16 June 2021. Genomic testing showed that the outbreak's primary case was infected with the ‘Delta’ SARS-CoV-2 variant of concern (B.1.617.2). Several cases in other states had also been linked to this cluster. At the end of this reporting period, new case numbers were reducing in south-western and western Sydney and increasing case numbers were being seen in South Eastern Sydney, Northern Sydney and Sydney local health districts, as well as in a number of regional areas.</w:t>
                      </w:r>
                    </w:p>
                    <w:p w14:paraId="2696C68D" w14:textId="77777777" w:rsidR="005E2BA2" w:rsidRPr="00DF02E3" w:rsidRDefault="00377F75" w:rsidP="006F3D5D">
                      <w:pPr>
                        <w:pStyle w:val="NormalWeb"/>
                        <w:rPr>
                          <w:spacing w:val="-4"/>
                        </w:rPr>
                      </w:pPr>
                      <w:r w:rsidRPr="00DF02E3">
                        <w:rPr>
                          <w:spacing w:val="-4"/>
                        </w:rPr>
                        <w:t>Locally-acquired cases reported in Victoria were linked to cases first reported on 5 August 2021. As at 26 September 2021, there were 12,515 cases associated with the Victorian outbreaks, which involved the Delta variant and were closely associated with the current New South Wales and recent July 2021 Victorian outbreaks. The number of cases reported this reporting period was more than twice that of the previous reporting period. Most cases in the Victorian outbreaks were in Greater Melbourne; however, cases had also been reported in regional Victoria.</w:t>
                      </w:r>
                    </w:p>
                    <w:p w14:paraId="25F947B0" w14:textId="77777777" w:rsidR="00DF02E3" w:rsidRPr="00DF02E3" w:rsidRDefault="00377F75" w:rsidP="006F3D5D">
                      <w:pPr>
                        <w:pStyle w:val="NormalWeb"/>
                        <w:rPr>
                          <w:spacing w:val="-4"/>
                        </w:rPr>
                      </w:pPr>
                      <w:r w:rsidRPr="00DF02E3">
                        <w:rPr>
                          <w:spacing w:val="-4"/>
                        </w:rPr>
                        <w:t>The number of new cases associated with the Australian Capital Territory outbreak remained similar in this reporting period compared to the previous reporting period. The primary case in the outbreak was reported on 12 August 2021 and was infected with the Delta variant. As at 26 September 2021, a total of 769 cases had been reported as part of this outbreak.</w:t>
                      </w:r>
                    </w:p>
                    <w:p w14:paraId="321DE5DF" w14:textId="6519B31D" w:rsidR="00377F75" w:rsidRPr="00DF02E3" w:rsidRDefault="00377F75" w:rsidP="006F3D5D">
                      <w:pPr>
                        <w:pStyle w:val="NormalWeb"/>
                        <w:rPr>
                          <w:spacing w:val="-4"/>
                        </w:rPr>
                      </w:pPr>
                      <w:r w:rsidRPr="00DF02E3">
                        <w:rPr>
                          <w:spacing w:val="-4"/>
                        </w:rPr>
                        <w:t>In Queensland, most locally-acquired cases notified during the reporting period were part of an outbreak linked to travellers from New South Wales, with the first cases reported on 5 September 2021. As at 26 September 2021, a total of 14 cases were linked to this outbreak.</w:t>
                      </w:r>
                    </w:p>
                    <w:p w14:paraId="0B9757C1" w14:textId="3CC994FA" w:rsidR="00377F75" w:rsidRPr="00DF02E3" w:rsidRDefault="00377F75" w:rsidP="006F3D5D">
                      <w:pPr>
                        <w:pStyle w:val="NormalWeb"/>
                        <w:rPr>
                          <w:spacing w:val="-4"/>
                        </w:rPr>
                      </w:pPr>
                      <w:r w:rsidRPr="00DF02E3">
                        <w:rPr>
                          <w:rStyle w:val="Strong"/>
                          <w:spacing w:val="-4"/>
                        </w:rPr>
                        <w:t>Aboriginal and Torres Strait Islander persons</w:t>
                      </w:r>
                      <w:r w:rsidRPr="00DF02E3">
                        <w:rPr>
                          <w:spacing w:val="-4"/>
                        </w:rPr>
                        <w:t xml:space="preserve"> – During the reporting period, 1,222 new Aboriginal and Torres Strait Islander cases were notified, of which 1,157 were from New South Wales, 33 from Victoria and 32 from the Australian Capital Territory. To date in 2021, there were 2,960 cases and seven deaths reported among Aboriginal and Torres Strait Islander people. Of locally-acquired cases notified in 2021, 32% (916/2,916) lived in a regional or remote area. </w:t>
                      </w:r>
                    </w:p>
                  </w:txbxContent>
                </v:textbox>
                <w10:anchorlock/>
              </v:shape>
            </w:pict>
          </mc:Fallback>
        </mc:AlternateContent>
      </w:r>
    </w:p>
    <w:p w14:paraId="3C599746" w14:textId="77777777" w:rsidR="006F3D5D" w:rsidRDefault="006F3D5D" w:rsidP="00106AD7">
      <w:r w:rsidRPr="00C33618">
        <w:rPr>
          <w:rStyle w:val="Heading5Char"/>
          <w:noProof/>
          <w:lang w:val="en-GB"/>
        </w:rPr>
        <w:lastRenderedPageBreak/>
        <mc:AlternateContent>
          <mc:Choice Requires="wps">
            <w:drawing>
              <wp:inline distT="0" distB="0" distL="0" distR="0" wp14:anchorId="612AB7F1" wp14:editId="72BF25CE">
                <wp:extent cx="6625424" cy="2647950"/>
                <wp:effectExtent l="0" t="0" r="2349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424" cy="2647950"/>
                        </a:xfrm>
                        <a:prstGeom prst="rect">
                          <a:avLst/>
                        </a:prstGeom>
                        <a:solidFill>
                          <a:schemeClr val="accent6">
                            <a:lumMod val="20000"/>
                            <a:lumOff val="80000"/>
                            <a:alpha val="20000"/>
                          </a:schemeClr>
                        </a:solidFill>
                        <a:ln w="3175">
                          <a:solidFill>
                            <a:srgbClr val="FDEADA"/>
                          </a:solidFill>
                          <a:miter lim="800000"/>
                          <a:headEnd/>
                          <a:tailEnd/>
                        </a:ln>
                      </wps:spPr>
                      <wps:txbx>
                        <w:txbxContent>
                          <w:p w14:paraId="6D273F44" w14:textId="77777777" w:rsidR="00377F75" w:rsidRDefault="00377F75" w:rsidP="006F3D5D">
                            <w:pPr>
                              <w:pStyle w:val="NormalWeb"/>
                            </w:pPr>
                            <w:r>
                              <w:rPr>
                                <w:rStyle w:val="Strong"/>
                              </w:rPr>
                              <w:t>Overseas cases</w:t>
                            </w:r>
                            <w:r>
                              <w:t xml:space="preserve"> – There were 30 overseas-acquired cases this reporting period, with the largest number of cases reported in New South Wales (50%; 15/30). </w:t>
                            </w:r>
                          </w:p>
                          <w:p w14:paraId="15B2F93C" w14:textId="22CC6547" w:rsidR="00377F75" w:rsidRDefault="00377F75" w:rsidP="006F3D5D">
                            <w:pPr>
                              <w:pStyle w:val="NormalWeb"/>
                            </w:pPr>
                            <w:r>
                              <w:rPr>
                                <w:rStyle w:val="Strong"/>
                              </w:rPr>
                              <w:t>Severity</w:t>
                            </w:r>
                            <w:r>
                              <w:t xml:space="preserve"> – In 2021, based on the highest level of severity reported for cases with an illness onset up to 12 September 2021, 1% of cases were reported to have died, 2% of cases required intensive care and a further 13% required admission to hospital</w:t>
                            </w:r>
                            <w:r w:rsidRPr="0020796F">
                              <w:t>, noting that cases may be hospitalised for reasons other than clinical COVID-19 related care</w:t>
                            </w:r>
                            <w:r>
                              <w:t xml:space="preserve">. Given the delay between illness onset and severe illness, cases with an onset in the last two weeks were excluded from the analysis on severity. During the reporting period, 147 new COVID-19-associated deaths were notified. </w:t>
                            </w:r>
                          </w:p>
                          <w:p w14:paraId="0E102B12" w14:textId="77777777" w:rsidR="00377F75" w:rsidRDefault="00377F75" w:rsidP="006F3D5D">
                            <w:pPr>
                              <w:pStyle w:val="NormalWeb"/>
                            </w:pPr>
                            <w:r>
                              <w:rPr>
                                <w:rStyle w:val="Strong"/>
                              </w:rPr>
                              <w:t>Vaccinations</w:t>
                            </w:r>
                            <w:r>
                              <w:t xml:space="preserve"> – As at 26 September 2021, there had been 26,806,343 doses of COVID-19 vaccine administered in Australia. Nationally, 15,695,827 people (76.1% of people aged 16 or over) have had at least one dose and 10,684,489 people (51.8% of people aged 16 or over) are fully vaccinated.</w:t>
                            </w:r>
                          </w:p>
                        </w:txbxContent>
                      </wps:txbx>
                      <wps:bodyPr rot="0" vert="horz" wrap="square" lIns="91440" tIns="45720" rIns="91440" bIns="45720" anchor="t" anchorCtr="0">
                        <a:noAutofit/>
                      </wps:bodyPr>
                    </wps:wsp>
                  </a:graphicData>
                </a:graphic>
              </wp:inline>
            </w:drawing>
          </mc:Choice>
          <mc:Fallback>
            <w:pict>
              <v:shape w14:anchorId="612AB7F1" id="_x0000_s1027" type="#_x0000_t202" style="width:521.7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" fillcolor="#fde9d9 [665]" strokecolor="#fdeada" strokeweight=".25pt">
                <v:fill opacity="13107f"/>
                <v:textbox>
                  <w:txbxContent>
                    <w:p w14:paraId="6D273F44" w14:textId="77777777" w:rsidR="00377F75" w:rsidRDefault="00377F75" w:rsidP="006F3D5D">
                      <w:pPr>
                        <w:pStyle w:val="NormalWeb"/>
                      </w:pPr>
                      <w:r>
                        <w:rPr>
                          <w:rStyle w:val="Strong"/>
                        </w:rPr>
                        <w:t>Overseas cases</w:t>
                      </w:r>
                      <w:r>
                        <w:t xml:space="preserve"> – There were 30 overseas-acquired cases this reporting period, with the largest number of cases reported in New South Wales (50%; 15/30). </w:t>
                      </w:r>
                    </w:p>
                    <w:p w14:paraId="15B2F93C" w14:textId="22CC6547" w:rsidR="00377F75" w:rsidRDefault="00377F75" w:rsidP="006F3D5D">
                      <w:pPr>
                        <w:pStyle w:val="NormalWeb"/>
                      </w:pPr>
                      <w:r>
                        <w:rPr>
                          <w:rStyle w:val="Strong"/>
                        </w:rPr>
                        <w:t>Severity</w:t>
                      </w:r>
                      <w:r>
                        <w:t xml:space="preserve"> – In 2021, based on the highest level of severity reported for cases with an illness onset up to 12 September 2021, 1% of cases were reported to have died, 2% of cases required intensive care and a further 13% required admission to hospital</w:t>
                      </w:r>
                      <w:r w:rsidRPr="0020796F">
                        <w:t>, noting that cases may be hospitalised for reasons other than clinical COVID-19 related care</w:t>
                      </w:r>
                      <w:r>
                        <w:t xml:space="preserve">. Given the delay between illness onset and severe illness, cases with an onset in the last two weeks were excluded from the analysis on severity. During the reporting period, 147 new COVID-19-associated deaths were notified. </w:t>
                      </w:r>
                    </w:p>
                    <w:p w14:paraId="0E102B12" w14:textId="77777777" w:rsidR="00377F75" w:rsidRDefault="00377F75" w:rsidP="006F3D5D">
                      <w:pPr>
                        <w:pStyle w:val="NormalWeb"/>
                      </w:pPr>
                      <w:r>
                        <w:rPr>
                          <w:rStyle w:val="Strong"/>
                        </w:rPr>
                        <w:t>Vaccinations</w:t>
                      </w:r>
                      <w:r>
                        <w:t xml:space="preserve"> – As at 26 September 2021, there had been 26,806,343 doses of COVID-19 vaccine administered in Australia. Nationally, 15,695,827 people (76.1% of people aged 16 or over) have had at least one dose and 10,684,489 people (51.8% of people aged 16 or over) are fully vaccinated.</w:t>
                      </w:r>
                    </w:p>
                  </w:txbxContent>
                </v:textbox>
                <w10:anchorlock/>
              </v:shape>
            </w:pict>
          </mc:Fallback>
        </mc:AlternateContent>
      </w:r>
    </w:p>
    <w:p w14:paraId="7FB5AD2E" w14:textId="768DE365" w:rsidR="00106AD7" w:rsidRDefault="00106AD7" w:rsidP="00106AD7">
      <w:r>
        <w:t xml:space="preserve">Keywords: </w:t>
      </w:r>
      <w:r w:rsidRPr="00D1124F">
        <w:rPr>
          <w:rStyle w:val="Emphasis"/>
          <w:b w:val="0"/>
          <w:bCs w:val="0"/>
        </w:rPr>
        <w:t xml:space="preserve">SARS-CoV-2; novel coronavirus; 2019-nCoV; coronavirus disease 2019; </w:t>
      </w:r>
      <w:r>
        <w:t>COVID-19</w:t>
      </w:r>
      <w:r w:rsidRPr="00D1124F">
        <w:rPr>
          <w:rStyle w:val="Emphasis"/>
          <w:b w:val="0"/>
          <w:bCs w:val="0"/>
        </w:rPr>
        <w:t xml:space="preserve">; acute respiratory disease; epidemiology; Australia </w:t>
      </w:r>
    </w:p>
    <w:p w14:paraId="77C1BA3D" w14:textId="77777777" w:rsidR="00106AD7" w:rsidRDefault="00106AD7">
      <w:pPr>
        <w:pStyle w:val="NormalWeb"/>
      </w:pPr>
      <w:r>
        <w:t>This reporting period covers the two-week period 13–26 September 2021, with data for this period compared to that from the previous two-week reporting period (30 August–12 September 2021).</w:t>
      </w:r>
      <w:r>
        <w:rPr>
          <w:vertAlign w:val="superscript"/>
        </w:rPr>
        <w:t>1</w:t>
      </w:r>
      <w:r>
        <w:t xml:space="preserve"> The focus of this report is on the epidemiological situation in Australia since the beginning of 2021. Readers are encouraged to consult prior reports in this series for information on the epidemiology of cases in Australia in 2020. </w:t>
      </w:r>
    </w:p>
    <w:p w14:paraId="5E12B22A" w14:textId="3609F8B3" w:rsidR="00106AD7" w:rsidRDefault="00106AD7">
      <w:pPr>
        <w:pStyle w:val="NormalWeb"/>
      </w:pPr>
      <w:r>
        <w:t>Acute respiratory illness, testing, public health response measures, virology and the international situation are reported in detail on a four-weekly basis and are not included in this report. The latest information on these topics can be found in Epidemiology Report 50,</w:t>
      </w:r>
      <w:r>
        <w:rPr>
          <w:vertAlign w:val="superscript"/>
        </w:rPr>
        <w:t>1</w:t>
      </w:r>
      <w:r>
        <w:t xml:space="preserve"> state and territory health websites</w:t>
      </w:r>
      <w:r w:rsidR="00377F75">
        <w:t>,</w:t>
      </w:r>
      <w:r w:rsidR="006C1259">
        <w:rPr>
          <w:rStyle w:val="FootnoteReference"/>
        </w:rPr>
        <w:footnoteReference w:id="2"/>
      </w:r>
      <w:r>
        <w:t xml:space="preserve"> the World Health Organization’s weekly situation reports</w:t>
      </w:r>
      <w:r w:rsidR="00377F75">
        <w:t>,</w:t>
      </w:r>
      <w:r w:rsidR="006C1259">
        <w:rPr>
          <w:rStyle w:val="FootnoteReference"/>
        </w:rPr>
        <w:footnoteReference w:id="3"/>
      </w:r>
      <w:r>
        <w:t xml:space="preserve"> and the Department of Health’s current situation and case numbers webpage</w:t>
      </w:r>
      <w:r w:rsidR="00377F75">
        <w:t>.</w:t>
      </w:r>
      <w:r w:rsidR="00C15366">
        <w:rPr>
          <w:rStyle w:val="FootnoteReference"/>
        </w:rPr>
        <w:footnoteReference w:id="4"/>
      </w:r>
      <w:r>
        <w:t xml:space="preserve"> </w:t>
      </w:r>
    </w:p>
    <w:p w14:paraId="0E49E6C7" w14:textId="29E13240" w:rsidR="00106AD7" w:rsidRDefault="00106AD7">
      <w:pPr>
        <w:pStyle w:val="NormalWeb"/>
      </w:pPr>
      <w:r>
        <w:t>From report 46 onward, and unless otherwise specified, tabulated data and data within the text are extracted from the National Interoperable Notifiable Diseases Surveillance System (NINDSS)</w:t>
      </w:r>
      <w:r w:rsidR="00CB0B96">
        <w:rPr>
          <w:rStyle w:val="FootnoteReference"/>
        </w:rPr>
        <w:footnoteReference w:id="5"/>
      </w:r>
      <w:r>
        <w:t xml:space="preserve"> based on ‘notification received date’ rather than ‘diagnosis date’ (see the Technical Supplement for definitions).</w:t>
      </w:r>
      <w:r>
        <w:rPr>
          <w:vertAlign w:val="superscript"/>
        </w:rPr>
        <w:t>2</w:t>
      </w:r>
      <w:r>
        <w:t xml:space="preserve"> As a case’s diagnosis date can be several days prior to the date of its notification, there is potential for newly-notified cases to be excluded from the case count in the current reporting period when reporting by ‘diagnosis date’. Using ‘notification received date’ ensures that the case count for the reporting period better reflects the number of </w:t>
      </w:r>
      <w:proofErr w:type="gramStart"/>
      <w:r>
        <w:t>newly-notified</w:t>
      </w:r>
      <w:proofErr w:type="gramEnd"/>
      <w:r>
        <w:t xml:space="preserve"> cases. As the graphs presented in this report, based on NINDSS data, reflect a larger time period (i.e. year to date and entire pandemic), these will continue to be based on diagnosis date to enable a more accurate understanding of infection risk and local</w:t>
      </w:r>
      <w:r w:rsidR="002126FC">
        <w:t> </w:t>
      </w:r>
      <w:r>
        <w:t xml:space="preserve">transmission. </w:t>
      </w:r>
    </w:p>
    <w:p w14:paraId="5EEE606B" w14:textId="77777777" w:rsidR="00AF134D" w:rsidRDefault="00AF134D">
      <w:pPr>
        <w:rPr>
          <w:rFonts w:asciiTheme="majorHAnsi" w:eastAsia="Times New Roman" w:hAnsiTheme="majorHAnsi" w:cstheme="majorBidi"/>
          <w:b/>
          <w:bCs/>
          <w:sz w:val="26"/>
          <w:szCs w:val="26"/>
        </w:rPr>
      </w:pPr>
      <w:r>
        <w:rPr>
          <w:rFonts w:eastAsia="Times New Roman"/>
        </w:rPr>
        <w:br w:type="page"/>
      </w:r>
    </w:p>
    <w:p w14:paraId="44271AE3" w14:textId="11E024BF" w:rsidR="00106AD7" w:rsidRDefault="00106AD7">
      <w:pPr>
        <w:pStyle w:val="Heading2"/>
        <w:rPr>
          <w:rFonts w:eastAsia="Times New Roman"/>
        </w:rPr>
      </w:pPr>
      <w:r>
        <w:rPr>
          <w:rFonts w:eastAsia="Times New Roman"/>
        </w:rPr>
        <w:t xml:space="preserve">Background and data sources </w:t>
      </w:r>
    </w:p>
    <w:p w14:paraId="2B3F51F4" w14:textId="77777777" w:rsidR="00106AD7" w:rsidRDefault="00106AD7">
      <w:pPr>
        <w:pStyle w:val="NormalWeb"/>
      </w:pPr>
      <w:r>
        <w:t xml:space="preserve">See the Technical Supplement for general information on COVID-19 including modes of transmission, common </w:t>
      </w:r>
      <w:proofErr w:type="gramStart"/>
      <w:r>
        <w:t>symptoms</w:t>
      </w:r>
      <w:proofErr w:type="gramEnd"/>
      <w:r>
        <w:t xml:space="preserve"> and severity.</w:t>
      </w:r>
      <w:r>
        <w:rPr>
          <w:vertAlign w:val="superscript"/>
        </w:rPr>
        <w:t xml:space="preserve">2 </w:t>
      </w:r>
    </w:p>
    <w:p w14:paraId="3737CF2A" w14:textId="77777777" w:rsidR="00106AD7" w:rsidRDefault="00106AD7">
      <w:pPr>
        <w:pStyle w:val="Heading1"/>
        <w:rPr>
          <w:rFonts w:eastAsia="Times New Roman"/>
        </w:rPr>
      </w:pPr>
      <w:r>
        <w:rPr>
          <w:rFonts w:eastAsia="Times New Roman"/>
        </w:rPr>
        <w:t xml:space="preserve">Activity </w:t>
      </w:r>
    </w:p>
    <w:p w14:paraId="731349B5" w14:textId="77777777" w:rsidR="00106AD7" w:rsidRDefault="00106AD7">
      <w:pPr>
        <w:pStyle w:val="Heading2"/>
        <w:rPr>
          <w:rFonts w:eastAsia="Times New Roman"/>
        </w:rPr>
      </w:pPr>
      <w:r>
        <w:rPr>
          <w:rFonts w:eastAsia="Times New Roman"/>
        </w:rPr>
        <w:t xml:space="preserve">COVID-19 trends </w:t>
      </w:r>
    </w:p>
    <w:p w14:paraId="45FFA196" w14:textId="77777777" w:rsidR="00106AD7" w:rsidRPr="00D327D4" w:rsidRDefault="00106AD7">
      <w:pPr>
        <w:pStyle w:val="Heading3"/>
        <w:rPr>
          <w:rFonts w:eastAsia="Times New Roman"/>
          <w:i/>
          <w:iCs/>
        </w:rPr>
      </w:pPr>
      <w:r w:rsidRPr="00D327D4">
        <w:rPr>
          <w:rFonts w:eastAsia="Times New Roman"/>
          <w:i/>
          <w:iCs/>
        </w:rPr>
        <w:t xml:space="preserve">(NINDSS and jurisdictional reporting to NIR) </w:t>
      </w:r>
    </w:p>
    <w:p w14:paraId="7AE6C2A4" w14:textId="715B3FE0" w:rsidR="00106AD7" w:rsidRDefault="00106AD7">
      <w:pPr>
        <w:pStyle w:val="NormalWeb"/>
      </w:pPr>
      <w:r>
        <w:t xml:space="preserve">The number of cases reported this fortnight was </w:t>
      </w:r>
      <w:proofErr w:type="gramStart"/>
      <w:r>
        <w:t>similar to</w:t>
      </w:r>
      <w:proofErr w:type="gramEnd"/>
      <w:r>
        <w:t xml:space="preserve"> the number reported in the previous fortnight. A total of 23,855 cases were notified in this two-week reporting period (an average of 1,704 cases per day), compared to 22,806 cases (an average of 1,629 cases per day) in the previous reporting period. </w:t>
      </w:r>
      <w:proofErr w:type="gramStart"/>
      <w:r>
        <w:t>The majority of</w:t>
      </w:r>
      <w:proofErr w:type="gramEnd"/>
      <w:r>
        <w:t xml:space="preserve"> cases occurred in New South Wales (63%; 15,018/23,855), followed by Victoria (36%; 8,551/23,855). Tasmania did not report any cases during the reporting period (Table 1). </w:t>
      </w:r>
    </w:p>
    <w:p w14:paraId="40A4A701" w14:textId="77777777" w:rsidR="00BF29C5" w:rsidRPr="005C1B20" w:rsidRDefault="00BF29C5" w:rsidP="00BF29C5">
      <w:pPr>
        <w:pStyle w:val="CDIFigures"/>
      </w:pPr>
      <w:r w:rsidRPr="005C1B20">
        <w:rPr>
          <w:rStyle w:val="Strong"/>
          <w:b/>
          <w:bCs w:val="0"/>
        </w:rPr>
        <w:t>Table 1: COVID-19 notifications by jurisdiction and source of acquisition, with a notification received date of 13–26</w:t>
      </w:r>
      <w:r>
        <w:rPr>
          <w:rStyle w:val="Strong"/>
          <w:b/>
          <w:bCs w:val="0"/>
        </w:rPr>
        <w:t> </w:t>
      </w:r>
      <w:r w:rsidRPr="005C1B20">
        <w:rPr>
          <w:rStyle w:val="Strong"/>
          <w:b/>
          <w:bCs w:val="0"/>
        </w:rPr>
        <w:t>September 2021</w:t>
      </w:r>
      <w:r w:rsidRPr="005C1B20">
        <w:rPr>
          <w:rStyle w:val="Strong"/>
          <w:b/>
          <w:bCs w:val="0"/>
          <w:vertAlign w:val="superscript"/>
        </w:rPr>
        <w:t>a</w:t>
      </w:r>
    </w:p>
    <w:tbl>
      <w:tblPr>
        <w:tblStyle w:val="CDI-StandardTable"/>
        <w:tblW w:w="0" w:type="auto"/>
        <w:tblLook w:val="04A0" w:firstRow="1" w:lastRow="0" w:firstColumn="1" w:lastColumn="0" w:noHBand="0" w:noVBand="1"/>
        <w:tblDescription w:val="Table 1 shows COVID-19 notifications by jurisdiction and by source of acquisition, for cases with a notification received date within the current fortnightly reporting period. There were 23,855 cases notified in the current reporting period, of which 6,541 were acquired locally with known source, 215 were acquired locally with unknown source, 10,944 were acquired locally but subject to ongoing investigation, 6,113 were under initial investigation, 8 were acquired interstate (5 of known source, 3 of unknown source), 30 were acquired overseas, and 4 were missing source of acquisition. Cases were predominantly notified in New South Wales (15,018) and Victoria (8,551). Other jurisdictions reporting cases in this reporting period were the Australian Capital Territory (259), Queensland (10), Western Australia (7), the Northern Territory (6) and South Australia (4). Tasmania notified no cases in the current fortnightly reporting period."/>
      </w:tblPr>
      <w:tblGrid>
        <w:gridCol w:w="2696"/>
        <w:gridCol w:w="797"/>
        <w:gridCol w:w="797"/>
        <w:gridCol w:w="797"/>
        <w:gridCol w:w="797"/>
        <w:gridCol w:w="797"/>
        <w:gridCol w:w="797"/>
        <w:gridCol w:w="797"/>
        <w:gridCol w:w="797"/>
        <w:gridCol w:w="1368"/>
      </w:tblGrid>
      <w:tr w:rsidR="00BF29C5" w:rsidRPr="00A92A6F" w14:paraId="2E2DC212" w14:textId="77777777" w:rsidTr="00AF134D">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7A79926" w14:textId="77777777" w:rsidR="00BF29C5" w:rsidRPr="00A92A6F" w:rsidRDefault="00BF29C5" w:rsidP="00AF134D">
            <w:pPr>
              <w:pStyle w:val="NormalWeb"/>
              <w:rPr>
                <w:color w:val="FFFFFF" w:themeColor="background1"/>
              </w:rPr>
            </w:pPr>
            <w:proofErr w:type="spellStart"/>
            <w:r w:rsidRPr="00A92A6F">
              <w:rPr>
                <w:color w:val="FFFFFF" w:themeColor="background1"/>
              </w:rPr>
              <w:t>Source</w:t>
            </w:r>
            <w:r w:rsidRPr="00A51751">
              <w:rPr>
                <w:color w:val="FFFFFF" w:themeColor="background1"/>
                <w:vertAlign w:val="superscript"/>
              </w:rPr>
              <w:t>b</w:t>
            </w:r>
            <w:proofErr w:type="spellEnd"/>
          </w:p>
        </w:tc>
        <w:tc>
          <w:tcPr>
            <w:tcW w:w="797" w:type="dxa"/>
            <w:tcBorders>
              <w:left w:val="single" w:sz="2" w:space="0" w:color="FFFFFF" w:themeColor="background1"/>
              <w:right w:val="single" w:sz="2" w:space="0" w:color="FFFFFF" w:themeColor="background1"/>
            </w:tcBorders>
            <w:hideMark/>
          </w:tcPr>
          <w:p w14:paraId="43AAFABB" w14:textId="77777777" w:rsidR="00BF29C5" w:rsidRPr="00A92A6F" w:rsidRDefault="00BF29C5" w:rsidP="00AF134D">
            <w:pPr>
              <w:pStyle w:val="NormalWeb"/>
              <w:jc w:val="center"/>
              <w:rPr>
                <w:color w:val="FFFFFF" w:themeColor="background1"/>
              </w:rPr>
            </w:pPr>
            <w:r w:rsidRPr="00A92A6F">
              <w:rPr>
                <w:color w:val="FFFFFF" w:themeColor="background1"/>
              </w:rPr>
              <w:t>ACT</w:t>
            </w:r>
          </w:p>
        </w:tc>
        <w:tc>
          <w:tcPr>
            <w:tcW w:w="797" w:type="dxa"/>
            <w:tcBorders>
              <w:left w:val="single" w:sz="2" w:space="0" w:color="FFFFFF" w:themeColor="background1"/>
              <w:right w:val="single" w:sz="2" w:space="0" w:color="FFFFFF" w:themeColor="background1"/>
            </w:tcBorders>
            <w:hideMark/>
          </w:tcPr>
          <w:p w14:paraId="1161AD0E" w14:textId="77777777" w:rsidR="00BF29C5" w:rsidRPr="00A92A6F" w:rsidRDefault="00BF29C5" w:rsidP="00AF134D">
            <w:pPr>
              <w:pStyle w:val="NormalWeb"/>
              <w:jc w:val="center"/>
              <w:rPr>
                <w:color w:val="FFFFFF" w:themeColor="background1"/>
              </w:rPr>
            </w:pPr>
            <w:r w:rsidRPr="00A92A6F">
              <w:rPr>
                <w:color w:val="FFFFFF" w:themeColor="background1"/>
              </w:rPr>
              <w:t>NSW</w:t>
            </w:r>
          </w:p>
        </w:tc>
        <w:tc>
          <w:tcPr>
            <w:tcW w:w="797" w:type="dxa"/>
            <w:tcBorders>
              <w:left w:val="single" w:sz="2" w:space="0" w:color="FFFFFF" w:themeColor="background1"/>
              <w:right w:val="single" w:sz="2" w:space="0" w:color="FFFFFF" w:themeColor="background1"/>
            </w:tcBorders>
            <w:hideMark/>
          </w:tcPr>
          <w:p w14:paraId="6B38B2BF" w14:textId="77777777" w:rsidR="00BF29C5" w:rsidRPr="00A92A6F" w:rsidRDefault="00BF29C5" w:rsidP="00AF134D">
            <w:pPr>
              <w:pStyle w:val="NormalWeb"/>
              <w:jc w:val="center"/>
              <w:rPr>
                <w:color w:val="FFFFFF" w:themeColor="background1"/>
              </w:rPr>
            </w:pPr>
            <w:r w:rsidRPr="00A92A6F">
              <w:rPr>
                <w:color w:val="FFFFFF" w:themeColor="background1"/>
              </w:rPr>
              <w:t>NT</w:t>
            </w:r>
          </w:p>
        </w:tc>
        <w:tc>
          <w:tcPr>
            <w:tcW w:w="797" w:type="dxa"/>
            <w:tcBorders>
              <w:left w:val="single" w:sz="2" w:space="0" w:color="FFFFFF" w:themeColor="background1"/>
              <w:right w:val="single" w:sz="2" w:space="0" w:color="FFFFFF" w:themeColor="background1"/>
            </w:tcBorders>
            <w:hideMark/>
          </w:tcPr>
          <w:p w14:paraId="792E4038" w14:textId="77777777" w:rsidR="00BF29C5" w:rsidRPr="00A92A6F" w:rsidRDefault="00BF29C5" w:rsidP="00AF134D">
            <w:pPr>
              <w:pStyle w:val="NormalWeb"/>
              <w:jc w:val="center"/>
              <w:rPr>
                <w:color w:val="FFFFFF" w:themeColor="background1"/>
              </w:rPr>
            </w:pPr>
            <w:r w:rsidRPr="00A92A6F">
              <w:rPr>
                <w:color w:val="FFFFFF" w:themeColor="background1"/>
              </w:rPr>
              <w:t>Qld</w:t>
            </w:r>
          </w:p>
        </w:tc>
        <w:tc>
          <w:tcPr>
            <w:tcW w:w="797" w:type="dxa"/>
            <w:tcBorders>
              <w:left w:val="single" w:sz="2" w:space="0" w:color="FFFFFF" w:themeColor="background1"/>
              <w:right w:val="single" w:sz="2" w:space="0" w:color="FFFFFF" w:themeColor="background1"/>
            </w:tcBorders>
            <w:hideMark/>
          </w:tcPr>
          <w:p w14:paraId="7E62A7D7" w14:textId="77777777" w:rsidR="00BF29C5" w:rsidRPr="00A92A6F" w:rsidRDefault="00BF29C5" w:rsidP="00AF134D">
            <w:pPr>
              <w:pStyle w:val="NormalWeb"/>
              <w:jc w:val="center"/>
              <w:rPr>
                <w:color w:val="FFFFFF" w:themeColor="background1"/>
              </w:rPr>
            </w:pPr>
            <w:r w:rsidRPr="00A92A6F">
              <w:rPr>
                <w:color w:val="FFFFFF" w:themeColor="background1"/>
              </w:rPr>
              <w:t>SA</w:t>
            </w:r>
          </w:p>
        </w:tc>
        <w:tc>
          <w:tcPr>
            <w:tcW w:w="797" w:type="dxa"/>
            <w:tcBorders>
              <w:left w:val="single" w:sz="2" w:space="0" w:color="FFFFFF" w:themeColor="background1"/>
              <w:right w:val="single" w:sz="2" w:space="0" w:color="FFFFFF" w:themeColor="background1"/>
            </w:tcBorders>
            <w:hideMark/>
          </w:tcPr>
          <w:p w14:paraId="29CDDAEB" w14:textId="77777777" w:rsidR="00BF29C5" w:rsidRPr="00A92A6F" w:rsidRDefault="00BF29C5" w:rsidP="00AF134D">
            <w:pPr>
              <w:pStyle w:val="NormalWeb"/>
              <w:jc w:val="center"/>
              <w:rPr>
                <w:color w:val="FFFFFF" w:themeColor="background1"/>
              </w:rPr>
            </w:pPr>
            <w:r w:rsidRPr="00A92A6F">
              <w:rPr>
                <w:color w:val="FFFFFF" w:themeColor="background1"/>
              </w:rPr>
              <w:t>Tas.</w:t>
            </w:r>
          </w:p>
        </w:tc>
        <w:tc>
          <w:tcPr>
            <w:tcW w:w="797" w:type="dxa"/>
            <w:tcBorders>
              <w:left w:val="single" w:sz="2" w:space="0" w:color="FFFFFF" w:themeColor="background1"/>
              <w:right w:val="single" w:sz="2" w:space="0" w:color="FFFFFF" w:themeColor="background1"/>
            </w:tcBorders>
            <w:hideMark/>
          </w:tcPr>
          <w:p w14:paraId="59542DEE" w14:textId="77777777" w:rsidR="00BF29C5" w:rsidRPr="00A92A6F" w:rsidRDefault="00BF29C5" w:rsidP="00AF134D">
            <w:pPr>
              <w:pStyle w:val="NormalWeb"/>
              <w:jc w:val="center"/>
              <w:rPr>
                <w:color w:val="FFFFFF" w:themeColor="background1"/>
              </w:rPr>
            </w:pPr>
            <w:r w:rsidRPr="00A92A6F">
              <w:rPr>
                <w:color w:val="FFFFFF" w:themeColor="background1"/>
              </w:rPr>
              <w:t>Vic.</w:t>
            </w:r>
          </w:p>
        </w:tc>
        <w:tc>
          <w:tcPr>
            <w:tcW w:w="797" w:type="dxa"/>
            <w:tcBorders>
              <w:left w:val="single" w:sz="2" w:space="0" w:color="FFFFFF" w:themeColor="background1"/>
              <w:right w:val="single" w:sz="2" w:space="0" w:color="FFFFFF" w:themeColor="background1"/>
            </w:tcBorders>
            <w:hideMark/>
          </w:tcPr>
          <w:p w14:paraId="0D72E505" w14:textId="77777777" w:rsidR="00BF29C5" w:rsidRPr="00A92A6F" w:rsidRDefault="00BF29C5" w:rsidP="00AF134D">
            <w:pPr>
              <w:pStyle w:val="NormalWeb"/>
              <w:jc w:val="center"/>
              <w:rPr>
                <w:color w:val="FFFFFF" w:themeColor="background1"/>
              </w:rPr>
            </w:pPr>
            <w:r w:rsidRPr="00A92A6F">
              <w:rPr>
                <w:color w:val="FFFFFF" w:themeColor="background1"/>
              </w:rPr>
              <w:t>WA</w:t>
            </w:r>
          </w:p>
        </w:tc>
        <w:tc>
          <w:tcPr>
            <w:tcW w:w="1368" w:type="dxa"/>
            <w:tcBorders>
              <w:left w:val="single" w:sz="2" w:space="0" w:color="FFFFFF" w:themeColor="background1"/>
            </w:tcBorders>
            <w:hideMark/>
          </w:tcPr>
          <w:p w14:paraId="0BC8B754" w14:textId="77777777" w:rsidR="00BF29C5" w:rsidRPr="00A92A6F" w:rsidRDefault="00BF29C5" w:rsidP="00AF134D">
            <w:pPr>
              <w:pStyle w:val="NormalWeb"/>
              <w:jc w:val="center"/>
              <w:rPr>
                <w:color w:val="FFFFFF" w:themeColor="background1"/>
              </w:rPr>
            </w:pPr>
            <w:r w:rsidRPr="00A92A6F">
              <w:rPr>
                <w:color w:val="FFFFFF" w:themeColor="background1"/>
              </w:rPr>
              <w:t>Australia</w:t>
            </w:r>
          </w:p>
        </w:tc>
      </w:tr>
      <w:tr w:rsidR="00BF29C5" w14:paraId="3DFB5ED6" w14:textId="77777777" w:rsidTr="00AF134D">
        <w:tblPrEx>
          <w:tblCellMar>
            <w:top w:w="57" w:type="dxa"/>
            <w:left w:w="57" w:type="dxa"/>
            <w:bottom w:w="57" w:type="dxa"/>
            <w:right w:w="57" w:type="dxa"/>
          </w:tblCellMar>
        </w:tblPrEx>
        <w:tc>
          <w:tcPr>
            <w:tcW w:w="0" w:type="auto"/>
            <w:hideMark/>
          </w:tcPr>
          <w:p w14:paraId="2C7AFAFE" w14:textId="77777777" w:rsidR="00BF29C5" w:rsidRDefault="00BF29C5" w:rsidP="00AF134D">
            <w:pPr>
              <w:pStyle w:val="NormalWeb"/>
            </w:pPr>
            <w:r>
              <w:t>Overseas</w:t>
            </w:r>
          </w:p>
        </w:tc>
        <w:tc>
          <w:tcPr>
            <w:tcW w:w="797" w:type="dxa"/>
            <w:hideMark/>
          </w:tcPr>
          <w:p w14:paraId="04FB9C92" w14:textId="77777777" w:rsidR="00BF29C5" w:rsidRDefault="00BF29C5" w:rsidP="00AF134D">
            <w:pPr>
              <w:pStyle w:val="NormalWeb"/>
              <w:jc w:val="center"/>
            </w:pPr>
            <w:r>
              <w:t>0</w:t>
            </w:r>
          </w:p>
        </w:tc>
        <w:tc>
          <w:tcPr>
            <w:tcW w:w="797" w:type="dxa"/>
            <w:hideMark/>
          </w:tcPr>
          <w:p w14:paraId="43B24CA7" w14:textId="77777777" w:rsidR="00BF29C5" w:rsidRDefault="00BF29C5" w:rsidP="00AF134D">
            <w:pPr>
              <w:pStyle w:val="NormalWeb"/>
              <w:jc w:val="center"/>
            </w:pPr>
            <w:r>
              <w:t>15</w:t>
            </w:r>
          </w:p>
        </w:tc>
        <w:tc>
          <w:tcPr>
            <w:tcW w:w="797" w:type="dxa"/>
            <w:hideMark/>
          </w:tcPr>
          <w:p w14:paraId="2A3384AD" w14:textId="77777777" w:rsidR="00BF29C5" w:rsidRDefault="00BF29C5" w:rsidP="00AF134D">
            <w:pPr>
              <w:pStyle w:val="NormalWeb"/>
              <w:jc w:val="center"/>
            </w:pPr>
            <w:r>
              <w:t>4</w:t>
            </w:r>
          </w:p>
        </w:tc>
        <w:tc>
          <w:tcPr>
            <w:tcW w:w="797" w:type="dxa"/>
            <w:hideMark/>
          </w:tcPr>
          <w:p w14:paraId="1575AACE" w14:textId="77777777" w:rsidR="00BF29C5" w:rsidRDefault="00BF29C5" w:rsidP="00AF134D">
            <w:pPr>
              <w:pStyle w:val="NormalWeb"/>
              <w:jc w:val="center"/>
            </w:pPr>
            <w:r>
              <w:t>2</w:t>
            </w:r>
          </w:p>
        </w:tc>
        <w:tc>
          <w:tcPr>
            <w:tcW w:w="797" w:type="dxa"/>
            <w:hideMark/>
          </w:tcPr>
          <w:p w14:paraId="5E265F06" w14:textId="77777777" w:rsidR="00BF29C5" w:rsidRDefault="00BF29C5" w:rsidP="00AF134D">
            <w:pPr>
              <w:pStyle w:val="NormalWeb"/>
              <w:jc w:val="center"/>
            </w:pPr>
            <w:r>
              <w:t>4</w:t>
            </w:r>
          </w:p>
        </w:tc>
        <w:tc>
          <w:tcPr>
            <w:tcW w:w="797" w:type="dxa"/>
            <w:hideMark/>
          </w:tcPr>
          <w:p w14:paraId="0118603F" w14:textId="77777777" w:rsidR="00BF29C5" w:rsidRDefault="00BF29C5" w:rsidP="00AF134D">
            <w:pPr>
              <w:pStyle w:val="NormalWeb"/>
              <w:jc w:val="center"/>
            </w:pPr>
            <w:r>
              <w:t>0</w:t>
            </w:r>
          </w:p>
        </w:tc>
        <w:tc>
          <w:tcPr>
            <w:tcW w:w="797" w:type="dxa"/>
            <w:hideMark/>
          </w:tcPr>
          <w:p w14:paraId="1F30F60E" w14:textId="77777777" w:rsidR="00BF29C5" w:rsidRDefault="00BF29C5" w:rsidP="00AF134D">
            <w:pPr>
              <w:pStyle w:val="NormalWeb"/>
              <w:jc w:val="center"/>
            </w:pPr>
            <w:r>
              <w:t>1</w:t>
            </w:r>
          </w:p>
        </w:tc>
        <w:tc>
          <w:tcPr>
            <w:tcW w:w="797" w:type="dxa"/>
            <w:hideMark/>
          </w:tcPr>
          <w:p w14:paraId="345C2E29" w14:textId="77777777" w:rsidR="00BF29C5" w:rsidRDefault="00BF29C5" w:rsidP="00AF134D">
            <w:pPr>
              <w:pStyle w:val="NormalWeb"/>
              <w:jc w:val="center"/>
            </w:pPr>
            <w:r>
              <w:t>4</w:t>
            </w:r>
          </w:p>
        </w:tc>
        <w:tc>
          <w:tcPr>
            <w:tcW w:w="1368" w:type="dxa"/>
            <w:hideMark/>
          </w:tcPr>
          <w:p w14:paraId="4F63AD47" w14:textId="77777777" w:rsidR="00BF29C5" w:rsidRDefault="00BF29C5" w:rsidP="00AF134D">
            <w:pPr>
              <w:pStyle w:val="NormalWeb"/>
              <w:jc w:val="center"/>
            </w:pPr>
            <w:r>
              <w:t>30</w:t>
            </w:r>
          </w:p>
        </w:tc>
      </w:tr>
      <w:tr w:rsidR="00BF29C5" w14:paraId="5432794E"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F721866" w14:textId="77777777" w:rsidR="00BF29C5" w:rsidRDefault="00BF29C5" w:rsidP="00AF134D">
            <w:pPr>
              <w:pStyle w:val="NormalWeb"/>
            </w:pPr>
            <w:r>
              <w:t>Local, source known</w:t>
            </w:r>
          </w:p>
        </w:tc>
        <w:tc>
          <w:tcPr>
            <w:tcW w:w="797" w:type="dxa"/>
            <w:hideMark/>
          </w:tcPr>
          <w:p w14:paraId="071EE709" w14:textId="77777777" w:rsidR="00BF29C5" w:rsidRDefault="00BF29C5" w:rsidP="00AF134D">
            <w:pPr>
              <w:pStyle w:val="NormalWeb"/>
              <w:jc w:val="center"/>
            </w:pPr>
            <w:r>
              <w:t>208</w:t>
            </w:r>
          </w:p>
        </w:tc>
        <w:tc>
          <w:tcPr>
            <w:tcW w:w="797" w:type="dxa"/>
            <w:hideMark/>
          </w:tcPr>
          <w:p w14:paraId="4791FFFD" w14:textId="77777777" w:rsidR="00BF29C5" w:rsidRDefault="00BF29C5" w:rsidP="00AF134D">
            <w:pPr>
              <w:pStyle w:val="NormalWeb"/>
              <w:jc w:val="center"/>
            </w:pPr>
            <w:r>
              <w:t>3,765</w:t>
            </w:r>
          </w:p>
        </w:tc>
        <w:tc>
          <w:tcPr>
            <w:tcW w:w="797" w:type="dxa"/>
            <w:hideMark/>
          </w:tcPr>
          <w:p w14:paraId="47165DD5" w14:textId="77777777" w:rsidR="00BF29C5" w:rsidRDefault="00BF29C5" w:rsidP="00AF134D">
            <w:pPr>
              <w:pStyle w:val="NormalWeb"/>
              <w:jc w:val="center"/>
            </w:pPr>
            <w:r>
              <w:t>0</w:t>
            </w:r>
          </w:p>
        </w:tc>
        <w:tc>
          <w:tcPr>
            <w:tcW w:w="797" w:type="dxa"/>
            <w:hideMark/>
          </w:tcPr>
          <w:p w14:paraId="401A94D0" w14:textId="77777777" w:rsidR="00BF29C5" w:rsidRDefault="00BF29C5" w:rsidP="00AF134D">
            <w:pPr>
              <w:pStyle w:val="NormalWeb"/>
              <w:jc w:val="center"/>
            </w:pPr>
            <w:r>
              <w:t>6</w:t>
            </w:r>
          </w:p>
        </w:tc>
        <w:tc>
          <w:tcPr>
            <w:tcW w:w="797" w:type="dxa"/>
            <w:hideMark/>
          </w:tcPr>
          <w:p w14:paraId="56CBC0A2" w14:textId="77777777" w:rsidR="00BF29C5" w:rsidRDefault="00BF29C5" w:rsidP="00AF134D">
            <w:pPr>
              <w:pStyle w:val="NormalWeb"/>
              <w:jc w:val="center"/>
            </w:pPr>
            <w:r>
              <w:t>0</w:t>
            </w:r>
          </w:p>
        </w:tc>
        <w:tc>
          <w:tcPr>
            <w:tcW w:w="797" w:type="dxa"/>
            <w:hideMark/>
          </w:tcPr>
          <w:p w14:paraId="61A9F538" w14:textId="77777777" w:rsidR="00BF29C5" w:rsidRDefault="00BF29C5" w:rsidP="00AF134D">
            <w:pPr>
              <w:pStyle w:val="NormalWeb"/>
              <w:jc w:val="center"/>
            </w:pPr>
            <w:r>
              <w:t>0</w:t>
            </w:r>
          </w:p>
        </w:tc>
        <w:tc>
          <w:tcPr>
            <w:tcW w:w="797" w:type="dxa"/>
            <w:hideMark/>
          </w:tcPr>
          <w:p w14:paraId="50315489" w14:textId="77777777" w:rsidR="00BF29C5" w:rsidRDefault="00BF29C5" w:rsidP="00AF134D">
            <w:pPr>
              <w:pStyle w:val="NormalWeb"/>
              <w:jc w:val="center"/>
            </w:pPr>
            <w:r>
              <w:t>2,562</w:t>
            </w:r>
          </w:p>
        </w:tc>
        <w:tc>
          <w:tcPr>
            <w:tcW w:w="797" w:type="dxa"/>
            <w:hideMark/>
          </w:tcPr>
          <w:p w14:paraId="0F84FAE4" w14:textId="77777777" w:rsidR="00BF29C5" w:rsidRDefault="00BF29C5" w:rsidP="00AF134D">
            <w:pPr>
              <w:pStyle w:val="NormalWeb"/>
              <w:jc w:val="center"/>
            </w:pPr>
            <w:r>
              <w:t>0</w:t>
            </w:r>
          </w:p>
        </w:tc>
        <w:tc>
          <w:tcPr>
            <w:tcW w:w="1368" w:type="dxa"/>
            <w:hideMark/>
          </w:tcPr>
          <w:p w14:paraId="7B99BE9D" w14:textId="77777777" w:rsidR="00BF29C5" w:rsidRDefault="00BF29C5" w:rsidP="00AF134D">
            <w:pPr>
              <w:pStyle w:val="NormalWeb"/>
              <w:jc w:val="center"/>
            </w:pPr>
            <w:r>
              <w:t>6,541</w:t>
            </w:r>
          </w:p>
        </w:tc>
      </w:tr>
      <w:tr w:rsidR="00BF29C5" w14:paraId="6DD55A3E" w14:textId="77777777" w:rsidTr="00AF134D">
        <w:tblPrEx>
          <w:tblCellMar>
            <w:top w:w="57" w:type="dxa"/>
            <w:left w:w="57" w:type="dxa"/>
            <w:bottom w:w="57" w:type="dxa"/>
            <w:right w:w="57" w:type="dxa"/>
          </w:tblCellMar>
        </w:tblPrEx>
        <w:tc>
          <w:tcPr>
            <w:tcW w:w="0" w:type="auto"/>
            <w:hideMark/>
          </w:tcPr>
          <w:p w14:paraId="2F64914F" w14:textId="77777777" w:rsidR="00BF29C5" w:rsidRDefault="00BF29C5" w:rsidP="00AF134D">
            <w:pPr>
              <w:pStyle w:val="NormalWeb"/>
            </w:pPr>
            <w:r>
              <w:t>Local, source unknown</w:t>
            </w:r>
          </w:p>
        </w:tc>
        <w:tc>
          <w:tcPr>
            <w:tcW w:w="797" w:type="dxa"/>
            <w:hideMark/>
          </w:tcPr>
          <w:p w14:paraId="402753B9" w14:textId="77777777" w:rsidR="00BF29C5" w:rsidRDefault="00BF29C5" w:rsidP="00AF134D">
            <w:pPr>
              <w:pStyle w:val="NormalWeb"/>
              <w:jc w:val="center"/>
            </w:pPr>
            <w:r>
              <w:t>47</w:t>
            </w:r>
          </w:p>
        </w:tc>
        <w:tc>
          <w:tcPr>
            <w:tcW w:w="797" w:type="dxa"/>
            <w:hideMark/>
          </w:tcPr>
          <w:p w14:paraId="3FC3B9BF" w14:textId="77777777" w:rsidR="00BF29C5" w:rsidRDefault="00BF29C5" w:rsidP="00AF134D">
            <w:pPr>
              <w:pStyle w:val="NormalWeb"/>
              <w:jc w:val="center"/>
            </w:pPr>
            <w:r>
              <w:t>158</w:t>
            </w:r>
          </w:p>
        </w:tc>
        <w:tc>
          <w:tcPr>
            <w:tcW w:w="797" w:type="dxa"/>
            <w:hideMark/>
          </w:tcPr>
          <w:p w14:paraId="52B9B08C" w14:textId="77777777" w:rsidR="00BF29C5" w:rsidRDefault="00BF29C5" w:rsidP="00AF134D">
            <w:pPr>
              <w:pStyle w:val="NormalWeb"/>
              <w:jc w:val="center"/>
            </w:pPr>
            <w:r>
              <w:t>0</w:t>
            </w:r>
          </w:p>
        </w:tc>
        <w:tc>
          <w:tcPr>
            <w:tcW w:w="797" w:type="dxa"/>
            <w:hideMark/>
          </w:tcPr>
          <w:p w14:paraId="38B6D4BC" w14:textId="77777777" w:rsidR="00BF29C5" w:rsidRDefault="00BF29C5" w:rsidP="00AF134D">
            <w:pPr>
              <w:pStyle w:val="NormalWeb"/>
              <w:jc w:val="center"/>
            </w:pPr>
            <w:r>
              <w:t>0</w:t>
            </w:r>
          </w:p>
        </w:tc>
        <w:tc>
          <w:tcPr>
            <w:tcW w:w="797" w:type="dxa"/>
            <w:hideMark/>
          </w:tcPr>
          <w:p w14:paraId="590BFD06" w14:textId="77777777" w:rsidR="00BF29C5" w:rsidRDefault="00BF29C5" w:rsidP="00AF134D">
            <w:pPr>
              <w:pStyle w:val="NormalWeb"/>
              <w:jc w:val="center"/>
            </w:pPr>
            <w:r>
              <w:t>0</w:t>
            </w:r>
          </w:p>
        </w:tc>
        <w:tc>
          <w:tcPr>
            <w:tcW w:w="797" w:type="dxa"/>
            <w:hideMark/>
          </w:tcPr>
          <w:p w14:paraId="3BF6A905" w14:textId="77777777" w:rsidR="00BF29C5" w:rsidRDefault="00BF29C5" w:rsidP="00AF134D">
            <w:pPr>
              <w:pStyle w:val="NormalWeb"/>
              <w:jc w:val="center"/>
            </w:pPr>
            <w:r>
              <w:t>0</w:t>
            </w:r>
          </w:p>
        </w:tc>
        <w:tc>
          <w:tcPr>
            <w:tcW w:w="797" w:type="dxa"/>
            <w:hideMark/>
          </w:tcPr>
          <w:p w14:paraId="00BEF67E" w14:textId="77777777" w:rsidR="00BF29C5" w:rsidRDefault="00BF29C5" w:rsidP="00AF134D">
            <w:pPr>
              <w:pStyle w:val="NormalWeb"/>
              <w:jc w:val="center"/>
            </w:pPr>
            <w:r>
              <w:t>10</w:t>
            </w:r>
          </w:p>
        </w:tc>
        <w:tc>
          <w:tcPr>
            <w:tcW w:w="797" w:type="dxa"/>
            <w:hideMark/>
          </w:tcPr>
          <w:p w14:paraId="3902F2CD" w14:textId="77777777" w:rsidR="00BF29C5" w:rsidRDefault="00BF29C5" w:rsidP="00AF134D">
            <w:pPr>
              <w:pStyle w:val="NormalWeb"/>
              <w:jc w:val="center"/>
            </w:pPr>
            <w:r>
              <w:t>0</w:t>
            </w:r>
          </w:p>
        </w:tc>
        <w:tc>
          <w:tcPr>
            <w:tcW w:w="1368" w:type="dxa"/>
            <w:hideMark/>
          </w:tcPr>
          <w:p w14:paraId="412970B3" w14:textId="77777777" w:rsidR="00BF29C5" w:rsidRDefault="00BF29C5" w:rsidP="00AF134D">
            <w:pPr>
              <w:pStyle w:val="NormalWeb"/>
              <w:jc w:val="center"/>
            </w:pPr>
            <w:r>
              <w:t>215</w:t>
            </w:r>
          </w:p>
        </w:tc>
      </w:tr>
      <w:tr w:rsidR="00BF29C5" w14:paraId="5754C7E2"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CF3E6D9" w14:textId="77777777" w:rsidR="00BF29C5" w:rsidRDefault="00BF29C5" w:rsidP="00AF134D">
            <w:pPr>
              <w:pStyle w:val="NormalWeb"/>
            </w:pPr>
            <w:r>
              <w:t>Local, investigation ongoing</w:t>
            </w:r>
          </w:p>
        </w:tc>
        <w:tc>
          <w:tcPr>
            <w:tcW w:w="797" w:type="dxa"/>
            <w:hideMark/>
          </w:tcPr>
          <w:p w14:paraId="23EBE315" w14:textId="77777777" w:rsidR="00BF29C5" w:rsidRDefault="00BF29C5" w:rsidP="00AF134D">
            <w:pPr>
              <w:pStyle w:val="NormalWeb"/>
              <w:jc w:val="center"/>
            </w:pPr>
            <w:r>
              <w:t>0</w:t>
            </w:r>
          </w:p>
        </w:tc>
        <w:tc>
          <w:tcPr>
            <w:tcW w:w="797" w:type="dxa"/>
            <w:hideMark/>
          </w:tcPr>
          <w:p w14:paraId="2B7364B6" w14:textId="77777777" w:rsidR="00BF29C5" w:rsidRDefault="00BF29C5" w:rsidP="00AF134D">
            <w:pPr>
              <w:pStyle w:val="NormalWeb"/>
              <w:jc w:val="center"/>
            </w:pPr>
            <w:r>
              <w:t>10,944</w:t>
            </w:r>
          </w:p>
        </w:tc>
        <w:tc>
          <w:tcPr>
            <w:tcW w:w="797" w:type="dxa"/>
            <w:hideMark/>
          </w:tcPr>
          <w:p w14:paraId="04EB69EB" w14:textId="77777777" w:rsidR="00BF29C5" w:rsidRDefault="00BF29C5" w:rsidP="00AF134D">
            <w:pPr>
              <w:pStyle w:val="NormalWeb"/>
              <w:jc w:val="center"/>
            </w:pPr>
            <w:r>
              <w:t>0</w:t>
            </w:r>
          </w:p>
        </w:tc>
        <w:tc>
          <w:tcPr>
            <w:tcW w:w="797" w:type="dxa"/>
            <w:hideMark/>
          </w:tcPr>
          <w:p w14:paraId="564B2101" w14:textId="77777777" w:rsidR="00BF29C5" w:rsidRDefault="00BF29C5" w:rsidP="00AF134D">
            <w:pPr>
              <w:pStyle w:val="NormalWeb"/>
              <w:jc w:val="center"/>
            </w:pPr>
            <w:r>
              <w:t>0</w:t>
            </w:r>
          </w:p>
        </w:tc>
        <w:tc>
          <w:tcPr>
            <w:tcW w:w="797" w:type="dxa"/>
            <w:hideMark/>
          </w:tcPr>
          <w:p w14:paraId="1B3E0BE4" w14:textId="77777777" w:rsidR="00BF29C5" w:rsidRDefault="00BF29C5" w:rsidP="00AF134D">
            <w:pPr>
              <w:pStyle w:val="NormalWeb"/>
              <w:jc w:val="center"/>
            </w:pPr>
            <w:r>
              <w:t>0</w:t>
            </w:r>
          </w:p>
        </w:tc>
        <w:tc>
          <w:tcPr>
            <w:tcW w:w="797" w:type="dxa"/>
            <w:hideMark/>
          </w:tcPr>
          <w:p w14:paraId="365AEC37" w14:textId="77777777" w:rsidR="00BF29C5" w:rsidRDefault="00BF29C5" w:rsidP="00AF134D">
            <w:pPr>
              <w:pStyle w:val="NormalWeb"/>
              <w:jc w:val="center"/>
            </w:pPr>
            <w:r>
              <w:t>0</w:t>
            </w:r>
          </w:p>
        </w:tc>
        <w:tc>
          <w:tcPr>
            <w:tcW w:w="797" w:type="dxa"/>
            <w:hideMark/>
          </w:tcPr>
          <w:p w14:paraId="5924D145" w14:textId="77777777" w:rsidR="00BF29C5" w:rsidRDefault="00BF29C5" w:rsidP="00AF134D">
            <w:pPr>
              <w:pStyle w:val="NormalWeb"/>
              <w:jc w:val="center"/>
            </w:pPr>
            <w:r>
              <w:t>0</w:t>
            </w:r>
          </w:p>
        </w:tc>
        <w:tc>
          <w:tcPr>
            <w:tcW w:w="797" w:type="dxa"/>
            <w:hideMark/>
          </w:tcPr>
          <w:p w14:paraId="747D355B" w14:textId="77777777" w:rsidR="00BF29C5" w:rsidRDefault="00BF29C5" w:rsidP="00AF134D">
            <w:pPr>
              <w:pStyle w:val="NormalWeb"/>
              <w:jc w:val="center"/>
            </w:pPr>
            <w:r>
              <w:t>0</w:t>
            </w:r>
          </w:p>
        </w:tc>
        <w:tc>
          <w:tcPr>
            <w:tcW w:w="1368" w:type="dxa"/>
            <w:hideMark/>
          </w:tcPr>
          <w:p w14:paraId="0274D67A" w14:textId="77777777" w:rsidR="00BF29C5" w:rsidRDefault="00BF29C5" w:rsidP="00AF134D">
            <w:pPr>
              <w:pStyle w:val="NormalWeb"/>
              <w:jc w:val="center"/>
            </w:pPr>
            <w:r>
              <w:t>10,944</w:t>
            </w:r>
          </w:p>
        </w:tc>
      </w:tr>
      <w:tr w:rsidR="00BF29C5" w14:paraId="4B584FA3" w14:textId="77777777" w:rsidTr="00AF134D">
        <w:tblPrEx>
          <w:tblCellMar>
            <w:top w:w="57" w:type="dxa"/>
            <w:left w:w="57" w:type="dxa"/>
            <w:bottom w:w="57" w:type="dxa"/>
            <w:right w:w="57" w:type="dxa"/>
          </w:tblCellMar>
        </w:tblPrEx>
        <w:tc>
          <w:tcPr>
            <w:tcW w:w="0" w:type="auto"/>
            <w:hideMark/>
          </w:tcPr>
          <w:p w14:paraId="6A850078" w14:textId="77777777" w:rsidR="00BF29C5" w:rsidRDefault="00BF29C5" w:rsidP="00AF134D">
            <w:pPr>
              <w:pStyle w:val="NormalWeb"/>
            </w:pPr>
            <w:r>
              <w:t>Interstate, source known</w:t>
            </w:r>
          </w:p>
        </w:tc>
        <w:tc>
          <w:tcPr>
            <w:tcW w:w="797" w:type="dxa"/>
            <w:hideMark/>
          </w:tcPr>
          <w:p w14:paraId="0B6FE47F" w14:textId="77777777" w:rsidR="00BF29C5" w:rsidRDefault="00BF29C5" w:rsidP="00AF134D">
            <w:pPr>
              <w:pStyle w:val="NormalWeb"/>
              <w:jc w:val="center"/>
            </w:pPr>
            <w:r>
              <w:t>3</w:t>
            </w:r>
          </w:p>
        </w:tc>
        <w:tc>
          <w:tcPr>
            <w:tcW w:w="797" w:type="dxa"/>
            <w:hideMark/>
          </w:tcPr>
          <w:p w14:paraId="5E9D9B00" w14:textId="77777777" w:rsidR="00BF29C5" w:rsidRDefault="00BF29C5" w:rsidP="00AF134D">
            <w:pPr>
              <w:pStyle w:val="NormalWeb"/>
              <w:jc w:val="center"/>
            </w:pPr>
            <w:r>
              <w:t>1</w:t>
            </w:r>
          </w:p>
        </w:tc>
        <w:tc>
          <w:tcPr>
            <w:tcW w:w="797" w:type="dxa"/>
            <w:hideMark/>
          </w:tcPr>
          <w:p w14:paraId="5F50380C" w14:textId="77777777" w:rsidR="00BF29C5" w:rsidRDefault="00BF29C5" w:rsidP="00AF134D">
            <w:pPr>
              <w:pStyle w:val="NormalWeb"/>
              <w:jc w:val="center"/>
            </w:pPr>
            <w:r>
              <w:t>1</w:t>
            </w:r>
          </w:p>
        </w:tc>
        <w:tc>
          <w:tcPr>
            <w:tcW w:w="797" w:type="dxa"/>
            <w:hideMark/>
          </w:tcPr>
          <w:p w14:paraId="23831787" w14:textId="77777777" w:rsidR="00BF29C5" w:rsidRDefault="00BF29C5" w:rsidP="00AF134D">
            <w:pPr>
              <w:pStyle w:val="NormalWeb"/>
              <w:jc w:val="center"/>
            </w:pPr>
            <w:r>
              <w:t>0</w:t>
            </w:r>
          </w:p>
        </w:tc>
        <w:tc>
          <w:tcPr>
            <w:tcW w:w="797" w:type="dxa"/>
            <w:hideMark/>
          </w:tcPr>
          <w:p w14:paraId="772A507C" w14:textId="77777777" w:rsidR="00BF29C5" w:rsidRDefault="00BF29C5" w:rsidP="00AF134D">
            <w:pPr>
              <w:pStyle w:val="NormalWeb"/>
              <w:jc w:val="center"/>
            </w:pPr>
            <w:r>
              <w:t>0</w:t>
            </w:r>
          </w:p>
        </w:tc>
        <w:tc>
          <w:tcPr>
            <w:tcW w:w="797" w:type="dxa"/>
            <w:hideMark/>
          </w:tcPr>
          <w:p w14:paraId="2D5E98F6" w14:textId="77777777" w:rsidR="00BF29C5" w:rsidRDefault="00BF29C5" w:rsidP="00AF134D">
            <w:pPr>
              <w:pStyle w:val="NormalWeb"/>
              <w:jc w:val="center"/>
            </w:pPr>
            <w:r>
              <w:t>0</w:t>
            </w:r>
          </w:p>
        </w:tc>
        <w:tc>
          <w:tcPr>
            <w:tcW w:w="797" w:type="dxa"/>
            <w:hideMark/>
          </w:tcPr>
          <w:p w14:paraId="211EEF35" w14:textId="77777777" w:rsidR="00BF29C5" w:rsidRDefault="00BF29C5" w:rsidP="00AF134D">
            <w:pPr>
              <w:pStyle w:val="NormalWeb"/>
              <w:jc w:val="center"/>
            </w:pPr>
            <w:r>
              <w:t>0</w:t>
            </w:r>
          </w:p>
        </w:tc>
        <w:tc>
          <w:tcPr>
            <w:tcW w:w="797" w:type="dxa"/>
            <w:hideMark/>
          </w:tcPr>
          <w:p w14:paraId="3ACB95ED" w14:textId="77777777" w:rsidR="00BF29C5" w:rsidRDefault="00BF29C5" w:rsidP="00AF134D">
            <w:pPr>
              <w:pStyle w:val="NormalWeb"/>
              <w:jc w:val="center"/>
            </w:pPr>
            <w:r>
              <w:t>0</w:t>
            </w:r>
          </w:p>
        </w:tc>
        <w:tc>
          <w:tcPr>
            <w:tcW w:w="1368" w:type="dxa"/>
            <w:hideMark/>
          </w:tcPr>
          <w:p w14:paraId="2F437E7D" w14:textId="77777777" w:rsidR="00BF29C5" w:rsidRDefault="00BF29C5" w:rsidP="00AF134D">
            <w:pPr>
              <w:pStyle w:val="NormalWeb"/>
              <w:jc w:val="center"/>
            </w:pPr>
            <w:r>
              <w:t>5</w:t>
            </w:r>
          </w:p>
        </w:tc>
      </w:tr>
      <w:tr w:rsidR="00BF29C5" w14:paraId="31EC762A"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5F3EBF8" w14:textId="77777777" w:rsidR="00BF29C5" w:rsidRDefault="00BF29C5" w:rsidP="00AF134D">
            <w:pPr>
              <w:pStyle w:val="NormalWeb"/>
            </w:pPr>
            <w:r>
              <w:t>Interstate, source unknown</w:t>
            </w:r>
          </w:p>
        </w:tc>
        <w:tc>
          <w:tcPr>
            <w:tcW w:w="797" w:type="dxa"/>
            <w:hideMark/>
          </w:tcPr>
          <w:p w14:paraId="49B05512" w14:textId="77777777" w:rsidR="00BF29C5" w:rsidRDefault="00BF29C5" w:rsidP="00AF134D">
            <w:pPr>
              <w:pStyle w:val="NormalWeb"/>
              <w:jc w:val="center"/>
            </w:pPr>
            <w:r>
              <w:t>1</w:t>
            </w:r>
          </w:p>
        </w:tc>
        <w:tc>
          <w:tcPr>
            <w:tcW w:w="797" w:type="dxa"/>
            <w:hideMark/>
          </w:tcPr>
          <w:p w14:paraId="0CBC746D" w14:textId="77777777" w:rsidR="00BF29C5" w:rsidRDefault="00BF29C5" w:rsidP="00AF134D">
            <w:pPr>
              <w:pStyle w:val="NormalWeb"/>
              <w:jc w:val="center"/>
            </w:pPr>
            <w:r>
              <w:t>0</w:t>
            </w:r>
          </w:p>
        </w:tc>
        <w:tc>
          <w:tcPr>
            <w:tcW w:w="797" w:type="dxa"/>
            <w:hideMark/>
          </w:tcPr>
          <w:p w14:paraId="34CB27C1" w14:textId="77777777" w:rsidR="00BF29C5" w:rsidRDefault="00BF29C5" w:rsidP="00AF134D">
            <w:pPr>
              <w:pStyle w:val="NormalWeb"/>
              <w:jc w:val="center"/>
            </w:pPr>
            <w:r>
              <w:t>0</w:t>
            </w:r>
          </w:p>
        </w:tc>
        <w:tc>
          <w:tcPr>
            <w:tcW w:w="797" w:type="dxa"/>
            <w:hideMark/>
          </w:tcPr>
          <w:p w14:paraId="70C0ECC1" w14:textId="77777777" w:rsidR="00BF29C5" w:rsidRDefault="00BF29C5" w:rsidP="00AF134D">
            <w:pPr>
              <w:pStyle w:val="NormalWeb"/>
              <w:jc w:val="center"/>
            </w:pPr>
            <w:r>
              <w:t>1</w:t>
            </w:r>
          </w:p>
        </w:tc>
        <w:tc>
          <w:tcPr>
            <w:tcW w:w="797" w:type="dxa"/>
            <w:hideMark/>
          </w:tcPr>
          <w:p w14:paraId="3447998E" w14:textId="77777777" w:rsidR="00BF29C5" w:rsidRDefault="00BF29C5" w:rsidP="00AF134D">
            <w:pPr>
              <w:pStyle w:val="NormalWeb"/>
              <w:jc w:val="center"/>
            </w:pPr>
            <w:r>
              <w:t>0</w:t>
            </w:r>
          </w:p>
        </w:tc>
        <w:tc>
          <w:tcPr>
            <w:tcW w:w="797" w:type="dxa"/>
            <w:hideMark/>
          </w:tcPr>
          <w:p w14:paraId="39DAB6BA" w14:textId="77777777" w:rsidR="00BF29C5" w:rsidRDefault="00BF29C5" w:rsidP="00AF134D">
            <w:pPr>
              <w:pStyle w:val="NormalWeb"/>
              <w:jc w:val="center"/>
            </w:pPr>
            <w:r>
              <w:t>0</w:t>
            </w:r>
          </w:p>
        </w:tc>
        <w:tc>
          <w:tcPr>
            <w:tcW w:w="797" w:type="dxa"/>
            <w:hideMark/>
          </w:tcPr>
          <w:p w14:paraId="16A0C4C1" w14:textId="77777777" w:rsidR="00BF29C5" w:rsidRDefault="00BF29C5" w:rsidP="00AF134D">
            <w:pPr>
              <w:pStyle w:val="NormalWeb"/>
              <w:jc w:val="center"/>
            </w:pPr>
            <w:r>
              <w:t>0</w:t>
            </w:r>
          </w:p>
        </w:tc>
        <w:tc>
          <w:tcPr>
            <w:tcW w:w="797" w:type="dxa"/>
            <w:hideMark/>
          </w:tcPr>
          <w:p w14:paraId="30A8E905" w14:textId="77777777" w:rsidR="00BF29C5" w:rsidRDefault="00BF29C5" w:rsidP="00AF134D">
            <w:pPr>
              <w:pStyle w:val="NormalWeb"/>
              <w:jc w:val="center"/>
            </w:pPr>
            <w:r>
              <w:t>1</w:t>
            </w:r>
          </w:p>
        </w:tc>
        <w:tc>
          <w:tcPr>
            <w:tcW w:w="1368" w:type="dxa"/>
            <w:hideMark/>
          </w:tcPr>
          <w:p w14:paraId="5B00348A" w14:textId="77777777" w:rsidR="00BF29C5" w:rsidRDefault="00BF29C5" w:rsidP="00AF134D">
            <w:pPr>
              <w:pStyle w:val="NormalWeb"/>
              <w:jc w:val="center"/>
            </w:pPr>
            <w:r>
              <w:t>3</w:t>
            </w:r>
          </w:p>
        </w:tc>
      </w:tr>
      <w:tr w:rsidR="00BF29C5" w14:paraId="15D92C84" w14:textId="77777777" w:rsidTr="00AF134D">
        <w:tblPrEx>
          <w:tblCellMar>
            <w:top w:w="57" w:type="dxa"/>
            <w:left w:w="57" w:type="dxa"/>
            <w:bottom w:w="57" w:type="dxa"/>
            <w:right w:w="57" w:type="dxa"/>
          </w:tblCellMar>
        </w:tblPrEx>
        <w:tc>
          <w:tcPr>
            <w:tcW w:w="0" w:type="auto"/>
            <w:hideMark/>
          </w:tcPr>
          <w:p w14:paraId="577DEF8A" w14:textId="77777777" w:rsidR="00BF29C5" w:rsidRDefault="00BF29C5" w:rsidP="00AF134D">
            <w:pPr>
              <w:pStyle w:val="NormalWeb"/>
            </w:pPr>
            <w:r>
              <w:t>Under initial investigation</w:t>
            </w:r>
          </w:p>
        </w:tc>
        <w:tc>
          <w:tcPr>
            <w:tcW w:w="797" w:type="dxa"/>
            <w:hideMark/>
          </w:tcPr>
          <w:p w14:paraId="155B6983" w14:textId="77777777" w:rsidR="00BF29C5" w:rsidRDefault="00BF29C5" w:rsidP="00AF134D">
            <w:pPr>
              <w:pStyle w:val="NormalWeb"/>
              <w:jc w:val="center"/>
            </w:pPr>
            <w:r>
              <w:t>0</w:t>
            </w:r>
          </w:p>
        </w:tc>
        <w:tc>
          <w:tcPr>
            <w:tcW w:w="797" w:type="dxa"/>
            <w:hideMark/>
          </w:tcPr>
          <w:p w14:paraId="6EEB7B0A" w14:textId="77777777" w:rsidR="00BF29C5" w:rsidRDefault="00BF29C5" w:rsidP="00AF134D">
            <w:pPr>
              <w:pStyle w:val="NormalWeb"/>
              <w:jc w:val="center"/>
            </w:pPr>
            <w:r>
              <w:t>135</w:t>
            </w:r>
          </w:p>
        </w:tc>
        <w:tc>
          <w:tcPr>
            <w:tcW w:w="797" w:type="dxa"/>
            <w:hideMark/>
          </w:tcPr>
          <w:p w14:paraId="5ADC0E2A" w14:textId="77777777" w:rsidR="00BF29C5" w:rsidRDefault="00BF29C5" w:rsidP="00AF134D">
            <w:pPr>
              <w:pStyle w:val="NormalWeb"/>
              <w:jc w:val="center"/>
            </w:pPr>
            <w:r>
              <w:t>0</w:t>
            </w:r>
          </w:p>
        </w:tc>
        <w:tc>
          <w:tcPr>
            <w:tcW w:w="797" w:type="dxa"/>
            <w:hideMark/>
          </w:tcPr>
          <w:p w14:paraId="471851E0" w14:textId="77777777" w:rsidR="00BF29C5" w:rsidRDefault="00BF29C5" w:rsidP="00AF134D">
            <w:pPr>
              <w:pStyle w:val="NormalWeb"/>
              <w:jc w:val="center"/>
            </w:pPr>
            <w:r>
              <w:t>0</w:t>
            </w:r>
          </w:p>
        </w:tc>
        <w:tc>
          <w:tcPr>
            <w:tcW w:w="797" w:type="dxa"/>
            <w:hideMark/>
          </w:tcPr>
          <w:p w14:paraId="0B09D871" w14:textId="77777777" w:rsidR="00BF29C5" w:rsidRDefault="00BF29C5" w:rsidP="00AF134D">
            <w:pPr>
              <w:pStyle w:val="NormalWeb"/>
              <w:jc w:val="center"/>
            </w:pPr>
            <w:r>
              <w:t>0</w:t>
            </w:r>
          </w:p>
        </w:tc>
        <w:tc>
          <w:tcPr>
            <w:tcW w:w="797" w:type="dxa"/>
            <w:hideMark/>
          </w:tcPr>
          <w:p w14:paraId="13C12744" w14:textId="77777777" w:rsidR="00BF29C5" w:rsidRDefault="00BF29C5" w:rsidP="00AF134D">
            <w:pPr>
              <w:pStyle w:val="NormalWeb"/>
              <w:jc w:val="center"/>
            </w:pPr>
            <w:r>
              <w:t>0</w:t>
            </w:r>
          </w:p>
        </w:tc>
        <w:tc>
          <w:tcPr>
            <w:tcW w:w="797" w:type="dxa"/>
            <w:hideMark/>
          </w:tcPr>
          <w:p w14:paraId="740C28BA" w14:textId="77777777" w:rsidR="00BF29C5" w:rsidRDefault="00BF29C5" w:rsidP="00AF134D">
            <w:pPr>
              <w:pStyle w:val="NormalWeb"/>
              <w:jc w:val="center"/>
            </w:pPr>
            <w:r>
              <w:t>5,978</w:t>
            </w:r>
          </w:p>
        </w:tc>
        <w:tc>
          <w:tcPr>
            <w:tcW w:w="797" w:type="dxa"/>
            <w:hideMark/>
          </w:tcPr>
          <w:p w14:paraId="11835D49" w14:textId="77777777" w:rsidR="00BF29C5" w:rsidRDefault="00BF29C5" w:rsidP="00AF134D">
            <w:pPr>
              <w:pStyle w:val="NormalWeb"/>
              <w:jc w:val="center"/>
            </w:pPr>
            <w:r>
              <w:t>0</w:t>
            </w:r>
          </w:p>
        </w:tc>
        <w:tc>
          <w:tcPr>
            <w:tcW w:w="1368" w:type="dxa"/>
            <w:hideMark/>
          </w:tcPr>
          <w:p w14:paraId="779E7AC7" w14:textId="77777777" w:rsidR="00BF29C5" w:rsidRDefault="00BF29C5" w:rsidP="00AF134D">
            <w:pPr>
              <w:pStyle w:val="NormalWeb"/>
              <w:jc w:val="center"/>
            </w:pPr>
            <w:r>
              <w:t>6,113</w:t>
            </w:r>
          </w:p>
        </w:tc>
      </w:tr>
      <w:tr w:rsidR="00BF29C5" w14:paraId="59DCB467"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78D801F" w14:textId="77777777" w:rsidR="00BF29C5" w:rsidRDefault="00BF29C5" w:rsidP="00AF134D">
            <w:pPr>
              <w:pStyle w:val="NormalWeb"/>
            </w:pPr>
            <w:r>
              <w:t>Missing source of acquisition</w:t>
            </w:r>
          </w:p>
        </w:tc>
        <w:tc>
          <w:tcPr>
            <w:tcW w:w="797" w:type="dxa"/>
            <w:hideMark/>
          </w:tcPr>
          <w:p w14:paraId="1A78F9A2" w14:textId="77777777" w:rsidR="00BF29C5" w:rsidRDefault="00BF29C5" w:rsidP="00AF134D">
            <w:pPr>
              <w:pStyle w:val="NormalWeb"/>
              <w:jc w:val="center"/>
            </w:pPr>
            <w:r>
              <w:t>0</w:t>
            </w:r>
          </w:p>
        </w:tc>
        <w:tc>
          <w:tcPr>
            <w:tcW w:w="797" w:type="dxa"/>
            <w:hideMark/>
          </w:tcPr>
          <w:p w14:paraId="2E0D838F" w14:textId="77777777" w:rsidR="00BF29C5" w:rsidRDefault="00BF29C5" w:rsidP="00AF134D">
            <w:pPr>
              <w:pStyle w:val="NormalWeb"/>
              <w:jc w:val="center"/>
            </w:pPr>
            <w:r>
              <w:t>0</w:t>
            </w:r>
          </w:p>
        </w:tc>
        <w:tc>
          <w:tcPr>
            <w:tcW w:w="797" w:type="dxa"/>
            <w:hideMark/>
          </w:tcPr>
          <w:p w14:paraId="577CD845" w14:textId="77777777" w:rsidR="00BF29C5" w:rsidRDefault="00BF29C5" w:rsidP="00AF134D">
            <w:pPr>
              <w:pStyle w:val="NormalWeb"/>
              <w:jc w:val="center"/>
            </w:pPr>
            <w:r>
              <w:t>1</w:t>
            </w:r>
          </w:p>
        </w:tc>
        <w:tc>
          <w:tcPr>
            <w:tcW w:w="797" w:type="dxa"/>
            <w:hideMark/>
          </w:tcPr>
          <w:p w14:paraId="6B81A84E" w14:textId="77777777" w:rsidR="00BF29C5" w:rsidRDefault="00BF29C5" w:rsidP="00AF134D">
            <w:pPr>
              <w:pStyle w:val="NormalWeb"/>
              <w:jc w:val="center"/>
            </w:pPr>
            <w:r>
              <w:t>1</w:t>
            </w:r>
          </w:p>
        </w:tc>
        <w:tc>
          <w:tcPr>
            <w:tcW w:w="797" w:type="dxa"/>
            <w:hideMark/>
          </w:tcPr>
          <w:p w14:paraId="68229EFC" w14:textId="77777777" w:rsidR="00BF29C5" w:rsidRDefault="00BF29C5" w:rsidP="00AF134D">
            <w:pPr>
              <w:pStyle w:val="NormalWeb"/>
              <w:jc w:val="center"/>
            </w:pPr>
            <w:r>
              <w:t>0</w:t>
            </w:r>
          </w:p>
        </w:tc>
        <w:tc>
          <w:tcPr>
            <w:tcW w:w="797" w:type="dxa"/>
            <w:hideMark/>
          </w:tcPr>
          <w:p w14:paraId="133A240F" w14:textId="77777777" w:rsidR="00BF29C5" w:rsidRDefault="00BF29C5" w:rsidP="00AF134D">
            <w:pPr>
              <w:pStyle w:val="NormalWeb"/>
              <w:jc w:val="center"/>
            </w:pPr>
            <w:r>
              <w:t>0</w:t>
            </w:r>
          </w:p>
        </w:tc>
        <w:tc>
          <w:tcPr>
            <w:tcW w:w="797" w:type="dxa"/>
            <w:hideMark/>
          </w:tcPr>
          <w:p w14:paraId="38860640" w14:textId="77777777" w:rsidR="00BF29C5" w:rsidRDefault="00BF29C5" w:rsidP="00AF134D">
            <w:pPr>
              <w:pStyle w:val="NormalWeb"/>
              <w:jc w:val="center"/>
            </w:pPr>
            <w:r>
              <w:t>0</w:t>
            </w:r>
          </w:p>
        </w:tc>
        <w:tc>
          <w:tcPr>
            <w:tcW w:w="797" w:type="dxa"/>
            <w:hideMark/>
          </w:tcPr>
          <w:p w14:paraId="08AAA4F0" w14:textId="77777777" w:rsidR="00BF29C5" w:rsidRDefault="00BF29C5" w:rsidP="00AF134D">
            <w:pPr>
              <w:pStyle w:val="NormalWeb"/>
              <w:jc w:val="center"/>
            </w:pPr>
            <w:r>
              <w:t>2</w:t>
            </w:r>
          </w:p>
        </w:tc>
        <w:tc>
          <w:tcPr>
            <w:tcW w:w="1368" w:type="dxa"/>
            <w:hideMark/>
          </w:tcPr>
          <w:p w14:paraId="15863CF1" w14:textId="77777777" w:rsidR="00BF29C5" w:rsidRDefault="00BF29C5" w:rsidP="00AF134D">
            <w:pPr>
              <w:pStyle w:val="NormalWeb"/>
              <w:jc w:val="center"/>
            </w:pPr>
            <w:r>
              <w:t>4</w:t>
            </w:r>
          </w:p>
        </w:tc>
      </w:tr>
      <w:tr w:rsidR="00BF29C5" w:rsidRPr="00A92A6F" w14:paraId="07F7C1BF" w14:textId="77777777" w:rsidTr="00AF134D">
        <w:tblPrEx>
          <w:tblCellMar>
            <w:top w:w="57" w:type="dxa"/>
            <w:left w:w="57" w:type="dxa"/>
            <w:bottom w:w="57" w:type="dxa"/>
            <w:right w:w="57" w:type="dxa"/>
          </w:tblCellMar>
        </w:tblPrEx>
        <w:tc>
          <w:tcPr>
            <w:tcW w:w="0" w:type="auto"/>
            <w:shd w:val="clear" w:color="auto" w:fill="FDE9D9" w:themeFill="accent6" w:themeFillTint="33"/>
            <w:hideMark/>
          </w:tcPr>
          <w:p w14:paraId="0301BEDF" w14:textId="77777777" w:rsidR="00BF29C5" w:rsidRPr="00A92A6F" w:rsidRDefault="00BF29C5" w:rsidP="00AF134D">
            <w:pPr>
              <w:pStyle w:val="NormalWeb"/>
              <w:rPr>
                <w:b/>
                <w:bCs/>
              </w:rPr>
            </w:pPr>
            <w:r w:rsidRPr="00A92A6F">
              <w:rPr>
                <w:b/>
                <w:bCs/>
              </w:rPr>
              <w:t>Total</w:t>
            </w:r>
          </w:p>
        </w:tc>
        <w:tc>
          <w:tcPr>
            <w:tcW w:w="797" w:type="dxa"/>
            <w:shd w:val="clear" w:color="auto" w:fill="FDE9D9" w:themeFill="accent6" w:themeFillTint="33"/>
            <w:hideMark/>
          </w:tcPr>
          <w:p w14:paraId="75041041" w14:textId="77777777" w:rsidR="00BF29C5" w:rsidRPr="00A92A6F" w:rsidRDefault="00BF29C5" w:rsidP="00AF134D">
            <w:pPr>
              <w:pStyle w:val="NormalWeb"/>
              <w:jc w:val="center"/>
              <w:rPr>
                <w:b/>
                <w:bCs/>
              </w:rPr>
            </w:pPr>
            <w:r w:rsidRPr="00A92A6F">
              <w:rPr>
                <w:b/>
                <w:bCs/>
              </w:rPr>
              <w:t>259</w:t>
            </w:r>
          </w:p>
        </w:tc>
        <w:tc>
          <w:tcPr>
            <w:tcW w:w="797" w:type="dxa"/>
            <w:shd w:val="clear" w:color="auto" w:fill="FDE9D9" w:themeFill="accent6" w:themeFillTint="33"/>
            <w:hideMark/>
          </w:tcPr>
          <w:p w14:paraId="37F08401" w14:textId="77777777" w:rsidR="00BF29C5" w:rsidRPr="00A92A6F" w:rsidRDefault="00BF29C5" w:rsidP="00AF134D">
            <w:pPr>
              <w:pStyle w:val="NormalWeb"/>
              <w:jc w:val="center"/>
              <w:rPr>
                <w:b/>
                <w:bCs/>
              </w:rPr>
            </w:pPr>
            <w:r w:rsidRPr="00A92A6F">
              <w:rPr>
                <w:b/>
                <w:bCs/>
              </w:rPr>
              <w:t>15,018</w:t>
            </w:r>
          </w:p>
        </w:tc>
        <w:tc>
          <w:tcPr>
            <w:tcW w:w="797" w:type="dxa"/>
            <w:shd w:val="clear" w:color="auto" w:fill="FDE9D9" w:themeFill="accent6" w:themeFillTint="33"/>
            <w:hideMark/>
          </w:tcPr>
          <w:p w14:paraId="2104E49F" w14:textId="77777777" w:rsidR="00BF29C5" w:rsidRPr="00A92A6F" w:rsidRDefault="00BF29C5" w:rsidP="00AF134D">
            <w:pPr>
              <w:pStyle w:val="NormalWeb"/>
              <w:jc w:val="center"/>
              <w:rPr>
                <w:b/>
                <w:bCs/>
              </w:rPr>
            </w:pPr>
            <w:r w:rsidRPr="00A92A6F">
              <w:rPr>
                <w:b/>
                <w:bCs/>
              </w:rPr>
              <w:t>6</w:t>
            </w:r>
          </w:p>
        </w:tc>
        <w:tc>
          <w:tcPr>
            <w:tcW w:w="797" w:type="dxa"/>
            <w:shd w:val="clear" w:color="auto" w:fill="FDE9D9" w:themeFill="accent6" w:themeFillTint="33"/>
            <w:hideMark/>
          </w:tcPr>
          <w:p w14:paraId="53C35B76" w14:textId="77777777" w:rsidR="00BF29C5" w:rsidRPr="00A92A6F" w:rsidRDefault="00BF29C5" w:rsidP="00AF134D">
            <w:pPr>
              <w:pStyle w:val="NormalWeb"/>
              <w:jc w:val="center"/>
              <w:rPr>
                <w:b/>
                <w:bCs/>
              </w:rPr>
            </w:pPr>
            <w:r w:rsidRPr="00A92A6F">
              <w:rPr>
                <w:b/>
                <w:bCs/>
              </w:rPr>
              <w:t>10</w:t>
            </w:r>
          </w:p>
        </w:tc>
        <w:tc>
          <w:tcPr>
            <w:tcW w:w="797" w:type="dxa"/>
            <w:shd w:val="clear" w:color="auto" w:fill="FDE9D9" w:themeFill="accent6" w:themeFillTint="33"/>
            <w:hideMark/>
          </w:tcPr>
          <w:p w14:paraId="0898A473" w14:textId="77777777" w:rsidR="00BF29C5" w:rsidRPr="00A92A6F" w:rsidRDefault="00BF29C5" w:rsidP="00AF134D">
            <w:pPr>
              <w:pStyle w:val="NormalWeb"/>
              <w:jc w:val="center"/>
              <w:rPr>
                <w:b/>
                <w:bCs/>
              </w:rPr>
            </w:pPr>
            <w:r w:rsidRPr="00A92A6F">
              <w:rPr>
                <w:b/>
                <w:bCs/>
              </w:rPr>
              <w:t>4</w:t>
            </w:r>
          </w:p>
        </w:tc>
        <w:tc>
          <w:tcPr>
            <w:tcW w:w="797" w:type="dxa"/>
            <w:shd w:val="clear" w:color="auto" w:fill="FDE9D9" w:themeFill="accent6" w:themeFillTint="33"/>
            <w:hideMark/>
          </w:tcPr>
          <w:p w14:paraId="62E97670" w14:textId="77777777" w:rsidR="00BF29C5" w:rsidRPr="00A92A6F" w:rsidRDefault="00BF29C5" w:rsidP="00AF134D">
            <w:pPr>
              <w:pStyle w:val="NormalWeb"/>
              <w:jc w:val="center"/>
              <w:rPr>
                <w:b/>
                <w:bCs/>
              </w:rPr>
            </w:pPr>
            <w:r w:rsidRPr="00A92A6F">
              <w:rPr>
                <w:b/>
                <w:bCs/>
              </w:rPr>
              <w:t>0</w:t>
            </w:r>
          </w:p>
        </w:tc>
        <w:tc>
          <w:tcPr>
            <w:tcW w:w="797" w:type="dxa"/>
            <w:shd w:val="clear" w:color="auto" w:fill="FDE9D9" w:themeFill="accent6" w:themeFillTint="33"/>
            <w:hideMark/>
          </w:tcPr>
          <w:p w14:paraId="31719C67" w14:textId="77777777" w:rsidR="00BF29C5" w:rsidRPr="00A92A6F" w:rsidRDefault="00BF29C5" w:rsidP="00AF134D">
            <w:pPr>
              <w:pStyle w:val="NormalWeb"/>
              <w:jc w:val="center"/>
              <w:rPr>
                <w:b/>
                <w:bCs/>
              </w:rPr>
            </w:pPr>
            <w:r w:rsidRPr="00A92A6F">
              <w:rPr>
                <w:b/>
                <w:bCs/>
              </w:rPr>
              <w:t>8,551</w:t>
            </w:r>
          </w:p>
        </w:tc>
        <w:tc>
          <w:tcPr>
            <w:tcW w:w="797" w:type="dxa"/>
            <w:shd w:val="clear" w:color="auto" w:fill="FDE9D9" w:themeFill="accent6" w:themeFillTint="33"/>
            <w:hideMark/>
          </w:tcPr>
          <w:p w14:paraId="6E89DC9A" w14:textId="77777777" w:rsidR="00BF29C5" w:rsidRPr="00A92A6F" w:rsidRDefault="00BF29C5" w:rsidP="00AF134D">
            <w:pPr>
              <w:pStyle w:val="NormalWeb"/>
              <w:jc w:val="center"/>
              <w:rPr>
                <w:b/>
                <w:bCs/>
              </w:rPr>
            </w:pPr>
            <w:r w:rsidRPr="00A92A6F">
              <w:rPr>
                <w:b/>
                <w:bCs/>
              </w:rPr>
              <w:t>7</w:t>
            </w:r>
          </w:p>
        </w:tc>
        <w:tc>
          <w:tcPr>
            <w:tcW w:w="1368" w:type="dxa"/>
            <w:shd w:val="clear" w:color="auto" w:fill="FDE9D9" w:themeFill="accent6" w:themeFillTint="33"/>
            <w:hideMark/>
          </w:tcPr>
          <w:p w14:paraId="39E10133" w14:textId="77777777" w:rsidR="00BF29C5" w:rsidRPr="00A92A6F" w:rsidRDefault="00BF29C5" w:rsidP="00AF134D">
            <w:pPr>
              <w:pStyle w:val="NormalWeb"/>
              <w:jc w:val="center"/>
              <w:rPr>
                <w:b/>
                <w:bCs/>
              </w:rPr>
            </w:pPr>
            <w:r w:rsidRPr="00A92A6F">
              <w:rPr>
                <w:b/>
                <w:bCs/>
              </w:rPr>
              <w:t>23,855</w:t>
            </w:r>
          </w:p>
        </w:tc>
      </w:tr>
    </w:tbl>
    <w:p w14:paraId="46D0630D" w14:textId="77777777" w:rsidR="00BF29C5" w:rsidRDefault="00BF29C5" w:rsidP="00BF29C5">
      <w:pPr>
        <w:pStyle w:val="CDIfootnotes"/>
        <w:rPr>
          <w:lang w:val="en-GB"/>
        </w:rPr>
      </w:pPr>
      <w:r>
        <w:rPr>
          <w:lang w:val="en-GB"/>
        </w:rPr>
        <w:t>a</w:t>
      </w:r>
      <w:r>
        <w:rPr>
          <w:lang w:val="en-GB"/>
        </w:rPr>
        <w:tab/>
        <w:t>Source: NINDSS extract from 28 September 2021 for notifications to 26 September 2021.</w:t>
      </w:r>
    </w:p>
    <w:p w14:paraId="54AE5FF9" w14:textId="0231B11B" w:rsidR="00BF29C5" w:rsidRPr="00BF29C5" w:rsidRDefault="00BF29C5" w:rsidP="00BF29C5">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01C614E7" w14:textId="77777777" w:rsidR="00106AD7" w:rsidRDefault="00106AD7">
      <w:pPr>
        <w:pStyle w:val="NormalWeb"/>
      </w:pPr>
      <w:r>
        <w:t xml:space="preserve">In the year to date, from 1 January 2021 to 26 September 2021, there have been 70,616 COVID-19 cases reported nationally. Until the week ending 20 June 2021, the number of weekly cases diagnosed this year had been below 180 cases per week. Since then, cases have increased and there have been over 1,000 cases diagnosed each week since the week ending 25 July 2021 and over 8,000 cases diagnosed each week since the week ending 29 August 2021. In the latest fortnight, case numbers decreased but still exceeded 8,000 each week, noting that this most recent week is likely an underestimate as additional cases may be identified in the coming week that have a diagnosis date in this period (Figure 1). The current peak in 2021 was 12,700 cases per week, which occurred in the week ending 12 September 2021. This peak considerably surpasses the two distinct peaks experienced in March and July of 2020, when new cases diagnosed per week reached approximately 2,700 and 3,000, respectively (Figure 2). Cumulatively, since the beginning of the epidemic in Australia, there have been 99,027 COVID-19 cases reported in Australia. </w:t>
      </w:r>
    </w:p>
    <w:p w14:paraId="539C5055" w14:textId="22DC90CD" w:rsidR="00DE3D47" w:rsidRPr="0047574D" w:rsidRDefault="00DE3D47" w:rsidP="00DE3D47">
      <w:pPr>
        <w:pStyle w:val="CDIFigures"/>
      </w:pPr>
      <w:r w:rsidRPr="0047574D">
        <w:rPr>
          <w:rStyle w:val="Strong"/>
          <w:b/>
          <w:bCs w:val="0"/>
        </w:rPr>
        <w:t>Figure 1: COVID-19 notified cases by source of acquisition and diagnosis date, 28 December 2020 – 26 September 2021</w:t>
      </w:r>
      <w:proofErr w:type="gramStart"/>
      <w:r w:rsidRPr="00B46C2D">
        <w:rPr>
          <w:rStyle w:val="Strong"/>
          <w:b/>
          <w:bCs w:val="0"/>
          <w:vertAlign w:val="superscript"/>
        </w:rPr>
        <w:t>a,b</w:t>
      </w:r>
      <w:proofErr w:type="gramEnd"/>
    </w:p>
    <w:p w14:paraId="2EC2B34F" w14:textId="77777777" w:rsidR="00DE3D47" w:rsidRDefault="00DE3D47" w:rsidP="00DE3D47">
      <w:pPr>
        <w:rPr>
          <w:rFonts w:eastAsia="Times New Roman"/>
          <w:lang w:val="en-GB"/>
        </w:rPr>
      </w:pPr>
      <w:r>
        <w:rPr>
          <w:rFonts w:eastAsia="Times New Roman"/>
          <w:noProof/>
          <w:lang w:val="en-GB"/>
        </w:rPr>
        <w:drawing>
          <wp:inline distT="0" distB="0" distL="0" distR="0" wp14:anchorId="05F6DF56" wp14:editId="1F374597">
            <wp:extent cx="6570912" cy="2920042"/>
            <wp:effectExtent l="0" t="0" r="1905" b="0"/>
            <wp:docPr id="4" name="Picture 4"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since mid-June, with total cases exceeding 8,000 in each week of the current reporting fortn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since mid-June, with total cases exceeding 8,000 in each week of the current reporting fortnight.&#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83918" cy="2925822"/>
                    </a:xfrm>
                    <a:prstGeom prst="rect">
                      <a:avLst/>
                    </a:prstGeom>
                  </pic:spPr>
                </pic:pic>
              </a:graphicData>
            </a:graphic>
          </wp:inline>
        </w:drawing>
      </w:r>
    </w:p>
    <w:p w14:paraId="7E659CC9" w14:textId="77777777" w:rsidR="00DE3D47" w:rsidRDefault="00DE3D47" w:rsidP="00DE3D47">
      <w:pPr>
        <w:pStyle w:val="CDIfootnotes"/>
        <w:rPr>
          <w:lang w:val="en-GB"/>
        </w:rPr>
      </w:pPr>
      <w:r>
        <w:rPr>
          <w:lang w:val="en-GB"/>
        </w:rPr>
        <w:t>a</w:t>
      </w:r>
      <w:r>
        <w:rPr>
          <w:lang w:val="en-GB"/>
        </w:rPr>
        <w:tab/>
        <w:t>Source: NINDSS, extract from 28 September 2021 for notifications to 26 September 2021.</w:t>
      </w:r>
    </w:p>
    <w:p w14:paraId="05B6DF2C" w14:textId="5412DE2D" w:rsidR="00DE3D47" w:rsidRPr="00DE3D47" w:rsidRDefault="00DE3D47" w:rsidP="00DE3D47">
      <w:pPr>
        <w:pStyle w:val="CDIfootnotes"/>
        <w:rPr>
          <w:lang w:val="en-GB"/>
        </w:rPr>
      </w:pPr>
      <w:r>
        <w:rPr>
          <w:lang w:val="en-GB"/>
        </w:rPr>
        <w:t>b</w:t>
      </w:r>
      <w:r>
        <w:rPr>
          <w:lang w:val="en-GB"/>
        </w:rPr>
        <w:tab/>
      </w:r>
      <w:proofErr w:type="gramStart"/>
      <w:r w:rsidR="00594D39" w:rsidRPr="00594D39">
        <w:rPr>
          <w:lang w:val="en-GB"/>
        </w:rPr>
        <w:t>The</w:t>
      </w:r>
      <w:proofErr w:type="gramEnd"/>
      <w:r w:rsidR="00594D39" w:rsidRPr="00594D39">
        <w:rPr>
          <w:lang w:val="en-GB"/>
        </w:rPr>
        <w:t xml:space="preserve"> shading shown on the bar chart, for the most recent reporting week, represents the scope for an as-yet-indefinite number of additional cases, not yet identified, but with a diagnosis date during this period.</w:t>
      </w:r>
    </w:p>
    <w:p w14:paraId="6C22257E" w14:textId="52882450" w:rsidR="00DE3D47" w:rsidRPr="00007C49" w:rsidRDefault="00DE3D47" w:rsidP="00DE3D47">
      <w:pPr>
        <w:pStyle w:val="CDIFigures"/>
        <w:rPr>
          <w:spacing w:val="-2"/>
        </w:rPr>
      </w:pPr>
      <w:r w:rsidRPr="00007C49">
        <w:rPr>
          <w:rStyle w:val="Strong"/>
          <w:b/>
          <w:bCs w:val="0"/>
          <w:spacing w:val="-2"/>
        </w:rPr>
        <w:t>Figure 2: COVID-19 notified cases by source of acquisition and diagnosis date, 2 March 2020 – 26 September 2021</w:t>
      </w:r>
      <w:proofErr w:type="gramStart"/>
      <w:r w:rsidRPr="00007C49">
        <w:rPr>
          <w:rStyle w:val="Strong"/>
          <w:b/>
          <w:bCs w:val="0"/>
          <w:spacing w:val="-2"/>
          <w:vertAlign w:val="superscript"/>
        </w:rPr>
        <w:t>a</w:t>
      </w:r>
      <w:r w:rsidR="00007C49" w:rsidRPr="00007C49">
        <w:rPr>
          <w:rStyle w:val="Strong"/>
          <w:b/>
          <w:bCs w:val="0"/>
          <w:spacing w:val="-2"/>
          <w:vertAlign w:val="superscript"/>
        </w:rPr>
        <w:t>,b</w:t>
      </w:r>
      <w:proofErr w:type="gramEnd"/>
    </w:p>
    <w:p w14:paraId="7505470F" w14:textId="77777777" w:rsidR="00DE3D47" w:rsidRDefault="00DE3D47" w:rsidP="00DE3D47">
      <w:pPr>
        <w:rPr>
          <w:rFonts w:eastAsia="Times New Roman"/>
          <w:lang w:val="en-GB"/>
        </w:rPr>
      </w:pPr>
      <w:r>
        <w:rPr>
          <w:rFonts w:eastAsia="Times New Roman"/>
          <w:noProof/>
          <w:lang w:val="en-GB"/>
        </w:rPr>
        <w:drawing>
          <wp:inline distT="0" distB="0" distL="0" distR="0" wp14:anchorId="57C63A1D" wp14:editId="26756482">
            <wp:extent cx="6619441" cy="2941608"/>
            <wp:effectExtent l="0" t="0" r="0" b="0"/>
            <wp:docPr id="3" name="Picture 3"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2020) have been reported as locally acquired. After several subsequent months largely dominated by overseas-acquired cases and generally low weekly case numbers, a further escalation in cases (largely locally acquired), starting from the week ending 27 June 2021, is evid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2020) have been reported as locally acquired. After several subsequent months largely dominated by overseas-acquired cases and generally low weekly case numbers, a further escalation in cases (largely locally acquired), starting from the week ending 27 June 2021, is evident.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2546" cy="2947432"/>
                    </a:xfrm>
                    <a:prstGeom prst="rect">
                      <a:avLst/>
                    </a:prstGeom>
                  </pic:spPr>
                </pic:pic>
              </a:graphicData>
            </a:graphic>
          </wp:inline>
        </w:drawing>
      </w:r>
    </w:p>
    <w:p w14:paraId="6684070E" w14:textId="77777777" w:rsidR="00DE3D47" w:rsidRDefault="00DE3D47" w:rsidP="00DE3D47">
      <w:pPr>
        <w:pStyle w:val="CDIfootnotes"/>
        <w:rPr>
          <w:lang w:val="en-GB"/>
        </w:rPr>
      </w:pPr>
      <w:r>
        <w:rPr>
          <w:lang w:val="en-GB"/>
        </w:rPr>
        <w:t>a</w:t>
      </w:r>
      <w:r>
        <w:rPr>
          <w:lang w:val="en-GB"/>
        </w:rPr>
        <w:tab/>
        <w:t>Source: NINDSS, extract from 28 September 2021 for notifications to 26 September 2021.</w:t>
      </w:r>
    </w:p>
    <w:p w14:paraId="1D28DCC8" w14:textId="40E3860D" w:rsidR="00BF29C5" w:rsidRDefault="00DE3D47" w:rsidP="00594D39">
      <w:pPr>
        <w:pStyle w:val="CDIfootnotes"/>
        <w:rPr>
          <w:rFonts w:asciiTheme="majorHAnsi" w:eastAsia="Times New Roman" w:hAnsiTheme="majorHAnsi" w:cstheme="majorBidi"/>
          <w:b/>
          <w:bCs/>
          <w:sz w:val="26"/>
          <w:szCs w:val="26"/>
        </w:rPr>
      </w:pPr>
      <w:r>
        <w:rPr>
          <w:lang w:val="en-GB"/>
        </w:rPr>
        <w:t>b</w:t>
      </w:r>
      <w:r>
        <w:rPr>
          <w:lang w:val="en-GB"/>
        </w:rPr>
        <w:tab/>
      </w:r>
      <w:proofErr w:type="gramStart"/>
      <w:r w:rsidR="00594D39" w:rsidRPr="00594D39">
        <w:rPr>
          <w:lang w:val="en-GB"/>
        </w:rPr>
        <w:t>The</w:t>
      </w:r>
      <w:proofErr w:type="gramEnd"/>
      <w:r w:rsidR="00594D39" w:rsidRPr="00594D39">
        <w:rPr>
          <w:lang w:val="en-GB"/>
        </w:rPr>
        <w:t xml:space="preserve"> shading shown on the bar chart, for the most recent reporting week, represents the scope for an as-yet-indefinite number of additional cases, not yet identified, but with a diagnosis date during this period.</w:t>
      </w:r>
      <w:r w:rsidR="00BF29C5">
        <w:rPr>
          <w:rFonts w:eastAsia="Times New Roman"/>
        </w:rPr>
        <w:br w:type="page"/>
      </w:r>
    </w:p>
    <w:p w14:paraId="271C9732" w14:textId="624F742D" w:rsidR="00106AD7" w:rsidRDefault="00106AD7">
      <w:pPr>
        <w:pStyle w:val="Heading2"/>
        <w:rPr>
          <w:rFonts w:eastAsia="Times New Roman"/>
        </w:rPr>
      </w:pPr>
      <w:r>
        <w:rPr>
          <w:rFonts w:eastAsia="Times New Roman"/>
        </w:rPr>
        <w:t xml:space="preserve">Source of acquisition </w:t>
      </w:r>
    </w:p>
    <w:p w14:paraId="0EE11244" w14:textId="77777777" w:rsidR="00106AD7" w:rsidRPr="00D327D4" w:rsidRDefault="00106AD7">
      <w:pPr>
        <w:pStyle w:val="Heading3"/>
        <w:rPr>
          <w:rFonts w:eastAsia="Times New Roman"/>
          <w:i/>
          <w:iCs/>
        </w:rPr>
      </w:pPr>
      <w:r w:rsidRPr="00D327D4">
        <w:rPr>
          <w:rFonts w:eastAsia="Times New Roman"/>
          <w:i/>
          <w:iCs/>
        </w:rPr>
        <w:t xml:space="preserve">(NINDSS) </w:t>
      </w:r>
    </w:p>
    <w:p w14:paraId="6B866E8D" w14:textId="2A9BB1E5" w:rsidR="00106AD7" w:rsidRDefault="00106AD7">
      <w:pPr>
        <w:pStyle w:val="NormalWeb"/>
      </w:pPr>
      <w:r>
        <w:t>In this reporting period, &gt; 99% of cases notified (23,825/23,855) were considered to be locally acquired, comprising 27% (6,541/23,855) locally acquired with known source, 1% (215/23,855) locally acquired with unknown source, 46% (10,944/23,855) under ongoing investigation, 26% (6,113/23,855) under initial investigation, eight interstate acquired cases, and four cases missing a source of acquisition; &lt; 1% of cases (30/23,855) were overseas acquired (Table 1)</w:t>
      </w:r>
      <w:r w:rsidR="00377F75">
        <w:t>.</w:t>
      </w:r>
      <w:r w:rsidR="009F4BDC">
        <w:rPr>
          <w:rStyle w:val="FootnoteReference"/>
        </w:rPr>
        <w:footnoteReference w:id="6"/>
      </w:r>
      <w:r>
        <w:t xml:space="preserve"> </w:t>
      </w:r>
    </w:p>
    <w:p w14:paraId="1F4C0BBD" w14:textId="1DEB89A8" w:rsidR="00106AD7" w:rsidRDefault="00106AD7">
      <w:pPr>
        <w:pStyle w:val="NormalWeb"/>
      </w:pPr>
      <w:r>
        <w:t xml:space="preserve">New South Wales reported the majority of </w:t>
      </w:r>
      <w:proofErr w:type="gramStart"/>
      <w:r>
        <w:t>locally-acquired</w:t>
      </w:r>
      <w:proofErr w:type="gramEnd"/>
      <w:r>
        <w:t xml:space="preserve"> cases (63%; 15,003/23,825) in this fortnight, followed by Victoria (36%; 8,550/23,825). In the reporting period, 27% of </w:t>
      </w:r>
      <w:proofErr w:type="gramStart"/>
      <w:r>
        <w:t>locally-acquired</w:t>
      </w:r>
      <w:proofErr w:type="gramEnd"/>
      <w:r>
        <w:t xml:space="preserve"> cases (6,541/23,825) had a known contact or link to a cluster, </w:t>
      </w:r>
      <w:r w:rsidR="00A9162C">
        <w:t xml:space="preserve">and </w:t>
      </w:r>
      <w:r>
        <w:t>218 cases (158 in New South Wales, 47 in the Australian Capital Territory and ten in Victoria</w:t>
      </w:r>
      <w:r w:rsidR="00A9162C" w:rsidRPr="00A9162C">
        <w:t xml:space="preserve">) had an unknown source. </w:t>
      </w:r>
      <w:r>
        <w:t xml:space="preserve"> At the end of the reporting period, the source of infection </w:t>
      </w:r>
      <w:r w:rsidR="00A9162C" w:rsidRPr="00A9162C">
        <w:t>initial or ongoing investigation for 17,057 cases</w:t>
      </w:r>
      <w:r>
        <w:t xml:space="preserve">. </w:t>
      </w:r>
    </w:p>
    <w:p w14:paraId="1CD66B04" w14:textId="14211A94" w:rsidR="00AF134D" w:rsidRDefault="00106AD7">
      <w:pPr>
        <w:pStyle w:val="NormalWeb"/>
      </w:pPr>
      <w:r>
        <w:t xml:space="preserve">For 2021 to date, New South Wales had the highest infection rate for locally-acquired cases with 657.8 infections per 100,000 population, followed by Victoria with a rate of 206.4 per 100,000 population and the Australian Capital Territory with a rate of 178.8 infections per 100,000 population (Table 2). Excluding interstate-acquired cases, Tasmania reported that it had been more than a year since the last </w:t>
      </w:r>
      <w:proofErr w:type="gramStart"/>
      <w:r>
        <w:t>locally-acquired</w:t>
      </w:r>
      <w:proofErr w:type="gramEnd"/>
      <w:r>
        <w:t xml:space="preserve"> case (Table 3). </w:t>
      </w:r>
    </w:p>
    <w:p w14:paraId="7E4BC361" w14:textId="2D99988B" w:rsidR="00106AD7" w:rsidRDefault="00106AD7">
      <w:pPr>
        <w:pStyle w:val="NormalWeb"/>
      </w:pPr>
      <w:r>
        <w:t xml:space="preserve">In the reporting period, New South Wales reported the largest number of cases (50%; 15/30) that were overseas acquired, followed by the Northern Territory, South </w:t>
      </w:r>
      <w:proofErr w:type="gramStart"/>
      <w:r>
        <w:t>Australia</w:t>
      </w:r>
      <w:proofErr w:type="gramEnd"/>
      <w:r>
        <w:t xml:space="preserve"> and Western Australia (each 13%; 4/30, respectively). In the past 28 days (30 August to 26 September), 41% (33/81) of confirmed overseas-acquired cases had an unknown country of acquisition. Cases acquired at sea (35%; 17/48) were the most frequent of those with an identified country of acquisition in the past 28 days, followed by cases acquired in Afghanistan (13%; 6/48) and Pakistan (8%; 4/48)</w:t>
      </w:r>
      <w:r w:rsidR="00A57D0D">
        <w:t>.</w:t>
      </w:r>
      <w:r>
        <w:t xml:space="preserve"> The number of cases acquired in different countries is influenced by travel patterns of returning Australians, travel restrictions, and the prevalence of COVID-19 in the country of travel. </w:t>
      </w:r>
    </w:p>
    <w:p w14:paraId="3B9362FD" w14:textId="77777777" w:rsidR="00106AD7" w:rsidRDefault="00106AD7">
      <w:pPr>
        <w:pStyle w:val="Heading2"/>
        <w:rPr>
          <w:rFonts w:eastAsia="Times New Roman"/>
        </w:rPr>
      </w:pPr>
      <w:r>
        <w:rPr>
          <w:rFonts w:eastAsia="Times New Roman"/>
        </w:rPr>
        <w:t xml:space="preserve">Demographic features </w:t>
      </w:r>
    </w:p>
    <w:p w14:paraId="20495C67" w14:textId="77777777" w:rsidR="00106AD7" w:rsidRPr="00D1124F" w:rsidRDefault="00106AD7">
      <w:pPr>
        <w:pStyle w:val="Heading3"/>
        <w:rPr>
          <w:rFonts w:eastAsia="Times New Roman"/>
          <w:i/>
          <w:iCs/>
        </w:rPr>
      </w:pPr>
      <w:r w:rsidRPr="00D1124F">
        <w:rPr>
          <w:rFonts w:eastAsia="Times New Roman"/>
          <w:i/>
          <w:iCs/>
        </w:rPr>
        <w:t xml:space="preserve">(NINDSS) </w:t>
      </w:r>
    </w:p>
    <w:p w14:paraId="396AA2C0" w14:textId="77777777" w:rsidR="00106AD7" w:rsidRDefault="00106AD7">
      <w:pPr>
        <w:pStyle w:val="NormalWeb"/>
      </w:pPr>
      <w:r>
        <w:t xml:space="preserve">In this reporting period, the largest proportion of cases occurred in those aged 20 to 29 years (20%; 4,764/23,855). For this year, the highest rate of infection has been in those aged 20 to 29 years with a rate of 418.1 infections per 100,000 population (Figure 3; Appendix A, Table A.1). Adults aged 70 to 79 years have had the lowest rate of infection this year. </w:t>
      </w:r>
    </w:p>
    <w:p w14:paraId="4AF27697" w14:textId="77777777" w:rsidR="00106AD7" w:rsidRDefault="00106AD7">
      <w:pPr>
        <w:pStyle w:val="NormalWeb"/>
      </w:pPr>
      <w:r>
        <w:t>In 2021, notification rates were similar among males and females in those aged 0 to 19 and over 90 years old. In all other age groups, notification rates were higher among males than females (Figure 3; Appendix A, Table A.1). The median age of cases in this reporting period was 29 years (range: 0 to 100 years; interquartile range, IQR: 16 to 44 years).</w:t>
      </w:r>
    </w:p>
    <w:p w14:paraId="38C5A1F4" w14:textId="77777777" w:rsidR="00AF134D" w:rsidRPr="0047574D" w:rsidRDefault="00AF134D" w:rsidP="00AF134D">
      <w:pPr>
        <w:pStyle w:val="CDIFigures"/>
      </w:pPr>
      <w:r w:rsidRPr="0047574D">
        <w:rPr>
          <w:rStyle w:val="Strong"/>
          <w:b/>
          <w:bCs w:val="0"/>
        </w:rPr>
        <w:t xml:space="preserve">Table 2: </w:t>
      </w:r>
      <w:proofErr w:type="gramStart"/>
      <w:r w:rsidRPr="0047574D">
        <w:rPr>
          <w:rStyle w:val="Strong"/>
          <w:b/>
          <w:bCs w:val="0"/>
        </w:rPr>
        <w:t>Locally-acquired</w:t>
      </w:r>
      <w:proofErr w:type="gramEnd"/>
      <w:r w:rsidRPr="0047574D">
        <w:rPr>
          <w:rStyle w:val="Strong"/>
          <w:b/>
          <w:bCs w:val="0"/>
        </w:rPr>
        <w:t xml:space="preserve"> COVID-19 case numbers and rates per 100,000 population by jurisdiction and reporting period, Australia, with a notification received date from 1 January to 26 September 2021</w:t>
      </w:r>
    </w:p>
    <w:tbl>
      <w:tblPr>
        <w:tblStyle w:val="CDI-StandardTable"/>
        <w:tblW w:w="0" w:type="auto"/>
        <w:tblLook w:val="04A0" w:firstRow="1" w:lastRow="0" w:firstColumn="1" w:lastColumn="0" w:noHBand="0" w:noVBand="1"/>
        <w:tblDescription w:val="Table 2 shows the locally-acquired case notifications within each jurisdiction for the current two-week reporting period, the previous two-week reporting period, and the total case numbers and rates per 100,000 population for each jurisdiction for the calendar year to date. For this reporting period, there were 23,825 locally-acquired cases, most of them notified in New South Wales (15,003 cases) and Victoria (8,550 cases). Other jurisdictions with locally-acquired cases this reporting period were the Australian Capital Territory (259 cases), Queensland (8 cases), Western Australia (3 cases) and the Northern Territory (2 cases). For each of these jurisdictions, the number of locally-acquired cases reported this fortnight was an increase on the number notified in the preceding fortnight, most substantially so in New South Wales and Victoria. The remaining two jurisdictions – South Australia and Tasmania – did not record any locally-acquired cases in this reporting period. Nationwide, the number of locally-acquired cases this reporting period (23,825) represented a minor increase on the corresponding number (22,755 cases) in the previous reporting period, with the increase in locally-acquired cases in Victoria this reporting period largely offset by a reduction in new locally-acquired cases in New South Wales. The nationwide total of locally-acquired cases for the calendar year to date is 68,820 cases, with a corresponding locally-acquired case rate of 267.8 cases per 100,000 population, predominantly driven by New South Wales’ case rate this year of 660.2 cases per 100,000 population.&#10;"/>
      </w:tblPr>
      <w:tblGrid>
        <w:gridCol w:w="1283"/>
        <w:gridCol w:w="2042"/>
        <w:gridCol w:w="2969"/>
        <w:gridCol w:w="1603"/>
        <w:gridCol w:w="2569"/>
      </w:tblGrid>
      <w:tr w:rsidR="00AF134D" w14:paraId="3DFD894E"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10E2D713" w14:textId="77777777" w:rsidR="00AF134D" w:rsidRPr="00A51751" w:rsidRDefault="00AF134D" w:rsidP="00AF134D">
            <w:pPr>
              <w:pStyle w:val="NormalWeb"/>
              <w:rPr>
                <w:color w:val="FFFFFF" w:themeColor="background1"/>
              </w:rPr>
            </w:pPr>
            <w:r w:rsidRPr="00A51751">
              <w:rPr>
                <w:color w:val="FFFFFF" w:themeColor="background1"/>
              </w:rPr>
              <w:t>Jurisdiction</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14:paraId="6961A7AD" w14:textId="77777777" w:rsidR="00AF134D" w:rsidRPr="00A51751" w:rsidRDefault="00AF134D" w:rsidP="00AF134D">
            <w:pPr>
              <w:pStyle w:val="NormalWeb"/>
              <w:jc w:val="center"/>
              <w:rPr>
                <w:color w:val="FFFFFF" w:themeColor="background1"/>
              </w:rPr>
            </w:pPr>
            <w:r w:rsidRPr="00A51751">
              <w:rPr>
                <w:color w:val="FFFFFF" w:themeColor="background1"/>
              </w:rPr>
              <w:t>Reporting period</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14:paraId="626A8564" w14:textId="77777777" w:rsidR="00AF134D" w:rsidRPr="00A51751" w:rsidRDefault="00AF134D" w:rsidP="00AF134D">
            <w:pPr>
              <w:pStyle w:val="NormalWeb"/>
              <w:jc w:val="center"/>
              <w:rPr>
                <w:color w:val="FFFFFF" w:themeColor="background1"/>
              </w:rPr>
            </w:pPr>
            <w:r w:rsidRPr="00A51751">
              <w:rPr>
                <w:color w:val="FFFFFF" w:themeColor="background1"/>
              </w:rPr>
              <w:t>Reporting period</w:t>
            </w:r>
          </w:p>
        </w:tc>
        <w:tc>
          <w:tcPr>
            <w:tcW w:w="0" w:type="auto"/>
            <w:gridSpan w:val="2"/>
            <w:tcBorders>
              <w:left w:val="single" w:sz="2" w:space="0" w:color="FFFFFF" w:themeColor="background1"/>
              <w:bottom w:val="single" w:sz="2" w:space="0" w:color="FFFFFF" w:themeColor="background1"/>
            </w:tcBorders>
            <w:hideMark/>
          </w:tcPr>
          <w:p w14:paraId="2B8C3C99" w14:textId="77777777" w:rsidR="00AF134D" w:rsidRPr="00A51751" w:rsidRDefault="00AF134D" w:rsidP="00AF134D">
            <w:pPr>
              <w:pStyle w:val="NormalWeb"/>
              <w:jc w:val="center"/>
              <w:rPr>
                <w:color w:val="FFFFFF" w:themeColor="background1"/>
              </w:rPr>
            </w:pPr>
            <w:r w:rsidRPr="00A51751">
              <w:rPr>
                <w:color w:val="FFFFFF" w:themeColor="background1"/>
              </w:rPr>
              <w:t>Cases this year</w:t>
            </w:r>
          </w:p>
        </w:tc>
      </w:tr>
      <w:tr w:rsidR="00AF134D" w14:paraId="6ADB779E"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4289595E" w14:textId="77777777" w:rsidR="00AF134D" w:rsidRPr="00A51751" w:rsidRDefault="00AF134D" w:rsidP="00AF134D">
            <w:pPr>
              <w:rPr>
                <w:color w:val="FFFFFF" w:themeColor="background1"/>
                <w:sz w:val="24"/>
                <w:szCs w:val="24"/>
              </w:rPr>
            </w:pP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A36316F" w14:textId="77777777" w:rsidR="00AF134D" w:rsidRPr="00A51751" w:rsidRDefault="00AF134D" w:rsidP="00AF134D">
            <w:pPr>
              <w:pStyle w:val="NormalWeb"/>
              <w:jc w:val="center"/>
              <w:rPr>
                <w:color w:val="FFFFFF" w:themeColor="background1"/>
              </w:rPr>
            </w:pPr>
            <w:r w:rsidRPr="00A51751">
              <w:rPr>
                <w:color w:val="FFFFFF" w:themeColor="background1"/>
              </w:rPr>
              <w:t>13–26 September 2021</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C133155" w14:textId="77777777" w:rsidR="00AF134D" w:rsidRPr="00A51751" w:rsidRDefault="00AF134D" w:rsidP="00AF134D">
            <w:pPr>
              <w:pStyle w:val="NormalWeb"/>
              <w:jc w:val="center"/>
              <w:rPr>
                <w:color w:val="FFFFFF" w:themeColor="background1"/>
              </w:rPr>
            </w:pPr>
            <w:r w:rsidRPr="00A51751">
              <w:rPr>
                <w:color w:val="FFFFFF" w:themeColor="background1"/>
              </w:rPr>
              <w:t>30 August 2021 – 12 September 2021</w:t>
            </w:r>
          </w:p>
        </w:tc>
        <w:tc>
          <w:tcPr>
            <w:tcW w:w="0" w:type="auto"/>
            <w:gridSpan w:val="2"/>
            <w:tcBorders>
              <w:top w:val="single" w:sz="2" w:space="0" w:color="FFFFFF" w:themeColor="background1"/>
              <w:left w:val="single" w:sz="2" w:space="0" w:color="FFFFFF" w:themeColor="background1"/>
              <w:bottom w:val="single" w:sz="2" w:space="0" w:color="FFFFFF" w:themeColor="background1"/>
            </w:tcBorders>
            <w:hideMark/>
          </w:tcPr>
          <w:p w14:paraId="07588B0F" w14:textId="77777777" w:rsidR="00AF134D" w:rsidRPr="00A51751" w:rsidRDefault="00AF134D" w:rsidP="00AF134D">
            <w:pPr>
              <w:pStyle w:val="NormalWeb"/>
              <w:jc w:val="center"/>
              <w:rPr>
                <w:color w:val="FFFFFF" w:themeColor="background1"/>
              </w:rPr>
            </w:pPr>
            <w:r w:rsidRPr="00A51751">
              <w:rPr>
                <w:color w:val="FFFFFF" w:themeColor="background1"/>
              </w:rPr>
              <w:t>1 January 2021 – 26 September 2021</w:t>
            </w:r>
          </w:p>
        </w:tc>
      </w:tr>
      <w:tr w:rsidR="00AF134D" w14:paraId="2A976105"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0088D8F2" w14:textId="77777777" w:rsidR="00AF134D" w:rsidRPr="00A51751" w:rsidRDefault="00AF134D" w:rsidP="00AF134D">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CF768CC" w14:textId="77777777" w:rsidR="00AF134D" w:rsidRPr="00A51751" w:rsidRDefault="00AF134D" w:rsidP="00AF134D">
            <w:pPr>
              <w:pStyle w:val="NormalWeb"/>
              <w:jc w:val="center"/>
              <w:rPr>
                <w:color w:val="FFFFFF" w:themeColor="background1"/>
              </w:rPr>
            </w:pPr>
            <w:r w:rsidRPr="00A51751">
              <w:rPr>
                <w:color w:val="FFFFFF" w:themeColor="background1"/>
              </w:rPr>
              <w:t xml:space="preserve">Number of </w:t>
            </w:r>
            <w:proofErr w:type="spellStart"/>
            <w:r w:rsidRPr="00A51751">
              <w:rPr>
                <w:color w:val="FFFFFF" w:themeColor="background1"/>
              </w:rPr>
              <w:t>cases</w:t>
            </w:r>
            <w:r w:rsidRPr="00A51751">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A7C2C61" w14:textId="77777777" w:rsidR="00AF134D" w:rsidRPr="00A51751" w:rsidRDefault="00AF134D" w:rsidP="00AF134D">
            <w:pPr>
              <w:pStyle w:val="NormalWeb"/>
              <w:jc w:val="center"/>
              <w:rPr>
                <w:color w:val="FFFFFF" w:themeColor="background1"/>
              </w:rPr>
            </w:pPr>
            <w:r w:rsidRPr="00A51751">
              <w:rPr>
                <w:color w:val="FFFFFF" w:themeColor="background1"/>
              </w:rPr>
              <w:t xml:space="preserve">Number of </w:t>
            </w:r>
            <w:proofErr w:type="spellStart"/>
            <w:r w:rsidRPr="00A51751">
              <w:rPr>
                <w:color w:val="FFFFFF" w:themeColor="background1"/>
              </w:rPr>
              <w:t>cases</w:t>
            </w:r>
            <w:r w:rsidRPr="00A51751">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68BF7B83" w14:textId="77777777" w:rsidR="00AF134D" w:rsidRPr="00A51751" w:rsidRDefault="00AF134D" w:rsidP="00AF134D">
            <w:pPr>
              <w:pStyle w:val="NormalWeb"/>
              <w:jc w:val="center"/>
              <w:rPr>
                <w:color w:val="FFFFFF" w:themeColor="background1"/>
              </w:rPr>
            </w:pPr>
            <w:r w:rsidRPr="00A51751">
              <w:rPr>
                <w:color w:val="FFFFFF" w:themeColor="background1"/>
              </w:rPr>
              <w:t xml:space="preserve">Number of </w:t>
            </w:r>
            <w:proofErr w:type="spellStart"/>
            <w:r w:rsidRPr="00A51751">
              <w:rPr>
                <w:color w:val="FFFFFF" w:themeColor="background1"/>
              </w:rPr>
              <w:t>cases</w:t>
            </w:r>
            <w:r w:rsidRPr="00A51751">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tcBorders>
            <w:hideMark/>
          </w:tcPr>
          <w:p w14:paraId="14F232E6" w14:textId="77777777" w:rsidR="00AF134D" w:rsidRPr="00A51751" w:rsidRDefault="00AF134D" w:rsidP="00AF134D">
            <w:pPr>
              <w:pStyle w:val="NormalWeb"/>
              <w:jc w:val="center"/>
              <w:rPr>
                <w:color w:val="FFFFFF" w:themeColor="background1"/>
              </w:rPr>
            </w:pPr>
            <w:r w:rsidRPr="00A51751">
              <w:rPr>
                <w:color w:val="FFFFFF" w:themeColor="background1"/>
              </w:rPr>
              <w:t xml:space="preserve">Rate per 100,000 </w:t>
            </w:r>
            <w:proofErr w:type="spellStart"/>
            <w:proofErr w:type="gramStart"/>
            <w:r w:rsidRPr="00A51751">
              <w:rPr>
                <w:color w:val="FFFFFF" w:themeColor="background1"/>
              </w:rPr>
              <w:t>population</w:t>
            </w:r>
            <w:r w:rsidRPr="00A51751">
              <w:rPr>
                <w:color w:val="FFFFFF" w:themeColor="background1"/>
                <w:vertAlign w:val="superscript"/>
              </w:rPr>
              <w:t>b,c</w:t>
            </w:r>
            <w:proofErr w:type="spellEnd"/>
            <w:proofErr w:type="gramEnd"/>
          </w:p>
        </w:tc>
      </w:tr>
      <w:tr w:rsidR="00AF134D" w14:paraId="43D3CE9C" w14:textId="77777777" w:rsidTr="00AF134D">
        <w:tblPrEx>
          <w:tblCellMar>
            <w:top w:w="57" w:type="dxa"/>
            <w:left w:w="57" w:type="dxa"/>
            <w:bottom w:w="57" w:type="dxa"/>
            <w:right w:w="57" w:type="dxa"/>
          </w:tblCellMar>
        </w:tblPrEx>
        <w:tc>
          <w:tcPr>
            <w:tcW w:w="0" w:type="auto"/>
            <w:hideMark/>
          </w:tcPr>
          <w:p w14:paraId="0C71D0E4" w14:textId="77777777" w:rsidR="00AF134D" w:rsidRDefault="00AF134D" w:rsidP="00AF134D">
            <w:pPr>
              <w:pStyle w:val="NormalWeb"/>
            </w:pPr>
            <w:r>
              <w:t>ACT</w:t>
            </w:r>
          </w:p>
        </w:tc>
        <w:tc>
          <w:tcPr>
            <w:tcW w:w="0" w:type="auto"/>
            <w:hideMark/>
          </w:tcPr>
          <w:p w14:paraId="056766AA" w14:textId="77777777" w:rsidR="00AF134D" w:rsidRDefault="00AF134D" w:rsidP="00AF134D">
            <w:pPr>
              <w:pStyle w:val="NormalWeb"/>
              <w:jc w:val="center"/>
            </w:pPr>
            <w:r>
              <w:t>259</w:t>
            </w:r>
          </w:p>
        </w:tc>
        <w:tc>
          <w:tcPr>
            <w:tcW w:w="0" w:type="auto"/>
            <w:hideMark/>
          </w:tcPr>
          <w:p w14:paraId="6ADA4532" w14:textId="77777777" w:rsidR="00AF134D" w:rsidRDefault="00AF134D" w:rsidP="00AF134D">
            <w:pPr>
              <w:pStyle w:val="NormalWeb"/>
              <w:jc w:val="center"/>
            </w:pPr>
            <w:r>
              <w:t>251</w:t>
            </w:r>
          </w:p>
        </w:tc>
        <w:tc>
          <w:tcPr>
            <w:tcW w:w="0" w:type="auto"/>
            <w:hideMark/>
          </w:tcPr>
          <w:p w14:paraId="529D8D44" w14:textId="77777777" w:rsidR="00AF134D" w:rsidRDefault="00AF134D" w:rsidP="00AF134D">
            <w:pPr>
              <w:pStyle w:val="NormalWeb"/>
              <w:jc w:val="center"/>
            </w:pPr>
            <w:r>
              <w:t>771</w:t>
            </w:r>
          </w:p>
        </w:tc>
        <w:tc>
          <w:tcPr>
            <w:tcW w:w="0" w:type="auto"/>
            <w:hideMark/>
          </w:tcPr>
          <w:p w14:paraId="01415E85" w14:textId="77777777" w:rsidR="00AF134D" w:rsidRDefault="00AF134D" w:rsidP="00AF134D">
            <w:pPr>
              <w:pStyle w:val="NormalWeb"/>
              <w:jc w:val="center"/>
            </w:pPr>
            <w:r>
              <w:t>178.8</w:t>
            </w:r>
          </w:p>
        </w:tc>
      </w:tr>
      <w:tr w:rsidR="00AF134D" w14:paraId="24D16074"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FAA1CA7" w14:textId="77777777" w:rsidR="00AF134D" w:rsidRDefault="00AF134D" w:rsidP="00AF134D">
            <w:pPr>
              <w:pStyle w:val="NormalWeb"/>
            </w:pPr>
            <w:r>
              <w:t>NSW</w:t>
            </w:r>
          </w:p>
        </w:tc>
        <w:tc>
          <w:tcPr>
            <w:tcW w:w="0" w:type="auto"/>
            <w:hideMark/>
          </w:tcPr>
          <w:p w14:paraId="2C19F9C7" w14:textId="77777777" w:rsidR="00AF134D" w:rsidRDefault="00AF134D" w:rsidP="00AF134D">
            <w:pPr>
              <w:pStyle w:val="NormalWeb"/>
              <w:jc w:val="center"/>
            </w:pPr>
            <w:r>
              <w:t>15,003</w:t>
            </w:r>
          </w:p>
        </w:tc>
        <w:tc>
          <w:tcPr>
            <w:tcW w:w="0" w:type="auto"/>
            <w:hideMark/>
          </w:tcPr>
          <w:p w14:paraId="7B90093A" w14:textId="77777777" w:rsidR="00AF134D" w:rsidRDefault="00AF134D" w:rsidP="00AF134D">
            <w:pPr>
              <w:pStyle w:val="NormalWeb"/>
              <w:jc w:val="center"/>
            </w:pPr>
            <w:r>
              <w:t>18,674</w:t>
            </w:r>
          </w:p>
        </w:tc>
        <w:tc>
          <w:tcPr>
            <w:tcW w:w="0" w:type="auto"/>
            <w:hideMark/>
          </w:tcPr>
          <w:p w14:paraId="5FBEF047" w14:textId="77777777" w:rsidR="00AF134D" w:rsidRDefault="00AF134D" w:rsidP="00AF134D">
            <w:pPr>
              <w:pStyle w:val="NormalWeb"/>
              <w:jc w:val="center"/>
            </w:pPr>
            <w:r>
              <w:t>53,923</w:t>
            </w:r>
          </w:p>
        </w:tc>
        <w:tc>
          <w:tcPr>
            <w:tcW w:w="0" w:type="auto"/>
            <w:hideMark/>
          </w:tcPr>
          <w:p w14:paraId="3B14B786" w14:textId="77777777" w:rsidR="00AF134D" w:rsidRDefault="00AF134D" w:rsidP="00AF134D">
            <w:pPr>
              <w:pStyle w:val="NormalWeb"/>
              <w:jc w:val="center"/>
            </w:pPr>
            <w:r>
              <w:t>660.2</w:t>
            </w:r>
          </w:p>
        </w:tc>
      </w:tr>
      <w:tr w:rsidR="00AF134D" w14:paraId="0B4C938C" w14:textId="77777777" w:rsidTr="00AF134D">
        <w:tblPrEx>
          <w:tblCellMar>
            <w:top w:w="57" w:type="dxa"/>
            <w:left w:w="57" w:type="dxa"/>
            <w:bottom w:w="57" w:type="dxa"/>
            <w:right w:w="57" w:type="dxa"/>
          </w:tblCellMar>
        </w:tblPrEx>
        <w:tc>
          <w:tcPr>
            <w:tcW w:w="0" w:type="auto"/>
            <w:hideMark/>
          </w:tcPr>
          <w:p w14:paraId="0F6E14A4" w14:textId="77777777" w:rsidR="00AF134D" w:rsidRDefault="00AF134D" w:rsidP="00AF134D">
            <w:pPr>
              <w:pStyle w:val="NormalWeb"/>
            </w:pPr>
            <w:r>
              <w:t>NT</w:t>
            </w:r>
          </w:p>
        </w:tc>
        <w:tc>
          <w:tcPr>
            <w:tcW w:w="0" w:type="auto"/>
            <w:hideMark/>
          </w:tcPr>
          <w:p w14:paraId="0D1A8A88" w14:textId="77777777" w:rsidR="00AF134D" w:rsidRDefault="00AF134D" w:rsidP="00AF134D">
            <w:pPr>
              <w:pStyle w:val="NormalWeb"/>
              <w:jc w:val="center"/>
            </w:pPr>
            <w:r>
              <w:t>2</w:t>
            </w:r>
          </w:p>
        </w:tc>
        <w:tc>
          <w:tcPr>
            <w:tcW w:w="0" w:type="auto"/>
            <w:hideMark/>
          </w:tcPr>
          <w:p w14:paraId="4E414AAA" w14:textId="77777777" w:rsidR="00AF134D" w:rsidRDefault="00AF134D" w:rsidP="00AF134D">
            <w:pPr>
              <w:pStyle w:val="NormalWeb"/>
              <w:jc w:val="center"/>
            </w:pPr>
            <w:r>
              <w:t>0</w:t>
            </w:r>
          </w:p>
        </w:tc>
        <w:tc>
          <w:tcPr>
            <w:tcW w:w="0" w:type="auto"/>
            <w:hideMark/>
          </w:tcPr>
          <w:p w14:paraId="39DA2BA2" w14:textId="77777777" w:rsidR="00AF134D" w:rsidRDefault="00AF134D" w:rsidP="00AF134D">
            <w:pPr>
              <w:pStyle w:val="NormalWeb"/>
              <w:jc w:val="center"/>
            </w:pPr>
            <w:r>
              <w:t>13</w:t>
            </w:r>
          </w:p>
        </w:tc>
        <w:tc>
          <w:tcPr>
            <w:tcW w:w="0" w:type="auto"/>
            <w:hideMark/>
          </w:tcPr>
          <w:p w14:paraId="01C8B175" w14:textId="77777777" w:rsidR="00AF134D" w:rsidRDefault="00AF134D" w:rsidP="00AF134D">
            <w:pPr>
              <w:pStyle w:val="NormalWeb"/>
              <w:jc w:val="center"/>
            </w:pPr>
            <w:r>
              <w:t>5.3</w:t>
            </w:r>
          </w:p>
        </w:tc>
      </w:tr>
      <w:tr w:rsidR="00AF134D" w14:paraId="50E373FC"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3C524A0" w14:textId="77777777" w:rsidR="00AF134D" w:rsidRDefault="00AF134D" w:rsidP="00AF134D">
            <w:pPr>
              <w:pStyle w:val="NormalWeb"/>
            </w:pPr>
            <w:r>
              <w:t>Qld</w:t>
            </w:r>
          </w:p>
        </w:tc>
        <w:tc>
          <w:tcPr>
            <w:tcW w:w="0" w:type="auto"/>
            <w:hideMark/>
          </w:tcPr>
          <w:p w14:paraId="0D1AD287" w14:textId="77777777" w:rsidR="00AF134D" w:rsidRDefault="00AF134D" w:rsidP="00AF134D">
            <w:pPr>
              <w:pStyle w:val="NormalWeb"/>
              <w:jc w:val="center"/>
            </w:pPr>
            <w:r>
              <w:t>8</w:t>
            </w:r>
          </w:p>
        </w:tc>
        <w:tc>
          <w:tcPr>
            <w:tcW w:w="0" w:type="auto"/>
            <w:hideMark/>
          </w:tcPr>
          <w:p w14:paraId="590B496A" w14:textId="77777777" w:rsidR="00AF134D" w:rsidRDefault="00AF134D" w:rsidP="00AF134D">
            <w:pPr>
              <w:pStyle w:val="NormalWeb"/>
              <w:jc w:val="center"/>
            </w:pPr>
            <w:r>
              <w:t>12</w:t>
            </w:r>
          </w:p>
        </w:tc>
        <w:tc>
          <w:tcPr>
            <w:tcW w:w="0" w:type="auto"/>
            <w:hideMark/>
          </w:tcPr>
          <w:p w14:paraId="210C4AD4" w14:textId="77777777" w:rsidR="00AF134D" w:rsidRDefault="00AF134D" w:rsidP="00AF134D">
            <w:pPr>
              <w:pStyle w:val="NormalWeb"/>
              <w:jc w:val="center"/>
            </w:pPr>
            <w:r>
              <w:t>242</w:t>
            </w:r>
          </w:p>
        </w:tc>
        <w:tc>
          <w:tcPr>
            <w:tcW w:w="0" w:type="auto"/>
            <w:hideMark/>
          </w:tcPr>
          <w:p w14:paraId="6F9F649B" w14:textId="77777777" w:rsidR="00AF134D" w:rsidRDefault="00AF134D" w:rsidP="00AF134D">
            <w:pPr>
              <w:pStyle w:val="NormalWeb"/>
              <w:jc w:val="center"/>
            </w:pPr>
            <w:r>
              <w:t>4.7</w:t>
            </w:r>
          </w:p>
        </w:tc>
      </w:tr>
      <w:tr w:rsidR="00AF134D" w14:paraId="7999EF57" w14:textId="77777777" w:rsidTr="00AF134D">
        <w:tblPrEx>
          <w:tblCellMar>
            <w:top w:w="57" w:type="dxa"/>
            <w:left w:w="57" w:type="dxa"/>
            <w:bottom w:w="57" w:type="dxa"/>
            <w:right w:w="57" w:type="dxa"/>
          </w:tblCellMar>
        </w:tblPrEx>
        <w:tc>
          <w:tcPr>
            <w:tcW w:w="0" w:type="auto"/>
            <w:hideMark/>
          </w:tcPr>
          <w:p w14:paraId="40E5771E" w14:textId="77777777" w:rsidR="00AF134D" w:rsidRDefault="00AF134D" w:rsidP="00AF134D">
            <w:pPr>
              <w:pStyle w:val="NormalWeb"/>
            </w:pPr>
            <w:r>
              <w:t>SA</w:t>
            </w:r>
          </w:p>
        </w:tc>
        <w:tc>
          <w:tcPr>
            <w:tcW w:w="0" w:type="auto"/>
            <w:hideMark/>
          </w:tcPr>
          <w:p w14:paraId="3E179B4E" w14:textId="77777777" w:rsidR="00AF134D" w:rsidRDefault="00AF134D" w:rsidP="00AF134D">
            <w:pPr>
              <w:pStyle w:val="NormalWeb"/>
              <w:jc w:val="center"/>
            </w:pPr>
            <w:r>
              <w:t>0</w:t>
            </w:r>
          </w:p>
        </w:tc>
        <w:tc>
          <w:tcPr>
            <w:tcW w:w="0" w:type="auto"/>
            <w:hideMark/>
          </w:tcPr>
          <w:p w14:paraId="2AADDE46" w14:textId="77777777" w:rsidR="00AF134D" w:rsidRDefault="00AF134D" w:rsidP="00AF134D">
            <w:pPr>
              <w:pStyle w:val="NormalWeb"/>
              <w:jc w:val="center"/>
            </w:pPr>
            <w:r>
              <w:t>3</w:t>
            </w:r>
          </w:p>
        </w:tc>
        <w:tc>
          <w:tcPr>
            <w:tcW w:w="0" w:type="auto"/>
            <w:hideMark/>
          </w:tcPr>
          <w:p w14:paraId="6B34DC39" w14:textId="77777777" w:rsidR="00AF134D" w:rsidRDefault="00AF134D" w:rsidP="00AF134D">
            <w:pPr>
              <w:pStyle w:val="NormalWeb"/>
              <w:jc w:val="center"/>
            </w:pPr>
            <w:r>
              <w:t>31</w:t>
            </w:r>
          </w:p>
        </w:tc>
        <w:tc>
          <w:tcPr>
            <w:tcW w:w="0" w:type="auto"/>
            <w:hideMark/>
          </w:tcPr>
          <w:p w14:paraId="65F16AC5" w14:textId="77777777" w:rsidR="00AF134D" w:rsidRDefault="00AF134D" w:rsidP="00AF134D">
            <w:pPr>
              <w:pStyle w:val="NormalWeb"/>
              <w:jc w:val="center"/>
            </w:pPr>
            <w:r>
              <w:t>1.8</w:t>
            </w:r>
          </w:p>
        </w:tc>
      </w:tr>
      <w:tr w:rsidR="00AF134D" w14:paraId="7B1D0800"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17FCC67" w14:textId="77777777" w:rsidR="00AF134D" w:rsidRDefault="00AF134D" w:rsidP="00AF134D">
            <w:pPr>
              <w:pStyle w:val="NormalWeb"/>
            </w:pPr>
            <w:r>
              <w:t>Tas.</w:t>
            </w:r>
          </w:p>
        </w:tc>
        <w:tc>
          <w:tcPr>
            <w:tcW w:w="0" w:type="auto"/>
            <w:hideMark/>
          </w:tcPr>
          <w:p w14:paraId="3ED13F32" w14:textId="77777777" w:rsidR="00AF134D" w:rsidRDefault="00AF134D" w:rsidP="00AF134D">
            <w:pPr>
              <w:pStyle w:val="NormalWeb"/>
              <w:jc w:val="center"/>
            </w:pPr>
            <w:r>
              <w:t>0</w:t>
            </w:r>
          </w:p>
        </w:tc>
        <w:tc>
          <w:tcPr>
            <w:tcW w:w="0" w:type="auto"/>
            <w:hideMark/>
          </w:tcPr>
          <w:p w14:paraId="7C722858" w14:textId="77777777" w:rsidR="00AF134D" w:rsidRDefault="00AF134D" w:rsidP="00AF134D">
            <w:pPr>
              <w:pStyle w:val="NormalWeb"/>
              <w:jc w:val="center"/>
            </w:pPr>
            <w:r>
              <w:t>0</w:t>
            </w:r>
          </w:p>
        </w:tc>
        <w:tc>
          <w:tcPr>
            <w:tcW w:w="0" w:type="auto"/>
            <w:hideMark/>
          </w:tcPr>
          <w:p w14:paraId="4282A73D" w14:textId="77777777" w:rsidR="00AF134D" w:rsidRDefault="00AF134D" w:rsidP="00AF134D">
            <w:pPr>
              <w:pStyle w:val="NormalWeb"/>
              <w:jc w:val="center"/>
            </w:pPr>
            <w:r>
              <w:t>1</w:t>
            </w:r>
          </w:p>
        </w:tc>
        <w:tc>
          <w:tcPr>
            <w:tcW w:w="0" w:type="auto"/>
            <w:hideMark/>
          </w:tcPr>
          <w:p w14:paraId="29569EF6" w14:textId="77777777" w:rsidR="00AF134D" w:rsidRDefault="00AF134D" w:rsidP="00AF134D">
            <w:pPr>
              <w:pStyle w:val="NormalWeb"/>
              <w:jc w:val="center"/>
            </w:pPr>
            <w:r>
              <w:t>0.2</w:t>
            </w:r>
          </w:p>
        </w:tc>
      </w:tr>
      <w:tr w:rsidR="00AF134D" w14:paraId="389F5E14" w14:textId="77777777" w:rsidTr="00AF134D">
        <w:tblPrEx>
          <w:tblCellMar>
            <w:top w:w="57" w:type="dxa"/>
            <w:left w:w="57" w:type="dxa"/>
            <w:bottom w:w="57" w:type="dxa"/>
            <w:right w:w="57" w:type="dxa"/>
          </w:tblCellMar>
        </w:tblPrEx>
        <w:tc>
          <w:tcPr>
            <w:tcW w:w="0" w:type="auto"/>
            <w:hideMark/>
          </w:tcPr>
          <w:p w14:paraId="23C8D087" w14:textId="77777777" w:rsidR="00AF134D" w:rsidRDefault="00AF134D" w:rsidP="00AF134D">
            <w:pPr>
              <w:pStyle w:val="NormalWeb"/>
            </w:pPr>
            <w:r>
              <w:t>Vic.</w:t>
            </w:r>
          </w:p>
        </w:tc>
        <w:tc>
          <w:tcPr>
            <w:tcW w:w="0" w:type="auto"/>
            <w:hideMark/>
          </w:tcPr>
          <w:p w14:paraId="69F48D81" w14:textId="77777777" w:rsidR="00AF134D" w:rsidRDefault="00AF134D" w:rsidP="00AF134D">
            <w:pPr>
              <w:pStyle w:val="NormalWeb"/>
              <w:jc w:val="center"/>
            </w:pPr>
            <w:r>
              <w:t>8,550</w:t>
            </w:r>
          </w:p>
        </w:tc>
        <w:tc>
          <w:tcPr>
            <w:tcW w:w="0" w:type="auto"/>
            <w:hideMark/>
          </w:tcPr>
          <w:p w14:paraId="65E56C1F" w14:textId="77777777" w:rsidR="00AF134D" w:rsidRDefault="00AF134D" w:rsidP="00AF134D">
            <w:pPr>
              <w:pStyle w:val="NormalWeb"/>
              <w:jc w:val="center"/>
            </w:pPr>
            <w:r>
              <w:t>3,814</w:t>
            </w:r>
          </w:p>
        </w:tc>
        <w:tc>
          <w:tcPr>
            <w:tcW w:w="0" w:type="auto"/>
            <w:hideMark/>
          </w:tcPr>
          <w:p w14:paraId="2D71CE6F" w14:textId="77777777" w:rsidR="00AF134D" w:rsidRDefault="00AF134D" w:rsidP="00AF134D">
            <w:pPr>
              <w:pStyle w:val="NormalWeb"/>
              <w:jc w:val="center"/>
            </w:pPr>
            <w:r>
              <w:t>13,819</w:t>
            </w:r>
          </w:p>
        </w:tc>
        <w:tc>
          <w:tcPr>
            <w:tcW w:w="0" w:type="auto"/>
            <w:hideMark/>
          </w:tcPr>
          <w:p w14:paraId="020944C1" w14:textId="77777777" w:rsidR="00AF134D" w:rsidRDefault="00AF134D" w:rsidP="00AF134D">
            <w:pPr>
              <w:pStyle w:val="NormalWeb"/>
              <w:jc w:val="center"/>
            </w:pPr>
            <w:r>
              <w:t>206.4</w:t>
            </w:r>
          </w:p>
        </w:tc>
      </w:tr>
      <w:tr w:rsidR="00AF134D" w14:paraId="2AFB3DE6"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4E9076C" w14:textId="77777777" w:rsidR="00AF134D" w:rsidRDefault="00AF134D" w:rsidP="00AF134D">
            <w:pPr>
              <w:pStyle w:val="NormalWeb"/>
            </w:pPr>
            <w:r>
              <w:t>WA</w:t>
            </w:r>
          </w:p>
        </w:tc>
        <w:tc>
          <w:tcPr>
            <w:tcW w:w="0" w:type="auto"/>
            <w:hideMark/>
          </w:tcPr>
          <w:p w14:paraId="0ACEA922" w14:textId="77777777" w:rsidR="00AF134D" w:rsidRDefault="00AF134D" w:rsidP="00AF134D">
            <w:pPr>
              <w:pStyle w:val="NormalWeb"/>
              <w:jc w:val="center"/>
            </w:pPr>
            <w:r>
              <w:t>3</w:t>
            </w:r>
          </w:p>
        </w:tc>
        <w:tc>
          <w:tcPr>
            <w:tcW w:w="0" w:type="auto"/>
            <w:hideMark/>
          </w:tcPr>
          <w:p w14:paraId="353B2A3C" w14:textId="77777777" w:rsidR="00AF134D" w:rsidRDefault="00AF134D" w:rsidP="00AF134D">
            <w:pPr>
              <w:pStyle w:val="NormalWeb"/>
              <w:jc w:val="center"/>
            </w:pPr>
            <w:r>
              <w:t>1</w:t>
            </w:r>
          </w:p>
        </w:tc>
        <w:tc>
          <w:tcPr>
            <w:tcW w:w="0" w:type="auto"/>
            <w:hideMark/>
          </w:tcPr>
          <w:p w14:paraId="39D01212" w14:textId="77777777" w:rsidR="00AF134D" w:rsidRDefault="00AF134D" w:rsidP="00AF134D">
            <w:pPr>
              <w:pStyle w:val="NormalWeb"/>
              <w:jc w:val="center"/>
            </w:pPr>
            <w:r>
              <w:t>20</w:t>
            </w:r>
          </w:p>
        </w:tc>
        <w:tc>
          <w:tcPr>
            <w:tcW w:w="0" w:type="auto"/>
            <w:hideMark/>
          </w:tcPr>
          <w:p w14:paraId="7E5200F2" w14:textId="77777777" w:rsidR="00AF134D" w:rsidRDefault="00AF134D" w:rsidP="00AF134D">
            <w:pPr>
              <w:pStyle w:val="NormalWeb"/>
              <w:jc w:val="center"/>
            </w:pPr>
            <w:r>
              <w:t>0.8</w:t>
            </w:r>
          </w:p>
        </w:tc>
      </w:tr>
      <w:tr w:rsidR="00AF134D" w:rsidRPr="00A51751" w14:paraId="6990C25A" w14:textId="77777777" w:rsidTr="00AF134D">
        <w:tblPrEx>
          <w:tblCellMar>
            <w:top w:w="57" w:type="dxa"/>
            <w:left w:w="57" w:type="dxa"/>
            <w:bottom w:w="57" w:type="dxa"/>
            <w:right w:w="57" w:type="dxa"/>
          </w:tblCellMar>
        </w:tblPrEx>
        <w:tc>
          <w:tcPr>
            <w:tcW w:w="0" w:type="auto"/>
            <w:shd w:val="clear" w:color="auto" w:fill="FDE9D9" w:themeFill="accent6" w:themeFillTint="33"/>
            <w:hideMark/>
          </w:tcPr>
          <w:p w14:paraId="03826F4F" w14:textId="77777777" w:rsidR="00AF134D" w:rsidRPr="00A51751" w:rsidRDefault="00AF134D" w:rsidP="00AF134D">
            <w:pPr>
              <w:pStyle w:val="NormalWeb"/>
              <w:rPr>
                <w:b/>
                <w:bCs/>
              </w:rPr>
            </w:pPr>
            <w:r w:rsidRPr="00A51751">
              <w:rPr>
                <w:b/>
                <w:bCs/>
              </w:rPr>
              <w:t>Australia</w:t>
            </w:r>
          </w:p>
        </w:tc>
        <w:tc>
          <w:tcPr>
            <w:tcW w:w="0" w:type="auto"/>
            <w:shd w:val="clear" w:color="auto" w:fill="FDE9D9" w:themeFill="accent6" w:themeFillTint="33"/>
            <w:hideMark/>
          </w:tcPr>
          <w:p w14:paraId="3DF4D981" w14:textId="77777777" w:rsidR="00AF134D" w:rsidRPr="00A51751" w:rsidRDefault="00AF134D" w:rsidP="00AF134D">
            <w:pPr>
              <w:pStyle w:val="NormalWeb"/>
              <w:jc w:val="center"/>
              <w:rPr>
                <w:b/>
                <w:bCs/>
              </w:rPr>
            </w:pPr>
            <w:r w:rsidRPr="00A51751">
              <w:rPr>
                <w:b/>
                <w:bCs/>
              </w:rPr>
              <w:t>23,825</w:t>
            </w:r>
          </w:p>
        </w:tc>
        <w:tc>
          <w:tcPr>
            <w:tcW w:w="0" w:type="auto"/>
            <w:shd w:val="clear" w:color="auto" w:fill="FDE9D9" w:themeFill="accent6" w:themeFillTint="33"/>
            <w:hideMark/>
          </w:tcPr>
          <w:p w14:paraId="7548FF5B" w14:textId="77777777" w:rsidR="00AF134D" w:rsidRPr="00A51751" w:rsidRDefault="00AF134D" w:rsidP="00AF134D">
            <w:pPr>
              <w:pStyle w:val="NormalWeb"/>
              <w:jc w:val="center"/>
              <w:rPr>
                <w:b/>
                <w:bCs/>
              </w:rPr>
            </w:pPr>
            <w:r w:rsidRPr="00A51751">
              <w:rPr>
                <w:b/>
                <w:bCs/>
              </w:rPr>
              <w:t>22,755</w:t>
            </w:r>
          </w:p>
        </w:tc>
        <w:tc>
          <w:tcPr>
            <w:tcW w:w="0" w:type="auto"/>
            <w:shd w:val="clear" w:color="auto" w:fill="FDE9D9" w:themeFill="accent6" w:themeFillTint="33"/>
            <w:hideMark/>
          </w:tcPr>
          <w:p w14:paraId="0C792991" w14:textId="77777777" w:rsidR="00AF134D" w:rsidRPr="00A51751" w:rsidRDefault="00AF134D" w:rsidP="00AF134D">
            <w:pPr>
              <w:pStyle w:val="NormalWeb"/>
              <w:jc w:val="center"/>
              <w:rPr>
                <w:b/>
                <w:bCs/>
              </w:rPr>
            </w:pPr>
            <w:r w:rsidRPr="00A51751">
              <w:rPr>
                <w:b/>
                <w:bCs/>
              </w:rPr>
              <w:t>68,820</w:t>
            </w:r>
          </w:p>
        </w:tc>
        <w:tc>
          <w:tcPr>
            <w:tcW w:w="0" w:type="auto"/>
            <w:shd w:val="clear" w:color="auto" w:fill="FDE9D9" w:themeFill="accent6" w:themeFillTint="33"/>
            <w:hideMark/>
          </w:tcPr>
          <w:p w14:paraId="1F3C5B8C" w14:textId="77777777" w:rsidR="00AF134D" w:rsidRPr="00A51751" w:rsidRDefault="00AF134D" w:rsidP="00AF134D">
            <w:pPr>
              <w:pStyle w:val="NormalWeb"/>
              <w:jc w:val="center"/>
              <w:rPr>
                <w:b/>
                <w:bCs/>
              </w:rPr>
            </w:pPr>
            <w:r w:rsidRPr="00A51751">
              <w:rPr>
                <w:b/>
                <w:bCs/>
              </w:rPr>
              <w:t>267.8</w:t>
            </w:r>
          </w:p>
        </w:tc>
      </w:tr>
    </w:tbl>
    <w:p w14:paraId="717CF53F" w14:textId="77777777" w:rsidR="00AF134D" w:rsidRDefault="00AF134D" w:rsidP="00AF134D">
      <w:pPr>
        <w:pStyle w:val="CDIfootnotes"/>
        <w:rPr>
          <w:lang w:val="en-GB"/>
        </w:rPr>
      </w:pPr>
      <w:r>
        <w:rPr>
          <w:lang w:val="en-GB"/>
        </w:rPr>
        <w:t>a</w:t>
      </w:r>
      <w:r>
        <w:rPr>
          <w:lang w:val="en-GB"/>
        </w:rPr>
        <w:tab/>
        <w:t>Source: NINDSS, data extract from 28 September 2021 for notifications to 26 September 2021.</w:t>
      </w:r>
    </w:p>
    <w:p w14:paraId="61D96A12" w14:textId="77777777" w:rsidR="00AF134D" w:rsidRDefault="00AF134D" w:rsidP="00AF134D">
      <w:pPr>
        <w:pStyle w:val="CDIfootnotes"/>
        <w:rPr>
          <w:lang w:val="en-GB"/>
        </w:rPr>
      </w:pPr>
      <w:r>
        <w:rPr>
          <w:lang w:val="en-GB"/>
        </w:rPr>
        <w:t>b</w:t>
      </w:r>
      <w:r>
        <w:rPr>
          <w:lang w:val="en-GB"/>
        </w:rPr>
        <w:tab/>
        <w:t>This total excludes overseas acquired cases and includes cases under initial investigation and with a missing source of acquisition. In previous reports, cases under initial investigation and those with a missing source of acquisition were excluded from this total.</w:t>
      </w:r>
    </w:p>
    <w:p w14:paraId="23100612" w14:textId="30ED6FBC" w:rsidR="00AF134D" w:rsidRPr="00AF134D" w:rsidRDefault="00AF134D" w:rsidP="00AF134D">
      <w:pPr>
        <w:pStyle w:val="CDIfootnotes"/>
        <w:rPr>
          <w:lang w:val="en-GB"/>
        </w:rPr>
      </w:pPr>
      <w:r>
        <w:rPr>
          <w:lang w:val="en-GB"/>
        </w:rPr>
        <w:t>c</w:t>
      </w:r>
      <w:r>
        <w:rPr>
          <w:lang w:val="en-GB"/>
        </w:rPr>
        <w:tab/>
        <w:t>Population data based on Australian Bureau of Statistics (ABS) Estimated Resident Population (ERP) as at June 2020.</w:t>
      </w:r>
    </w:p>
    <w:p w14:paraId="172CD942" w14:textId="77777777" w:rsidR="00AF134D" w:rsidRPr="00B46C2D" w:rsidRDefault="00AF134D" w:rsidP="00AF134D">
      <w:pPr>
        <w:pStyle w:val="CDIFigures"/>
      </w:pPr>
      <w:r w:rsidRPr="00B46C2D">
        <w:rPr>
          <w:rStyle w:val="Strong"/>
          <w:b/>
          <w:bCs w:val="0"/>
        </w:rPr>
        <w:t xml:space="preserve">Table 3: Days since last </w:t>
      </w:r>
      <w:proofErr w:type="gramStart"/>
      <w:r w:rsidRPr="00B46C2D">
        <w:rPr>
          <w:rStyle w:val="Strong"/>
          <w:b/>
          <w:bCs w:val="0"/>
        </w:rPr>
        <w:t>locally-acquired</w:t>
      </w:r>
      <w:proofErr w:type="gramEnd"/>
      <w:r w:rsidRPr="00B46C2D">
        <w:rPr>
          <w:rStyle w:val="Strong"/>
          <w:b/>
          <w:bCs w:val="0"/>
        </w:rPr>
        <w:t xml:space="preserve"> COVID-19 case (source unknown and source known), by jurisdiction and diagnosis date, 26 September 2021</w:t>
      </w:r>
      <w:r w:rsidRPr="00B46C2D">
        <w:rPr>
          <w:rStyle w:val="Strong"/>
          <w:b/>
          <w:bCs w:val="0"/>
          <w:vertAlign w:val="superscript"/>
        </w:rPr>
        <w:t>a</w:t>
      </w:r>
    </w:p>
    <w:tbl>
      <w:tblPr>
        <w:tblStyle w:val="CDI-StandardTable"/>
        <w:tblW w:w="0" w:type="auto"/>
        <w:tblLook w:val="04A0" w:firstRow="1" w:lastRow="0" w:firstColumn="1" w:lastColumn="0" w:noHBand="0" w:noVBand="1"/>
        <w:tblDescription w:val="Table 3 shows the number of days elapsed since the last locally-acquired COVID-19 case with known source, and with unknown source, by jurisdiction. As at the end of the current reporting period, it had been zero days since the most recently-notified locally-acquired case of unknown source, in New South Wales, with the Australian Capital Territory (1 day since most recent locally-acquired case of unknown source), Victoria (6 days) and Queensland (51 days) also reporting such cases in the year to date. As of 26 September 2021, it had been zero days also since the most recent locally-acquired case with source known (in each of the Australian Capital Territory, New South Wales, and Victoria); other jurisdictions reporting locally-acquired cases of known source since the start of the year were Queensland (2 day since most recent locally-acquired case of known source), South Australia (54 days), Western Australia (55 days) and the Northern Territory (82 days). It has been more than one year since Tasmania last recorded a locally-acquired case with known source, true also for locally-acquired cases of unknown source in the Northern Territory, South Australia, Tasmania and Western Australia.&#10;"/>
      </w:tblPr>
      <w:tblGrid>
        <w:gridCol w:w="1282"/>
        <w:gridCol w:w="2052"/>
        <w:gridCol w:w="2053"/>
        <w:gridCol w:w="2539"/>
        <w:gridCol w:w="2540"/>
      </w:tblGrid>
      <w:tr w:rsidR="00AF134D" w:rsidRPr="0098257E" w14:paraId="18F5F5CC"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2E976509" w14:textId="77777777" w:rsidR="00AF134D" w:rsidRPr="0098257E" w:rsidRDefault="00AF134D" w:rsidP="00AF134D">
            <w:pPr>
              <w:pStyle w:val="NormalWeb"/>
              <w:rPr>
                <w:color w:val="FFFFFF" w:themeColor="background1"/>
              </w:rPr>
            </w:pPr>
            <w:r w:rsidRPr="0098257E">
              <w:rPr>
                <w:color w:val="FFFFFF" w:themeColor="background1"/>
              </w:rPr>
              <w:t>Jurisdiction</w:t>
            </w:r>
          </w:p>
        </w:tc>
        <w:tc>
          <w:tcPr>
            <w:tcW w:w="4105" w:type="dxa"/>
            <w:gridSpan w:val="2"/>
            <w:tcBorders>
              <w:left w:val="single" w:sz="2" w:space="0" w:color="FFFFFF" w:themeColor="background1"/>
              <w:bottom w:val="single" w:sz="2" w:space="0" w:color="FFFFFF" w:themeColor="background1"/>
              <w:right w:val="single" w:sz="2" w:space="0" w:color="FFFFFF" w:themeColor="background1"/>
            </w:tcBorders>
            <w:hideMark/>
          </w:tcPr>
          <w:p w14:paraId="010BDC9F" w14:textId="77777777" w:rsidR="00AF134D" w:rsidRPr="0098257E" w:rsidRDefault="00AF134D" w:rsidP="00AF134D">
            <w:pPr>
              <w:pStyle w:val="NormalWeb"/>
              <w:jc w:val="center"/>
              <w:rPr>
                <w:color w:val="FFFFFF" w:themeColor="background1"/>
              </w:rPr>
            </w:pPr>
            <w:r w:rsidRPr="0098257E">
              <w:rPr>
                <w:color w:val="FFFFFF" w:themeColor="background1"/>
              </w:rPr>
              <w:t xml:space="preserve">Locally acquired — source </w:t>
            </w:r>
            <w:proofErr w:type="spellStart"/>
            <w:r w:rsidRPr="0098257E">
              <w:rPr>
                <w:color w:val="FFFFFF" w:themeColor="background1"/>
              </w:rPr>
              <w:t>unknown</w:t>
            </w:r>
            <w:r w:rsidRPr="0098257E">
              <w:rPr>
                <w:color w:val="FFFFFF" w:themeColor="background1"/>
                <w:vertAlign w:val="superscript"/>
              </w:rPr>
              <w:t>b</w:t>
            </w:r>
            <w:proofErr w:type="spellEnd"/>
          </w:p>
        </w:tc>
        <w:tc>
          <w:tcPr>
            <w:tcW w:w="5079" w:type="dxa"/>
            <w:gridSpan w:val="2"/>
            <w:tcBorders>
              <w:left w:val="single" w:sz="2" w:space="0" w:color="FFFFFF" w:themeColor="background1"/>
              <w:bottom w:val="single" w:sz="2" w:space="0" w:color="FFFFFF" w:themeColor="background1"/>
            </w:tcBorders>
            <w:hideMark/>
          </w:tcPr>
          <w:p w14:paraId="3F1B64C7" w14:textId="77777777" w:rsidR="00AF134D" w:rsidRPr="0098257E" w:rsidRDefault="00AF134D" w:rsidP="00AF134D">
            <w:pPr>
              <w:pStyle w:val="NormalWeb"/>
              <w:jc w:val="center"/>
              <w:rPr>
                <w:color w:val="FFFFFF" w:themeColor="background1"/>
              </w:rPr>
            </w:pPr>
            <w:r w:rsidRPr="0098257E">
              <w:rPr>
                <w:color w:val="FFFFFF" w:themeColor="background1"/>
              </w:rPr>
              <w:t xml:space="preserve">Locally acquired — source </w:t>
            </w:r>
            <w:proofErr w:type="spellStart"/>
            <w:r w:rsidRPr="0098257E">
              <w:rPr>
                <w:color w:val="FFFFFF" w:themeColor="background1"/>
              </w:rPr>
              <w:t>known</w:t>
            </w:r>
            <w:r w:rsidRPr="0098257E">
              <w:rPr>
                <w:color w:val="FFFFFF" w:themeColor="background1"/>
                <w:vertAlign w:val="superscript"/>
              </w:rPr>
              <w:t>b</w:t>
            </w:r>
            <w:proofErr w:type="spellEnd"/>
          </w:p>
        </w:tc>
      </w:tr>
      <w:tr w:rsidR="00AF134D" w:rsidRPr="0098257E" w14:paraId="118D12F0"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2EE34756" w14:textId="77777777" w:rsidR="00AF134D" w:rsidRPr="0098257E" w:rsidRDefault="00AF134D" w:rsidP="00AF134D">
            <w:pPr>
              <w:rPr>
                <w:color w:val="FFFFFF" w:themeColor="background1"/>
                <w:sz w:val="24"/>
                <w:szCs w:val="24"/>
              </w:rPr>
            </w:pPr>
          </w:p>
        </w:tc>
        <w:tc>
          <w:tcPr>
            <w:tcW w:w="2052" w:type="dxa"/>
            <w:tcBorders>
              <w:top w:val="single" w:sz="2" w:space="0" w:color="FFFFFF" w:themeColor="background1"/>
              <w:left w:val="single" w:sz="2" w:space="0" w:color="FFFFFF" w:themeColor="background1"/>
              <w:right w:val="single" w:sz="2" w:space="0" w:color="FFFFFF" w:themeColor="background1"/>
            </w:tcBorders>
            <w:hideMark/>
          </w:tcPr>
          <w:p w14:paraId="603478DE" w14:textId="77777777" w:rsidR="00AF134D" w:rsidRPr="0098257E" w:rsidRDefault="00AF134D" w:rsidP="00AF134D">
            <w:pPr>
              <w:pStyle w:val="NormalWeb"/>
              <w:jc w:val="center"/>
              <w:rPr>
                <w:color w:val="FFFFFF" w:themeColor="background1"/>
              </w:rPr>
            </w:pPr>
            <w:r w:rsidRPr="0098257E">
              <w:rPr>
                <w:color w:val="FFFFFF" w:themeColor="background1"/>
              </w:rPr>
              <w:t>Date of last case</w:t>
            </w:r>
          </w:p>
        </w:tc>
        <w:tc>
          <w:tcPr>
            <w:tcW w:w="2053" w:type="dxa"/>
            <w:tcBorders>
              <w:top w:val="single" w:sz="2" w:space="0" w:color="FFFFFF" w:themeColor="background1"/>
              <w:left w:val="single" w:sz="2" w:space="0" w:color="FFFFFF" w:themeColor="background1"/>
              <w:right w:val="single" w:sz="2" w:space="0" w:color="FFFFFF" w:themeColor="background1"/>
            </w:tcBorders>
            <w:hideMark/>
          </w:tcPr>
          <w:p w14:paraId="580DD98E" w14:textId="77777777" w:rsidR="00AF134D" w:rsidRPr="0098257E" w:rsidRDefault="00AF134D" w:rsidP="00AF134D">
            <w:pPr>
              <w:pStyle w:val="NormalWeb"/>
              <w:jc w:val="center"/>
              <w:rPr>
                <w:color w:val="FFFFFF" w:themeColor="background1"/>
              </w:rPr>
            </w:pPr>
            <w:r w:rsidRPr="0098257E">
              <w:rPr>
                <w:color w:val="FFFFFF" w:themeColor="background1"/>
              </w:rPr>
              <w:t>Days since last case</w:t>
            </w:r>
          </w:p>
        </w:tc>
        <w:tc>
          <w:tcPr>
            <w:tcW w:w="2539" w:type="dxa"/>
            <w:tcBorders>
              <w:top w:val="single" w:sz="2" w:space="0" w:color="FFFFFF" w:themeColor="background1"/>
              <w:left w:val="single" w:sz="2" w:space="0" w:color="FFFFFF" w:themeColor="background1"/>
              <w:right w:val="single" w:sz="2" w:space="0" w:color="FFFFFF" w:themeColor="background1"/>
            </w:tcBorders>
            <w:hideMark/>
          </w:tcPr>
          <w:p w14:paraId="265FEE8F" w14:textId="77777777" w:rsidR="00AF134D" w:rsidRPr="0098257E" w:rsidRDefault="00AF134D" w:rsidP="00AF134D">
            <w:pPr>
              <w:pStyle w:val="NormalWeb"/>
              <w:jc w:val="center"/>
              <w:rPr>
                <w:color w:val="FFFFFF" w:themeColor="background1"/>
              </w:rPr>
            </w:pPr>
            <w:r w:rsidRPr="0098257E">
              <w:rPr>
                <w:color w:val="FFFFFF" w:themeColor="background1"/>
              </w:rPr>
              <w:t>Date of last case</w:t>
            </w:r>
          </w:p>
        </w:tc>
        <w:tc>
          <w:tcPr>
            <w:tcW w:w="2540" w:type="dxa"/>
            <w:tcBorders>
              <w:top w:val="single" w:sz="2" w:space="0" w:color="FFFFFF" w:themeColor="background1"/>
              <w:left w:val="single" w:sz="2" w:space="0" w:color="FFFFFF" w:themeColor="background1"/>
            </w:tcBorders>
            <w:hideMark/>
          </w:tcPr>
          <w:p w14:paraId="494FB2D9" w14:textId="77777777" w:rsidR="00AF134D" w:rsidRPr="0098257E" w:rsidRDefault="00AF134D" w:rsidP="00AF134D">
            <w:pPr>
              <w:pStyle w:val="NormalWeb"/>
              <w:jc w:val="center"/>
              <w:rPr>
                <w:color w:val="FFFFFF" w:themeColor="background1"/>
              </w:rPr>
            </w:pPr>
            <w:r w:rsidRPr="0098257E">
              <w:rPr>
                <w:color w:val="FFFFFF" w:themeColor="background1"/>
              </w:rPr>
              <w:t>Days since last case</w:t>
            </w:r>
          </w:p>
        </w:tc>
      </w:tr>
      <w:tr w:rsidR="00AF134D" w14:paraId="6FB4169B" w14:textId="77777777" w:rsidTr="00AF134D">
        <w:tblPrEx>
          <w:tblCellMar>
            <w:top w:w="57" w:type="dxa"/>
            <w:left w:w="57" w:type="dxa"/>
            <w:bottom w:w="57" w:type="dxa"/>
            <w:right w:w="57" w:type="dxa"/>
          </w:tblCellMar>
        </w:tblPrEx>
        <w:tc>
          <w:tcPr>
            <w:tcW w:w="0" w:type="auto"/>
            <w:hideMark/>
          </w:tcPr>
          <w:p w14:paraId="6C1C4E70" w14:textId="77777777" w:rsidR="00AF134D" w:rsidRDefault="00AF134D" w:rsidP="00AF134D">
            <w:pPr>
              <w:pStyle w:val="NormalWeb"/>
            </w:pPr>
            <w:r>
              <w:t>ACT</w:t>
            </w:r>
          </w:p>
        </w:tc>
        <w:tc>
          <w:tcPr>
            <w:tcW w:w="2052" w:type="dxa"/>
            <w:hideMark/>
          </w:tcPr>
          <w:p w14:paraId="14FA02F2" w14:textId="77777777" w:rsidR="00AF134D" w:rsidRDefault="00AF134D" w:rsidP="00AF134D">
            <w:pPr>
              <w:pStyle w:val="NormalWeb"/>
              <w:jc w:val="center"/>
            </w:pPr>
            <w:r>
              <w:t>25 September 2021</w:t>
            </w:r>
          </w:p>
        </w:tc>
        <w:tc>
          <w:tcPr>
            <w:tcW w:w="2053" w:type="dxa"/>
            <w:hideMark/>
          </w:tcPr>
          <w:p w14:paraId="564FB2E3" w14:textId="77777777" w:rsidR="00AF134D" w:rsidRDefault="00AF134D" w:rsidP="00AF134D">
            <w:pPr>
              <w:pStyle w:val="NormalWeb"/>
              <w:jc w:val="center"/>
            </w:pPr>
            <w:r>
              <w:t>1</w:t>
            </w:r>
          </w:p>
        </w:tc>
        <w:tc>
          <w:tcPr>
            <w:tcW w:w="2539" w:type="dxa"/>
            <w:hideMark/>
          </w:tcPr>
          <w:p w14:paraId="4A8E986A" w14:textId="77777777" w:rsidR="00AF134D" w:rsidRDefault="00AF134D" w:rsidP="00AF134D">
            <w:pPr>
              <w:pStyle w:val="NormalWeb"/>
              <w:jc w:val="center"/>
            </w:pPr>
            <w:r>
              <w:t>26 September 2021</w:t>
            </w:r>
          </w:p>
        </w:tc>
        <w:tc>
          <w:tcPr>
            <w:tcW w:w="2540" w:type="dxa"/>
            <w:hideMark/>
          </w:tcPr>
          <w:p w14:paraId="5B79EE34" w14:textId="77777777" w:rsidR="00AF134D" w:rsidRDefault="00AF134D" w:rsidP="00AF134D">
            <w:pPr>
              <w:pStyle w:val="NormalWeb"/>
              <w:jc w:val="center"/>
            </w:pPr>
            <w:r>
              <w:t>0</w:t>
            </w:r>
          </w:p>
        </w:tc>
      </w:tr>
      <w:tr w:rsidR="00AF134D" w14:paraId="69C07395"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AD430B7" w14:textId="77777777" w:rsidR="00AF134D" w:rsidRDefault="00AF134D" w:rsidP="00AF134D">
            <w:pPr>
              <w:pStyle w:val="NormalWeb"/>
            </w:pPr>
            <w:r>
              <w:t>NSW</w:t>
            </w:r>
          </w:p>
        </w:tc>
        <w:tc>
          <w:tcPr>
            <w:tcW w:w="2052" w:type="dxa"/>
            <w:hideMark/>
          </w:tcPr>
          <w:p w14:paraId="695DD8C9" w14:textId="77777777" w:rsidR="00AF134D" w:rsidRDefault="00AF134D" w:rsidP="00AF134D">
            <w:pPr>
              <w:pStyle w:val="NormalWeb"/>
              <w:jc w:val="center"/>
            </w:pPr>
            <w:r>
              <w:t>26 September 2021</w:t>
            </w:r>
          </w:p>
        </w:tc>
        <w:tc>
          <w:tcPr>
            <w:tcW w:w="2053" w:type="dxa"/>
            <w:hideMark/>
          </w:tcPr>
          <w:p w14:paraId="50527E0C" w14:textId="77777777" w:rsidR="00AF134D" w:rsidRDefault="00AF134D" w:rsidP="00AF134D">
            <w:pPr>
              <w:pStyle w:val="NormalWeb"/>
              <w:jc w:val="center"/>
            </w:pPr>
            <w:r>
              <w:t>0</w:t>
            </w:r>
          </w:p>
        </w:tc>
        <w:tc>
          <w:tcPr>
            <w:tcW w:w="2539" w:type="dxa"/>
            <w:hideMark/>
          </w:tcPr>
          <w:p w14:paraId="07BA62D6" w14:textId="77777777" w:rsidR="00AF134D" w:rsidRDefault="00AF134D" w:rsidP="00AF134D">
            <w:pPr>
              <w:pStyle w:val="NormalWeb"/>
              <w:jc w:val="center"/>
            </w:pPr>
            <w:r>
              <w:t>26 September 2021</w:t>
            </w:r>
          </w:p>
        </w:tc>
        <w:tc>
          <w:tcPr>
            <w:tcW w:w="2540" w:type="dxa"/>
            <w:hideMark/>
          </w:tcPr>
          <w:p w14:paraId="146E625E" w14:textId="77777777" w:rsidR="00AF134D" w:rsidRDefault="00AF134D" w:rsidP="00AF134D">
            <w:pPr>
              <w:pStyle w:val="NormalWeb"/>
              <w:jc w:val="center"/>
            </w:pPr>
            <w:r>
              <w:t>0</w:t>
            </w:r>
          </w:p>
        </w:tc>
      </w:tr>
      <w:tr w:rsidR="00AF134D" w14:paraId="7AF2A3C4" w14:textId="77777777" w:rsidTr="00AF134D">
        <w:tblPrEx>
          <w:tblCellMar>
            <w:top w:w="57" w:type="dxa"/>
            <w:left w:w="57" w:type="dxa"/>
            <w:bottom w:w="57" w:type="dxa"/>
            <w:right w:w="57" w:type="dxa"/>
          </w:tblCellMar>
        </w:tblPrEx>
        <w:tc>
          <w:tcPr>
            <w:tcW w:w="0" w:type="auto"/>
            <w:hideMark/>
          </w:tcPr>
          <w:p w14:paraId="171F0741" w14:textId="77777777" w:rsidR="00AF134D" w:rsidRDefault="00AF134D" w:rsidP="00AF134D">
            <w:pPr>
              <w:pStyle w:val="NormalWeb"/>
            </w:pPr>
            <w:r>
              <w:t>NT</w:t>
            </w:r>
          </w:p>
        </w:tc>
        <w:tc>
          <w:tcPr>
            <w:tcW w:w="2052" w:type="dxa"/>
            <w:hideMark/>
          </w:tcPr>
          <w:p w14:paraId="1C660036" w14:textId="77777777" w:rsidR="00AF134D" w:rsidRDefault="00AF134D" w:rsidP="00AF134D">
            <w:pPr>
              <w:pStyle w:val="NormalWeb"/>
              <w:jc w:val="center"/>
            </w:pPr>
            <w:proofErr w:type="spellStart"/>
            <w:r>
              <w:t>NA</w:t>
            </w:r>
            <w:r w:rsidRPr="0098257E">
              <w:rPr>
                <w:vertAlign w:val="superscript"/>
              </w:rPr>
              <w:t>c</w:t>
            </w:r>
            <w:proofErr w:type="spellEnd"/>
          </w:p>
        </w:tc>
        <w:tc>
          <w:tcPr>
            <w:tcW w:w="2053" w:type="dxa"/>
            <w:hideMark/>
          </w:tcPr>
          <w:p w14:paraId="1022E8EB" w14:textId="77777777" w:rsidR="00AF134D" w:rsidRDefault="00AF134D" w:rsidP="00AF134D">
            <w:pPr>
              <w:pStyle w:val="NormalWeb"/>
              <w:jc w:val="center"/>
            </w:pPr>
            <w:proofErr w:type="spellStart"/>
            <w:r>
              <w:t>NA</w:t>
            </w:r>
            <w:r w:rsidRPr="0098257E">
              <w:rPr>
                <w:vertAlign w:val="superscript"/>
              </w:rPr>
              <w:t>c</w:t>
            </w:r>
            <w:proofErr w:type="spellEnd"/>
          </w:p>
        </w:tc>
        <w:tc>
          <w:tcPr>
            <w:tcW w:w="2539" w:type="dxa"/>
            <w:hideMark/>
          </w:tcPr>
          <w:p w14:paraId="264E35EC" w14:textId="77777777" w:rsidR="00AF134D" w:rsidRDefault="00AF134D" w:rsidP="00AF134D">
            <w:pPr>
              <w:pStyle w:val="NormalWeb"/>
              <w:jc w:val="center"/>
            </w:pPr>
            <w:r>
              <w:t>6 July 2021</w:t>
            </w:r>
          </w:p>
        </w:tc>
        <w:tc>
          <w:tcPr>
            <w:tcW w:w="2540" w:type="dxa"/>
            <w:hideMark/>
          </w:tcPr>
          <w:p w14:paraId="21775B34" w14:textId="77777777" w:rsidR="00AF134D" w:rsidRDefault="00AF134D" w:rsidP="00AF134D">
            <w:pPr>
              <w:pStyle w:val="NormalWeb"/>
              <w:jc w:val="center"/>
            </w:pPr>
            <w:r>
              <w:t>82</w:t>
            </w:r>
          </w:p>
        </w:tc>
      </w:tr>
      <w:tr w:rsidR="00AF134D" w14:paraId="6212930E"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9819A27" w14:textId="77777777" w:rsidR="00AF134D" w:rsidRDefault="00AF134D" w:rsidP="00AF134D">
            <w:pPr>
              <w:pStyle w:val="NormalWeb"/>
            </w:pPr>
            <w:r>
              <w:t>Qld</w:t>
            </w:r>
          </w:p>
        </w:tc>
        <w:tc>
          <w:tcPr>
            <w:tcW w:w="2052" w:type="dxa"/>
            <w:hideMark/>
          </w:tcPr>
          <w:p w14:paraId="0C039F11" w14:textId="77777777" w:rsidR="00AF134D" w:rsidRDefault="00AF134D" w:rsidP="00AF134D">
            <w:pPr>
              <w:pStyle w:val="NormalWeb"/>
              <w:jc w:val="center"/>
            </w:pPr>
            <w:r>
              <w:t>6 August 2021</w:t>
            </w:r>
          </w:p>
        </w:tc>
        <w:tc>
          <w:tcPr>
            <w:tcW w:w="2053" w:type="dxa"/>
            <w:hideMark/>
          </w:tcPr>
          <w:p w14:paraId="01F9FAF0" w14:textId="77777777" w:rsidR="00AF134D" w:rsidRDefault="00AF134D" w:rsidP="00AF134D">
            <w:pPr>
              <w:pStyle w:val="NormalWeb"/>
              <w:jc w:val="center"/>
            </w:pPr>
            <w:r>
              <w:t>51</w:t>
            </w:r>
          </w:p>
        </w:tc>
        <w:tc>
          <w:tcPr>
            <w:tcW w:w="2539" w:type="dxa"/>
            <w:hideMark/>
          </w:tcPr>
          <w:p w14:paraId="6E1C7FA8" w14:textId="77777777" w:rsidR="00AF134D" w:rsidRDefault="00AF134D" w:rsidP="00AF134D">
            <w:pPr>
              <w:pStyle w:val="NormalWeb"/>
              <w:jc w:val="center"/>
            </w:pPr>
            <w:r>
              <w:t>24 September 2021</w:t>
            </w:r>
          </w:p>
        </w:tc>
        <w:tc>
          <w:tcPr>
            <w:tcW w:w="2540" w:type="dxa"/>
            <w:hideMark/>
          </w:tcPr>
          <w:p w14:paraId="565A5242" w14:textId="77777777" w:rsidR="00AF134D" w:rsidRDefault="00AF134D" w:rsidP="00AF134D">
            <w:pPr>
              <w:pStyle w:val="NormalWeb"/>
              <w:jc w:val="center"/>
            </w:pPr>
            <w:r>
              <w:t>2</w:t>
            </w:r>
          </w:p>
        </w:tc>
      </w:tr>
      <w:tr w:rsidR="00AF134D" w14:paraId="0B060308" w14:textId="77777777" w:rsidTr="00AF134D">
        <w:tblPrEx>
          <w:tblCellMar>
            <w:top w:w="57" w:type="dxa"/>
            <w:left w:w="57" w:type="dxa"/>
            <w:bottom w:w="57" w:type="dxa"/>
            <w:right w:w="57" w:type="dxa"/>
          </w:tblCellMar>
        </w:tblPrEx>
        <w:tc>
          <w:tcPr>
            <w:tcW w:w="0" w:type="auto"/>
            <w:hideMark/>
          </w:tcPr>
          <w:p w14:paraId="7DA05B32" w14:textId="77777777" w:rsidR="00AF134D" w:rsidRDefault="00AF134D" w:rsidP="00AF134D">
            <w:pPr>
              <w:pStyle w:val="NormalWeb"/>
            </w:pPr>
            <w:r>
              <w:t>SA</w:t>
            </w:r>
          </w:p>
        </w:tc>
        <w:tc>
          <w:tcPr>
            <w:tcW w:w="2052" w:type="dxa"/>
            <w:hideMark/>
          </w:tcPr>
          <w:p w14:paraId="0BD78893" w14:textId="77777777" w:rsidR="00AF134D" w:rsidRDefault="00AF134D" w:rsidP="00AF134D">
            <w:pPr>
              <w:pStyle w:val="NormalWeb"/>
              <w:jc w:val="center"/>
            </w:pPr>
            <w:r>
              <w:t>24 March 2020</w:t>
            </w:r>
          </w:p>
        </w:tc>
        <w:tc>
          <w:tcPr>
            <w:tcW w:w="2053" w:type="dxa"/>
            <w:hideMark/>
          </w:tcPr>
          <w:p w14:paraId="669F292C" w14:textId="77777777" w:rsidR="00AF134D" w:rsidRDefault="00AF134D" w:rsidP="00AF134D">
            <w:pPr>
              <w:pStyle w:val="NormalWeb"/>
              <w:jc w:val="center"/>
            </w:pPr>
            <w:r>
              <w:t>551</w:t>
            </w:r>
          </w:p>
        </w:tc>
        <w:tc>
          <w:tcPr>
            <w:tcW w:w="2539" w:type="dxa"/>
            <w:hideMark/>
          </w:tcPr>
          <w:p w14:paraId="02FB588D" w14:textId="77777777" w:rsidR="00AF134D" w:rsidRDefault="00AF134D" w:rsidP="00AF134D">
            <w:pPr>
              <w:pStyle w:val="NormalWeb"/>
              <w:jc w:val="center"/>
            </w:pPr>
            <w:r>
              <w:t>3 August 2021</w:t>
            </w:r>
          </w:p>
        </w:tc>
        <w:tc>
          <w:tcPr>
            <w:tcW w:w="2540" w:type="dxa"/>
            <w:hideMark/>
          </w:tcPr>
          <w:p w14:paraId="7F80CB59" w14:textId="77777777" w:rsidR="00AF134D" w:rsidRDefault="00AF134D" w:rsidP="00AF134D">
            <w:pPr>
              <w:pStyle w:val="NormalWeb"/>
              <w:jc w:val="center"/>
            </w:pPr>
            <w:r>
              <w:t>54</w:t>
            </w:r>
          </w:p>
        </w:tc>
      </w:tr>
      <w:tr w:rsidR="00AF134D" w14:paraId="4F32B4E0"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0AF1178" w14:textId="77777777" w:rsidR="00AF134D" w:rsidRDefault="00AF134D" w:rsidP="00AF134D">
            <w:pPr>
              <w:pStyle w:val="NormalWeb"/>
            </w:pPr>
            <w:r>
              <w:t>Tas.</w:t>
            </w:r>
          </w:p>
        </w:tc>
        <w:tc>
          <w:tcPr>
            <w:tcW w:w="2052" w:type="dxa"/>
            <w:hideMark/>
          </w:tcPr>
          <w:p w14:paraId="573DC79D" w14:textId="77777777" w:rsidR="00AF134D" w:rsidRDefault="00AF134D" w:rsidP="00AF134D">
            <w:pPr>
              <w:pStyle w:val="NormalWeb"/>
              <w:jc w:val="center"/>
            </w:pPr>
            <w:r>
              <w:t>9 August 2020</w:t>
            </w:r>
          </w:p>
        </w:tc>
        <w:tc>
          <w:tcPr>
            <w:tcW w:w="2053" w:type="dxa"/>
            <w:hideMark/>
          </w:tcPr>
          <w:p w14:paraId="781FB384" w14:textId="77777777" w:rsidR="00AF134D" w:rsidRDefault="00AF134D" w:rsidP="00AF134D">
            <w:pPr>
              <w:pStyle w:val="NormalWeb"/>
              <w:jc w:val="center"/>
            </w:pPr>
            <w:r>
              <w:t>413</w:t>
            </w:r>
          </w:p>
        </w:tc>
        <w:tc>
          <w:tcPr>
            <w:tcW w:w="2539" w:type="dxa"/>
            <w:hideMark/>
          </w:tcPr>
          <w:p w14:paraId="7336C051" w14:textId="77777777" w:rsidR="00AF134D" w:rsidRDefault="00AF134D" w:rsidP="00AF134D">
            <w:pPr>
              <w:pStyle w:val="NormalWeb"/>
              <w:jc w:val="center"/>
            </w:pPr>
            <w:r>
              <w:t>24 April 2020</w:t>
            </w:r>
          </w:p>
        </w:tc>
        <w:tc>
          <w:tcPr>
            <w:tcW w:w="2540" w:type="dxa"/>
            <w:hideMark/>
          </w:tcPr>
          <w:p w14:paraId="167CDCE3" w14:textId="77777777" w:rsidR="00AF134D" w:rsidRDefault="00AF134D" w:rsidP="00AF134D">
            <w:pPr>
              <w:pStyle w:val="NormalWeb"/>
              <w:jc w:val="center"/>
            </w:pPr>
            <w:r>
              <w:t>520</w:t>
            </w:r>
          </w:p>
        </w:tc>
      </w:tr>
      <w:tr w:rsidR="00AF134D" w14:paraId="6D7F7DB0" w14:textId="77777777" w:rsidTr="00AF134D">
        <w:tblPrEx>
          <w:tblCellMar>
            <w:top w:w="57" w:type="dxa"/>
            <w:left w:w="57" w:type="dxa"/>
            <w:bottom w:w="57" w:type="dxa"/>
            <w:right w:w="57" w:type="dxa"/>
          </w:tblCellMar>
        </w:tblPrEx>
        <w:tc>
          <w:tcPr>
            <w:tcW w:w="0" w:type="auto"/>
            <w:hideMark/>
          </w:tcPr>
          <w:p w14:paraId="6751C8FE" w14:textId="77777777" w:rsidR="00AF134D" w:rsidRDefault="00AF134D" w:rsidP="00AF134D">
            <w:pPr>
              <w:pStyle w:val="NormalWeb"/>
            </w:pPr>
            <w:r>
              <w:t>Vic.</w:t>
            </w:r>
          </w:p>
        </w:tc>
        <w:tc>
          <w:tcPr>
            <w:tcW w:w="2052" w:type="dxa"/>
            <w:hideMark/>
          </w:tcPr>
          <w:p w14:paraId="4798AD63" w14:textId="77777777" w:rsidR="00AF134D" w:rsidRDefault="00AF134D" w:rsidP="00AF134D">
            <w:pPr>
              <w:pStyle w:val="NormalWeb"/>
              <w:jc w:val="center"/>
            </w:pPr>
            <w:r>
              <w:t>20 September 2021</w:t>
            </w:r>
          </w:p>
        </w:tc>
        <w:tc>
          <w:tcPr>
            <w:tcW w:w="2053" w:type="dxa"/>
            <w:hideMark/>
          </w:tcPr>
          <w:p w14:paraId="47408522" w14:textId="77777777" w:rsidR="00AF134D" w:rsidRDefault="00AF134D" w:rsidP="00AF134D">
            <w:pPr>
              <w:pStyle w:val="NormalWeb"/>
              <w:jc w:val="center"/>
            </w:pPr>
            <w:r>
              <w:t>6</w:t>
            </w:r>
          </w:p>
        </w:tc>
        <w:tc>
          <w:tcPr>
            <w:tcW w:w="2539" w:type="dxa"/>
            <w:hideMark/>
          </w:tcPr>
          <w:p w14:paraId="11403ED9" w14:textId="77777777" w:rsidR="00AF134D" w:rsidRDefault="00AF134D" w:rsidP="00AF134D">
            <w:pPr>
              <w:pStyle w:val="NormalWeb"/>
              <w:jc w:val="center"/>
            </w:pPr>
            <w:r>
              <w:t>26 September 2021</w:t>
            </w:r>
          </w:p>
        </w:tc>
        <w:tc>
          <w:tcPr>
            <w:tcW w:w="2540" w:type="dxa"/>
            <w:hideMark/>
          </w:tcPr>
          <w:p w14:paraId="68B7C7F9" w14:textId="77777777" w:rsidR="00AF134D" w:rsidRDefault="00AF134D" w:rsidP="00AF134D">
            <w:pPr>
              <w:pStyle w:val="NormalWeb"/>
              <w:jc w:val="center"/>
            </w:pPr>
            <w:r>
              <w:t>0</w:t>
            </w:r>
          </w:p>
        </w:tc>
      </w:tr>
      <w:tr w:rsidR="00AF134D" w14:paraId="5364FCB4"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F05A7CC" w14:textId="77777777" w:rsidR="00AF134D" w:rsidRDefault="00AF134D" w:rsidP="00AF134D">
            <w:pPr>
              <w:pStyle w:val="NormalWeb"/>
            </w:pPr>
            <w:r>
              <w:t>WA</w:t>
            </w:r>
          </w:p>
        </w:tc>
        <w:tc>
          <w:tcPr>
            <w:tcW w:w="2052" w:type="dxa"/>
            <w:hideMark/>
          </w:tcPr>
          <w:p w14:paraId="27031574" w14:textId="77777777" w:rsidR="00AF134D" w:rsidRDefault="00AF134D" w:rsidP="00AF134D">
            <w:pPr>
              <w:pStyle w:val="NormalWeb"/>
              <w:jc w:val="center"/>
            </w:pPr>
            <w:r>
              <w:t>3 April 2020</w:t>
            </w:r>
          </w:p>
        </w:tc>
        <w:tc>
          <w:tcPr>
            <w:tcW w:w="2053" w:type="dxa"/>
            <w:hideMark/>
          </w:tcPr>
          <w:p w14:paraId="3C5ABC89" w14:textId="77777777" w:rsidR="00AF134D" w:rsidRDefault="00AF134D" w:rsidP="00AF134D">
            <w:pPr>
              <w:pStyle w:val="NormalWeb"/>
              <w:jc w:val="center"/>
            </w:pPr>
            <w:r>
              <w:t>541</w:t>
            </w:r>
          </w:p>
        </w:tc>
        <w:tc>
          <w:tcPr>
            <w:tcW w:w="2539" w:type="dxa"/>
            <w:hideMark/>
          </w:tcPr>
          <w:p w14:paraId="7FFFB2DA" w14:textId="77777777" w:rsidR="00AF134D" w:rsidRDefault="00AF134D" w:rsidP="00AF134D">
            <w:pPr>
              <w:pStyle w:val="NormalWeb"/>
              <w:jc w:val="center"/>
            </w:pPr>
            <w:r>
              <w:t>2 August 2021</w:t>
            </w:r>
          </w:p>
        </w:tc>
        <w:tc>
          <w:tcPr>
            <w:tcW w:w="2540" w:type="dxa"/>
            <w:hideMark/>
          </w:tcPr>
          <w:p w14:paraId="0F7D424B" w14:textId="77777777" w:rsidR="00AF134D" w:rsidRDefault="00AF134D" w:rsidP="00AF134D">
            <w:pPr>
              <w:pStyle w:val="NormalWeb"/>
              <w:jc w:val="center"/>
            </w:pPr>
            <w:r>
              <w:t>55</w:t>
            </w:r>
          </w:p>
        </w:tc>
      </w:tr>
    </w:tbl>
    <w:p w14:paraId="643F6DD7" w14:textId="77777777" w:rsidR="00AF134D" w:rsidRDefault="00AF134D" w:rsidP="00AF134D">
      <w:pPr>
        <w:pStyle w:val="CDIfootnotes"/>
        <w:rPr>
          <w:lang w:val="en-GB"/>
        </w:rPr>
      </w:pPr>
      <w:r>
        <w:rPr>
          <w:lang w:val="en-GB"/>
        </w:rPr>
        <w:t>a</w:t>
      </w:r>
      <w:r>
        <w:rPr>
          <w:lang w:val="en-GB"/>
        </w:rPr>
        <w:tab/>
        <w:t>Source: NINDSS, extract from 28 September 2021 for notifications to 26 September 2021.</w:t>
      </w:r>
    </w:p>
    <w:p w14:paraId="7065B2E2" w14:textId="77777777" w:rsidR="00AF134D" w:rsidRDefault="00AF134D" w:rsidP="00AF134D">
      <w:pPr>
        <w:pStyle w:val="CDIfootnotes"/>
        <w:rPr>
          <w:lang w:val="en-GB"/>
        </w:rPr>
      </w:pPr>
      <w:r>
        <w:rPr>
          <w:lang w:val="en-GB"/>
        </w:rPr>
        <w:t>b</w:t>
      </w:r>
      <w:r>
        <w:rPr>
          <w:lang w:val="en-GB"/>
        </w:rPr>
        <w:tab/>
        <w:t xml:space="preserve">This does not include </w:t>
      </w:r>
      <w:proofErr w:type="gramStart"/>
      <w:r>
        <w:rPr>
          <w:lang w:val="en-GB"/>
        </w:rPr>
        <w:t>locally-acquired</w:t>
      </w:r>
      <w:proofErr w:type="gramEnd"/>
      <w:r>
        <w:rPr>
          <w:lang w:val="en-GB"/>
        </w:rPr>
        <w:t xml:space="preserve"> cases that were interstate acquired.</w:t>
      </w:r>
    </w:p>
    <w:p w14:paraId="088C89E2" w14:textId="77777777" w:rsidR="00AF134D" w:rsidRDefault="00AF134D" w:rsidP="00AF134D">
      <w:pPr>
        <w:pStyle w:val="CDIfootnotes"/>
        <w:rPr>
          <w:lang w:val="en-GB"/>
        </w:rPr>
      </w:pPr>
      <w:r>
        <w:rPr>
          <w:lang w:val="en-GB"/>
        </w:rPr>
        <w:t>c</w:t>
      </w:r>
      <w:r>
        <w:rPr>
          <w:lang w:val="en-GB"/>
        </w:rPr>
        <w:tab/>
        <w:t xml:space="preserve">NA: not applicable. The Northern Territory has not reported any </w:t>
      </w:r>
      <w:proofErr w:type="gramStart"/>
      <w:r>
        <w:rPr>
          <w:lang w:val="en-GB"/>
        </w:rPr>
        <w:t>locally-acquired</w:t>
      </w:r>
      <w:proofErr w:type="gramEnd"/>
      <w:r>
        <w:rPr>
          <w:lang w:val="en-GB"/>
        </w:rPr>
        <w:t xml:space="preserve"> cases with an unknown source of infection.</w:t>
      </w:r>
    </w:p>
    <w:p w14:paraId="612A6145" w14:textId="77777777" w:rsidR="00AF134D" w:rsidRPr="00F5546F" w:rsidRDefault="00AF134D" w:rsidP="00AF134D">
      <w:pPr>
        <w:pStyle w:val="CDIFigures"/>
      </w:pPr>
      <w:r w:rsidRPr="00F5546F">
        <w:rPr>
          <w:rStyle w:val="Strong"/>
          <w:b/>
          <w:bCs w:val="0"/>
        </w:rPr>
        <w:t>Figure 3: Cumulative COVID-19 cases for the calendar year to date, by age group and sex, Australia, with a diagnosis date of 1 January 2021 – 26 September 2021</w:t>
      </w:r>
      <w:r w:rsidRPr="00F5546F">
        <w:rPr>
          <w:rStyle w:val="Strong"/>
          <w:b/>
          <w:bCs w:val="0"/>
          <w:vertAlign w:val="superscript"/>
        </w:rPr>
        <w:t>a</w:t>
      </w:r>
    </w:p>
    <w:p w14:paraId="31E26D9B" w14:textId="77777777" w:rsidR="00AF134D" w:rsidRDefault="00AF134D" w:rsidP="00AF134D">
      <w:pPr>
        <w:rPr>
          <w:rFonts w:eastAsia="Times New Roman"/>
          <w:lang w:val="en-GB"/>
        </w:rPr>
      </w:pPr>
      <w:r>
        <w:rPr>
          <w:rFonts w:eastAsia="Times New Roman"/>
          <w:noProof/>
          <w:lang w:val="en-GB"/>
        </w:rPr>
        <w:drawing>
          <wp:inline distT="0" distB="0" distL="0" distR="0" wp14:anchorId="7ABF7877" wp14:editId="009DA0FA">
            <wp:extent cx="6579914" cy="3129232"/>
            <wp:effectExtent l="0" t="0" r="0" b="0"/>
            <wp:docPr id="5" name="Picture 5" descr="A bar chart showing the cumulative rates per 100,000 population of confirmed COVID-19 cases, for this calendar year to date, as at 26 September 2021, by 10-year age group and sex. For this calendar year, the highest notification rates have been in the 20 to 29 year age group, followed by the 10 to 19 and 30 to 39 year age groups. In all age groups except those aged 0 to 9 years and those aged 90 years and over, males have a higher rate than females among cases notified in 2021 to d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ar chart showing the cumulative rates per 100,000 population of confirmed COVID-19 cases, for this calendar year to date, as at 26 September 2021, by 10-year age group and sex. For this calendar year, the highest notification rates have been in the 20 to 29 year age group, followed by the 10 to 19 and 30 to 39 year age groups. In all age groups except those aged 0 to 9 years and those aged 90 years and over, males have a higher rate than females among cases notified in 2021 to date.&#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95633" cy="3136707"/>
                    </a:xfrm>
                    <a:prstGeom prst="rect">
                      <a:avLst/>
                    </a:prstGeom>
                  </pic:spPr>
                </pic:pic>
              </a:graphicData>
            </a:graphic>
          </wp:inline>
        </w:drawing>
      </w:r>
    </w:p>
    <w:p w14:paraId="6FBA826C" w14:textId="1171434A" w:rsidR="00AF134D" w:rsidRPr="00AF134D" w:rsidRDefault="00AF134D" w:rsidP="00AF134D">
      <w:pPr>
        <w:pStyle w:val="CDIfootnotes"/>
        <w:rPr>
          <w:lang w:val="en-GB"/>
        </w:rPr>
      </w:pPr>
      <w:r>
        <w:rPr>
          <w:lang w:val="en-GB"/>
        </w:rPr>
        <w:t>a</w:t>
      </w:r>
      <w:r>
        <w:rPr>
          <w:lang w:val="en-GB"/>
        </w:rPr>
        <w:tab/>
        <w:t>Source: NINDSS, extract from 28 September 2021 for notifications to 26 September 2021.</w:t>
      </w:r>
    </w:p>
    <w:p w14:paraId="52BC6CB3" w14:textId="4291D58E" w:rsidR="00106AD7" w:rsidRDefault="00106AD7">
      <w:pPr>
        <w:pStyle w:val="Heading2"/>
        <w:rPr>
          <w:rFonts w:eastAsia="Times New Roman"/>
        </w:rPr>
      </w:pPr>
      <w:r>
        <w:rPr>
          <w:rFonts w:eastAsia="Times New Roman"/>
        </w:rPr>
        <w:t xml:space="preserve">Aboriginal and Torres Strait Islander persons </w:t>
      </w:r>
    </w:p>
    <w:p w14:paraId="21A2F3CF" w14:textId="77777777" w:rsidR="00106AD7" w:rsidRPr="00D1124F" w:rsidRDefault="00106AD7">
      <w:pPr>
        <w:pStyle w:val="Heading3"/>
        <w:rPr>
          <w:rFonts w:eastAsia="Times New Roman"/>
          <w:b w:val="0"/>
          <w:bCs w:val="0"/>
        </w:rPr>
      </w:pPr>
      <w:r w:rsidRPr="00D1124F">
        <w:rPr>
          <w:rStyle w:val="Emphasis"/>
          <w:rFonts w:eastAsia="Times New Roman"/>
          <w:b/>
          <w:bCs/>
        </w:rPr>
        <w:t xml:space="preserve">(NINDSS) </w:t>
      </w:r>
    </w:p>
    <w:p w14:paraId="03700B71" w14:textId="66574736" w:rsidR="00106AD7" w:rsidRDefault="00106AD7">
      <w:pPr>
        <w:pStyle w:val="NormalWeb"/>
      </w:pPr>
      <w:r>
        <w:t xml:space="preserve">During the reporting period, there were 1,222 new cases notified in Aboriginal and Torres Strait Islander people, with 1,157 from New South Wales, 33 from Victoria and 32 from the Australian Capital Territory. Since the beginning of 2021, there have been 2,960 confirmed cases of COVID-19 notified in Aboriginal and Torres Strait Islander people, representing 4% (2,960/70,616) of all confirmed cases this year. Of the locally acquired cases notified in 2021, 32% (916/2,916) resided in a regional or remote area (Table 4). </w:t>
      </w:r>
    </w:p>
    <w:p w14:paraId="3826F110" w14:textId="77777777" w:rsidR="00AF134D" w:rsidRDefault="00AF134D">
      <w:pPr>
        <w:rPr>
          <w:rStyle w:val="Strong"/>
          <w:bCs w:val="0"/>
        </w:rPr>
      </w:pPr>
      <w:r>
        <w:rPr>
          <w:rStyle w:val="Strong"/>
          <w:b w:val="0"/>
          <w:bCs w:val="0"/>
        </w:rPr>
        <w:br w:type="page"/>
      </w:r>
    </w:p>
    <w:p w14:paraId="5234F1DF" w14:textId="68A25F17" w:rsidR="00AF134D" w:rsidRPr="001D0647" w:rsidRDefault="00AF134D" w:rsidP="00AF134D">
      <w:pPr>
        <w:pStyle w:val="CDIFigures"/>
      </w:pPr>
      <w:r w:rsidRPr="001D0647">
        <w:rPr>
          <w:rStyle w:val="Strong"/>
          <w:b/>
          <w:bCs w:val="0"/>
        </w:rPr>
        <w:t>Table 4: Confirmed cases of COVID-19 among Aboriginal and Torres Strait Islander peoples by place of acquisition and area of remoteness, 1 January – 26 September 2021</w:t>
      </w:r>
      <w:r w:rsidRPr="001D0647">
        <w:rPr>
          <w:rStyle w:val="Strong"/>
          <w:b/>
          <w:bCs w:val="0"/>
          <w:vertAlign w:val="superscript"/>
        </w:rPr>
        <w:t>a</w:t>
      </w:r>
    </w:p>
    <w:tbl>
      <w:tblPr>
        <w:tblStyle w:val="CDI-StandardTable"/>
        <w:tblW w:w="0" w:type="auto"/>
        <w:tblLook w:val="04A0" w:firstRow="1" w:lastRow="0" w:firstColumn="1" w:lastColumn="0" w:noHBand="0" w:noVBand="1"/>
        <w:tblDescription w:val="Table 4 shows the number of confirmed cases of COVID-19 this year, among Aboriginal and Torres Strait Islander peoples, by jurisdiction, place of acquisition, and area of remoteness. In the calendar year to date, there have been 2,960 confirmed cases among Aboriginal and Torres Strait Islander people (2,873 in New South Wales, 42 in the Australian Capital Territory, 38 in Victoria, six in Queensland and one in Western Australia). Most cases in Aboriginal and Torres Strait Islander people this year (1,964) have been locally acquired in a ‘major city’ remoteness setting, although numerous cases in Aboriginal and Torres Strait Islander people this year, all in New South Wales, have occurred in ‘inner regional’ (521 cases), ‘outer regional’ (135 cases) and ‘remote’ settings (260 cases).&#10;"/>
      </w:tblPr>
      <w:tblGrid>
        <w:gridCol w:w="1282"/>
        <w:gridCol w:w="798"/>
        <w:gridCol w:w="993"/>
        <w:gridCol w:w="993"/>
        <w:gridCol w:w="959"/>
        <w:gridCol w:w="1085"/>
        <w:gridCol w:w="1126"/>
        <w:gridCol w:w="1086"/>
        <w:gridCol w:w="1437"/>
        <w:gridCol w:w="707"/>
      </w:tblGrid>
      <w:tr w:rsidR="00AF134D" w:rsidRPr="001D0647" w14:paraId="3913CAEE"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542FD692" w14:textId="77777777" w:rsidR="00AF134D" w:rsidRPr="001D0647" w:rsidRDefault="00AF134D" w:rsidP="00AF134D">
            <w:pPr>
              <w:pStyle w:val="NormalWeb"/>
              <w:jc w:val="center"/>
              <w:rPr>
                <w:color w:val="FFFFFF" w:themeColor="background1"/>
              </w:rPr>
            </w:pPr>
            <w:r w:rsidRPr="001D0647">
              <w:rPr>
                <w:color w:val="FFFFFF" w:themeColor="background1"/>
              </w:rPr>
              <w:t>Jurisdiction</w:t>
            </w:r>
          </w:p>
        </w:tc>
        <w:tc>
          <w:tcPr>
            <w:tcW w:w="0" w:type="auto"/>
            <w:gridSpan w:val="6"/>
            <w:tcBorders>
              <w:left w:val="single" w:sz="2" w:space="0" w:color="FFFFFF" w:themeColor="background1"/>
              <w:bottom w:val="single" w:sz="2" w:space="0" w:color="FFFFFF" w:themeColor="background1"/>
              <w:right w:val="single" w:sz="2" w:space="0" w:color="FFFFFF" w:themeColor="background1"/>
            </w:tcBorders>
            <w:vAlign w:val="center"/>
            <w:hideMark/>
          </w:tcPr>
          <w:p w14:paraId="4A4781B8" w14:textId="77777777" w:rsidR="00AF134D" w:rsidRPr="001D0647" w:rsidRDefault="00AF134D" w:rsidP="00AF134D">
            <w:pPr>
              <w:pStyle w:val="NormalWeb"/>
              <w:jc w:val="center"/>
              <w:rPr>
                <w:color w:val="FFFFFF" w:themeColor="background1"/>
              </w:rPr>
            </w:pPr>
            <w:r w:rsidRPr="001D0647">
              <w:rPr>
                <w:color w:val="FFFFFF" w:themeColor="background1"/>
              </w:rPr>
              <w:t xml:space="preserve">Locally acquired, </w:t>
            </w:r>
            <w:proofErr w:type="spellStart"/>
            <w:r w:rsidRPr="001D0647">
              <w:rPr>
                <w:color w:val="FFFFFF" w:themeColor="background1"/>
              </w:rPr>
              <w:t>Australia</w:t>
            </w:r>
            <w:r w:rsidRPr="001D0647">
              <w:rPr>
                <w:color w:val="FFFFFF" w:themeColor="background1"/>
                <w:vertAlign w:val="superscript"/>
              </w:rPr>
              <w:t>a</w:t>
            </w:r>
            <w:proofErr w:type="spellEnd"/>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34485227" w14:textId="77777777" w:rsidR="00AF134D" w:rsidRPr="001D0647" w:rsidRDefault="00AF134D" w:rsidP="00AF134D">
            <w:pPr>
              <w:pStyle w:val="NormalWeb"/>
              <w:jc w:val="center"/>
              <w:rPr>
                <w:color w:val="FFFFFF" w:themeColor="background1"/>
              </w:rPr>
            </w:pPr>
            <w:r w:rsidRPr="001D0647">
              <w:rPr>
                <w:color w:val="FFFFFF" w:themeColor="background1"/>
              </w:rPr>
              <w:t>Overseas acquired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558461A2" w14:textId="77777777" w:rsidR="00AF134D" w:rsidRPr="001D0647" w:rsidRDefault="00AF134D" w:rsidP="00AF134D">
            <w:pPr>
              <w:pStyle w:val="NormalWeb"/>
              <w:jc w:val="center"/>
              <w:rPr>
                <w:color w:val="FFFFFF" w:themeColor="background1"/>
              </w:rPr>
            </w:pPr>
            <w:r w:rsidRPr="001D0647">
              <w:rPr>
                <w:color w:val="FFFFFF" w:themeColor="background1"/>
              </w:rPr>
              <w:t>Under initial investigation</w:t>
            </w:r>
          </w:p>
        </w:tc>
        <w:tc>
          <w:tcPr>
            <w:tcW w:w="0" w:type="auto"/>
            <w:vMerge w:val="restart"/>
            <w:tcBorders>
              <w:left w:val="single" w:sz="2" w:space="0" w:color="FFFFFF" w:themeColor="background1"/>
              <w:bottom w:val="single" w:sz="2" w:space="0" w:color="FFFFFF" w:themeColor="background1"/>
            </w:tcBorders>
            <w:vAlign w:val="center"/>
            <w:hideMark/>
          </w:tcPr>
          <w:p w14:paraId="52A257EC" w14:textId="77777777" w:rsidR="00AF134D" w:rsidRPr="001D0647" w:rsidRDefault="00AF134D" w:rsidP="00AF134D">
            <w:pPr>
              <w:pStyle w:val="NormalWeb"/>
              <w:jc w:val="center"/>
              <w:rPr>
                <w:color w:val="FFFFFF" w:themeColor="background1"/>
              </w:rPr>
            </w:pPr>
            <w:r w:rsidRPr="001D0647">
              <w:rPr>
                <w:color w:val="FFFFFF" w:themeColor="background1"/>
              </w:rPr>
              <w:t>Total</w:t>
            </w:r>
          </w:p>
        </w:tc>
      </w:tr>
      <w:tr w:rsidR="00AF134D" w:rsidRPr="001D0647" w14:paraId="76BE153B"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75CF044" w14:textId="77777777" w:rsidR="00AF134D" w:rsidRPr="001D0647" w:rsidRDefault="00AF134D" w:rsidP="00AF134D">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37A3871" w14:textId="77777777" w:rsidR="00AF134D" w:rsidRPr="001D0647" w:rsidRDefault="00AF134D" w:rsidP="00AF134D">
            <w:pPr>
              <w:pStyle w:val="NormalWeb"/>
              <w:jc w:val="center"/>
              <w:rPr>
                <w:color w:val="FFFFFF" w:themeColor="background1"/>
              </w:rPr>
            </w:pPr>
            <w:r w:rsidRPr="001D0647">
              <w:rPr>
                <w:color w:val="FFFFFF" w:themeColor="background1"/>
              </w:rPr>
              <w:t>Major city</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2D43BCB" w14:textId="77777777" w:rsidR="00AF134D" w:rsidRPr="001D0647" w:rsidRDefault="00AF134D" w:rsidP="00AF134D">
            <w:pPr>
              <w:pStyle w:val="NormalWeb"/>
              <w:jc w:val="center"/>
              <w:rPr>
                <w:color w:val="FFFFFF" w:themeColor="background1"/>
              </w:rPr>
            </w:pPr>
            <w:r w:rsidRPr="001D0647">
              <w:rPr>
                <w:color w:val="FFFFFF" w:themeColor="background1"/>
              </w:rPr>
              <w:t>Inner regional</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73068E12" w14:textId="77777777" w:rsidR="00AF134D" w:rsidRPr="001D0647" w:rsidRDefault="00AF134D" w:rsidP="00AF134D">
            <w:pPr>
              <w:pStyle w:val="NormalWeb"/>
              <w:jc w:val="center"/>
              <w:rPr>
                <w:color w:val="FFFFFF" w:themeColor="background1"/>
              </w:rPr>
            </w:pPr>
            <w:r w:rsidRPr="001D0647">
              <w:rPr>
                <w:color w:val="FFFFFF" w:themeColor="background1"/>
              </w:rPr>
              <w:t>Outer regional</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D8532A3" w14:textId="77777777" w:rsidR="00AF134D" w:rsidRPr="001D0647" w:rsidRDefault="00AF134D" w:rsidP="00AF134D">
            <w:pPr>
              <w:pStyle w:val="NormalWeb"/>
              <w:jc w:val="center"/>
              <w:rPr>
                <w:color w:val="FFFFFF" w:themeColor="background1"/>
              </w:rPr>
            </w:pPr>
            <w:r w:rsidRPr="001D0647">
              <w:rPr>
                <w:color w:val="FFFFFF" w:themeColor="background1"/>
              </w:rPr>
              <w:t>Remote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9F478D8" w14:textId="77777777" w:rsidR="00AF134D" w:rsidRPr="001D0647" w:rsidRDefault="00AF134D" w:rsidP="00AF134D">
            <w:pPr>
              <w:pStyle w:val="NormalWeb"/>
              <w:jc w:val="center"/>
              <w:rPr>
                <w:color w:val="FFFFFF" w:themeColor="background1"/>
              </w:rPr>
            </w:pPr>
            <w:r w:rsidRPr="001D0647">
              <w:rPr>
                <w:color w:val="FFFFFF" w:themeColor="background1"/>
              </w:rPr>
              <w:t>Overseas resident</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2CCEA50" w14:textId="77777777" w:rsidR="00AF134D" w:rsidRPr="001D0647" w:rsidRDefault="00AF134D" w:rsidP="00AF134D">
            <w:pPr>
              <w:pStyle w:val="NormalWeb"/>
              <w:jc w:val="center"/>
              <w:rPr>
                <w:color w:val="FFFFFF" w:themeColor="background1"/>
              </w:rPr>
            </w:pPr>
            <w:r w:rsidRPr="001D0647">
              <w:rPr>
                <w:color w:val="FFFFFF" w:themeColor="background1"/>
              </w:rPr>
              <w:t>Unknown</w:t>
            </w: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5A45AB7E" w14:textId="77777777" w:rsidR="00AF134D" w:rsidRPr="001D0647" w:rsidRDefault="00AF134D" w:rsidP="00AF134D">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3DD0F5F6" w14:textId="77777777" w:rsidR="00AF134D" w:rsidRPr="001D0647" w:rsidRDefault="00AF134D" w:rsidP="00AF134D">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tcBorders>
            <w:hideMark/>
          </w:tcPr>
          <w:p w14:paraId="1478BB82" w14:textId="77777777" w:rsidR="00AF134D" w:rsidRPr="001D0647" w:rsidRDefault="00AF134D" w:rsidP="00AF134D">
            <w:pPr>
              <w:jc w:val="center"/>
              <w:rPr>
                <w:color w:val="FFFFFF" w:themeColor="background1"/>
                <w:sz w:val="24"/>
                <w:szCs w:val="24"/>
              </w:rPr>
            </w:pPr>
          </w:p>
        </w:tc>
      </w:tr>
      <w:tr w:rsidR="00AF134D" w14:paraId="42122C2B" w14:textId="77777777" w:rsidTr="00AF134D">
        <w:tblPrEx>
          <w:tblCellMar>
            <w:top w:w="57" w:type="dxa"/>
            <w:left w:w="57" w:type="dxa"/>
            <w:bottom w:w="57" w:type="dxa"/>
            <w:right w:w="57" w:type="dxa"/>
          </w:tblCellMar>
        </w:tblPrEx>
        <w:tc>
          <w:tcPr>
            <w:tcW w:w="0" w:type="auto"/>
            <w:hideMark/>
          </w:tcPr>
          <w:p w14:paraId="754182AC" w14:textId="77777777" w:rsidR="00AF134D" w:rsidRDefault="00AF134D" w:rsidP="00AF134D">
            <w:pPr>
              <w:pStyle w:val="NormalWeb"/>
            </w:pPr>
            <w:r>
              <w:t>ACT</w:t>
            </w:r>
          </w:p>
        </w:tc>
        <w:tc>
          <w:tcPr>
            <w:tcW w:w="0" w:type="auto"/>
            <w:hideMark/>
          </w:tcPr>
          <w:p w14:paraId="6D3F05A1" w14:textId="77777777" w:rsidR="00AF134D" w:rsidRDefault="00AF134D" w:rsidP="00AF134D">
            <w:pPr>
              <w:pStyle w:val="NormalWeb"/>
              <w:jc w:val="center"/>
            </w:pPr>
            <w:r>
              <w:t>42</w:t>
            </w:r>
          </w:p>
        </w:tc>
        <w:tc>
          <w:tcPr>
            <w:tcW w:w="0" w:type="auto"/>
            <w:hideMark/>
          </w:tcPr>
          <w:p w14:paraId="25C7E927" w14:textId="77777777" w:rsidR="00AF134D" w:rsidRDefault="00AF134D" w:rsidP="00AF134D">
            <w:pPr>
              <w:pStyle w:val="NormalWeb"/>
              <w:jc w:val="center"/>
            </w:pPr>
            <w:r>
              <w:t>0</w:t>
            </w:r>
          </w:p>
        </w:tc>
        <w:tc>
          <w:tcPr>
            <w:tcW w:w="0" w:type="auto"/>
            <w:hideMark/>
          </w:tcPr>
          <w:p w14:paraId="014833CB" w14:textId="77777777" w:rsidR="00AF134D" w:rsidRDefault="00AF134D" w:rsidP="00AF134D">
            <w:pPr>
              <w:pStyle w:val="NormalWeb"/>
              <w:jc w:val="center"/>
            </w:pPr>
            <w:r>
              <w:t>0</w:t>
            </w:r>
          </w:p>
        </w:tc>
        <w:tc>
          <w:tcPr>
            <w:tcW w:w="0" w:type="auto"/>
            <w:hideMark/>
          </w:tcPr>
          <w:p w14:paraId="49F7B62E" w14:textId="77777777" w:rsidR="00AF134D" w:rsidRDefault="00AF134D" w:rsidP="00AF134D">
            <w:pPr>
              <w:pStyle w:val="NormalWeb"/>
              <w:jc w:val="center"/>
            </w:pPr>
            <w:r>
              <w:t>0</w:t>
            </w:r>
          </w:p>
        </w:tc>
        <w:tc>
          <w:tcPr>
            <w:tcW w:w="0" w:type="auto"/>
            <w:hideMark/>
          </w:tcPr>
          <w:p w14:paraId="3F14EED6" w14:textId="77777777" w:rsidR="00AF134D" w:rsidRDefault="00AF134D" w:rsidP="00AF134D">
            <w:pPr>
              <w:pStyle w:val="NormalWeb"/>
              <w:jc w:val="center"/>
            </w:pPr>
            <w:r>
              <w:t>0</w:t>
            </w:r>
          </w:p>
        </w:tc>
        <w:tc>
          <w:tcPr>
            <w:tcW w:w="0" w:type="auto"/>
            <w:hideMark/>
          </w:tcPr>
          <w:p w14:paraId="211B4ACE" w14:textId="77777777" w:rsidR="00AF134D" w:rsidRDefault="00AF134D" w:rsidP="00AF134D">
            <w:pPr>
              <w:pStyle w:val="NormalWeb"/>
              <w:jc w:val="center"/>
            </w:pPr>
            <w:r>
              <w:t>0</w:t>
            </w:r>
          </w:p>
        </w:tc>
        <w:tc>
          <w:tcPr>
            <w:tcW w:w="0" w:type="auto"/>
            <w:hideMark/>
          </w:tcPr>
          <w:p w14:paraId="2F118A1E" w14:textId="77777777" w:rsidR="00AF134D" w:rsidRDefault="00AF134D" w:rsidP="00AF134D">
            <w:pPr>
              <w:pStyle w:val="NormalWeb"/>
              <w:jc w:val="center"/>
            </w:pPr>
            <w:r>
              <w:t>0</w:t>
            </w:r>
          </w:p>
        </w:tc>
        <w:tc>
          <w:tcPr>
            <w:tcW w:w="0" w:type="auto"/>
            <w:hideMark/>
          </w:tcPr>
          <w:p w14:paraId="4EEC6D1A" w14:textId="77777777" w:rsidR="00AF134D" w:rsidRDefault="00AF134D" w:rsidP="00AF134D">
            <w:pPr>
              <w:pStyle w:val="NormalWeb"/>
              <w:jc w:val="center"/>
            </w:pPr>
            <w:r>
              <w:t>0</w:t>
            </w:r>
          </w:p>
        </w:tc>
        <w:tc>
          <w:tcPr>
            <w:tcW w:w="0" w:type="auto"/>
            <w:hideMark/>
          </w:tcPr>
          <w:p w14:paraId="5F224DDE" w14:textId="77777777" w:rsidR="00AF134D" w:rsidRDefault="00AF134D" w:rsidP="00AF134D">
            <w:pPr>
              <w:pStyle w:val="NormalWeb"/>
              <w:jc w:val="center"/>
            </w:pPr>
            <w:r>
              <w:t>42</w:t>
            </w:r>
          </w:p>
        </w:tc>
      </w:tr>
      <w:tr w:rsidR="00AF134D" w14:paraId="04295AFD"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E354463" w14:textId="77777777" w:rsidR="00AF134D" w:rsidRDefault="00AF134D" w:rsidP="00AF134D">
            <w:pPr>
              <w:pStyle w:val="NormalWeb"/>
            </w:pPr>
            <w:r>
              <w:t>NSW</w:t>
            </w:r>
          </w:p>
        </w:tc>
        <w:tc>
          <w:tcPr>
            <w:tcW w:w="0" w:type="auto"/>
            <w:hideMark/>
          </w:tcPr>
          <w:p w14:paraId="6C8D70D7" w14:textId="77777777" w:rsidR="00AF134D" w:rsidRDefault="00AF134D" w:rsidP="00AF134D">
            <w:pPr>
              <w:pStyle w:val="NormalWeb"/>
              <w:jc w:val="center"/>
            </w:pPr>
            <w:r>
              <w:t>1,911</w:t>
            </w:r>
          </w:p>
        </w:tc>
        <w:tc>
          <w:tcPr>
            <w:tcW w:w="0" w:type="auto"/>
            <w:hideMark/>
          </w:tcPr>
          <w:p w14:paraId="092ED102" w14:textId="77777777" w:rsidR="00AF134D" w:rsidRDefault="00AF134D" w:rsidP="00AF134D">
            <w:pPr>
              <w:pStyle w:val="NormalWeb"/>
              <w:jc w:val="center"/>
            </w:pPr>
            <w:r>
              <w:t>521</w:t>
            </w:r>
          </w:p>
        </w:tc>
        <w:tc>
          <w:tcPr>
            <w:tcW w:w="0" w:type="auto"/>
            <w:hideMark/>
          </w:tcPr>
          <w:p w14:paraId="6414F897" w14:textId="77777777" w:rsidR="00AF134D" w:rsidRDefault="00AF134D" w:rsidP="00AF134D">
            <w:pPr>
              <w:pStyle w:val="NormalWeb"/>
              <w:jc w:val="center"/>
            </w:pPr>
            <w:r>
              <w:t>135</w:t>
            </w:r>
          </w:p>
        </w:tc>
        <w:tc>
          <w:tcPr>
            <w:tcW w:w="0" w:type="auto"/>
            <w:hideMark/>
          </w:tcPr>
          <w:p w14:paraId="1391A1E8" w14:textId="77777777" w:rsidR="00AF134D" w:rsidRDefault="00AF134D" w:rsidP="00AF134D">
            <w:pPr>
              <w:pStyle w:val="NormalWeb"/>
              <w:jc w:val="center"/>
            </w:pPr>
            <w:r>
              <w:t>260</w:t>
            </w:r>
          </w:p>
        </w:tc>
        <w:tc>
          <w:tcPr>
            <w:tcW w:w="0" w:type="auto"/>
            <w:hideMark/>
          </w:tcPr>
          <w:p w14:paraId="54FD0E15" w14:textId="77777777" w:rsidR="00AF134D" w:rsidRDefault="00AF134D" w:rsidP="00AF134D">
            <w:pPr>
              <w:pStyle w:val="NormalWeb"/>
              <w:jc w:val="center"/>
            </w:pPr>
            <w:r>
              <w:t>2</w:t>
            </w:r>
          </w:p>
        </w:tc>
        <w:tc>
          <w:tcPr>
            <w:tcW w:w="0" w:type="auto"/>
            <w:hideMark/>
          </w:tcPr>
          <w:p w14:paraId="0B121C71" w14:textId="77777777" w:rsidR="00AF134D" w:rsidRDefault="00AF134D" w:rsidP="00AF134D">
            <w:pPr>
              <w:pStyle w:val="NormalWeb"/>
              <w:jc w:val="center"/>
            </w:pPr>
            <w:r>
              <w:t>34</w:t>
            </w:r>
          </w:p>
        </w:tc>
        <w:tc>
          <w:tcPr>
            <w:tcW w:w="0" w:type="auto"/>
            <w:hideMark/>
          </w:tcPr>
          <w:p w14:paraId="50D9C23D" w14:textId="77777777" w:rsidR="00AF134D" w:rsidRDefault="00AF134D" w:rsidP="00AF134D">
            <w:pPr>
              <w:pStyle w:val="NormalWeb"/>
              <w:jc w:val="center"/>
            </w:pPr>
            <w:r>
              <w:t>2</w:t>
            </w:r>
          </w:p>
        </w:tc>
        <w:tc>
          <w:tcPr>
            <w:tcW w:w="0" w:type="auto"/>
            <w:hideMark/>
          </w:tcPr>
          <w:p w14:paraId="4CFD77EC" w14:textId="77777777" w:rsidR="00AF134D" w:rsidRDefault="00AF134D" w:rsidP="00AF134D">
            <w:pPr>
              <w:pStyle w:val="NormalWeb"/>
              <w:jc w:val="center"/>
            </w:pPr>
            <w:r>
              <w:t>8</w:t>
            </w:r>
          </w:p>
        </w:tc>
        <w:tc>
          <w:tcPr>
            <w:tcW w:w="0" w:type="auto"/>
            <w:hideMark/>
          </w:tcPr>
          <w:p w14:paraId="32EE89CD" w14:textId="77777777" w:rsidR="00AF134D" w:rsidRDefault="00AF134D" w:rsidP="00AF134D">
            <w:pPr>
              <w:pStyle w:val="NormalWeb"/>
              <w:jc w:val="center"/>
            </w:pPr>
            <w:r>
              <w:t>2,873</w:t>
            </w:r>
          </w:p>
        </w:tc>
      </w:tr>
      <w:tr w:rsidR="00AF134D" w14:paraId="3C92DF75" w14:textId="77777777" w:rsidTr="00AF134D">
        <w:tblPrEx>
          <w:tblCellMar>
            <w:top w:w="57" w:type="dxa"/>
            <w:left w:w="57" w:type="dxa"/>
            <w:bottom w:w="57" w:type="dxa"/>
            <w:right w:w="57" w:type="dxa"/>
          </w:tblCellMar>
        </w:tblPrEx>
        <w:tc>
          <w:tcPr>
            <w:tcW w:w="0" w:type="auto"/>
            <w:hideMark/>
          </w:tcPr>
          <w:p w14:paraId="41944366" w14:textId="77777777" w:rsidR="00AF134D" w:rsidRDefault="00AF134D" w:rsidP="00AF134D">
            <w:pPr>
              <w:pStyle w:val="NormalWeb"/>
            </w:pPr>
            <w:r>
              <w:t>NT</w:t>
            </w:r>
          </w:p>
        </w:tc>
        <w:tc>
          <w:tcPr>
            <w:tcW w:w="0" w:type="auto"/>
            <w:hideMark/>
          </w:tcPr>
          <w:p w14:paraId="6FEA6F54" w14:textId="77777777" w:rsidR="00AF134D" w:rsidRDefault="00AF134D" w:rsidP="00AF134D">
            <w:pPr>
              <w:pStyle w:val="NormalWeb"/>
              <w:jc w:val="center"/>
            </w:pPr>
            <w:r>
              <w:t>0</w:t>
            </w:r>
          </w:p>
        </w:tc>
        <w:tc>
          <w:tcPr>
            <w:tcW w:w="0" w:type="auto"/>
            <w:hideMark/>
          </w:tcPr>
          <w:p w14:paraId="0FBDCA1A" w14:textId="77777777" w:rsidR="00AF134D" w:rsidRDefault="00AF134D" w:rsidP="00AF134D">
            <w:pPr>
              <w:pStyle w:val="NormalWeb"/>
              <w:jc w:val="center"/>
            </w:pPr>
            <w:r>
              <w:t>0</w:t>
            </w:r>
          </w:p>
        </w:tc>
        <w:tc>
          <w:tcPr>
            <w:tcW w:w="0" w:type="auto"/>
            <w:hideMark/>
          </w:tcPr>
          <w:p w14:paraId="7EFF002A" w14:textId="77777777" w:rsidR="00AF134D" w:rsidRDefault="00AF134D" w:rsidP="00AF134D">
            <w:pPr>
              <w:pStyle w:val="NormalWeb"/>
              <w:jc w:val="center"/>
            </w:pPr>
            <w:r>
              <w:t>0</w:t>
            </w:r>
          </w:p>
        </w:tc>
        <w:tc>
          <w:tcPr>
            <w:tcW w:w="0" w:type="auto"/>
            <w:hideMark/>
          </w:tcPr>
          <w:p w14:paraId="17B6385B" w14:textId="77777777" w:rsidR="00AF134D" w:rsidRDefault="00AF134D" w:rsidP="00AF134D">
            <w:pPr>
              <w:pStyle w:val="NormalWeb"/>
              <w:jc w:val="center"/>
            </w:pPr>
            <w:r>
              <w:t>0</w:t>
            </w:r>
          </w:p>
        </w:tc>
        <w:tc>
          <w:tcPr>
            <w:tcW w:w="0" w:type="auto"/>
            <w:hideMark/>
          </w:tcPr>
          <w:p w14:paraId="449CC084" w14:textId="77777777" w:rsidR="00AF134D" w:rsidRDefault="00AF134D" w:rsidP="00AF134D">
            <w:pPr>
              <w:pStyle w:val="NormalWeb"/>
              <w:jc w:val="center"/>
            </w:pPr>
            <w:r>
              <w:t>0</w:t>
            </w:r>
          </w:p>
        </w:tc>
        <w:tc>
          <w:tcPr>
            <w:tcW w:w="0" w:type="auto"/>
            <w:hideMark/>
          </w:tcPr>
          <w:p w14:paraId="4C927067" w14:textId="77777777" w:rsidR="00AF134D" w:rsidRDefault="00AF134D" w:rsidP="00AF134D">
            <w:pPr>
              <w:pStyle w:val="NormalWeb"/>
              <w:jc w:val="center"/>
            </w:pPr>
            <w:r>
              <w:t>0</w:t>
            </w:r>
          </w:p>
        </w:tc>
        <w:tc>
          <w:tcPr>
            <w:tcW w:w="0" w:type="auto"/>
            <w:hideMark/>
          </w:tcPr>
          <w:p w14:paraId="28EF0133" w14:textId="77777777" w:rsidR="00AF134D" w:rsidRDefault="00AF134D" w:rsidP="00AF134D">
            <w:pPr>
              <w:pStyle w:val="NormalWeb"/>
              <w:jc w:val="center"/>
            </w:pPr>
            <w:r>
              <w:t>0</w:t>
            </w:r>
          </w:p>
        </w:tc>
        <w:tc>
          <w:tcPr>
            <w:tcW w:w="0" w:type="auto"/>
            <w:hideMark/>
          </w:tcPr>
          <w:p w14:paraId="740DDCF0" w14:textId="77777777" w:rsidR="00AF134D" w:rsidRDefault="00AF134D" w:rsidP="00AF134D">
            <w:pPr>
              <w:pStyle w:val="NormalWeb"/>
              <w:jc w:val="center"/>
            </w:pPr>
            <w:r>
              <w:t>0</w:t>
            </w:r>
          </w:p>
        </w:tc>
        <w:tc>
          <w:tcPr>
            <w:tcW w:w="0" w:type="auto"/>
            <w:hideMark/>
          </w:tcPr>
          <w:p w14:paraId="52E1D41B" w14:textId="77777777" w:rsidR="00AF134D" w:rsidRDefault="00AF134D" w:rsidP="00AF134D">
            <w:pPr>
              <w:pStyle w:val="NormalWeb"/>
              <w:jc w:val="center"/>
            </w:pPr>
            <w:r>
              <w:t>0</w:t>
            </w:r>
          </w:p>
        </w:tc>
      </w:tr>
      <w:tr w:rsidR="00AF134D" w14:paraId="3D2A5732"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9936890" w14:textId="77777777" w:rsidR="00AF134D" w:rsidRDefault="00AF134D" w:rsidP="00AF134D">
            <w:pPr>
              <w:pStyle w:val="NormalWeb"/>
            </w:pPr>
            <w:r>
              <w:t>Qld</w:t>
            </w:r>
          </w:p>
        </w:tc>
        <w:tc>
          <w:tcPr>
            <w:tcW w:w="0" w:type="auto"/>
            <w:hideMark/>
          </w:tcPr>
          <w:p w14:paraId="571F4D14" w14:textId="77777777" w:rsidR="00AF134D" w:rsidRDefault="00AF134D" w:rsidP="00AF134D">
            <w:pPr>
              <w:pStyle w:val="NormalWeb"/>
              <w:jc w:val="center"/>
            </w:pPr>
            <w:r>
              <w:t>3</w:t>
            </w:r>
          </w:p>
        </w:tc>
        <w:tc>
          <w:tcPr>
            <w:tcW w:w="0" w:type="auto"/>
            <w:hideMark/>
          </w:tcPr>
          <w:p w14:paraId="66DCE044" w14:textId="77777777" w:rsidR="00AF134D" w:rsidRDefault="00AF134D" w:rsidP="00AF134D">
            <w:pPr>
              <w:pStyle w:val="NormalWeb"/>
              <w:jc w:val="center"/>
            </w:pPr>
            <w:r>
              <w:t>0</w:t>
            </w:r>
          </w:p>
        </w:tc>
        <w:tc>
          <w:tcPr>
            <w:tcW w:w="0" w:type="auto"/>
            <w:hideMark/>
          </w:tcPr>
          <w:p w14:paraId="42946F0A" w14:textId="77777777" w:rsidR="00AF134D" w:rsidRDefault="00AF134D" w:rsidP="00AF134D">
            <w:pPr>
              <w:pStyle w:val="NormalWeb"/>
              <w:jc w:val="center"/>
            </w:pPr>
            <w:r>
              <w:t>0</w:t>
            </w:r>
          </w:p>
        </w:tc>
        <w:tc>
          <w:tcPr>
            <w:tcW w:w="0" w:type="auto"/>
            <w:hideMark/>
          </w:tcPr>
          <w:p w14:paraId="5374A068" w14:textId="77777777" w:rsidR="00AF134D" w:rsidRDefault="00AF134D" w:rsidP="00AF134D">
            <w:pPr>
              <w:pStyle w:val="NormalWeb"/>
              <w:jc w:val="center"/>
            </w:pPr>
            <w:r>
              <w:t>0</w:t>
            </w:r>
          </w:p>
        </w:tc>
        <w:tc>
          <w:tcPr>
            <w:tcW w:w="0" w:type="auto"/>
            <w:hideMark/>
          </w:tcPr>
          <w:p w14:paraId="3C3AA473" w14:textId="77777777" w:rsidR="00AF134D" w:rsidRDefault="00AF134D" w:rsidP="00AF134D">
            <w:pPr>
              <w:pStyle w:val="NormalWeb"/>
              <w:jc w:val="center"/>
            </w:pPr>
            <w:r>
              <w:t>0</w:t>
            </w:r>
          </w:p>
        </w:tc>
        <w:tc>
          <w:tcPr>
            <w:tcW w:w="0" w:type="auto"/>
            <w:hideMark/>
          </w:tcPr>
          <w:p w14:paraId="30C3B47B" w14:textId="77777777" w:rsidR="00AF134D" w:rsidRDefault="00AF134D" w:rsidP="00AF134D">
            <w:pPr>
              <w:pStyle w:val="NormalWeb"/>
              <w:jc w:val="center"/>
            </w:pPr>
            <w:r>
              <w:t>0</w:t>
            </w:r>
          </w:p>
        </w:tc>
        <w:tc>
          <w:tcPr>
            <w:tcW w:w="0" w:type="auto"/>
            <w:hideMark/>
          </w:tcPr>
          <w:p w14:paraId="5EEFB151" w14:textId="77777777" w:rsidR="00AF134D" w:rsidRDefault="00AF134D" w:rsidP="00AF134D">
            <w:pPr>
              <w:pStyle w:val="NormalWeb"/>
              <w:jc w:val="center"/>
            </w:pPr>
            <w:r>
              <w:t>3</w:t>
            </w:r>
          </w:p>
        </w:tc>
        <w:tc>
          <w:tcPr>
            <w:tcW w:w="0" w:type="auto"/>
            <w:hideMark/>
          </w:tcPr>
          <w:p w14:paraId="2C725A14" w14:textId="77777777" w:rsidR="00AF134D" w:rsidRDefault="00AF134D" w:rsidP="00AF134D">
            <w:pPr>
              <w:pStyle w:val="NormalWeb"/>
              <w:jc w:val="center"/>
            </w:pPr>
            <w:r>
              <w:t>0</w:t>
            </w:r>
          </w:p>
        </w:tc>
        <w:tc>
          <w:tcPr>
            <w:tcW w:w="0" w:type="auto"/>
            <w:hideMark/>
          </w:tcPr>
          <w:p w14:paraId="39F66917" w14:textId="77777777" w:rsidR="00AF134D" w:rsidRDefault="00AF134D" w:rsidP="00AF134D">
            <w:pPr>
              <w:pStyle w:val="NormalWeb"/>
              <w:jc w:val="center"/>
            </w:pPr>
            <w:r>
              <w:t>6</w:t>
            </w:r>
          </w:p>
        </w:tc>
      </w:tr>
      <w:tr w:rsidR="00AF134D" w14:paraId="19AD1CB1" w14:textId="77777777" w:rsidTr="00AF134D">
        <w:tblPrEx>
          <w:tblCellMar>
            <w:top w:w="57" w:type="dxa"/>
            <w:left w:w="57" w:type="dxa"/>
            <w:bottom w:w="57" w:type="dxa"/>
            <w:right w:w="57" w:type="dxa"/>
          </w:tblCellMar>
        </w:tblPrEx>
        <w:tc>
          <w:tcPr>
            <w:tcW w:w="0" w:type="auto"/>
            <w:hideMark/>
          </w:tcPr>
          <w:p w14:paraId="1C5FE9B7" w14:textId="77777777" w:rsidR="00AF134D" w:rsidRDefault="00AF134D" w:rsidP="00AF134D">
            <w:pPr>
              <w:pStyle w:val="NormalWeb"/>
            </w:pPr>
            <w:r>
              <w:t>SA</w:t>
            </w:r>
          </w:p>
        </w:tc>
        <w:tc>
          <w:tcPr>
            <w:tcW w:w="0" w:type="auto"/>
            <w:hideMark/>
          </w:tcPr>
          <w:p w14:paraId="2695CF13" w14:textId="77777777" w:rsidR="00AF134D" w:rsidRDefault="00AF134D" w:rsidP="00AF134D">
            <w:pPr>
              <w:pStyle w:val="NormalWeb"/>
              <w:jc w:val="center"/>
            </w:pPr>
            <w:r>
              <w:t>0</w:t>
            </w:r>
          </w:p>
        </w:tc>
        <w:tc>
          <w:tcPr>
            <w:tcW w:w="0" w:type="auto"/>
            <w:hideMark/>
          </w:tcPr>
          <w:p w14:paraId="5C35CB37" w14:textId="77777777" w:rsidR="00AF134D" w:rsidRDefault="00AF134D" w:rsidP="00AF134D">
            <w:pPr>
              <w:pStyle w:val="NormalWeb"/>
              <w:jc w:val="center"/>
            </w:pPr>
            <w:r>
              <w:t>0</w:t>
            </w:r>
          </w:p>
        </w:tc>
        <w:tc>
          <w:tcPr>
            <w:tcW w:w="0" w:type="auto"/>
            <w:hideMark/>
          </w:tcPr>
          <w:p w14:paraId="16C1E97B" w14:textId="77777777" w:rsidR="00AF134D" w:rsidRDefault="00AF134D" w:rsidP="00AF134D">
            <w:pPr>
              <w:pStyle w:val="NormalWeb"/>
              <w:jc w:val="center"/>
            </w:pPr>
            <w:r>
              <w:t>0</w:t>
            </w:r>
          </w:p>
        </w:tc>
        <w:tc>
          <w:tcPr>
            <w:tcW w:w="0" w:type="auto"/>
            <w:hideMark/>
          </w:tcPr>
          <w:p w14:paraId="2826C7C3" w14:textId="77777777" w:rsidR="00AF134D" w:rsidRDefault="00AF134D" w:rsidP="00AF134D">
            <w:pPr>
              <w:pStyle w:val="NormalWeb"/>
              <w:jc w:val="center"/>
            </w:pPr>
            <w:r>
              <w:t>0</w:t>
            </w:r>
          </w:p>
        </w:tc>
        <w:tc>
          <w:tcPr>
            <w:tcW w:w="0" w:type="auto"/>
            <w:hideMark/>
          </w:tcPr>
          <w:p w14:paraId="72CA4087" w14:textId="77777777" w:rsidR="00AF134D" w:rsidRDefault="00AF134D" w:rsidP="00AF134D">
            <w:pPr>
              <w:pStyle w:val="NormalWeb"/>
              <w:jc w:val="center"/>
            </w:pPr>
            <w:r>
              <w:t>0</w:t>
            </w:r>
          </w:p>
        </w:tc>
        <w:tc>
          <w:tcPr>
            <w:tcW w:w="0" w:type="auto"/>
            <w:hideMark/>
          </w:tcPr>
          <w:p w14:paraId="541A8031" w14:textId="77777777" w:rsidR="00AF134D" w:rsidRDefault="00AF134D" w:rsidP="00AF134D">
            <w:pPr>
              <w:pStyle w:val="NormalWeb"/>
              <w:jc w:val="center"/>
            </w:pPr>
            <w:r>
              <w:t>0</w:t>
            </w:r>
          </w:p>
        </w:tc>
        <w:tc>
          <w:tcPr>
            <w:tcW w:w="0" w:type="auto"/>
            <w:hideMark/>
          </w:tcPr>
          <w:p w14:paraId="17B4A91A" w14:textId="77777777" w:rsidR="00AF134D" w:rsidRDefault="00AF134D" w:rsidP="00AF134D">
            <w:pPr>
              <w:pStyle w:val="NormalWeb"/>
              <w:jc w:val="center"/>
            </w:pPr>
            <w:r>
              <w:t>0</w:t>
            </w:r>
          </w:p>
        </w:tc>
        <w:tc>
          <w:tcPr>
            <w:tcW w:w="0" w:type="auto"/>
            <w:hideMark/>
          </w:tcPr>
          <w:p w14:paraId="08C800FF" w14:textId="77777777" w:rsidR="00AF134D" w:rsidRDefault="00AF134D" w:rsidP="00AF134D">
            <w:pPr>
              <w:pStyle w:val="NormalWeb"/>
              <w:jc w:val="center"/>
            </w:pPr>
            <w:r>
              <w:t>0</w:t>
            </w:r>
          </w:p>
        </w:tc>
        <w:tc>
          <w:tcPr>
            <w:tcW w:w="0" w:type="auto"/>
            <w:hideMark/>
          </w:tcPr>
          <w:p w14:paraId="7BDAF31A" w14:textId="77777777" w:rsidR="00AF134D" w:rsidRDefault="00AF134D" w:rsidP="00AF134D">
            <w:pPr>
              <w:pStyle w:val="NormalWeb"/>
              <w:jc w:val="center"/>
            </w:pPr>
            <w:r>
              <w:t>0</w:t>
            </w:r>
          </w:p>
        </w:tc>
      </w:tr>
      <w:tr w:rsidR="00AF134D" w14:paraId="768102C6"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13269AD" w14:textId="77777777" w:rsidR="00AF134D" w:rsidRDefault="00AF134D" w:rsidP="00AF134D">
            <w:pPr>
              <w:pStyle w:val="NormalWeb"/>
            </w:pPr>
            <w:r>
              <w:t>Tas.</w:t>
            </w:r>
          </w:p>
        </w:tc>
        <w:tc>
          <w:tcPr>
            <w:tcW w:w="0" w:type="auto"/>
            <w:hideMark/>
          </w:tcPr>
          <w:p w14:paraId="260CCE3E" w14:textId="77777777" w:rsidR="00AF134D" w:rsidRDefault="00AF134D" w:rsidP="00AF134D">
            <w:pPr>
              <w:pStyle w:val="NormalWeb"/>
              <w:jc w:val="center"/>
            </w:pPr>
            <w:r>
              <w:t>0</w:t>
            </w:r>
          </w:p>
        </w:tc>
        <w:tc>
          <w:tcPr>
            <w:tcW w:w="0" w:type="auto"/>
            <w:hideMark/>
          </w:tcPr>
          <w:p w14:paraId="5450E36F" w14:textId="77777777" w:rsidR="00AF134D" w:rsidRDefault="00AF134D" w:rsidP="00AF134D">
            <w:pPr>
              <w:pStyle w:val="NormalWeb"/>
              <w:jc w:val="center"/>
            </w:pPr>
            <w:r>
              <w:t>0</w:t>
            </w:r>
          </w:p>
        </w:tc>
        <w:tc>
          <w:tcPr>
            <w:tcW w:w="0" w:type="auto"/>
            <w:hideMark/>
          </w:tcPr>
          <w:p w14:paraId="3E31FB08" w14:textId="77777777" w:rsidR="00AF134D" w:rsidRDefault="00AF134D" w:rsidP="00AF134D">
            <w:pPr>
              <w:pStyle w:val="NormalWeb"/>
              <w:jc w:val="center"/>
            </w:pPr>
            <w:r>
              <w:t>0</w:t>
            </w:r>
          </w:p>
        </w:tc>
        <w:tc>
          <w:tcPr>
            <w:tcW w:w="0" w:type="auto"/>
            <w:hideMark/>
          </w:tcPr>
          <w:p w14:paraId="1E78365A" w14:textId="77777777" w:rsidR="00AF134D" w:rsidRDefault="00AF134D" w:rsidP="00AF134D">
            <w:pPr>
              <w:pStyle w:val="NormalWeb"/>
              <w:jc w:val="center"/>
            </w:pPr>
            <w:r>
              <w:t>0</w:t>
            </w:r>
          </w:p>
        </w:tc>
        <w:tc>
          <w:tcPr>
            <w:tcW w:w="0" w:type="auto"/>
            <w:hideMark/>
          </w:tcPr>
          <w:p w14:paraId="04C9E960" w14:textId="77777777" w:rsidR="00AF134D" w:rsidRDefault="00AF134D" w:rsidP="00AF134D">
            <w:pPr>
              <w:pStyle w:val="NormalWeb"/>
              <w:jc w:val="center"/>
            </w:pPr>
            <w:r>
              <w:t>0</w:t>
            </w:r>
          </w:p>
        </w:tc>
        <w:tc>
          <w:tcPr>
            <w:tcW w:w="0" w:type="auto"/>
            <w:hideMark/>
          </w:tcPr>
          <w:p w14:paraId="510AB0B6" w14:textId="77777777" w:rsidR="00AF134D" w:rsidRDefault="00AF134D" w:rsidP="00AF134D">
            <w:pPr>
              <w:pStyle w:val="NormalWeb"/>
              <w:jc w:val="center"/>
            </w:pPr>
            <w:r>
              <w:t>0</w:t>
            </w:r>
          </w:p>
        </w:tc>
        <w:tc>
          <w:tcPr>
            <w:tcW w:w="0" w:type="auto"/>
            <w:hideMark/>
          </w:tcPr>
          <w:p w14:paraId="222A0FBC" w14:textId="77777777" w:rsidR="00AF134D" w:rsidRDefault="00AF134D" w:rsidP="00AF134D">
            <w:pPr>
              <w:pStyle w:val="NormalWeb"/>
              <w:jc w:val="center"/>
            </w:pPr>
            <w:r>
              <w:t>0</w:t>
            </w:r>
          </w:p>
        </w:tc>
        <w:tc>
          <w:tcPr>
            <w:tcW w:w="0" w:type="auto"/>
            <w:hideMark/>
          </w:tcPr>
          <w:p w14:paraId="42AA5C10" w14:textId="77777777" w:rsidR="00AF134D" w:rsidRDefault="00AF134D" w:rsidP="00AF134D">
            <w:pPr>
              <w:pStyle w:val="NormalWeb"/>
              <w:jc w:val="center"/>
            </w:pPr>
            <w:r>
              <w:t>0</w:t>
            </w:r>
          </w:p>
        </w:tc>
        <w:tc>
          <w:tcPr>
            <w:tcW w:w="0" w:type="auto"/>
            <w:hideMark/>
          </w:tcPr>
          <w:p w14:paraId="1C9AB791" w14:textId="77777777" w:rsidR="00AF134D" w:rsidRDefault="00AF134D" w:rsidP="00AF134D">
            <w:pPr>
              <w:pStyle w:val="NormalWeb"/>
              <w:jc w:val="center"/>
            </w:pPr>
            <w:r>
              <w:t>0</w:t>
            </w:r>
          </w:p>
        </w:tc>
      </w:tr>
      <w:tr w:rsidR="00AF134D" w14:paraId="483C8762" w14:textId="77777777" w:rsidTr="00AF134D">
        <w:tblPrEx>
          <w:tblCellMar>
            <w:top w:w="57" w:type="dxa"/>
            <w:left w:w="57" w:type="dxa"/>
            <w:bottom w:w="57" w:type="dxa"/>
            <w:right w:w="57" w:type="dxa"/>
          </w:tblCellMar>
        </w:tblPrEx>
        <w:tc>
          <w:tcPr>
            <w:tcW w:w="0" w:type="auto"/>
            <w:hideMark/>
          </w:tcPr>
          <w:p w14:paraId="4E54629C" w14:textId="77777777" w:rsidR="00AF134D" w:rsidRDefault="00AF134D" w:rsidP="00AF134D">
            <w:pPr>
              <w:pStyle w:val="NormalWeb"/>
            </w:pPr>
            <w:r>
              <w:t>Vic.</w:t>
            </w:r>
          </w:p>
        </w:tc>
        <w:tc>
          <w:tcPr>
            <w:tcW w:w="0" w:type="auto"/>
            <w:hideMark/>
          </w:tcPr>
          <w:p w14:paraId="1657DE1B" w14:textId="77777777" w:rsidR="00AF134D" w:rsidRDefault="00AF134D" w:rsidP="00AF134D">
            <w:pPr>
              <w:pStyle w:val="NormalWeb"/>
              <w:jc w:val="center"/>
            </w:pPr>
            <w:r>
              <w:t>8</w:t>
            </w:r>
          </w:p>
        </w:tc>
        <w:tc>
          <w:tcPr>
            <w:tcW w:w="0" w:type="auto"/>
            <w:hideMark/>
          </w:tcPr>
          <w:p w14:paraId="43F066B5" w14:textId="77777777" w:rsidR="00AF134D" w:rsidRDefault="00AF134D" w:rsidP="00AF134D">
            <w:pPr>
              <w:pStyle w:val="NormalWeb"/>
              <w:jc w:val="center"/>
            </w:pPr>
            <w:r>
              <w:t>0</w:t>
            </w:r>
          </w:p>
        </w:tc>
        <w:tc>
          <w:tcPr>
            <w:tcW w:w="0" w:type="auto"/>
            <w:hideMark/>
          </w:tcPr>
          <w:p w14:paraId="78A110BB" w14:textId="77777777" w:rsidR="00AF134D" w:rsidRDefault="00AF134D" w:rsidP="00AF134D">
            <w:pPr>
              <w:pStyle w:val="NormalWeb"/>
              <w:jc w:val="center"/>
            </w:pPr>
            <w:r>
              <w:t>0</w:t>
            </w:r>
          </w:p>
        </w:tc>
        <w:tc>
          <w:tcPr>
            <w:tcW w:w="0" w:type="auto"/>
            <w:hideMark/>
          </w:tcPr>
          <w:p w14:paraId="560BD41D" w14:textId="77777777" w:rsidR="00AF134D" w:rsidRDefault="00AF134D" w:rsidP="00AF134D">
            <w:pPr>
              <w:pStyle w:val="NormalWeb"/>
              <w:jc w:val="center"/>
            </w:pPr>
            <w:r>
              <w:t>0</w:t>
            </w:r>
          </w:p>
        </w:tc>
        <w:tc>
          <w:tcPr>
            <w:tcW w:w="0" w:type="auto"/>
            <w:hideMark/>
          </w:tcPr>
          <w:p w14:paraId="1ED531E1" w14:textId="77777777" w:rsidR="00AF134D" w:rsidRDefault="00AF134D" w:rsidP="00AF134D">
            <w:pPr>
              <w:pStyle w:val="NormalWeb"/>
              <w:jc w:val="center"/>
            </w:pPr>
            <w:r>
              <w:t>0</w:t>
            </w:r>
          </w:p>
        </w:tc>
        <w:tc>
          <w:tcPr>
            <w:tcW w:w="0" w:type="auto"/>
            <w:hideMark/>
          </w:tcPr>
          <w:p w14:paraId="73E75A4E" w14:textId="77777777" w:rsidR="00AF134D" w:rsidRDefault="00AF134D" w:rsidP="00AF134D">
            <w:pPr>
              <w:pStyle w:val="NormalWeb"/>
              <w:jc w:val="center"/>
            </w:pPr>
            <w:r>
              <w:t>0</w:t>
            </w:r>
          </w:p>
        </w:tc>
        <w:tc>
          <w:tcPr>
            <w:tcW w:w="0" w:type="auto"/>
            <w:hideMark/>
          </w:tcPr>
          <w:p w14:paraId="0D804CD0" w14:textId="77777777" w:rsidR="00AF134D" w:rsidRDefault="00AF134D" w:rsidP="00AF134D">
            <w:pPr>
              <w:pStyle w:val="NormalWeb"/>
              <w:jc w:val="center"/>
            </w:pPr>
            <w:r>
              <w:t>0</w:t>
            </w:r>
          </w:p>
        </w:tc>
        <w:tc>
          <w:tcPr>
            <w:tcW w:w="0" w:type="auto"/>
            <w:hideMark/>
          </w:tcPr>
          <w:p w14:paraId="0E0F7F63" w14:textId="77777777" w:rsidR="00AF134D" w:rsidRDefault="00AF134D" w:rsidP="00AF134D">
            <w:pPr>
              <w:pStyle w:val="NormalWeb"/>
              <w:jc w:val="center"/>
            </w:pPr>
            <w:r>
              <w:t>30</w:t>
            </w:r>
          </w:p>
        </w:tc>
        <w:tc>
          <w:tcPr>
            <w:tcW w:w="0" w:type="auto"/>
            <w:hideMark/>
          </w:tcPr>
          <w:p w14:paraId="0396B8CF" w14:textId="77777777" w:rsidR="00AF134D" w:rsidRDefault="00AF134D" w:rsidP="00AF134D">
            <w:pPr>
              <w:pStyle w:val="NormalWeb"/>
              <w:jc w:val="center"/>
            </w:pPr>
            <w:r>
              <w:t>38</w:t>
            </w:r>
          </w:p>
        </w:tc>
      </w:tr>
      <w:tr w:rsidR="00AF134D" w14:paraId="30E56004"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5229E8E" w14:textId="77777777" w:rsidR="00AF134D" w:rsidRDefault="00AF134D" w:rsidP="00AF134D">
            <w:pPr>
              <w:pStyle w:val="NormalWeb"/>
            </w:pPr>
            <w:r>
              <w:t>WA</w:t>
            </w:r>
          </w:p>
        </w:tc>
        <w:tc>
          <w:tcPr>
            <w:tcW w:w="0" w:type="auto"/>
            <w:hideMark/>
          </w:tcPr>
          <w:p w14:paraId="2C299344" w14:textId="77777777" w:rsidR="00AF134D" w:rsidRDefault="00AF134D" w:rsidP="00AF134D">
            <w:pPr>
              <w:pStyle w:val="NormalWeb"/>
              <w:jc w:val="center"/>
            </w:pPr>
            <w:r>
              <w:t>0</w:t>
            </w:r>
          </w:p>
        </w:tc>
        <w:tc>
          <w:tcPr>
            <w:tcW w:w="0" w:type="auto"/>
            <w:hideMark/>
          </w:tcPr>
          <w:p w14:paraId="52035DD6" w14:textId="77777777" w:rsidR="00AF134D" w:rsidRDefault="00AF134D" w:rsidP="00AF134D">
            <w:pPr>
              <w:pStyle w:val="NormalWeb"/>
              <w:jc w:val="center"/>
            </w:pPr>
            <w:r>
              <w:t>0</w:t>
            </w:r>
          </w:p>
        </w:tc>
        <w:tc>
          <w:tcPr>
            <w:tcW w:w="0" w:type="auto"/>
            <w:hideMark/>
          </w:tcPr>
          <w:p w14:paraId="6633B52E" w14:textId="77777777" w:rsidR="00AF134D" w:rsidRDefault="00AF134D" w:rsidP="00AF134D">
            <w:pPr>
              <w:pStyle w:val="NormalWeb"/>
              <w:jc w:val="center"/>
            </w:pPr>
            <w:r>
              <w:t>0</w:t>
            </w:r>
          </w:p>
        </w:tc>
        <w:tc>
          <w:tcPr>
            <w:tcW w:w="0" w:type="auto"/>
            <w:hideMark/>
          </w:tcPr>
          <w:p w14:paraId="68BA88C4" w14:textId="77777777" w:rsidR="00AF134D" w:rsidRDefault="00AF134D" w:rsidP="00AF134D">
            <w:pPr>
              <w:pStyle w:val="NormalWeb"/>
              <w:jc w:val="center"/>
            </w:pPr>
            <w:r>
              <w:t>0</w:t>
            </w:r>
          </w:p>
        </w:tc>
        <w:tc>
          <w:tcPr>
            <w:tcW w:w="0" w:type="auto"/>
            <w:hideMark/>
          </w:tcPr>
          <w:p w14:paraId="571DA5FD" w14:textId="77777777" w:rsidR="00AF134D" w:rsidRDefault="00AF134D" w:rsidP="00AF134D">
            <w:pPr>
              <w:pStyle w:val="NormalWeb"/>
              <w:jc w:val="center"/>
            </w:pPr>
            <w:r>
              <w:t>0</w:t>
            </w:r>
          </w:p>
        </w:tc>
        <w:tc>
          <w:tcPr>
            <w:tcW w:w="0" w:type="auto"/>
            <w:hideMark/>
          </w:tcPr>
          <w:p w14:paraId="2775AC22" w14:textId="77777777" w:rsidR="00AF134D" w:rsidRDefault="00AF134D" w:rsidP="00AF134D">
            <w:pPr>
              <w:pStyle w:val="NormalWeb"/>
              <w:jc w:val="center"/>
            </w:pPr>
            <w:r>
              <w:t>0</w:t>
            </w:r>
          </w:p>
        </w:tc>
        <w:tc>
          <w:tcPr>
            <w:tcW w:w="0" w:type="auto"/>
            <w:hideMark/>
          </w:tcPr>
          <w:p w14:paraId="68596A4B" w14:textId="77777777" w:rsidR="00AF134D" w:rsidRDefault="00AF134D" w:rsidP="00AF134D">
            <w:pPr>
              <w:pStyle w:val="NormalWeb"/>
              <w:jc w:val="center"/>
            </w:pPr>
            <w:r>
              <w:t>1</w:t>
            </w:r>
          </w:p>
        </w:tc>
        <w:tc>
          <w:tcPr>
            <w:tcW w:w="0" w:type="auto"/>
            <w:hideMark/>
          </w:tcPr>
          <w:p w14:paraId="494FA633" w14:textId="77777777" w:rsidR="00AF134D" w:rsidRDefault="00AF134D" w:rsidP="00AF134D">
            <w:pPr>
              <w:pStyle w:val="NormalWeb"/>
              <w:jc w:val="center"/>
            </w:pPr>
            <w:r>
              <w:t>0</w:t>
            </w:r>
          </w:p>
        </w:tc>
        <w:tc>
          <w:tcPr>
            <w:tcW w:w="0" w:type="auto"/>
            <w:hideMark/>
          </w:tcPr>
          <w:p w14:paraId="0FA7BC09" w14:textId="77777777" w:rsidR="00AF134D" w:rsidRDefault="00AF134D" w:rsidP="00AF134D">
            <w:pPr>
              <w:pStyle w:val="NormalWeb"/>
              <w:jc w:val="center"/>
            </w:pPr>
            <w:r>
              <w:t>1</w:t>
            </w:r>
          </w:p>
        </w:tc>
      </w:tr>
      <w:tr w:rsidR="00AF134D" w:rsidRPr="001D0647" w14:paraId="3F6CF3BB" w14:textId="77777777" w:rsidTr="00AF134D">
        <w:tblPrEx>
          <w:tblCellMar>
            <w:top w:w="57" w:type="dxa"/>
            <w:left w:w="57" w:type="dxa"/>
            <w:bottom w:w="57" w:type="dxa"/>
            <w:right w:w="57" w:type="dxa"/>
          </w:tblCellMar>
        </w:tblPrEx>
        <w:tc>
          <w:tcPr>
            <w:tcW w:w="0" w:type="auto"/>
            <w:shd w:val="clear" w:color="auto" w:fill="FDE9D9" w:themeFill="accent6" w:themeFillTint="33"/>
            <w:hideMark/>
          </w:tcPr>
          <w:p w14:paraId="6AA13C83" w14:textId="77777777" w:rsidR="00AF134D" w:rsidRPr="001D0647" w:rsidRDefault="00AF134D" w:rsidP="00AF134D">
            <w:pPr>
              <w:pStyle w:val="NormalWeb"/>
              <w:rPr>
                <w:b/>
                <w:bCs/>
              </w:rPr>
            </w:pPr>
            <w:r w:rsidRPr="001D0647">
              <w:rPr>
                <w:b/>
                <w:bCs/>
              </w:rPr>
              <w:t>Australia</w:t>
            </w:r>
          </w:p>
        </w:tc>
        <w:tc>
          <w:tcPr>
            <w:tcW w:w="0" w:type="auto"/>
            <w:shd w:val="clear" w:color="auto" w:fill="FDE9D9" w:themeFill="accent6" w:themeFillTint="33"/>
            <w:hideMark/>
          </w:tcPr>
          <w:p w14:paraId="469B5D3C" w14:textId="77777777" w:rsidR="00AF134D" w:rsidRPr="001D0647" w:rsidRDefault="00AF134D" w:rsidP="00AF134D">
            <w:pPr>
              <w:pStyle w:val="NormalWeb"/>
              <w:jc w:val="center"/>
              <w:rPr>
                <w:b/>
                <w:bCs/>
              </w:rPr>
            </w:pPr>
            <w:r w:rsidRPr="001D0647">
              <w:rPr>
                <w:b/>
                <w:bCs/>
              </w:rPr>
              <w:t>1,964</w:t>
            </w:r>
          </w:p>
        </w:tc>
        <w:tc>
          <w:tcPr>
            <w:tcW w:w="0" w:type="auto"/>
            <w:shd w:val="clear" w:color="auto" w:fill="FDE9D9" w:themeFill="accent6" w:themeFillTint="33"/>
            <w:hideMark/>
          </w:tcPr>
          <w:p w14:paraId="51549300" w14:textId="77777777" w:rsidR="00AF134D" w:rsidRPr="001D0647" w:rsidRDefault="00AF134D" w:rsidP="00AF134D">
            <w:pPr>
              <w:pStyle w:val="NormalWeb"/>
              <w:jc w:val="center"/>
              <w:rPr>
                <w:b/>
                <w:bCs/>
              </w:rPr>
            </w:pPr>
            <w:r w:rsidRPr="001D0647">
              <w:rPr>
                <w:b/>
                <w:bCs/>
              </w:rPr>
              <w:t>521</w:t>
            </w:r>
          </w:p>
        </w:tc>
        <w:tc>
          <w:tcPr>
            <w:tcW w:w="0" w:type="auto"/>
            <w:shd w:val="clear" w:color="auto" w:fill="FDE9D9" w:themeFill="accent6" w:themeFillTint="33"/>
            <w:hideMark/>
          </w:tcPr>
          <w:p w14:paraId="3498366D" w14:textId="77777777" w:rsidR="00AF134D" w:rsidRPr="001D0647" w:rsidRDefault="00AF134D" w:rsidP="00AF134D">
            <w:pPr>
              <w:pStyle w:val="NormalWeb"/>
              <w:jc w:val="center"/>
              <w:rPr>
                <w:b/>
                <w:bCs/>
              </w:rPr>
            </w:pPr>
            <w:r w:rsidRPr="001D0647">
              <w:rPr>
                <w:b/>
                <w:bCs/>
              </w:rPr>
              <w:t>135</w:t>
            </w:r>
          </w:p>
        </w:tc>
        <w:tc>
          <w:tcPr>
            <w:tcW w:w="0" w:type="auto"/>
            <w:shd w:val="clear" w:color="auto" w:fill="FDE9D9" w:themeFill="accent6" w:themeFillTint="33"/>
            <w:hideMark/>
          </w:tcPr>
          <w:p w14:paraId="4E6CBBC1" w14:textId="77777777" w:rsidR="00AF134D" w:rsidRPr="001D0647" w:rsidRDefault="00AF134D" w:rsidP="00AF134D">
            <w:pPr>
              <w:pStyle w:val="NormalWeb"/>
              <w:jc w:val="center"/>
              <w:rPr>
                <w:b/>
                <w:bCs/>
              </w:rPr>
            </w:pPr>
            <w:r w:rsidRPr="001D0647">
              <w:rPr>
                <w:b/>
                <w:bCs/>
              </w:rPr>
              <w:t>260</w:t>
            </w:r>
          </w:p>
        </w:tc>
        <w:tc>
          <w:tcPr>
            <w:tcW w:w="0" w:type="auto"/>
            <w:shd w:val="clear" w:color="auto" w:fill="FDE9D9" w:themeFill="accent6" w:themeFillTint="33"/>
            <w:hideMark/>
          </w:tcPr>
          <w:p w14:paraId="3C6BB1E1" w14:textId="77777777" w:rsidR="00AF134D" w:rsidRPr="001D0647" w:rsidRDefault="00AF134D" w:rsidP="00AF134D">
            <w:pPr>
              <w:pStyle w:val="NormalWeb"/>
              <w:jc w:val="center"/>
              <w:rPr>
                <w:b/>
                <w:bCs/>
              </w:rPr>
            </w:pPr>
            <w:r w:rsidRPr="001D0647">
              <w:rPr>
                <w:b/>
                <w:bCs/>
              </w:rPr>
              <w:t>2</w:t>
            </w:r>
          </w:p>
        </w:tc>
        <w:tc>
          <w:tcPr>
            <w:tcW w:w="0" w:type="auto"/>
            <w:shd w:val="clear" w:color="auto" w:fill="FDE9D9" w:themeFill="accent6" w:themeFillTint="33"/>
            <w:hideMark/>
          </w:tcPr>
          <w:p w14:paraId="0A93EB9E" w14:textId="77777777" w:rsidR="00AF134D" w:rsidRPr="001D0647" w:rsidRDefault="00AF134D" w:rsidP="00AF134D">
            <w:pPr>
              <w:pStyle w:val="NormalWeb"/>
              <w:jc w:val="center"/>
              <w:rPr>
                <w:b/>
                <w:bCs/>
              </w:rPr>
            </w:pPr>
            <w:r w:rsidRPr="001D0647">
              <w:rPr>
                <w:b/>
                <w:bCs/>
              </w:rPr>
              <w:t>34</w:t>
            </w:r>
          </w:p>
        </w:tc>
        <w:tc>
          <w:tcPr>
            <w:tcW w:w="0" w:type="auto"/>
            <w:shd w:val="clear" w:color="auto" w:fill="FDE9D9" w:themeFill="accent6" w:themeFillTint="33"/>
            <w:hideMark/>
          </w:tcPr>
          <w:p w14:paraId="67C2CEEF" w14:textId="77777777" w:rsidR="00AF134D" w:rsidRPr="001D0647" w:rsidRDefault="00AF134D" w:rsidP="00AF134D">
            <w:pPr>
              <w:pStyle w:val="NormalWeb"/>
              <w:jc w:val="center"/>
              <w:rPr>
                <w:b/>
                <w:bCs/>
              </w:rPr>
            </w:pPr>
            <w:r w:rsidRPr="001D0647">
              <w:rPr>
                <w:b/>
                <w:bCs/>
              </w:rPr>
              <w:t>6</w:t>
            </w:r>
          </w:p>
        </w:tc>
        <w:tc>
          <w:tcPr>
            <w:tcW w:w="0" w:type="auto"/>
            <w:shd w:val="clear" w:color="auto" w:fill="FDE9D9" w:themeFill="accent6" w:themeFillTint="33"/>
            <w:hideMark/>
          </w:tcPr>
          <w:p w14:paraId="37898C0E" w14:textId="77777777" w:rsidR="00AF134D" w:rsidRPr="001D0647" w:rsidRDefault="00AF134D" w:rsidP="00AF134D">
            <w:pPr>
              <w:pStyle w:val="NormalWeb"/>
              <w:jc w:val="center"/>
              <w:rPr>
                <w:b/>
                <w:bCs/>
              </w:rPr>
            </w:pPr>
            <w:r w:rsidRPr="001D0647">
              <w:rPr>
                <w:b/>
                <w:bCs/>
              </w:rPr>
              <w:t>38</w:t>
            </w:r>
          </w:p>
        </w:tc>
        <w:tc>
          <w:tcPr>
            <w:tcW w:w="0" w:type="auto"/>
            <w:shd w:val="clear" w:color="auto" w:fill="FDE9D9" w:themeFill="accent6" w:themeFillTint="33"/>
            <w:hideMark/>
          </w:tcPr>
          <w:p w14:paraId="32CEB7C6" w14:textId="77777777" w:rsidR="00AF134D" w:rsidRPr="001D0647" w:rsidRDefault="00AF134D" w:rsidP="00AF134D">
            <w:pPr>
              <w:pStyle w:val="NormalWeb"/>
              <w:jc w:val="center"/>
              <w:rPr>
                <w:b/>
                <w:bCs/>
              </w:rPr>
            </w:pPr>
            <w:r w:rsidRPr="001D0647">
              <w:rPr>
                <w:b/>
                <w:bCs/>
              </w:rPr>
              <w:t>2,960</w:t>
            </w:r>
          </w:p>
        </w:tc>
      </w:tr>
    </w:tbl>
    <w:p w14:paraId="51CF2DBD" w14:textId="77777777" w:rsidR="00AF134D" w:rsidRDefault="00AF134D" w:rsidP="00AF134D">
      <w:pPr>
        <w:pStyle w:val="CDIfootnotes"/>
        <w:rPr>
          <w:lang w:val="en-GB"/>
        </w:rPr>
      </w:pPr>
      <w:r>
        <w:rPr>
          <w:lang w:val="en-GB"/>
        </w:rPr>
        <w:t>a</w:t>
      </w:r>
      <w:r>
        <w:rPr>
          <w:lang w:val="en-GB"/>
        </w:rPr>
        <w:tab/>
        <w:t>Source: NINDSS, extract from 28 September 2021 for notifications to 26 September 2021.</w:t>
      </w:r>
    </w:p>
    <w:p w14:paraId="7C73AD36" w14:textId="45D32E85" w:rsidR="00106AD7" w:rsidRDefault="00106AD7">
      <w:pPr>
        <w:pStyle w:val="NormalWeb"/>
      </w:pPr>
      <w:proofErr w:type="gramStart"/>
      <w:r>
        <w:t>The majority of</w:t>
      </w:r>
      <w:proofErr w:type="gramEnd"/>
      <w:r>
        <w:t xml:space="preserve"> cases reported in Aboriginal and Torres Strait Islander people in 2021 have been associated with the Sydney metropolitan and western regional outbreaks in New South </w:t>
      </w:r>
      <w:r w:rsidR="00BD4921" w:rsidRPr="00BD4921">
        <w:t>Wales. There have been</w:t>
      </w:r>
      <w:r>
        <w:t xml:space="preserve"> 2,862 locally acquired cases reported in Aboriginal and Torres Strait Islander people in New South Wales since 16 June 2021 when the </w:t>
      </w:r>
      <w:r w:rsidR="00141A8E" w:rsidRPr="00141A8E">
        <w:t xml:space="preserve">Sydney metropolitan outbreak </w:t>
      </w:r>
      <w:r>
        <w:t xml:space="preserve">began. Since the start of the pandemic, there have been seven COVID-19 associated deaths in Aboriginal and Torres Strait Islander people, which were associated with the current outbreaks in New South Wales. </w:t>
      </w:r>
    </w:p>
    <w:p w14:paraId="7CC8F589" w14:textId="77777777" w:rsidR="00106AD7" w:rsidRDefault="00106AD7">
      <w:pPr>
        <w:pStyle w:val="NormalWeb"/>
      </w:pPr>
      <w:r>
        <w:t xml:space="preserve">In total, up to 26 September 2021, there have been 3,108 cases in Aboriginal and Torres Strait Islander people, representing approximately 3% (3,108/99,027) of all confirmed cases in </w:t>
      </w:r>
      <w:proofErr w:type="gramStart"/>
      <w:r>
        <w:t>Australia, since</w:t>
      </w:r>
      <w:proofErr w:type="gramEnd"/>
      <w:r>
        <w:t xml:space="preserve"> January 2020. Indigenous status was unknown for approximately 23% of confirmed cases (22,400/99,027), with the majority of these associated with more recently reported cases, especially in New South Wales. </w:t>
      </w:r>
    </w:p>
    <w:p w14:paraId="448091F7" w14:textId="77777777" w:rsidR="00106AD7" w:rsidRDefault="00106AD7">
      <w:pPr>
        <w:pStyle w:val="NormalWeb"/>
      </w:pPr>
      <w:r>
        <w:t xml:space="preserve">As at 26 September 2021, it has been 0 days since the last </w:t>
      </w:r>
      <w:proofErr w:type="gramStart"/>
      <w:r>
        <w:t>locally-acquired</w:t>
      </w:r>
      <w:proofErr w:type="gramEnd"/>
      <w:r>
        <w:t xml:space="preserve"> Aboriginal and Torres Strait Islander case was diagnosed and two days since the last overseas-acquired Aboriginal and Torres Strait Islander case was diagnosed. To date, </w:t>
      </w:r>
      <w:proofErr w:type="gramStart"/>
      <w:r>
        <w:t>the majority of</w:t>
      </w:r>
      <w:proofErr w:type="gramEnd"/>
      <w:r>
        <w:t xml:space="preserve"> Aboriginal and Torres Strait Islander cases were reported as locally acquired (98%; 3,032/3,108), with 38 cases each that were overseas acquired and under investigation. The median age of </w:t>
      </w:r>
      <w:proofErr w:type="gramStart"/>
      <w:r>
        <w:t>locally-acquired</w:t>
      </w:r>
      <w:proofErr w:type="gramEnd"/>
      <w:r>
        <w:t xml:space="preserve"> Aboriginal and Torres Strait Islander cases is 23 years old (range 0 to 99 years), while the median age of overseas-acquired cases is 39 years old (range 7 to 75 years). Overall, there has been a slightly higher proportion of cases among females (51%; 1,581/3,101) than among males (49%; 1,520/3,101), where the denominator is cases for which sex was known. </w:t>
      </w:r>
    </w:p>
    <w:p w14:paraId="57E61BB6" w14:textId="77777777" w:rsidR="00AF134D" w:rsidRDefault="00AF134D">
      <w:pPr>
        <w:rPr>
          <w:rFonts w:asciiTheme="majorHAnsi" w:eastAsia="Times New Roman" w:hAnsiTheme="majorHAnsi" w:cstheme="majorBidi"/>
          <w:b/>
          <w:bCs/>
          <w:sz w:val="26"/>
          <w:szCs w:val="26"/>
        </w:rPr>
      </w:pPr>
      <w:r>
        <w:rPr>
          <w:rFonts w:eastAsia="Times New Roman"/>
        </w:rPr>
        <w:br w:type="page"/>
      </w:r>
    </w:p>
    <w:p w14:paraId="136C7AB0" w14:textId="48FAC861" w:rsidR="00106AD7" w:rsidRDefault="00106AD7">
      <w:pPr>
        <w:pStyle w:val="Heading2"/>
        <w:rPr>
          <w:rFonts w:eastAsia="Times New Roman"/>
        </w:rPr>
      </w:pPr>
      <w:r>
        <w:rPr>
          <w:rFonts w:eastAsia="Times New Roman"/>
        </w:rPr>
        <w:t xml:space="preserve">Vaccinations </w:t>
      </w:r>
    </w:p>
    <w:p w14:paraId="43AB7021" w14:textId="77777777" w:rsidR="00106AD7" w:rsidRPr="00D1124F" w:rsidRDefault="00106AD7">
      <w:pPr>
        <w:pStyle w:val="Heading3"/>
        <w:rPr>
          <w:rFonts w:eastAsia="Times New Roman"/>
          <w:i/>
          <w:iCs/>
        </w:rPr>
      </w:pPr>
      <w:r w:rsidRPr="00D1124F">
        <w:rPr>
          <w:rFonts w:eastAsia="Times New Roman"/>
          <w:i/>
          <w:iCs/>
        </w:rPr>
        <w:t xml:space="preserve">(Department of Health) </w:t>
      </w:r>
    </w:p>
    <w:p w14:paraId="22F972B0" w14:textId="017D8FF7" w:rsidR="00106AD7" w:rsidRDefault="00106AD7">
      <w:pPr>
        <w:pStyle w:val="NormalWeb"/>
      </w:pPr>
      <w:r>
        <w:t xml:space="preserve">As of 26 September 2021, a total of 26,806,343 doses of COVID-19 vaccine had been administered (Table 5), including 968,805 doses provided to aged care and disability residents. Nationally, 15,695,827 people (76.1% of people aged 16 or over) have had at least one dose and 10,684,489 people (51.8% of people aged 16 or over) are fully vaccinated. </w:t>
      </w:r>
    </w:p>
    <w:p w14:paraId="6DF1F3DA" w14:textId="77777777" w:rsidR="00AF134D" w:rsidRPr="001D0647" w:rsidRDefault="00AF134D" w:rsidP="00AF134D">
      <w:pPr>
        <w:pStyle w:val="CDIFigures"/>
      </w:pPr>
      <w:r w:rsidRPr="001D0647">
        <w:rPr>
          <w:rStyle w:val="Strong"/>
          <w:b/>
          <w:bCs w:val="0"/>
        </w:rPr>
        <w:t>Table 5: Total number of vaccinations administered, by jurisdiction, Australia, 26 September 2021</w:t>
      </w:r>
      <w:r w:rsidRPr="001D0647">
        <w:rPr>
          <w:rStyle w:val="Strong"/>
          <w:b/>
          <w:bCs w:val="0"/>
          <w:vertAlign w:val="superscript"/>
        </w:rPr>
        <w:t>a</w:t>
      </w:r>
    </w:p>
    <w:tbl>
      <w:tblPr>
        <w:tblStyle w:val="CDI-StandardTable"/>
        <w:tblW w:w="0" w:type="auto"/>
        <w:tblLook w:val="04A0" w:firstRow="1" w:lastRow="0" w:firstColumn="1" w:lastColumn="0" w:noHBand="0" w:noVBand="1"/>
        <w:tblDescription w:val="Table 5 shows the total number of vaccinations administered to date within each jurisdiction, noting also the Commonwealth-administered vaccinations provided to residents in aged care and disability settings and those administered in primary care settings. Of the 26,806,343 vaccinations administered as of 26 September 2021, slightly more than half (14,416,986 vaccinations) have been administered in primary care settings, with a further 986,805 vaccines administered to those in aged care and disability facilities. Of the vaccines administered by the states and territories, the greatest number has been administered by authorities in New South Wales (9,705,842 vaccines), followed by 6,982,207 vaccines administered by authorities in Victoria. Nationwide, 76.1% of people aged 16 and over have had at least one vaccine dose, with 51.8% of people aged 16 and over fully vaccinated.&#10;"/>
      </w:tblPr>
      <w:tblGrid>
        <w:gridCol w:w="3119"/>
        <w:gridCol w:w="2449"/>
        <w:gridCol w:w="2449"/>
        <w:gridCol w:w="2449"/>
      </w:tblGrid>
      <w:tr w:rsidR="00AF134D" w:rsidRPr="008C076E" w14:paraId="6332A490" w14:textId="77777777" w:rsidTr="00AF134D">
        <w:trPr>
          <w:cnfStyle w:val="100000000000" w:firstRow="1" w:lastRow="0" w:firstColumn="0" w:lastColumn="0" w:oddVBand="0" w:evenVBand="0" w:oddHBand="0" w:evenHBand="0" w:firstRowFirstColumn="0" w:firstRowLastColumn="0" w:lastRowFirstColumn="0" w:lastRowLastColumn="0"/>
        </w:trPr>
        <w:tc>
          <w:tcPr>
            <w:tcW w:w="3119" w:type="dxa"/>
            <w:tcBorders>
              <w:right w:val="single" w:sz="2" w:space="0" w:color="FFFFFF" w:themeColor="background1"/>
            </w:tcBorders>
            <w:vAlign w:val="center"/>
            <w:hideMark/>
          </w:tcPr>
          <w:p w14:paraId="7624F684" w14:textId="77777777" w:rsidR="00AF134D" w:rsidRPr="008C076E" w:rsidRDefault="00AF134D" w:rsidP="00AF134D">
            <w:pPr>
              <w:pStyle w:val="NormalWeb"/>
              <w:rPr>
                <w:color w:val="FFFFFF" w:themeColor="background1"/>
              </w:rPr>
            </w:pPr>
            <w:r w:rsidRPr="008C076E">
              <w:rPr>
                <w:color w:val="FFFFFF" w:themeColor="background1"/>
              </w:rPr>
              <w:t>Jurisdiction</w:t>
            </w:r>
          </w:p>
        </w:tc>
        <w:tc>
          <w:tcPr>
            <w:tcW w:w="2449" w:type="dxa"/>
            <w:tcBorders>
              <w:left w:val="single" w:sz="2" w:space="0" w:color="FFFFFF" w:themeColor="background1"/>
              <w:right w:val="single" w:sz="2" w:space="0" w:color="FFFFFF" w:themeColor="background1"/>
            </w:tcBorders>
            <w:vAlign w:val="center"/>
            <w:hideMark/>
          </w:tcPr>
          <w:p w14:paraId="03121DC4" w14:textId="77777777" w:rsidR="00AF134D" w:rsidRPr="008C076E" w:rsidRDefault="00AF134D" w:rsidP="00AF134D">
            <w:pPr>
              <w:pStyle w:val="NormalWeb"/>
              <w:jc w:val="center"/>
              <w:rPr>
                <w:color w:val="FFFFFF" w:themeColor="background1"/>
              </w:rPr>
            </w:pPr>
            <w:r w:rsidRPr="008C076E">
              <w:rPr>
                <w:color w:val="FFFFFF" w:themeColor="background1"/>
              </w:rPr>
              <w:t>Total number of doses administered</w:t>
            </w:r>
          </w:p>
        </w:tc>
        <w:tc>
          <w:tcPr>
            <w:tcW w:w="2449" w:type="dxa"/>
            <w:tcBorders>
              <w:left w:val="single" w:sz="2" w:space="0" w:color="FFFFFF" w:themeColor="background1"/>
              <w:right w:val="single" w:sz="2" w:space="0" w:color="FFFFFF" w:themeColor="background1"/>
            </w:tcBorders>
            <w:vAlign w:val="center"/>
            <w:hideMark/>
          </w:tcPr>
          <w:p w14:paraId="690CACC3" w14:textId="77777777" w:rsidR="00AF134D" w:rsidRPr="008C076E" w:rsidRDefault="00AF134D" w:rsidP="00AF134D">
            <w:pPr>
              <w:pStyle w:val="NormalWeb"/>
              <w:jc w:val="center"/>
              <w:rPr>
                <w:color w:val="FFFFFF" w:themeColor="background1"/>
              </w:rPr>
            </w:pPr>
            <w:r w:rsidRPr="008C076E">
              <w:rPr>
                <w:color w:val="FFFFFF" w:themeColor="background1"/>
              </w:rPr>
              <w:t xml:space="preserve">Percentage of people aged 16 and over who have had at least one </w:t>
            </w:r>
            <w:proofErr w:type="spellStart"/>
            <w:r w:rsidRPr="008C076E">
              <w:rPr>
                <w:color w:val="FFFFFF" w:themeColor="background1"/>
              </w:rPr>
              <w:t>dose</w:t>
            </w:r>
            <w:r w:rsidRPr="008C076E">
              <w:rPr>
                <w:color w:val="FFFFFF" w:themeColor="background1"/>
                <w:vertAlign w:val="superscript"/>
              </w:rPr>
              <w:t>b</w:t>
            </w:r>
            <w:proofErr w:type="spellEnd"/>
          </w:p>
        </w:tc>
        <w:tc>
          <w:tcPr>
            <w:tcW w:w="2449" w:type="dxa"/>
            <w:tcBorders>
              <w:left w:val="single" w:sz="2" w:space="0" w:color="FFFFFF" w:themeColor="background1"/>
            </w:tcBorders>
            <w:vAlign w:val="center"/>
            <w:hideMark/>
          </w:tcPr>
          <w:p w14:paraId="264C9667" w14:textId="77777777" w:rsidR="00AF134D" w:rsidRPr="008C076E" w:rsidRDefault="00AF134D" w:rsidP="00AF134D">
            <w:pPr>
              <w:pStyle w:val="NormalWeb"/>
              <w:jc w:val="center"/>
              <w:rPr>
                <w:color w:val="FFFFFF" w:themeColor="background1"/>
              </w:rPr>
            </w:pPr>
            <w:r w:rsidRPr="008C076E">
              <w:rPr>
                <w:color w:val="FFFFFF" w:themeColor="background1"/>
              </w:rPr>
              <w:t>Percentage of people aged 16 and over who are fully vaccinated</w:t>
            </w:r>
          </w:p>
        </w:tc>
      </w:tr>
      <w:tr w:rsidR="00AF134D" w14:paraId="3D9BE36D" w14:textId="77777777" w:rsidTr="00AF134D">
        <w:tblPrEx>
          <w:tblCellMar>
            <w:top w:w="57" w:type="dxa"/>
            <w:left w:w="57" w:type="dxa"/>
            <w:bottom w:w="57" w:type="dxa"/>
            <w:right w:w="57" w:type="dxa"/>
          </w:tblCellMar>
        </w:tblPrEx>
        <w:tc>
          <w:tcPr>
            <w:tcW w:w="3119" w:type="dxa"/>
            <w:hideMark/>
          </w:tcPr>
          <w:p w14:paraId="28E01C87" w14:textId="77777777" w:rsidR="00AF134D" w:rsidRDefault="00AF134D" w:rsidP="00AF134D">
            <w:pPr>
              <w:pStyle w:val="NormalWeb"/>
            </w:pPr>
            <w:r>
              <w:t>ACT</w:t>
            </w:r>
          </w:p>
        </w:tc>
        <w:tc>
          <w:tcPr>
            <w:tcW w:w="2449" w:type="dxa"/>
            <w:hideMark/>
          </w:tcPr>
          <w:p w14:paraId="38B33651" w14:textId="77777777" w:rsidR="00AF134D" w:rsidRDefault="00AF134D" w:rsidP="00AF134D">
            <w:pPr>
              <w:pStyle w:val="NormalWeb"/>
              <w:jc w:val="center"/>
            </w:pPr>
            <w:r>
              <w:t>651,381</w:t>
            </w:r>
          </w:p>
        </w:tc>
        <w:tc>
          <w:tcPr>
            <w:tcW w:w="2449" w:type="dxa"/>
            <w:hideMark/>
          </w:tcPr>
          <w:p w14:paraId="4E37A202" w14:textId="77777777" w:rsidR="00AF134D" w:rsidRDefault="00AF134D" w:rsidP="00AF134D">
            <w:pPr>
              <w:pStyle w:val="NormalWeb"/>
              <w:jc w:val="center"/>
            </w:pPr>
            <w:r>
              <w:t>87.6%</w:t>
            </w:r>
          </w:p>
        </w:tc>
        <w:tc>
          <w:tcPr>
            <w:tcW w:w="2449" w:type="dxa"/>
            <w:hideMark/>
          </w:tcPr>
          <w:p w14:paraId="474F05BC" w14:textId="77777777" w:rsidR="00AF134D" w:rsidRDefault="00AF134D" w:rsidP="00AF134D">
            <w:pPr>
              <w:pStyle w:val="NormalWeb"/>
              <w:jc w:val="center"/>
            </w:pPr>
            <w:r>
              <w:t>61.5%</w:t>
            </w:r>
          </w:p>
        </w:tc>
      </w:tr>
      <w:tr w:rsidR="00AF134D" w14:paraId="56ECB110"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2070962E" w14:textId="77777777" w:rsidR="00AF134D" w:rsidRDefault="00AF134D" w:rsidP="00AF134D">
            <w:pPr>
              <w:pStyle w:val="NormalWeb"/>
            </w:pPr>
            <w:r>
              <w:t>NSW</w:t>
            </w:r>
          </w:p>
        </w:tc>
        <w:tc>
          <w:tcPr>
            <w:tcW w:w="2449" w:type="dxa"/>
            <w:hideMark/>
          </w:tcPr>
          <w:p w14:paraId="1A3E246D" w14:textId="77777777" w:rsidR="00AF134D" w:rsidRDefault="00AF134D" w:rsidP="00AF134D">
            <w:pPr>
              <w:pStyle w:val="NormalWeb"/>
              <w:jc w:val="center"/>
            </w:pPr>
            <w:r>
              <w:t>9,705,842</w:t>
            </w:r>
          </w:p>
        </w:tc>
        <w:tc>
          <w:tcPr>
            <w:tcW w:w="2449" w:type="dxa"/>
            <w:hideMark/>
          </w:tcPr>
          <w:p w14:paraId="5D082889" w14:textId="77777777" w:rsidR="00AF134D" w:rsidRDefault="00AF134D" w:rsidP="00AF134D">
            <w:pPr>
              <w:pStyle w:val="NormalWeb"/>
              <w:jc w:val="center"/>
            </w:pPr>
            <w:r>
              <w:t>85.7%</w:t>
            </w:r>
          </w:p>
        </w:tc>
        <w:tc>
          <w:tcPr>
            <w:tcW w:w="2449" w:type="dxa"/>
            <w:hideMark/>
          </w:tcPr>
          <w:p w14:paraId="1D07FFCA" w14:textId="77777777" w:rsidR="00AF134D" w:rsidRDefault="00AF134D" w:rsidP="00AF134D">
            <w:pPr>
              <w:pStyle w:val="NormalWeb"/>
              <w:jc w:val="center"/>
            </w:pPr>
            <w:r>
              <w:t>60.4%</w:t>
            </w:r>
          </w:p>
        </w:tc>
      </w:tr>
      <w:tr w:rsidR="00AF134D" w14:paraId="6D71C632" w14:textId="77777777" w:rsidTr="00AF134D">
        <w:tblPrEx>
          <w:tblCellMar>
            <w:top w:w="57" w:type="dxa"/>
            <w:left w:w="57" w:type="dxa"/>
            <w:bottom w:w="57" w:type="dxa"/>
            <w:right w:w="57" w:type="dxa"/>
          </w:tblCellMar>
        </w:tblPrEx>
        <w:tc>
          <w:tcPr>
            <w:tcW w:w="3119" w:type="dxa"/>
            <w:hideMark/>
          </w:tcPr>
          <w:p w14:paraId="515193FE" w14:textId="77777777" w:rsidR="00AF134D" w:rsidRDefault="00AF134D" w:rsidP="00AF134D">
            <w:pPr>
              <w:pStyle w:val="NormalWeb"/>
            </w:pPr>
            <w:r>
              <w:t>NT</w:t>
            </w:r>
          </w:p>
        </w:tc>
        <w:tc>
          <w:tcPr>
            <w:tcW w:w="2449" w:type="dxa"/>
            <w:hideMark/>
          </w:tcPr>
          <w:p w14:paraId="41A767AB" w14:textId="77777777" w:rsidR="00AF134D" w:rsidRDefault="00AF134D" w:rsidP="00AF134D">
            <w:pPr>
              <w:pStyle w:val="NormalWeb"/>
              <w:jc w:val="center"/>
            </w:pPr>
            <w:r>
              <w:t>265,069</w:t>
            </w:r>
          </w:p>
        </w:tc>
        <w:tc>
          <w:tcPr>
            <w:tcW w:w="2449" w:type="dxa"/>
            <w:hideMark/>
          </w:tcPr>
          <w:p w14:paraId="4E40D048" w14:textId="77777777" w:rsidR="00AF134D" w:rsidRDefault="00AF134D" w:rsidP="00AF134D">
            <w:pPr>
              <w:pStyle w:val="NormalWeb"/>
              <w:jc w:val="center"/>
            </w:pPr>
            <w:r>
              <w:t>65.2%</w:t>
            </w:r>
          </w:p>
        </w:tc>
        <w:tc>
          <w:tcPr>
            <w:tcW w:w="2449" w:type="dxa"/>
            <w:hideMark/>
          </w:tcPr>
          <w:p w14:paraId="278326BC" w14:textId="77777777" w:rsidR="00AF134D" w:rsidRDefault="00AF134D" w:rsidP="00AF134D">
            <w:pPr>
              <w:pStyle w:val="NormalWeb"/>
              <w:jc w:val="center"/>
            </w:pPr>
            <w:r>
              <w:t>51.1%</w:t>
            </w:r>
          </w:p>
        </w:tc>
      </w:tr>
      <w:tr w:rsidR="00AF134D" w14:paraId="400470E2"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40CD6C71" w14:textId="77777777" w:rsidR="00AF134D" w:rsidRDefault="00AF134D" w:rsidP="00AF134D">
            <w:pPr>
              <w:pStyle w:val="NormalWeb"/>
            </w:pPr>
            <w:r>
              <w:t>Qld</w:t>
            </w:r>
          </w:p>
        </w:tc>
        <w:tc>
          <w:tcPr>
            <w:tcW w:w="2449" w:type="dxa"/>
            <w:hideMark/>
          </w:tcPr>
          <w:p w14:paraId="23C603B1" w14:textId="77777777" w:rsidR="00AF134D" w:rsidRDefault="00AF134D" w:rsidP="00AF134D">
            <w:pPr>
              <w:pStyle w:val="NormalWeb"/>
              <w:jc w:val="center"/>
            </w:pPr>
            <w:r>
              <w:t>4,632,371</w:t>
            </w:r>
          </w:p>
        </w:tc>
        <w:tc>
          <w:tcPr>
            <w:tcW w:w="2449" w:type="dxa"/>
            <w:hideMark/>
          </w:tcPr>
          <w:p w14:paraId="7E887291" w14:textId="77777777" w:rsidR="00AF134D" w:rsidRDefault="00AF134D" w:rsidP="00AF134D">
            <w:pPr>
              <w:pStyle w:val="NormalWeb"/>
              <w:jc w:val="center"/>
            </w:pPr>
            <w:r>
              <w:t>64.1%</w:t>
            </w:r>
          </w:p>
        </w:tc>
        <w:tc>
          <w:tcPr>
            <w:tcW w:w="2449" w:type="dxa"/>
            <w:hideMark/>
          </w:tcPr>
          <w:p w14:paraId="53A019A3" w14:textId="77777777" w:rsidR="00AF134D" w:rsidRDefault="00AF134D" w:rsidP="00AF134D">
            <w:pPr>
              <w:pStyle w:val="NormalWeb"/>
              <w:jc w:val="center"/>
            </w:pPr>
            <w:r>
              <w:t>45.1%</w:t>
            </w:r>
          </w:p>
        </w:tc>
      </w:tr>
      <w:tr w:rsidR="00AF134D" w14:paraId="13901DF6" w14:textId="77777777" w:rsidTr="00AF134D">
        <w:tblPrEx>
          <w:tblCellMar>
            <w:top w:w="57" w:type="dxa"/>
            <w:left w:w="57" w:type="dxa"/>
            <w:bottom w:w="57" w:type="dxa"/>
            <w:right w:w="57" w:type="dxa"/>
          </w:tblCellMar>
        </w:tblPrEx>
        <w:tc>
          <w:tcPr>
            <w:tcW w:w="3119" w:type="dxa"/>
            <w:hideMark/>
          </w:tcPr>
          <w:p w14:paraId="056B72CF" w14:textId="77777777" w:rsidR="00AF134D" w:rsidRDefault="00AF134D" w:rsidP="00AF134D">
            <w:pPr>
              <w:pStyle w:val="NormalWeb"/>
            </w:pPr>
            <w:r>
              <w:t>SA</w:t>
            </w:r>
          </w:p>
        </w:tc>
        <w:tc>
          <w:tcPr>
            <w:tcW w:w="2449" w:type="dxa"/>
            <w:hideMark/>
          </w:tcPr>
          <w:p w14:paraId="06202779" w14:textId="77777777" w:rsidR="00AF134D" w:rsidRDefault="00AF134D" w:rsidP="00AF134D">
            <w:pPr>
              <w:pStyle w:val="NormalWeb"/>
              <w:jc w:val="center"/>
            </w:pPr>
            <w:r>
              <w:t>1,652,188</w:t>
            </w:r>
          </w:p>
        </w:tc>
        <w:tc>
          <w:tcPr>
            <w:tcW w:w="2449" w:type="dxa"/>
            <w:hideMark/>
          </w:tcPr>
          <w:p w14:paraId="1A97103F" w14:textId="77777777" w:rsidR="00AF134D" w:rsidRDefault="00AF134D" w:rsidP="00AF134D">
            <w:pPr>
              <w:pStyle w:val="NormalWeb"/>
              <w:jc w:val="center"/>
            </w:pPr>
            <w:r>
              <w:t>66.1%</w:t>
            </w:r>
          </w:p>
        </w:tc>
        <w:tc>
          <w:tcPr>
            <w:tcW w:w="2449" w:type="dxa"/>
            <w:hideMark/>
          </w:tcPr>
          <w:p w14:paraId="3056F8B6" w14:textId="77777777" w:rsidR="00AF134D" w:rsidRDefault="00AF134D" w:rsidP="00AF134D">
            <w:pPr>
              <w:pStyle w:val="NormalWeb"/>
              <w:jc w:val="center"/>
            </w:pPr>
            <w:r>
              <w:t>47.8%</w:t>
            </w:r>
          </w:p>
        </w:tc>
      </w:tr>
      <w:tr w:rsidR="00AF134D" w14:paraId="7DE0FE48"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1ADA108E" w14:textId="77777777" w:rsidR="00AF134D" w:rsidRDefault="00AF134D" w:rsidP="00AF134D">
            <w:pPr>
              <w:pStyle w:val="NormalWeb"/>
            </w:pPr>
            <w:r>
              <w:t>Tas.</w:t>
            </w:r>
          </w:p>
        </w:tc>
        <w:tc>
          <w:tcPr>
            <w:tcW w:w="2449" w:type="dxa"/>
            <w:hideMark/>
          </w:tcPr>
          <w:p w14:paraId="3AB9D52D" w14:textId="77777777" w:rsidR="00AF134D" w:rsidRDefault="00AF134D" w:rsidP="00AF134D">
            <w:pPr>
              <w:pStyle w:val="NormalWeb"/>
              <w:jc w:val="center"/>
            </w:pPr>
            <w:r>
              <w:t>581,818</w:t>
            </w:r>
          </w:p>
        </w:tc>
        <w:tc>
          <w:tcPr>
            <w:tcW w:w="2449" w:type="dxa"/>
            <w:hideMark/>
          </w:tcPr>
          <w:p w14:paraId="06340507" w14:textId="77777777" w:rsidR="00AF134D" w:rsidRDefault="00AF134D" w:rsidP="00AF134D">
            <w:pPr>
              <w:pStyle w:val="NormalWeb"/>
              <w:jc w:val="center"/>
            </w:pPr>
            <w:r>
              <w:t>74.9%</w:t>
            </w:r>
          </w:p>
        </w:tc>
        <w:tc>
          <w:tcPr>
            <w:tcW w:w="2449" w:type="dxa"/>
            <w:hideMark/>
          </w:tcPr>
          <w:p w14:paraId="14B1A3AE" w14:textId="77777777" w:rsidR="00AF134D" w:rsidRDefault="00AF134D" w:rsidP="00AF134D">
            <w:pPr>
              <w:pStyle w:val="NormalWeb"/>
              <w:jc w:val="center"/>
            </w:pPr>
            <w:r>
              <w:t>56.6%</w:t>
            </w:r>
          </w:p>
        </w:tc>
      </w:tr>
      <w:tr w:rsidR="00AF134D" w14:paraId="08648858" w14:textId="77777777" w:rsidTr="00AF134D">
        <w:tblPrEx>
          <w:tblCellMar>
            <w:top w:w="57" w:type="dxa"/>
            <w:left w:w="57" w:type="dxa"/>
            <w:bottom w:w="57" w:type="dxa"/>
            <w:right w:w="57" w:type="dxa"/>
          </w:tblCellMar>
        </w:tblPrEx>
        <w:tc>
          <w:tcPr>
            <w:tcW w:w="3119" w:type="dxa"/>
            <w:hideMark/>
          </w:tcPr>
          <w:p w14:paraId="3B881993" w14:textId="77777777" w:rsidR="00AF134D" w:rsidRDefault="00AF134D" w:rsidP="00AF134D">
            <w:pPr>
              <w:pStyle w:val="NormalWeb"/>
            </w:pPr>
            <w:r>
              <w:t>Vic.</w:t>
            </w:r>
          </w:p>
        </w:tc>
        <w:tc>
          <w:tcPr>
            <w:tcW w:w="2449" w:type="dxa"/>
            <w:hideMark/>
          </w:tcPr>
          <w:p w14:paraId="6F49FB55" w14:textId="77777777" w:rsidR="00AF134D" w:rsidRDefault="00AF134D" w:rsidP="00AF134D">
            <w:pPr>
              <w:pStyle w:val="NormalWeb"/>
              <w:jc w:val="center"/>
            </w:pPr>
            <w:r>
              <w:t>6,982,207</w:t>
            </w:r>
          </w:p>
        </w:tc>
        <w:tc>
          <w:tcPr>
            <w:tcW w:w="2449" w:type="dxa"/>
            <w:hideMark/>
          </w:tcPr>
          <w:p w14:paraId="043BF168" w14:textId="77777777" w:rsidR="00AF134D" w:rsidRDefault="00AF134D" w:rsidP="00AF134D">
            <w:pPr>
              <w:pStyle w:val="NormalWeb"/>
              <w:jc w:val="center"/>
            </w:pPr>
            <w:r>
              <w:t>77.9%</w:t>
            </w:r>
          </w:p>
        </w:tc>
        <w:tc>
          <w:tcPr>
            <w:tcW w:w="2449" w:type="dxa"/>
            <w:hideMark/>
          </w:tcPr>
          <w:p w14:paraId="0AA8CA46" w14:textId="77777777" w:rsidR="00AF134D" w:rsidRDefault="00AF134D" w:rsidP="00AF134D">
            <w:pPr>
              <w:pStyle w:val="NormalWeb"/>
              <w:jc w:val="center"/>
            </w:pPr>
            <w:r>
              <w:t>47.7%</w:t>
            </w:r>
          </w:p>
        </w:tc>
      </w:tr>
      <w:tr w:rsidR="00AF134D" w14:paraId="5FB77BFA"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13CF5231" w14:textId="77777777" w:rsidR="00AF134D" w:rsidRDefault="00AF134D" w:rsidP="00AF134D">
            <w:pPr>
              <w:pStyle w:val="NormalWeb"/>
            </w:pPr>
            <w:r>
              <w:t>WA</w:t>
            </w:r>
          </w:p>
        </w:tc>
        <w:tc>
          <w:tcPr>
            <w:tcW w:w="2449" w:type="dxa"/>
            <w:hideMark/>
          </w:tcPr>
          <w:p w14:paraId="1390DA73" w14:textId="77777777" w:rsidR="00AF134D" w:rsidRDefault="00AF134D" w:rsidP="00AF134D">
            <w:pPr>
              <w:pStyle w:val="NormalWeb"/>
              <w:jc w:val="center"/>
            </w:pPr>
            <w:r>
              <w:t>2,335,467</w:t>
            </w:r>
          </w:p>
        </w:tc>
        <w:tc>
          <w:tcPr>
            <w:tcW w:w="2449" w:type="dxa"/>
            <w:hideMark/>
          </w:tcPr>
          <w:p w14:paraId="37192D8B" w14:textId="77777777" w:rsidR="00AF134D" w:rsidRDefault="00AF134D" w:rsidP="00AF134D">
            <w:pPr>
              <w:pStyle w:val="NormalWeb"/>
              <w:jc w:val="center"/>
            </w:pPr>
            <w:r>
              <w:t>63.6%</w:t>
            </w:r>
          </w:p>
        </w:tc>
        <w:tc>
          <w:tcPr>
            <w:tcW w:w="2449" w:type="dxa"/>
            <w:hideMark/>
          </w:tcPr>
          <w:p w14:paraId="5BF4F713" w14:textId="77777777" w:rsidR="00AF134D" w:rsidRDefault="00AF134D" w:rsidP="00AF134D">
            <w:pPr>
              <w:pStyle w:val="NormalWeb"/>
              <w:jc w:val="center"/>
            </w:pPr>
            <w:r>
              <w:t>45.1%</w:t>
            </w:r>
          </w:p>
        </w:tc>
      </w:tr>
      <w:tr w:rsidR="00AF134D" w14:paraId="3FCDBE21" w14:textId="77777777" w:rsidTr="00AF134D">
        <w:tblPrEx>
          <w:tblCellMar>
            <w:top w:w="57" w:type="dxa"/>
            <w:left w:w="57" w:type="dxa"/>
            <w:bottom w:w="57" w:type="dxa"/>
            <w:right w:w="57" w:type="dxa"/>
          </w:tblCellMar>
        </w:tblPrEx>
        <w:tc>
          <w:tcPr>
            <w:tcW w:w="3119" w:type="dxa"/>
            <w:hideMark/>
          </w:tcPr>
          <w:p w14:paraId="1D1C0B20" w14:textId="77777777" w:rsidR="00AF134D" w:rsidRDefault="00AF134D" w:rsidP="00AF134D">
            <w:pPr>
              <w:pStyle w:val="NormalWeb"/>
            </w:pPr>
            <w:r>
              <w:t xml:space="preserve">Aged care and disability </w:t>
            </w:r>
            <w:proofErr w:type="spellStart"/>
            <w:r>
              <w:t>facilities</w:t>
            </w:r>
            <w:r w:rsidRPr="008C076E">
              <w:rPr>
                <w:vertAlign w:val="superscript"/>
              </w:rPr>
              <w:t>c</w:t>
            </w:r>
            <w:proofErr w:type="spellEnd"/>
          </w:p>
        </w:tc>
        <w:tc>
          <w:tcPr>
            <w:tcW w:w="2449" w:type="dxa"/>
            <w:hideMark/>
          </w:tcPr>
          <w:p w14:paraId="57E39447" w14:textId="77777777" w:rsidR="00AF134D" w:rsidRDefault="00AF134D" w:rsidP="00AF134D">
            <w:pPr>
              <w:pStyle w:val="NormalWeb"/>
              <w:jc w:val="center"/>
            </w:pPr>
            <w:r>
              <w:t>968,805</w:t>
            </w:r>
          </w:p>
        </w:tc>
        <w:tc>
          <w:tcPr>
            <w:tcW w:w="2449" w:type="dxa"/>
            <w:hideMark/>
          </w:tcPr>
          <w:p w14:paraId="50BC56D6" w14:textId="77777777" w:rsidR="00AF134D" w:rsidRDefault="00AF134D" w:rsidP="00AF134D">
            <w:pPr>
              <w:pStyle w:val="NormalWeb"/>
              <w:jc w:val="center"/>
            </w:pPr>
            <w:r>
              <w:t>NA</w:t>
            </w:r>
          </w:p>
        </w:tc>
        <w:tc>
          <w:tcPr>
            <w:tcW w:w="2449" w:type="dxa"/>
            <w:hideMark/>
          </w:tcPr>
          <w:p w14:paraId="645C30EC" w14:textId="77777777" w:rsidR="00AF134D" w:rsidRDefault="00AF134D" w:rsidP="00AF134D">
            <w:pPr>
              <w:pStyle w:val="NormalWeb"/>
              <w:jc w:val="center"/>
            </w:pPr>
            <w:r>
              <w:t>NA</w:t>
            </w:r>
          </w:p>
        </w:tc>
      </w:tr>
      <w:tr w:rsidR="00AF134D" w14:paraId="4EF6B6EF"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119" w:type="dxa"/>
            <w:hideMark/>
          </w:tcPr>
          <w:p w14:paraId="5303BD25" w14:textId="77777777" w:rsidR="00AF134D" w:rsidRDefault="00AF134D" w:rsidP="00AF134D">
            <w:pPr>
              <w:pStyle w:val="NormalWeb"/>
            </w:pPr>
            <w:r>
              <w:t>Primary cared</w:t>
            </w:r>
          </w:p>
        </w:tc>
        <w:tc>
          <w:tcPr>
            <w:tcW w:w="2449" w:type="dxa"/>
            <w:hideMark/>
          </w:tcPr>
          <w:p w14:paraId="517C2761" w14:textId="77777777" w:rsidR="00AF134D" w:rsidRDefault="00AF134D" w:rsidP="00AF134D">
            <w:pPr>
              <w:pStyle w:val="NormalWeb"/>
              <w:jc w:val="center"/>
            </w:pPr>
            <w:r>
              <w:t>14,416,986</w:t>
            </w:r>
          </w:p>
        </w:tc>
        <w:tc>
          <w:tcPr>
            <w:tcW w:w="2449" w:type="dxa"/>
            <w:hideMark/>
          </w:tcPr>
          <w:p w14:paraId="22FFA682" w14:textId="77777777" w:rsidR="00AF134D" w:rsidRDefault="00AF134D" w:rsidP="00AF134D">
            <w:pPr>
              <w:pStyle w:val="NormalWeb"/>
              <w:jc w:val="center"/>
            </w:pPr>
            <w:r>
              <w:t>NA</w:t>
            </w:r>
          </w:p>
        </w:tc>
        <w:tc>
          <w:tcPr>
            <w:tcW w:w="2449" w:type="dxa"/>
            <w:hideMark/>
          </w:tcPr>
          <w:p w14:paraId="44A37CC7" w14:textId="77777777" w:rsidR="00AF134D" w:rsidRDefault="00AF134D" w:rsidP="00AF134D">
            <w:pPr>
              <w:pStyle w:val="NormalWeb"/>
              <w:jc w:val="center"/>
            </w:pPr>
            <w:r>
              <w:t>NA</w:t>
            </w:r>
          </w:p>
        </w:tc>
      </w:tr>
      <w:tr w:rsidR="00AF134D" w:rsidRPr="008C076E" w14:paraId="69B535FA" w14:textId="77777777" w:rsidTr="00AF134D">
        <w:tblPrEx>
          <w:tblCellMar>
            <w:top w:w="57" w:type="dxa"/>
            <w:left w:w="57" w:type="dxa"/>
            <w:bottom w:w="57" w:type="dxa"/>
            <w:right w:w="57" w:type="dxa"/>
          </w:tblCellMar>
        </w:tblPrEx>
        <w:tc>
          <w:tcPr>
            <w:tcW w:w="3119" w:type="dxa"/>
            <w:shd w:val="clear" w:color="auto" w:fill="FDE9D9" w:themeFill="accent6" w:themeFillTint="33"/>
            <w:hideMark/>
          </w:tcPr>
          <w:p w14:paraId="69D4C417" w14:textId="77777777" w:rsidR="00AF134D" w:rsidRPr="008C076E" w:rsidRDefault="00AF134D" w:rsidP="00AF134D">
            <w:pPr>
              <w:pStyle w:val="NormalWeb"/>
              <w:rPr>
                <w:b/>
                <w:bCs/>
              </w:rPr>
            </w:pPr>
            <w:r w:rsidRPr="008C076E">
              <w:rPr>
                <w:b/>
                <w:bCs/>
              </w:rPr>
              <w:t>Total</w:t>
            </w:r>
          </w:p>
        </w:tc>
        <w:tc>
          <w:tcPr>
            <w:tcW w:w="2449" w:type="dxa"/>
            <w:shd w:val="clear" w:color="auto" w:fill="FDE9D9" w:themeFill="accent6" w:themeFillTint="33"/>
            <w:hideMark/>
          </w:tcPr>
          <w:p w14:paraId="22739B52" w14:textId="77777777" w:rsidR="00AF134D" w:rsidRPr="008C076E" w:rsidRDefault="00AF134D" w:rsidP="00AF134D">
            <w:pPr>
              <w:pStyle w:val="NormalWeb"/>
              <w:jc w:val="center"/>
              <w:rPr>
                <w:b/>
                <w:bCs/>
              </w:rPr>
            </w:pPr>
            <w:r w:rsidRPr="008C076E">
              <w:rPr>
                <w:b/>
                <w:bCs/>
              </w:rPr>
              <w:t>26,806,343</w:t>
            </w:r>
          </w:p>
        </w:tc>
        <w:tc>
          <w:tcPr>
            <w:tcW w:w="2449" w:type="dxa"/>
            <w:shd w:val="clear" w:color="auto" w:fill="FDE9D9" w:themeFill="accent6" w:themeFillTint="33"/>
            <w:hideMark/>
          </w:tcPr>
          <w:p w14:paraId="481A6105" w14:textId="77777777" w:rsidR="00AF134D" w:rsidRPr="008C076E" w:rsidRDefault="00AF134D" w:rsidP="00AF134D">
            <w:pPr>
              <w:pStyle w:val="NormalWeb"/>
              <w:jc w:val="center"/>
              <w:rPr>
                <w:b/>
                <w:bCs/>
              </w:rPr>
            </w:pPr>
            <w:r w:rsidRPr="008C076E">
              <w:rPr>
                <w:b/>
                <w:bCs/>
              </w:rPr>
              <w:t>76.1%</w:t>
            </w:r>
          </w:p>
        </w:tc>
        <w:tc>
          <w:tcPr>
            <w:tcW w:w="2449" w:type="dxa"/>
            <w:shd w:val="clear" w:color="auto" w:fill="FDE9D9" w:themeFill="accent6" w:themeFillTint="33"/>
            <w:hideMark/>
          </w:tcPr>
          <w:p w14:paraId="3708DA8D" w14:textId="77777777" w:rsidR="00AF134D" w:rsidRPr="008C076E" w:rsidRDefault="00AF134D" w:rsidP="00AF134D">
            <w:pPr>
              <w:pStyle w:val="NormalWeb"/>
              <w:jc w:val="center"/>
              <w:rPr>
                <w:b/>
                <w:bCs/>
              </w:rPr>
            </w:pPr>
            <w:r w:rsidRPr="008C076E">
              <w:rPr>
                <w:b/>
                <w:bCs/>
              </w:rPr>
              <w:t>51.8%</w:t>
            </w:r>
          </w:p>
        </w:tc>
      </w:tr>
    </w:tbl>
    <w:p w14:paraId="67E4A118" w14:textId="77777777" w:rsidR="00AF134D" w:rsidRDefault="00AF134D" w:rsidP="00AF134D">
      <w:pPr>
        <w:pStyle w:val="CDIfootnotes"/>
        <w:rPr>
          <w:lang w:val="en-GB"/>
        </w:rPr>
      </w:pPr>
      <w:r>
        <w:rPr>
          <w:lang w:val="en-GB"/>
        </w:rPr>
        <w:t>a</w:t>
      </w:r>
      <w:r>
        <w:rPr>
          <w:lang w:val="en-GB"/>
        </w:rPr>
        <w:tab/>
        <w:t>Source: Australian Government Department of Health website.</w:t>
      </w:r>
      <w:r w:rsidRPr="00377F75">
        <w:rPr>
          <w:vertAlign w:val="superscript"/>
          <w:lang w:val="en-GB"/>
        </w:rPr>
        <w:t>3</w:t>
      </w:r>
    </w:p>
    <w:p w14:paraId="4904F76D" w14:textId="77777777" w:rsidR="00AF134D" w:rsidRDefault="00AF134D" w:rsidP="00AF134D">
      <w:pPr>
        <w:pStyle w:val="CDIfootnotes"/>
        <w:rPr>
          <w:lang w:val="en-GB"/>
        </w:rPr>
      </w:pPr>
      <w:r>
        <w:rPr>
          <w:lang w:val="en-GB"/>
        </w:rPr>
        <w:t>b</w:t>
      </w:r>
      <w:r>
        <w:rPr>
          <w:lang w:val="en-GB"/>
        </w:rPr>
        <w:tab/>
        <w:t>Includes people who are fully vaccinated.</w:t>
      </w:r>
    </w:p>
    <w:p w14:paraId="5E94E50A" w14:textId="77777777" w:rsidR="00AF134D" w:rsidRDefault="00AF134D" w:rsidP="00AF134D">
      <w:pPr>
        <w:pStyle w:val="CDIfootnotes"/>
        <w:rPr>
          <w:lang w:val="en-GB"/>
        </w:rPr>
      </w:pPr>
      <w:r>
        <w:rPr>
          <w:lang w:val="en-GB"/>
        </w:rPr>
        <w:t>c</w:t>
      </w:r>
      <w:r>
        <w:rPr>
          <w:lang w:val="en-GB"/>
        </w:rPr>
        <w:tab/>
        <w:t>Commonwealth vaccine doses administered in aged care and disability facilities.</w:t>
      </w:r>
    </w:p>
    <w:p w14:paraId="1123A5AD" w14:textId="77777777" w:rsidR="00AF134D" w:rsidRDefault="00AF134D" w:rsidP="00AF134D">
      <w:pPr>
        <w:pStyle w:val="CDIfootnotes"/>
        <w:rPr>
          <w:lang w:val="en-GB"/>
        </w:rPr>
      </w:pPr>
      <w:r>
        <w:rPr>
          <w:lang w:val="en-GB"/>
        </w:rPr>
        <w:t>d</w:t>
      </w:r>
      <w:r>
        <w:rPr>
          <w:lang w:val="en-GB"/>
        </w:rPr>
        <w:tab/>
        <w:t>Commonwealth vaccine doses administered in primary care settings.</w:t>
      </w:r>
    </w:p>
    <w:p w14:paraId="56B19577" w14:textId="77777777" w:rsidR="00106AD7" w:rsidRDefault="00106AD7">
      <w:pPr>
        <w:pStyle w:val="Heading2"/>
        <w:rPr>
          <w:rFonts w:eastAsia="Times New Roman"/>
        </w:rPr>
      </w:pPr>
      <w:r>
        <w:rPr>
          <w:rFonts w:eastAsia="Times New Roman"/>
        </w:rPr>
        <w:t xml:space="preserve">Clusters and outbreaks </w:t>
      </w:r>
    </w:p>
    <w:p w14:paraId="75BFD3AA" w14:textId="038B2BF0" w:rsidR="00106AD7" w:rsidRPr="005D5526" w:rsidRDefault="00106AD7" w:rsidP="005D5526">
      <w:pPr>
        <w:pStyle w:val="Heading3"/>
      </w:pPr>
      <w:r w:rsidRPr="005D5526">
        <w:t xml:space="preserve">Sydney Metropolitan Outbreak </w:t>
      </w:r>
      <w:r w:rsidR="005D5526" w:rsidRPr="005D5526">
        <w:t>and New South Wales Regional Outbreak – New South Wales</w:t>
      </w:r>
    </w:p>
    <w:p w14:paraId="5B280E00" w14:textId="7EE2033B" w:rsidR="00106AD7" w:rsidRDefault="00106AD7">
      <w:pPr>
        <w:pStyle w:val="NormalWeb"/>
      </w:pPr>
      <w:r>
        <w:t xml:space="preserve">In total, as at 26 September 2021, there had been 53,865 </w:t>
      </w:r>
      <w:proofErr w:type="gramStart"/>
      <w:r>
        <w:t>locally-acquired</w:t>
      </w:r>
      <w:proofErr w:type="gramEnd"/>
      <w:r>
        <w:t xml:space="preserve"> cases in New South Wales, including 309 deaths, reported following notification of </w:t>
      </w:r>
      <w:r w:rsidR="005E2BA2">
        <w:rPr>
          <w:rFonts w:ascii="Segoe UI" w:hAnsi="Segoe UI" w:cs="Segoe UI"/>
          <w:color w:val="000000"/>
          <w:sz w:val="21"/>
          <w:szCs w:val="21"/>
        </w:rPr>
        <w:t>outbreak's</w:t>
      </w:r>
      <w:r w:rsidR="005E2BA2">
        <w:t xml:space="preserve"> </w:t>
      </w:r>
      <w:r>
        <w:t xml:space="preserve">first case in this outbreak on 16 June 2021. Genomic testing results showed that the first case was infected with the Delta SARS-CoV-2 variant of concern (B.1.617.2); however, the sequence did not match cases from the Victorian Delta variant outbreak that occurred from May to June 2021. This sequence had not been seen in Australia previously, but matched one from the United States of America. </w:t>
      </w:r>
    </w:p>
    <w:p w14:paraId="2AAE0FE9" w14:textId="43BAF26C" w:rsidR="00106AD7" w:rsidRDefault="00106AD7">
      <w:pPr>
        <w:pStyle w:val="NormalWeb"/>
      </w:pPr>
      <w:r>
        <w:t xml:space="preserve">For the first time since the start of the outbreak, the number of new locally-acquired cases in a fortnight decreased, with </w:t>
      </w:r>
      <w:r w:rsidR="00BB786F" w:rsidRPr="00BB786F">
        <w:t>15,003</w:t>
      </w:r>
      <w:r w:rsidR="00BB786F">
        <w:t xml:space="preserve"> </w:t>
      </w:r>
      <w:r>
        <w:t>locally-acquired cases</w:t>
      </w:r>
      <w:r w:rsidR="00384CD0">
        <w:t xml:space="preserve"> </w:t>
      </w:r>
      <w:r w:rsidR="00384CD0" w:rsidRPr="00384CD0">
        <w:t>(including cases under initial investigation)</w:t>
      </w:r>
      <w:r>
        <w:t xml:space="preserve"> reported this reporting period, compared to </w:t>
      </w:r>
      <w:r w:rsidR="00384CD0" w:rsidRPr="00384CD0">
        <w:t>18,674</w:t>
      </w:r>
      <w:r w:rsidR="00384CD0">
        <w:t xml:space="preserve"> </w:t>
      </w:r>
      <w:r w:rsidR="00384CD0" w:rsidRPr="00384CD0">
        <w:t>such cases</w:t>
      </w:r>
      <w:r>
        <w:t xml:space="preserve"> reported in the previous reporting period. Following the initial start of the outbreak in south-east Sydney, the largest number of new cases were subsequently reported among residents of south-western and western Sydney, with cases also reported in residents of regional and remote areas in New South Wales, particularly in western New South Wales. At the end of the most recent reporting period, case numbers were reducing in south-western and western Sydney, while increasing case numbers were being seen in South Eastern Sydney, Northern </w:t>
      </w:r>
      <w:proofErr w:type="gramStart"/>
      <w:r>
        <w:t>Sydney</w:t>
      </w:r>
      <w:proofErr w:type="gramEnd"/>
      <w:r>
        <w:t xml:space="preserve"> and Sydney LHDs, as well as the regional areas of Illawarra and Cowra. </w:t>
      </w:r>
    </w:p>
    <w:p w14:paraId="72A5256C" w14:textId="4C63F2D8" w:rsidR="00106AD7" w:rsidRDefault="005D5526">
      <w:pPr>
        <w:pStyle w:val="Heading3"/>
        <w:rPr>
          <w:rFonts w:eastAsia="Times New Roman"/>
        </w:rPr>
      </w:pPr>
      <w:r w:rsidRPr="005D5526">
        <w:rPr>
          <w:rFonts w:eastAsia="Times New Roman"/>
        </w:rPr>
        <w:t xml:space="preserve">Metropolitan Melbourne and Victorian Regional Outbreak </w:t>
      </w:r>
      <w:r>
        <w:rPr>
          <w:rFonts w:eastAsia="Times New Roman"/>
          <w:i/>
          <w:iCs/>
        </w:rPr>
        <w:t>–</w:t>
      </w:r>
      <w:r w:rsidRPr="005D5526">
        <w:rPr>
          <w:rFonts w:eastAsia="Times New Roman"/>
        </w:rPr>
        <w:t xml:space="preserve"> </w:t>
      </w:r>
      <w:r w:rsidR="00106AD7">
        <w:rPr>
          <w:rFonts w:eastAsia="Times New Roman"/>
        </w:rPr>
        <w:t xml:space="preserve">Victoria </w:t>
      </w:r>
    </w:p>
    <w:p w14:paraId="4499A0E3" w14:textId="77777777" w:rsidR="00106AD7" w:rsidRDefault="00106AD7">
      <w:pPr>
        <w:pStyle w:val="NormalWeb"/>
      </w:pPr>
      <w:r>
        <w:t xml:space="preserve">As at 26 September 2021, there had been 12,515 </w:t>
      </w:r>
      <w:proofErr w:type="gramStart"/>
      <w:r>
        <w:t>locally-acquired</w:t>
      </w:r>
      <w:proofErr w:type="gramEnd"/>
      <w:r>
        <w:t xml:space="preserve"> cases, including 27 deaths, reported in Victoria since two unlinked cases were reported on 5 August 2021. The size of the Victorian outbreak continued to increase during the reporting period, with the number of locally-acquired cases (including those under investigation) in Victoria this fortnight (8,550 cases) more than twice that of the previous fortnight (3,814 cases). Investigations into the source of infection were ongoing, but genomic testing had determined these outbreaks involved the Delta variant and are genomically closely associated with recent clusters in New South Wales and the previous two seeding events in Victoria from July 2021. </w:t>
      </w:r>
    </w:p>
    <w:p w14:paraId="54BDF9A8" w14:textId="77777777" w:rsidR="00106AD7" w:rsidRDefault="00106AD7">
      <w:pPr>
        <w:pStyle w:val="NormalWeb"/>
      </w:pPr>
      <w:r>
        <w:t xml:space="preserve">Most cases in the outbreak were in the northern and western suburbs of Greater Melbourne. However, since 20 August 2021, cases had also been reported in regional Victoria. Initially, regional cases were mainly reported in Shepparton. However, in the last two weeks, cases were also reported in other regional areas, including Ballarat, Geelong, Mitchell Shire and Surf Coast. </w:t>
      </w:r>
    </w:p>
    <w:p w14:paraId="171F9007" w14:textId="5B1BBD32" w:rsidR="00106AD7" w:rsidRPr="005D5526" w:rsidRDefault="005D5526" w:rsidP="005D5526">
      <w:pPr>
        <w:pStyle w:val="Heading3"/>
      </w:pPr>
      <w:r w:rsidRPr="005D5526">
        <w:t xml:space="preserve">Canberra – </w:t>
      </w:r>
      <w:r w:rsidR="00106AD7" w:rsidRPr="005D5526">
        <w:t xml:space="preserve">Australian Capital Territory </w:t>
      </w:r>
    </w:p>
    <w:p w14:paraId="30E528E5" w14:textId="77777777" w:rsidR="00106AD7" w:rsidRDefault="00106AD7">
      <w:pPr>
        <w:pStyle w:val="NormalWeb"/>
      </w:pPr>
      <w:r>
        <w:t xml:space="preserve">As at 26 September 2021, a total of 769 cases had been reported as part of this outbreak. The first case in this outbreak, which was the first </w:t>
      </w:r>
      <w:proofErr w:type="gramStart"/>
      <w:r>
        <w:t>locally-acquired</w:t>
      </w:r>
      <w:proofErr w:type="gramEnd"/>
      <w:r>
        <w:t xml:space="preserve"> case in the Australian Capital Territory in over a year, was reported on 12 August 2021 and was confirmed to have the Delta variant. The source of infection remained under investigation at the end of this reporting period, though it was genomically related to the Sydney Metropolitan Outbreak. The number of new cases in the Australian Capital Territory during this reporting period (259) was </w:t>
      </w:r>
      <w:proofErr w:type="gramStart"/>
      <w:r>
        <w:t>similar to</w:t>
      </w:r>
      <w:proofErr w:type="gramEnd"/>
      <w:r>
        <w:t xml:space="preserve"> the previous reporting period (251). </w:t>
      </w:r>
    </w:p>
    <w:p w14:paraId="625EB68D" w14:textId="77777777" w:rsidR="00106AD7" w:rsidRDefault="00106AD7">
      <w:pPr>
        <w:pStyle w:val="Heading3"/>
        <w:rPr>
          <w:rFonts w:eastAsia="Times New Roman"/>
        </w:rPr>
      </w:pPr>
      <w:r>
        <w:rPr>
          <w:rFonts w:eastAsia="Times New Roman"/>
        </w:rPr>
        <w:t xml:space="preserve">Queensland </w:t>
      </w:r>
    </w:p>
    <w:p w14:paraId="668E257F" w14:textId="77777777" w:rsidR="00106AD7" w:rsidRDefault="00106AD7">
      <w:pPr>
        <w:pStyle w:val="NormalWeb"/>
      </w:pPr>
      <w:r>
        <w:t xml:space="preserve">As at 26 September 2021, a total of 14 cases had been reported as part of an outbreak in Sunnybank, Brisbane, Queensland. The outbreak commenced on 5 September 2021, with the first cases reported among a small group of people who travelled from New South Wales to Queensland for essential work. As at 26 September 2021, the latest date that a case was infectious in the community was 10 September 2021. </w:t>
      </w:r>
    </w:p>
    <w:p w14:paraId="76417703" w14:textId="77777777" w:rsidR="00106AD7" w:rsidRDefault="00106AD7">
      <w:pPr>
        <w:pStyle w:val="Heading2"/>
        <w:rPr>
          <w:rFonts w:eastAsia="Times New Roman"/>
        </w:rPr>
      </w:pPr>
      <w:r>
        <w:rPr>
          <w:rFonts w:eastAsia="Times New Roman"/>
        </w:rPr>
        <w:t xml:space="preserve">Severity </w:t>
      </w:r>
    </w:p>
    <w:p w14:paraId="487FB449" w14:textId="77777777" w:rsidR="00106AD7" w:rsidRPr="00D1124F" w:rsidRDefault="00106AD7">
      <w:pPr>
        <w:pStyle w:val="Heading3"/>
        <w:rPr>
          <w:rFonts w:eastAsia="Times New Roman"/>
          <w:i/>
          <w:iCs/>
        </w:rPr>
      </w:pPr>
      <w:r w:rsidRPr="00D1124F">
        <w:rPr>
          <w:rFonts w:eastAsia="Times New Roman"/>
          <w:i/>
          <w:iCs/>
        </w:rPr>
        <w:t xml:space="preserve">(NINDSS, SPRINT-SARI) </w:t>
      </w:r>
    </w:p>
    <w:p w14:paraId="66343AA5" w14:textId="77777777" w:rsidR="00106AD7" w:rsidRDefault="00106AD7">
      <w:pPr>
        <w:pStyle w:val="Heading3"/>
        <w:rPr>
          <w:rFonts w:eastAsia="Times New Roman"/>
        </w:rPr>
      </w:pPr>
      <w:r>
        <w:rPr>
          <w:rFonts w:eastAsia="Times New Roman"/>
        </w:rPr>
        <w:t xml:space="preserve">Hospitalisation and intensive care unit admission </w:t>
      </w:r>
    </w:p>
    <w:p w14:paraId="7CBABBE2" w14:textId="77777777" w:rsidR="00106AD7" w:rsidRDefault="00106AD7">
      <w:pPr>
        <w:pStyle w:val="NormalWeb"/>
      </w:pPr>
      <w:r>
        <w:t xml:space="preserve">Given the delay between illness onset and severe illness, to provide a more accurate assessment of the highest level of severity, cases with an onset in the last two weeks were excluded from the analysis. In 2021, based on the highest level of severity reported for cases with an illness onset up to 12 September 2021, 1% of cases were reported to have died, 2% of cases required intensive care and a further 13% required admission to hospital (Table 6). </w:t>
      </w:r>
      <w:proofErr w:type="gramStart"/>
      <w:r>
        <w:t>The majority of</w:t>
      </w:r>
      <w:proofErr w:type="gramEnd"/>
      <w:r>
        <w:t xml:space="preserve"> hospitalisations in 2021 were associated with the current outbreak in New South Wales. Note that hospitalisation data in NINDSS should be interpreted with caution: hospitalisation is not always reflective of severe illness, as cases may be hospitalised for reasons other than clinical COVID-19 related care; additionally, hospitalisation and intensive care unit (ICU) status in NINDSS is likely incomplete. </w:t>
      </w:r>
    </w:p>
    <w:p w14:paraId="43BD7A9D" w14:textId="77777777" w:rsidR="00AF134D" w:rsidRPr="008C076E" w:rsidRDefault="00AF134D" w:rsidP="00AF134D">
      <w:pPr>
        <w:pStyle w:val="CDIFigures"/>
      </w:pPr>
      <w:r w:rsidRPr="008C076E">
        <w:rPr>
          <w:rStyle w:val="Strong"/>
          <w:b/>
          <w:bCs w:val="0"/>
        </w:rPr>
        <w:t>Table 6: COVID-19 cases by age group and highest level of illness severity, selected jurisdictions, 1 January 2021 – 12 September 2021</w:t>
      </w:r>
      <w:r w:rsidRPr="008C076E">
        <w:rPr>
          <w:rStyle w:val="Strong"/>
          <w:b/>
          <w:bCs w:val="0"/>
          <w:vertAlign w:val="superscript"/>
        </w:rPr>
        <w:t>a</w:t>
      </w:r>
    </w:p>
    <w:tbl>
      <w:tblPr>
        <w:tblStyle w:val="CDI-StandardTable"/>
        <w:tblW w:w="0" w:type="auto"/>
        <w:tblLayout w:type="fixed"/>
        <w:tblLook w:val="04A0" w:firstRow="1" w:lastRow="0" w:firstColumn="1" w:lastColumn="0" w:noHBand="0" w:noVBand="1"/>
        <w:tblDescription w:val="Table 6 summarises the total number of cases and the proportions of the highest level of illness severity (hospitalisation, intensive care unit (ICU) admission or death) for the calendar year to 12 September 2021, as a function of age group. While a majority of cases notified this year (26,073/50,465 cases) are under 30 years of age, rates of hospitalisation across this younger age range are comparatively low, with few ICU admissions and very few deaths seen in cases under 30 years of age this year. The percentages of cases hospitalised or died are highest among those over 80 years of age, while the highest proportion of cases admitted to ICU (but not died) is seen among those in the 60–69 and 70–79 year age brackets.&#10;"/>
      </w:tblPr>
      <w:tblGrid>
        <w:gridCol w:w="1418"/>
        <w:gridCol w:w="1099"/>
        <w:gridCol w:w="1099"/>
        <w:gridCol w:w="1099"/>
        <w:gridCol w:w="1099"/>
        <w:gridCol w:w="1100"/>
        <w:gridCol w:w="1184"/>
        <w:gridCol w:w="1184"/>
        <w:gridCol w:w="1184"/>
      </w:tblGrid>
      <w:tr w:rsidR="00AF134D" w:rsidRPr="00613F23" w14:paraId="39145E9B"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1418" w:type="dxa"/>
            <w:vMerge w:val="restart"/>
            <w:tcBorders>
              <w:bottom w:val="single" w:sz="2" w:space="0" w:color="FFFFFF" w:themeColor="background1"/>
              <w:right w:val="single" w:sz="2" w:space="0" w:color="FFFFFF" w:themeColor="background1"/>
            </w:tcBorders>
            <w:hideMark/>
          </w:tcPr>
          <w:p w14:paraId="5715BA71" w14:textId="77777777" w:rsidR="00AF134D" w:rsidRPr="00613F23" w:rsidRDefault="00AF134D" w:rsidP="00AF134D">
            <w:pPr>
              <w:pStyle w:val="NormalWeb"/>
              <w:rPr>
                <w:color w:val="FFFFFF" w:themeColor="background1"/>
              </w:rPr>
            </w:pPr>
            <w:r w:rsidRPr="00613F23">
              <w:rPr>
                <w:color w:val="FFFFFF" w:themeColor="background1"/>
              </w:rPr>
              <w:t>Age group</w:t>
            </w:r>
          </w:p>
        </w:tc>
        <w:tc>
          <w:tcPr>
            <w:tcW w:w="5496" w:type="dxa"/>
            <w:gridSpan w:val="5"/>
            <w:tcBorders>
              <w:left w:val="single" w:sz="2" w:space="0" w:color="FFFFFF" w:themeColor="background1"/>
              <w:bottom w:val="single" w:sz="2" w:space="0" w:color="FFFFFF" w:themeColor="background1"/>
              <w:right w:val="single" w:sz="2" w:space="0" w:color="FFFFFF" w:themeColor="background1"/>
            </w:tcBorders>
            <w:hideMark/>
          </w:tcPr>
          <w:p w14:paraId="779E5FFB" w14:textId="77777777" w:rsidR="00AF134D" w:rsidRPr="00613F23" w:rsidRDefault="00AF134D" w:rsidP="00AF134D">
            <w:pPr>
              <w:pStyle w:val="NormalWeb"/>
              <w:jc w:val="center"/>
              <w:rPr>
                <w:color w:val="FFFFFF" w:themeColor="background1"/>
              </w:rPr>
            </w:pPr>
            <w:r w:rsidRPr="00613F23">
              <w:rPr>
                <w:color w:val="FFFFFF" w:themeColor="background1"/>
              </w:rPr>
              <w:t>Count</w:t>
            </w:r>
          </w:p>
        </w:tc>
        <w:tc>
          <w:tcPr>
            <w:tcW w:w="3552" w:type="dxa"/>
            <w:gridSpan w:val="3"/>
            <w:tcBorders>
              <w:left w:val="single" w:sz="2" w:space="0" w:color="FFFFFF" w:themeColor="background1"/>
              <w:bottom w:val="single" w:sz="2" w:space="0" w:color="FFFFFF" w:themeColor="background1"/>
            </w:tcBorders>
            <w:hideMark/>
          </w:tcPr>
          <w:p w14:paraId="11D525B5" w14:textId="77777777" w:rsidR="00AF134D" w:rsidRPr="00613F23" w:rsidRDefault="00AF134D" w:rsidP="00AF134D">
            <w:pPr>
              <w:pStyle w:val="NormalWeb"/>
              <w:jc w:val="center"/>
              <w:rPr>
                <w:color w:val="FFFFFF" w:themeColor="background1"/>
              </w:rPr>
            </w:pPr>
            <w:r w:rsidRPr="00613F23">
              <w:rPr>
                <w:color w:val="FFFFFF" w:themeColor="background1"/>
              </w:rPr>
              <w:t>% of cases</w:t>
            </w:r>
          </w:p>
        </w:tc>
      </w:tr>
      <w:tr w:rsidR="00116FFB" w:rsidRPr="00613F23" w14:paraId="088A7F94" w14:textId="77777777" w:rsidTr="00AF134D">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right w:val="single" w:sz="2" w:space="0" w:color="FFFFFF" w:themeColor="background1"/>
            </w:tcBorders>
            <w:hideMark/>
          </w:tcPr>
          <w:p w14:paraId="5D7E2F95" w14:textId="77777777" w:rsidR="00116FFB" w:rsidRPr="00613F23" w:rsidRDefault="00116FFB" w:rsidP="00116FFB">
            <w:pPr>
              <w:rPr>
                <w:color w:val="FFFFFF" w:themeColor="background1"/>
                <w:sz w:val="24"/>
                <w:szCs w:val="24"/>
              </w:rPr>
            </w:pPr>
          </w:p>
        </w:tc>
        <w:tc>
          <w:tcPr>
            <w:tcW w:w="1099" w:type="dxa"/>
            <w:tcBorders>
              <w:top w:val="single" w:sz="2" w:space="0" w:color="FFFFFF" w:themeColor="background1"/>
              <w:left w:val="single" w:sz="2" w:space="0" w:color="FFFFFF" w:themeColor="background1"/>
              <w:right w:val="single" w:sz="2" w:space="0" w:color="FFFFFF" w:themeColor="background1"/>
            </w:tcBorders>
            <w:hideMark/>
          </w:tcPr>
          <w:p w14:paraId="4CF447B6" w14:textId="7BA9C712" w:rsidR="00116FFB" w:rsidRPr="00613F23" w:rsidRDefault="00116FFB" w:rsidP="00116FFB">
            <w:pPr>
              <w:pStyle w:val="NormalWeb"/>
              <w:jc w:val="center"/>
              <w:rPr>
                <w:color w:val="FFFFFF" w:themeColor="background1"/>
              </w:rPr>
            </w:pPr>
            <w:r w:rsidRPr="00613F23">
              <w:rPr>
                <w:color w:val="FFFFFF" w:themeColor="background1"/>
              </w:rPr>
              <w:t xml:space="preserve">Not </w:t>
            </w:r>
            <w:proofErr w:type="spellStart"/>
            <w:r>
              <w:rPr>
                <w:color w:val="FFFFFF" w:themeColor="background1"/>
              </w:rPr>
              <w:t>s</w:t>
            </w:r>
            <w:r w:rsidRPr="00613F23">
              <w:rPr>
                <w:color w:val="FFFFFF" w:themeColor="background1"/>
              </w:rPr>
              <w:t>evere</w:t>
            </w:r>
            <w:r w:rsidRPr="00613F23">
              <w:rPr>
                <w:color w:val="FFFFFF" w:themeColor="background1"/>
                <w:vertAlign w:val="superscript"/>
              </w:rPr>
              <w:t>b</w:t>
            </w:r>
            <w:proofErr w:type="spellEnd"/>
          </w:p>
        </w:tc>
        <w:tc>
          <w:tcPr>
            <w:tcW w:w="1099" w:type="dxa"/>
            <w:tcBorders>
              <w:top w:val="single" w:sz="2" w:space="0" w:color="FFFFFF" w:themeColor="background1"/>
              <w:left w:val="single" w:sz="2" w:space="0" w:color="FFFFFF" w:themeColor="background1"/>
              <w:right w:val="single" w:sz="2" w:space="0" w:color="FFFFFF" w:themeColor="background1"/>
            </w:tcBorders>
            <w:hideMark/>
          </w:tcPr>
          <w:p w14:paraId="526FF020" w14:textId="77777777" w:rsidR="00116FFB" w:rsidRPr="00613F23" w:rsidRDefault="00116FFB" w:rsidP="00116FFB">
            <w:pPr>
              <w:pStyle w:val="NormalWeb"/>
              <w:jc w:val="center"/>
              <w:rPr>
                <w:color w:val="FFFFFF" w:themeColor="background1"/>
              </w:rPr>
            </w:pPr>
            <w:r w:rsidRPr="00613F23">
              <w:rPr>
                <w:color w:val="FFFFFF" w:themeColor="background1"/>
              </w:rPr>
              <w:t>Hospitalised only</w:t>
            </w:r>
          </w:p>
          <w:p w14:paraId="2B5BE1C1" w14:textId="77777777" w:rsidR="00116FFB" w:rsidRPr="00613F23" w:rsidRDefault="00116FFB" w:rsidP="00116FFB">
            <w:pPr>
              <w:pStyle w:val="NormalWeb"/>
              <w:jc w:val="center"/>
              <w:rPr>
                <w:color w:val="FFFFFF" w:themeColor="background1"/>
              </w:rPr>
            </w:pPr>
            <w:r w:rsidRPr="00613F23">
              <w:rPr>
                <w:color w:val="FFFFFF" w:themeColor="background1"/>
              </w:rPr>
              <w:t>(not ICU or died)</w:t>
            </w:r>
          </w:p>
        </w:tc>
        <w:tc>
          <w:tcPr>
            <w:tcW w:w="1099" w:type="dxa"/>
            <w:tcBorders>
              <w:top w:val="single" w:sz="2" w:space="0" w:color="FFFFFF" w:themeColor="background1"/>
              <w:left w:val="single" w:sz="2" w:space="0" w:color="FFFFFF" w:themeColor="background1"/>
              <w:right w:val="single" w:sz="2" w:space="0" w:color="FFFFFF" w:themeColor="background1"/>
            </w:tcBorders>
            <w:hideMark/>
          </w:tcPr>
          <w:p w14:paraId="696CD860" w14:textId="1A334F65" w:rsidR="00116FFB" w:rsidRPr="00613F23" w:rsidRDefault="00116FFB" w:rsidP="00116FFB">
            <w:pPr>
              <w:pStyle w:val="NormalWeb"/>
              <w:jc w:val="center"/>
              <w:rPr>
                <w:color w:val="FFFFFF" w:themeColor="background1"/>
              </w:rPr>
            </w:pPr>
            <w:r w:rsidRPr="00116FFB">
              <w:rPr>
                <w:color w:val="FFFFFF" w:themeColor="background1"/>
              </w:rPr>
              <w:t>ICU</w:t>
            </w:r>
            <w:r>
              <w:rPr>
                <w:color w:val="FFFFFF" w:themeColor="background1"/>
              </w:rPr>
              <w:br/>
            </w:r>
            <w:r w:rsidRPr="00116FFB">
              <w:rPr>
                <w:color w:val="FFFFFF" w:themeColor="background1"/>
              </w:rPr>
              <w:t>(but not died)</w:t>
            </w:r>
          </w:p>
        </w:tc>
        <w:tc>
          <w:tcPr>
            <w:tcW w:w="1099" w:type="dxa"/>
            <w:tcBorders>
              <w:top w:val="single" w:sz="2" w:space="0" w:color="FFFFFF" w:themeColor="background1"/>
              <w:left w:val="single" w:sz="2" w:space="0" w:color="FFFFFF" w:themeColor="background1"/>
              <w:right w:val="single" w:sz="2" w:space="0" w:color="FFFFFF" w:themeColor="background1"/>
            </w:tcBorders>
            <w:hideMark/>
          </w:tcPr>
          <w:p w14:paraId="0FB5C042" w14:textId="77777777" w:rsidR="00116FFB" w:rsidRPr="00613F23" w:rsidRDefault="00116FFB" w:rsidP="00116FFB">
            <w:pPr>
              <w:pStyle w:val="NormalWeb"/>
              <w:jc w:val="center"/>
              <w:rPr>
                <w:color w:val="FFFFFF" w:themeColor="background1"/>
              </w:rPr>
            </w:pPr>
            <w:r w:rsidRPr="00613F23">
              <w:rPr>
                <w:color w:val="FFFFFF" w:themeColor="background1"/>
              </w:rPr>
              <w:t>Died</w:t>
            </w:r>
          </w:p>
        </w:tc>
        <w:tc>
          <w:tcPr>
            <w:tcW w:w="1100" w:type="dxa"/>
            <w:tcBorders>
              <w:top w:val="single" w:sz="2" w:space="0" w:color="FFFFFF" w:themeColor="background1"/>
              <w:left w:val="single" w:sz="2" w:space="0" w:color="FFFFFF" w:themeColor="background1"/>
              <w:right w:val="single" w:sz="2" w:space="0" w:color="FFFFFF" w:themeColor="background1"/>
            </w:tcBorders>
            <w:hideMark/>
          </w:tcPr>
          <w:p w14:paraId="4A9D4E3C" w14:textId="77777777" w:rsidR="00116FFB" w:rsidRPr="00613F23" w:rsidRDefault="00116FFB" w:rsidP="00116FFB">
            <w:pPr>
              <w:pStyle w:val="NormalWeb"/>
              <w:jc w:val="center"/>
              <w:rPr>
                <w:color w:val="FFFFFF" w:themeColor="background1"/>
              </w:rPr>
            </w:pPr>
            <w:r w:rsidRPr="00613F23">
              <w:rPr>
                <w:color w:val="FFFFFF" w:themeColor="background1"/>
              </w:rPr>
              <w:t>Total cases</w:t>
            </w:r>
          </w:p>
        </w:tc>
        <w:tc>
          <w:tcPr>
            <w:tcW w:w="1184" w:type="dxa"/>
            <w:tcBorders>
              <w:top w:val="single" w:sz="2" w:space="0" w:color="FFFFFF" w:themeColor="background1"/>
              <w:left w:val="single" w:sz="2" w:space="0" w:color="FFFFFF" w:themeColor="background1"/>
              <w:right w:val="single" w:sz="2" w:space="0" w:color="FFFFFF" w:themeColor="background1"/>
            </w:tcBorders>
            <w:hideMark/>
          </w:tcPr>
          <w:p w14:paraId="0FCF3EB9" w14:textId="77777777" w:rsidR="00116FFB" w:rsidRPr="00613F23" w:rsidRDefault="00116FFB" w:rsidP="00116FFB">
            <w:pPr>
              <w:pStyle w:val="NormalWeb"/>
              <w:jc w:val="center"/>
              <w:rPr>
                <w:color w:val="FFFFFF" w:themeColor="background1"/>
              </w:rPr>
            </w:pPr>
            <w:r w:rsidRPr="00613F23">
              <w:rPr>
                <w:color w:val="FFFFFF" w:themeColor="background1"/>
              </w:rPr>
              <w:t>Hospitalised only</w:t>
            </w:r>
          </w:p>
          <w:p w14:paraId="1CA5FA67" w14:textId="77777777" w:rsidR="00116FFB" w:rsidRPr="00613F23" w:rsidRDefault="00116FFB" w:rsidP="00116FFB">
            <w:pPr>
              <w:pStyle w:val="NormalWeb"/>
              <w:jc w:val="center"/>
              <w:rPr>
                <w:color w:val="FFFFFF" w:themeColor="background1"/>
              </w:rPr>
            </w:pPr>
            <w:r w:rsidRPr="00613F23">
              <w:rPr>
                <w:color w:val="FFFFFF" w:themeColor="background1"/>
              </w:rPr>
              <w:t>(not ICU or died)</w:t>
            </w:r>
          </w:p>
        </w:tc>
        <w:tc>
          <w:tcPr>
            <w:tcW w:w="1184" w:type="dxa"/>
            <w:tcBorders>
              <w:top w:val="single" w:sz="2" w:space="0" w:color="FFFFFF" w:themeColor="background1"/>
              <w:left w:val="single" w:sz="2" w:space="0" w:color="FFFFFF" w:themeColor="background1"/>
              <w:right w:val="single" w:sz="2" w:space="0" w:color="FFFFFF" w:themeColor="background1"/>
            </w:tcBorders>
            <w:hideMark/>
          </w:tcPr>
          <w:p w14:paraId="3230E604" w14:textId="2B24017F" w:rsidR="00116FFB" w:rsidRPr="00613F23" w:rsidRDefault="00116FFB" w:rsidP="00116FFB">
            <w:pPr>
              <w:pStyle w:val="NormalWeb"/>
              <w:jc w:val="center"/>
              <w:rPr>
                <w:color w:val="FFFFFF" w:themeColor="background1"/>
              </w:rPr>
            </w:pPr>
            <w:r w:rsidRPr="00116FFB">
              <w:rPr>
                <w:color w:val="FFFFFF" w:themeColor="background1"/>
              </w:rPr>
              <w:t>ICU</w:t>
            </w:r>
            <w:r>
              <w:rPr>
                <w:color w:val="FFFFFF" w:themeColor="background1"/>
              </w:rPr>
              <w:br/>
            </w:r>
            <w:r w:rsidRPr="00116FFB">
              <w:rPr>
                <w:color w:val="FFFFFF" w:themeColor="background1"/>
              </w:rPr>
              <w:t>(but not died)</w:t>
            </w:r>
          </w:p>
        </w:tc>
        <w:tc>
          <w:tcPr>
            <w:tcW w:w="1184" w:type="dxa"/>
            <w:tcBorders>
              <w:top w:val="single" w:sz="2" w:space="0" w:color="FFFFFF" w:themeColor="background1"/>
              <w:left w:val="single" w:sz="2" w:space="0" w:color="FFFFFF" w:themeColor="background1"/>
            </w:tcBorders>
            <w:hideMark/>
          </w:tcPr>
          <w:p w14:paraId="18F4F5E8" w14:textId="77777777" w:rsidR="00116FFB" w:rsidRPr="00613F23" w:rsidRDefault="00116FFB" w:rsidP="00116FFB">
            <w:pPr>
              <w:pStyle w:val="NormalWeb"/>
              <w:jc w:val="center"/>
              <w:rPr>
                <w:color w:val="FFFFFF" w:themeColor="background1"/>
              </w:rPr>
            </w:pPr>
            <w:r w:rsidRPr="00613F23">
              <w:rPr>
                <w:color w:val="FFFFFF" w:themeColor="background1"/>
              </w:rPr>
              <w:t>Died</w:t>
            </w:r>
          </w:p>
        </w:tc>
      </w:tr>
      <w:tr w:rsidR="00AF134D" w14:paraId="2F4C21C8" w14:textId="77777777" w:rsidTr="00AF134D">
        <w:tblPrEx>
          <w:tblCellMar>
            <w:top w:w="57" w:type="dxa"/>
            <w:left w:w="57" w:type="dxa"/>
            <w:bottom w:w="57" w:type="dxa"/>
            <w:right w:w="57" w:type="dxa"/>
          </w:tblCellMar>
        </w:tblPrEx>
        <w:tc>
          <w:tcPr>
            <w:tcW w:w="1418" w:type="dxa"/>
            <w:hideMark/>
          </w:tcPr>
          <w:p w14:paraId="444D1061" w14:textId="77777777" w:rsidR="00AF134D" w:rsidRDefault="00AF134D" w:rsidP="00AF134D">
            <w:pPr>
              <w:pStyle w:val="NormalWeb"/>
            </w:pPr>
            <w:r>
              <w:t>0–4</w:t>
            </w:r>
          </w:p>
        </w:tc>
        <w:tc>
          <w:tcPr>
            <w:tcW w:w="1099" w:type="dxa"/>
            <w:hideMark/>
          </w:tcPr>
          <w:p w14:paraId="5B7A3B3E" w14:textId="77777777" w:rsidR="00AF134D" w:rsidRDefault="00AF134D" w:rsidP="00AF134D">
            <w:pPr>
              <w:pStyle w:val="NormalWeb"/>
              <w:jc w:val="center"/>
            </w:pPr>
            <w:r>
              <w:t>3,241</w:t>
            </w:r>
          </w:p>
        </w:tc>
        <w:tc>
          <w:tcPr>
            <w:tcW w:w="1099" w:type="dxa"/>
            <w:hideMark/>
          </w:tcPr>
          <w:p w14:paraId="7B3FA9D6" w14:textId="77777777" w:rsidR="00AF134D" w:rsidRDefault="00AF134D" w:rsidP="00AF134D">
            <w:pPr>
              <w:pStyle w:val="NormalWeb"/>
              <w:jc w:val="center"/>
            </w:pPr>
            <w:r>
              <w:t>232</w:t>
            </w:r>
          </w:p>
        </w:tc>
        <w:tc>
          <w:tcPr>
            <w:tcW w:w="1099" w:type="dxa"/>
            <w:hideMark/>
          </w:tcPr>
          <w:p w14:paraId="546381A9" w14:textId="77777777" w:rsidR="00AF134D" w:rsidRDefault="00AF134D" w:rsidP="00AF134D">
            <w:pPr>
              <w:pStyle w:val="NormalWeb"/>
              <w:jc w:val="center"/>
            </w:pPr>
            <w:r>
              <w:t>2</w:t>
            </w:r>
          </w:p>
        </w:tc>
        <w:tc>
          <w:tcPr>
            <w:tcW w:w="1099" w:type="dxa"/>
            <w:hideMark/>
          </w:tcPr>
          <w:p w14:paraId="0872013F" w14:textId="77777777" w:rsidR="00AF134D" w:rsidRDefault="00AF134D" w:rsidP="00AF134D">
            <w:pPr>
              <w:pStyle w:val="NormalWeb"/>
              <w:jc w:val="center"/>
            </w:pPr>
            <w:r>
              <w:t>0</w:t>
            </w:r>
          </w:p>
        </w:tc>
        <w:tc>
          <w:tcPr>
            <w:tcW w:w="1100" w:type="dxa"/>
            <w:hideMark/>
          </w:tcPr>
          <w:p w14:paraId="18A680FE" w14:textId="77777777" w:rsidR="00AF134D" w:rsidRDefault="00AF134D" w:rsidP="00AF134D">
            <w:pPr>
              <w:pStyle w:val="NormalWeb"/>
              <w:jc w:val="center"/>
            </w:pPr>
            <w:r>
              <w:t>3,475</w:t>
            </w:r>
          </w:p>
        </w:tc>
        <w:tc>
          <w:tcPr>
            <w:tcW w:w="1184" w:type="dxa"/>
            <w:hideMark/>
          </w:tcPr>
          <w:p w14:paraId="46AF3F1B" w14:textId="77777777" w:rsidR="00AF134D" w:rsidRDefault="00AF134D" w:rsidP="00AF134D">
            <w:pPr>
              <w:pStyle w:val="NormalWeb"/>
              <w:jc w:val="center"/>
            </w:pPr>
            <w:r>
              <w:t>7%</w:t>
            </w:r>
          </w:p>
        </w:tc>
        <w:tc>
          <w:tcPr>
            <w:tcW w:w="1184" w:type="dxa"/>
            <w:hideMark/>
          </w:tcPr>
          <w:p w14:paraId="4C14B671" w14:textId="77777777" w:rsidR="00AF134D" w:rsidRDefault="00AF134D" w:rsidP="00AF134D">
            <w:pPr>
              <w:pStyle w:val="NormalWeb"/>
              <w:jc w:val="center"/>
            </w:pPr>
            <w:r>
              <w:t>&lt; 1%</w:t>
            </w:r>
          </w:p>
        </w:tc>
        <w:tc>
          <w:tcPr>
            <w:tcW w:w="1184" w:type="dxa"/>
            <w:hideMark/>
          </w:tcPr>
          <w:p w14:paraId="51A7D967" w14:textId="77777777" w:rsidR="00AF134D" w:rsidRDefault="00AF134D" w:rsidP="00AF134D">
            <w:pPr>
              <w:pStyle w:val="NormalWeb"/>
              <w:jc w:val="center"/>
            </w:pPr>
            <w:r>
              <w:t>0%</w:t>
            </w:r>
          </w:p>
        </w:tc>
      </w:tr>
      <w:tr w:rsidR="00AF134D" w14:paraId="5B31B132"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16B8B593" w14:textId="77777777" w:rsidR="00AF134D" w:rsidRDefault="00AF134D" w:rsidP="00AF134D">
            <w:pPr>
              <w:pStyle w:val="NormalWeb"/>
            </w:pPr>
            <w:r>
              <w:t>5–11</w:t>
            </w:r>
          </w:p>
        </w:tc>
        <w:tc>
          <w:tcPr>
            <w:tcW w:w="1099" w:type="dxa"/>
            <w:hideMark/>
          </w:tcPr>
          <w:p w14:paraId="471A798E" w14:textId="77777777" w:rsidR="00AF134D" w:rsidRDefault="00AF134D" w:rsidP="00AF134D">
            <w:pPr>
              <w:pStyle w:val="NormalWeb"/>
              <w:jc w:val="center"/>
            </w:pPr>
            <w:r>
              <w:t>4,635</w:t>
            </w:r>
          </w:p>
        </w:tc>
        <w:tc>
          <w:tcPr>
            <w:tcW w:w="1099" w:type="dxa"/>
            <w:hideMark/>
          </w:tcPr>
          <w:p w14:paraId="5DB61C6B" w14:textId="77777777" w:rsidR="00AF134D" w:rsidRDefault="00AF134D" w:rsidP="00AF134D">
            <w:pPr>
              <w:pStyle w:val="NormalWeb"/>
              <w:jc w:val="center"/>
            </w:pPr>
            <w:r>
              <w:t>190</w:t>
            </w:r>
          </w:p>
        </w:tc>
        <w:tc>
          <w:tcPr>
            <w:tcW w:w="1099" w:type="dxa"/>
            <w:hideMark/>
          </w:tcPr>
          <w:p w14:paraId="2E6D1AED" w14:textId="77777777" w:rsidR="00AF134D" w:rsidRDefault="00AF134D" w:rsidP="00AF134D">
            <w:pPr>
              <w:pStyle w:val="NormalWeb"/>
              <w:jc w:val="center"/>
            </w:pPr>
            <w:r>
              <w:t>2</w:t>
            </w:r>
          </w:p>
        </w:tc>
        <w:tc>
          <w:tcPr>
            <w:tcW w:w="1099" w:type="dxa"/>
            <w:hideMark/>
          </w:tcPr>
          <w:p w14:paraId="2AAEB8B6" w14:textId="77777777" w:rsidR="00AF134D" w:rsidRDefault="00AF134D" w:rsidP="00AF134D">
            <w:pPr>
              <w:pStyle w:val="NormalWeb"/>
              <w:jc w:val="center"/>
            </w:pPr>
            <w:r>
              <w:t>0</w:t>
            </w:r>
          </w:p>
        </w:tc>
        <w:tc>
          <w:tcPr>
            <w:tcW w:w="1100" w:type="dxa"/>
            <w:hideMark/>
          </w:tcPr>
          <w:p w14:paraId="0BF0E3F4" w14:textId="77777777" w:rsidR="00AF134D" w:rsidRDefault="00AF134D" w:rsidP="00AF134D">
            <w:pPr>
              <w:pStyle w:val="NormalWeb"/>
              <w:jc w:val="center"/>
            </w:pPr>
            <w:r>
              <w:t>4,827</w:t>
            </w:r>
          </w:p>
        </w:tc>
        <w:tc>
          <w:tcPr>
            <w:tcW w:w="1184" w:type="dxa"/>
            <w:hideMark/>
          </w:tcPr>
          <w:p w14:paraId="3365C635" w14:textId="77777777" w:rsidR="00AF134D" w:rsidRDefault="00AF134D" w:rsidP="00AF134D">
            <w:pPr>
              <w:pStyle w:val="NormalWeb"/>
              <w:jc w:val="center"/>
            </w:pPr>
            <w:r>
              <w:t>4%</w:t>
            </w:r>
          </w:p>
        </w:tc>
        <w:tc>
          <w:tcPr>
            <w:tcW w:w="1184" w:type="dxa"/>
            <w:hideMark/>
          </w:tcPr>
          <w:p w14:paraId="6271AC6E" w14:textId="77777777" w:rsidR="00AF134D" w:rsidRDefault="00AF134D" w:rsidP="00AF134D">
            <w:pPr>
              <w:pStyle w:val="NormalWeb"/>
              <w:jc w:val="center"/>
            </w:pPr>
            <w:r>
              <w:t>&lt; 1%</w:t>
            </w:r>
          </w:p>
        </w:tc>
        <w:tc>
          <w:tcPr>
            <w:tcW w:w="1184" w:type="dxa"/>
            <w:hideMark/>
          </w:tcPr>
          <w:p w14:paraId="3DF0D53F" w14:textId="77777777" w:rsidR="00AF134D" w:rsidRDefault="00AF134D" w:rsidP="00AF134D">
            <w:pPr>
              <w:pStyle w:val="NormalWeb"/>
              <w:jc w:val="center"/>
            </w:pPr>
            <w:r>
              <w:t>0%</w:t>
            </w:r>
          </w:p>
        </w:tc>
      </w:tr>
      <w:tr w:rsidR="00AF134D" w14:paraId="725F1376" w14:textId="77777777" w:rsidTr="00AF134D">
        <w:tblPrEx>
          <w:tblCellMar>
            <w:top w:w="57" w:type="dxa"/>
            <w:left w:w="57" w:type="dxa"/>
            <w:bottom w:w="57" w:type="dxa"/>
            <w:right w:w="57" w:type="dxa"/>
          </w:tblCellMar>
        </w:tblPrEx>
        <w:tc>
          <w:tcPr>
            <w:tcW w:w="1418" w:type="dxa"/>
            <w:hideMark/>
          </w:tcPr>
          <w:p w14:paraId="1C67A6CE" w14:textId="77777777" w:rsidR="00AF134D" w:rsidRDefault="00AF134D" w:rsidP="00AF134D">
            <w:pPr>
              <w:pStyle w:val="NormalWeb"/>
            </w:pPr>
            <w:r>
              <w:t>12–15</w:t>
            </w:r>
          </w:p>
        </w:tc>
        <w:tc>
          <w:tcPr>
            <w:tcW w:w="1099" w:type="dxa"/>
            <w:hideMark/>
          </w:tcPr>
          <w:p w14:paraId="4F76E5EE" w14:textId="77777777" w:rsidR="00AF134D" w:rsidRDefault="00AF134D" w:rsidP="00AF134D">
            <w:pPr>
              <w:pStyle w:val="NormalWeb"/>
              <w:jc w:val="center"/>
            </w:pPr>
            <w:r>
              <w:t>2,888</w:t>
            </w:r>
          </w:p>
        </w:tc>
        <w:tc>
          <w:tcPr>
            <w:tcW w:w="1099" w:type="dxa"/>
            <w:hideMark/>
          </w:tcPr>
          <w:p w14:paraId="1F5FC50A" w14:textId="77777777" w:rsidR="00AF134D" w:rsidRDefault="00AF134D" w:rsidP="00AF134D">
            <w:pPr>
              <w:pStyle w:val="NormalWeb"/>
              <w:jc w:val="center"/>
            </w:pPr>
            <w:r>
              <w:t>159</w:t>
            </w:r>
          </w:p>
        </w:tc>
        <w:tc>
          <w:tcPr>
            <w:tcW w:w="1099" w:type="dxa"/>
            <w:hideMark/>
          </w:tcPr>
          <w:p w14:paraId="3816C17D" w14:textId="77777777" w:rsidR="00AF134D" w:rsidRDefault="00AF134D" w:rsidP="00AF134D">
            <w:pPr>
              <w:pStyle w:val="NormalWeb"/>
              <w:jc w:val="center"/>
            </w:pPr>
            <w:r>
              <w:t>3</w:t>
            </w:r>
          </w:p>
        </w:tc>
        <w:tc>
          <w:tcPr>
            <w:tcW w:w="1099" w:type="dxa"/>
            <w:hideMark/>
          </w:tcPr>
          <w:p w14:paraId="5C099C5E" w14:textId="77777777" w:rsidR="00AF134D" w:rsidRDefault="00AF134D" w:rsidP="00AF134D">
            <w:pPr>
              <w:pStyle w:val="NormalWeb"/>
              <w:jc w:val="center"/>
            </w:pPr>
            <w:r>
              <w:t>1</w:t>
            </w:r>
          </w:p>
        </w:tc>
        <w:tc>
          <w:tcPr>
            <w:tcW w:w="1100" w:type="dxa"/>
            <w:hideMark/>
          </w:tcPr>
          <w:p w14:paraId="77C0B8AF" w14:textId="77777777" w:rsidR="00AF134D" w:rsidRDefault="00AF134D" w:rsidP="00AF134D">
            <w:pPr>
              <w:pStyle w:val="NormalWeb"/>
              <w:jc w:val="center"/>
            </w:pPr>
            <w:r>
              <w:t>3,051</w:t>
            </w:r>
          </w:p>
        </w:tc>
        <w:tc>
          <w:tcPr>
            <w:tcW w:w="1184" w:type="dxa"/>
            <w:hideMark/>
          </w:tcPr>
          <w:p w14:paraId="3779F90D" w14:textId="77777777" w:rsidR="00AF134D" w:rsidRDefault="00AF134D" w:rsidP="00AF134D">
            <w:pPr>
              <w:pStyle w:val="NormalWeb"/>
              <w:jc w:val="center"/>
            </w:pPr>
            <w:r>
              <w:t>5%</w:t>
            </w:r>
          </w:p>
        </w:tc>
        <w:tc>
          <w:tcPr>
            <w:tcW w:w="1184" w:type="dxa"/>
            <w:hideMark/>
          </w:tcPr>
          <w:p w14:paraId="5D543BB7" w14:textId="77777777" w:rsidR="00AF134D" w:rsidRDefault="00AF134D" w:rsidP="00AF134D">
            <w:pPr>
              <w:pStyle w:val="NormalWeb"/>
              <w:jc w:val="center"/>
            </w:pPr>
            <w:r>
              <w:t>&lt; 1%</w:t>
            </w:r>
          </w:p>
        </w:tc>
        <w:tc>
          <w:tcPr>
            <w:tcW w:w="1184" w:type="dxa"/>
            <w:hideMark/>
          </w:tcPr>
          <w:p w14:paraId="0383CD13" w14:textId="77777777" w:rsidR="00AF134D" w:rsidRDefault="00AF134D" w:rsidP="00AF134D">
            <w:pPr>
              <w:pStyle w:val="NormalWeb"/>
              <w:jc w:val="center"/>
            </w:pPr>
            <w:r>
              <w:t>&lt; 1%</w:t>
            </w:r>
          </w:p>
        </w:tc>
      </w:tr>
      <w:tr w:rsidR="00AF134D" w14:paraId="392FB7CF"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447A9399" w14:textId="77777777" w:rsidR="00AF134D" w:rsidRDefault="00AF134D" w:rsidP="00AF134D">
            <w:pPr>
              <w:pStyle w:val="NormalWeb"/>
            </w:pPr>
            <w:r>
              <w:t>16–17</w:t>
            </w:r>
          </w:p>
        </w:tc>
        <w:tc>
          <w:tcPr>
            <w:tcW w:w="1099" w:type="dxa"/>
            <w:hideMark/>
          </w:tcPr>
          <w:p w14:paraId="2D7D26A1" w14:textId="77777777" w:rsidR="00AF134D" w:rsidRDefault="00AF134D" w:rsidP="00AF134D">
            <w:pPr>
              <w:pStyle w:val="NormalWeb"/>
              <w:jc w:val="center"/>
            </w:pPr>
            <w:r>
              <w:t>1,544</w:t>
            </w:r>
          </w:p>
        </w:tc>
        <w:tc>
          <w:tcPr>
            <w:tcW w:w="1099" w:type="dxa"/>
            <w:hideMark/>
          </w:tcPr>
          <w:p w14:paraId="353FC45B" w14:textId="77777777" w:rsidR="00AF134D" w:rsidRDefault="00AF134D" w:rsidP="00AF134D">
            <w:pPr>
              <w:pStyle w:val="NormalWeb"/>
              <w:jc w:val="center"/>
            </w:pPr>
            <w:r>
              <w:t>84</w:t>
            </w:r>
          </w:p>
        </w:tc>
        <w:tc>
          <w:tcPr>
            <w:tcW w:w="1099" w:type="dxa"/>
            <w:hideMark/>
          </w:tcPr>
          <w:p w14:paraId="6A5CB70A" w14:textId="77777777" w:rsidR="00AF134D" w:rsidRDefault="00AF134D" w:rsidP="00AF134D">
            <w:pPr>
              <w:pStyle w:val="NormalWeb"/>
              <w:jc w:val="center"/>
            </w:pPr>
            <w:r>
              <w:t>6</w:t>
            </w:r>
          </w:p>
        </w:tc>
        <w:tc>
          <w:tcPr>
            <w:tcW w:w="1099" w:type="dxa"/>
            <w:hideMark/>
          </w:tcPr>
          <w:p w14:paraId="01E6EEA0" w14:textId="77777777" w:rsidR="00AF134D" w:rsidRDefault="00AF134D" w:rsidP="00AF134D">
            <w:pPr>
              <w:pStyle w:val="NormalWeb"/>
              <w:jc w:val="center"/>
            </w:pPr>
            <w:r>
              <w:t>0</w:t>
            </w:r>
          </w:p>
        </w:tc>
        <w:tc>
          <w:tcPr>
            <w:tcW w:w="1100" w:type="dxa"/>
            <w:hideMark/>
          </w:tcPr>
          <w:p w14:paraId="135D2A7F" w14:textId="77777777" w:rsidR="00AF134D" w:rsidRDefault="00AF134D" w:rsidP="00AF134D">
            <w:pPr>
              <w:pStyle w:val="NormalWeb"/>
              <w:jc w:val="center"/>
            </w:pPr>
            <w:r>
              <w:t>1,634</w:t>
            </w:r>
          </w:p>
        </w:tc>
        <w:tc>
          <w:tcPr>
            <w:tcW w:w="1184" w:type="dxa"/>
            <w:hideMark/>
          </w:tcPr>
          <w:p w14:paraId="783410B8" w14:textId="77777777" w:rsidR="00AF134D" w:rsidRDefault="00AF134D" w:rsidP="00AF134D">
            <w:pPr>
              <w:pStyle w:val="NormalWeb"/>
              <w:jc w:val="center"/>
            </w:pPr>
            <w:r>
              <w:t>5%</w:t>
            </w:r>
          </w:p>
        </w:tc>
        <w:tc>
          <w:tcPr>
            <w:tcW w:w="1184" w:type="dxa"/>
            <w:hideMark/>
          </w:tcPr>
          <w:p w14:paraId="007257BC" w14:textId="77777777" w:rsidR="00AF134D" w:rsidRDefault="00AF134D" w:rsidP="00AF134D">
            <w:pPr>
              <w:pStyle w:val="NormalWeb"/>
              <w:jc w:val="center"/>
            </w:pPr>
            <w:r>
              <w:t>&lt; 1%</w:t>
            </w:r>
          </w:p>
        </w:tc>
        <w:tc>
          <w:tcPr>
            <w:tcW w:w="1184" w:type="dxa"/>
            <w:hideMark/>
          </w:tcPr>
          <w:p w14:paraId="3D9C888F" w14:textId="77777777" w:rsidR="00AF134D" w:rsidRDefault="00AF134D" w:rsidP="00AF134D">
            <w:pPr>
              <w:pStyle w:val="NormalWeb"/>
              <w:jc w:val="center"/>
            </w:pPr>
            <w:r>
              <w:t>0%</w:t>
            </w:r>
          </w:p>
        </w:tc>
      </w:tr>
      <w:tr w:rsidR="00AF134D" w14:paraId="76E23801" w14:textId="77777777" w:rsidTr="00AF134D">
        <w:tblPrEx>
          <w:tblCellMar>
            <w:top w:w="57" w:type="dxa"/>
            <w:left w:w="57" w:type="dxa"/>
            <w:bottom w:w="57" w:type="dxa"/>
            <w:right w:w="57" w:type="dxa"/>
          </w:tblCellMar>
        </w:tblPrEx>
        <w:tc>
          <w:tcPr>
            <w:tcW w:w="1418" w:type="dxa"/>
            <w:hideMark/>
          </w:tcPr>
          <w:p w14:paraId="76AB47AE" w14:textId="77777777" w:rsidR="00AF134D" w:rsidRDefault="00AF134D" w:rsidP="00AF134D">
            <w:pPr>
              <w:pStyle w:val="NormalWeb"/>
            </w:pPr>
            <w:r>
              <w:t>18–29</w:t>
            </w:r>
          </w:p>
        </w:tc>
        <w:tc>
          <w:tcPr>
            <w:tcW w:w="1099" w:type="dxa"/>
            <w:hideMark/>
          </w:tcPr>
          <w:p w14:paraId="23E9C2FE" w14:textId="77777777" w:rsidR="00AF134D" w:rsidRDefault="00AF134D" w:rsidP="00AF134D">
            <w:pPr>
              <w:pStyle w:val="NormalWeb"/>
              <w:jc w:val="center"/>
            </w:pPr>
            <w:r>
              <w:t>11,737</w:t>
            </w:r>
          </w:p>
        </w:tc>
        <w:tc>
          <w:tcPr>
            <w:tcW w:w="1099" w:type="dxa"/>
            <w:hideMark/>
          </w:tcPr>
          <w:p w14:paraId="59EA4996" w14:textId="77777777" w:rsidR="00AF134D" w:rsidRDefault="00AF134D" w:rsidP="00AF134D">
            <w:pPr>
              <w:pStyle w:val="NormalWeb"/>
              <w:jc w:val="center"/>
            </w:pPr>
            <w:r>
              <w:t>1,257</w:t>
            </w:r>
          </w:p>
        </w:tc>
        <w:tc>
          <w:tcPr>
            <w:tcW w:w="1099" w:type="dxa"/>
            <w:hideMark/>
          </w:tcPr>
          <w:p w14:paraId="0C15EBFE" w14:textId="77777777" w:rsidR="00AF134D" w:rsidRDefault="00AF134D" w:rsidP="00AF134D">
            <w:pPr>
              <w:pStyle w:val="NormalWeb"/>
              <w:jc w:val="center"/>
            </w:pPr>
            <w:r>
              <w:t>87</w:t>
            </w:r>
          </w:p>
        </w:tc>
        <w:tc>
          <w:tcPr>
            <w:tcW w:w="1099" w:type="dxa"/>
            <w:hideMark/>
          </w:tcPr>
          <w:p w14:paraId="400B2359" w14:textId="77777777" w:rsidR="00AF134D" w:rsidRDefault="00AF134D" w:rsidP="00AF134D">
            <w:pPr>
              <w:pStyle w:val="NormalWeb"/>
              <w:jc w:val="center"/>
            </w:pPr>
            <w:r>
              <w:t>5</w:t>
            </w:r>
          </w:p>
        </w:tc>
        <w:tc>
          <w:tcPr>
            <w:tcW w:w="1100" w:type="dxa"/>
            <w:hideMark/>
          </w:tcPr>
          <w:p w14:paraId="0657F064" w14:textId="77777777" w:rsidR="00AF134D" w:rsidRDefault="00AF134D" w:rsidP="00AF134D">
            <w:pPr>
              <w:pStyle w:val="NormalWeb"/>
              <w:jc w:val="center"/>
            </w:pPr>
            <w:r>
              <w:t>13,086</w:t>
            </w:r>
          </w:p>
        </w:tc>
        <w:tc>
          <w:tcPr>
            <w:tcW w:w="1184" w:type="dxa"/>
            <w:hideMark/>
          </w:tcPr>
          <w:p w14:paraId="76ADE4BF" w14:textId="77777777" w:rsidR="00AF134D" w:rsidRDefault="00AF134D" w:rsidP="00AF134D">
            <w:pPr>
              <w:pStyle w:val="NormalWeb"/>
              <w:jc w:val="center"/>
            </w:pPr>
            <w:r>
              <w:t>10%</w:t>
            </w:r>
          </w:p>
        </w:tc>
        <w:tc>
          <w:tcPr>
            <w:tcW w:w="1184" w:type="dxa"/>
            <w:hideMark/>
          </w:tcPr>
          <w:p w14:paraId="082D6AFA" w14:textId="77777777" w:rsidR="00AF134D" w:rsidRDefault="00AF134D" w:rsidP="00AF134D">
            <w:pPr>
              <w:pStyle w:val="NormalWeb"/>
              <w:jc w:val="center"/>
            </w:pPr>
            <w:r>
              <w:t>1%</w:t>
            </w:r>
          </w:p>
        </w:tc>
        <w:tc>
          <w:tcPr>
            <w:tcW w:w="1184" w:type="dxa"/>
            <w:hideMark/>
          </w:tcPr>
          <w:p w14:paraId="516DA866" w14:textId="77777777" w:rsidR="00AF134D" w:rsidRDefault="00AF134D" w:rsidP="00AF134D">
            <w:pPr>
              <w:pStyle w:val="NormalWeb"/>
              <w:jc w:val="center"/>
            </w:pPr>
            <w:r>
              <w:t>&lt; 1%</w:t>
            </w:r>
          </w:p>
        </w:tc>
      </w:tr>
      <w:tr w:rsidR="00AF134D" w14:paraId="36D01348"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5F8B6E3B" w14:textId="77777777" w:rsidR="00AF134D" w:rsidRDefault="00AF134D" w:rsidP="00AF134D">
            <w:pPr>
              <w:pStyle w:val="NormalWeb"/>
            </w:pPr>
            <w:r>
              <w:t>30–39</w:t>
            </w:r>
          </w:p>
        </w:tc>
        <w:tc>
          <w:tcPr>
            <w:tcW w:w="1099" w:type="dxa"/>
            <w:hideMark/>
          </w:tcPr>
          <w:p w14:paraId="0310AE9F" w14:textId="77777777" w:rsidR="00AF134D" w:rsidRDefault="00AF134D" w:rsidP="00AF134D">
            <w:pPr>
              <w:pStyle w:val="NormalWeb"/>
              <w:jc w:val="center"/>
            </w:pPr>
            <w:r>
              <w:t>7,694</w:t>
            </w:r>
          </w:p>
        </w:tc>
        <w:tc>
          <w:tcPr>
            <w:tcW w:w="1099" w:type="dxa"/>
            <w:hideMark/>
          </w:tcPr>
          <w:p w14:paraId="3207AD6E" w14:textId="77777777" w:rsidR="00AF134D" w:rsidRDefault="00AF134D" w:rsidP="00AF134D">
            <w:pPr>
              <w:pStyle w:val="NormalWeb"/>
              <w:jc w:val="center"/>
            </w:pPr>
            <w:r>
              <w:t>1,228</w:t>
            </w:r>
          </w:p>
        </w:tc>
        <w:tc>
          <w:tcPr>
            <w:tcW w:w="1099" w:type="dxa"/>
            <w:hideMark/>
          </w:tcPr>
          <w:p w14:paraId="6B951A1F" w14:textId="77777777" w:rsidR="00AF134D" w:rsidRDefault="00AF134D" w:rsidP="00AF134D">
            <w:pPr>
              <w:pStyle w:val="NormalWeb"/>
              <w:jc w:val="center"/>
            </w:pPr>
            <w:r>
              <w:t>122</w:t>
            </w:r>
          </w:p>
        </w:tc>
        <w:tc>
          <w:tcPr>
            <w:tcW w:w="1099" w:type="dxa"/>
            <w:hideMark/>
          </w:tcPr>
          <w:p w14:paraId="5217FAD7" w14:textId="77777777" w:rsidR="00AF134D" w:rsidRDefault="00AF134D" w:rsidP="00AF134D">
            <w:pPr>
              <w:pStyle w:val="NormalWeb"/>
              <w:jc w:val="center"/>
            </w:pPr>
            <w:r>
              <w:t>7</w:t>
            </w:r>
          </w:p>
        </w:tc>
        <w:tc>
          <w:tcPr>
            <w:tcW w:w="1100" w:type="dxa"/>
            <w:hideMark/>
          </w:tcPr>
          <w:p w14:paraId="7CFEF360" w14:textId="77777777" w:rsidR="00AF134D" w:rsidRDefault="00AF134D" w:rsidP="00AF134D">
            <w:pPr>
              <w:pStyle w:val="NormalWeb"/>
              <w:jc w:val="center"/>
            </w:pPr>
            <w:r>
              <w:t>9,051</w:t>
            </w:r>
          </w:p>
        </w:tc>
        <w:tc>
          <w:tcPr>
            <w:tcW w:w="1184" w:type="dxa"/>
            <w:hideMark/>
          </w:tcPr>
          <w:p w14:paraId="5BCBB1F2" w14:textId="77777777" w:rsidR="00AF134D" w:rsidRDefault="00AF134D" w:rsidP="00AF134D">
            <w:pPr>
              <w:pStyle w:val="NormalWeb"/>
              <w:jc w:val="center"/>
            </w:pPr>
            <w:r>
              <w:t>14%</w:t>
            </w:r>
          </w:p>
        </w:tc>
        <w:tc>
          <w:tcPr>
            <w:tcW w:w="1184" w:type="dxa"/>
            <w:hideMark/>
          </w:tcPr>
          <w:p w14:paraId="3076655C" w14:textId="77777777" w:rsidR="00AF134D" w:rsidRDefault="00AF134D" w:rsidP="00AF134D">
            <w:pPr>
              <w:pStyle w:val="NormalWeb"/>
              <w:jc w:val="center"/>
            </w:pPr>
            <w:r>
              <w:t>1%</w:t>
            </w:r>
          </w:p>
        </w:tc>
        <w:tc>
          <w:tcPr>
            <w:tcW w:w="1184" w:type="dxa"/>
            <w:hideMark/>
          </w:tcPr>
          <w:p w14:paraId="491B4919" w14:textId="77777777" w:rsidR="00AF134D" w:rsidRDefault="00AF134D" w:rsidP="00AF134D">
            <w:pPr>
              <w:pStyle w:val="NormalWeb"/>
              <w:jc w:val="center"/>
            </w:pPr>
            <w:r>
              <w:t>&lt; 1%</w:t>
            </w:r>
          </w:p>
        </w:tc>
      </w:tr>
      <w:tr w:rsidR="00AF134D" w14:paraId="7A9809B0" w14:textId="77777777" w:rsidTr="00AF134D">
        <w:tblPrEx>
          <w:tblCellMar>
            <w:top w:w="57" w:type="dxa"/>
            <w:left w:w="57" w:type="dxa"/>
            <w:bottom w:w="57" w:type="dxa"/>
            <w:right w:w="57" w:type="dxa"/>
          </w:tblCellMar>
        </w:tblPrEx>
        <w:tc>
          <w:tcPr>
            <w:tcW w:w="1418" w:type="dxa"/>
            <w:hideMark/>
          </w:tcPr>
          <w:p w14:paraId="67808AC5" w14:textId="77777777" w:rsidR="00AF134D" w:rsidRDefault="00AF134D" w:rsidP="00AF134D">
            <w:pPr>
              <w:pStyle w:val="NormalWeb"/>
            </w:pPr>
            <w:r>
              <w:t>40–49</w:t>
            </w:r>
          </w:p>
        </w:tc>
        <w:tc>
          <w:tcPr>
            <w:tcW w:w="1099" w:type="dxa"/>
            <w:hideMark/>
          </w:tcPr>
          <w:p w14:paraId="49588AB2" w14:textId="77777777" w:rsidR="00AF134D" w:rsidRDefault="00AF134D" w:rsidP="00AF134D">
            <w:pPr>
              <w:pStyle w:val="NormalWeb"/>
              <w:jc w:val="center"/>
            </w:pPr>
            <w:r>
              <w:t>5,074</w:t>
            </w:r>
          </w:p>
        </w:tc>
        <w:tc>
          <w:tcPr>
            <w:tcW w:w="1099" w:type="dxa"/>
            <w:hideMark/>
          </w:tcPr>
          <w:p w14:paraId="64CDB46A" w14:textId="77777777" w:rsidR="00AF134D" w:rsidRDefault="00AF134D" w:rsidP="00AF134D">
            <w:pPr>
              <w:pStyle w:val="NormalWeb"/>
              <w:jc w:val="center"/>
            </w:pPr>
            <w:r>
              <w:t>1,097</w:t>
            </w:r>
          </w:p>
        </w:tc>
        <w:tc>
          <w:tcPr>
            <w:tcW w:w="1099" w:type="dxa"/>
            <w:hideMark/>
          </w:tcPr>
          <w:p w14:paraId="428F39F9" w14:textId="77777777" w:rsidR="00AF134D" w:rsidRDefault="00AF134D" w:rsidP="00AF134D">
            <w:pPr>
              <w:pStyle w:val="NormalWeb"/>
              <w:jc w:val="center"/>
            </w:pPr>
            <w:r>
              <w:t>165</w:t>
            </w:r>
          </w:p>
        </w:tc>
        <w:tc>
          <w:tcPr>
            <w:tcW w:w="1099" w:type="dxa"/>
            <w:hideMark/>
          </w:tcPr>
          <w:p w14:paraId="0BAFDBC7" w14:textId="77777777" w:rsidR="00AF134D" w:rsidRDefault="00AF134D" w:rsidP="00AF134D">
            <w:pPr>
              <w:pStyle w:val="NormalWeb"/>
              <w:jc w:val="center"/>
            </w:pPr>
            <w:r>
              <w:t>13</w:t>
            </w:r>
          </w:p>
        </w:tc>
        <w:tc>
          <w:tcPr>
            <w:tcW w:w="1100" w:type="dxa"/>
            <w:hideMark/>
          </w:tcPr>
          <w:p w14:paraId="748F1E5B" w14:textId="77777777" w:rsidR="00AF134D" w:rsidRDefault="00AF134D" w:rsidP="00AF134D">
            <w:pPr>
              <w:pStyle w:val="NormalWeb"/>
              <w:jc w:val="center"/>
            </w:pPr>
            <w:r>
              <w:t>6,349</w:t>
            </w:r>
          </w:p>
        </w:tc>
        <w:tc>
          <w:tcPr>
            <w:tcW w:w="1184" w:type="dxa"/>
            <w:hideMark/>
          </w:tcPr>
          <w:p w14:paraId="318C8AB0" w14:textId="77777777" w:rsidR="00AF134D" w:rsidRDefault="00AF134D" w:rsidP="00AF134D">
            <w:pPr>
              <w:pStyle w:val="NormalWeb"/>
              <w:jc w:val="center"/>
            </w:pPr>
            <w:r>
              <w:t>17%</w:t>
            </w:r>
          </w:p>
        </w:tc>
        <w:tc>
          <w:tcPr>
            <w:tcW w:w="1184" w:type="dxa"/>
            <w:hideMark/>
          </w:tcPr>
          <w:p w14:paraId="77B13EB4" w14:textId="77777777" w:rsidR="00AF134D" w:rsidRDefault="00AF134D" w:rsidP="00AF134D">
            <w:pPr>
              <w:pStyle w:val="NormalWeb"/>
              <w:jc w:val="center"/>
            </w:pPr>
            <w:r>
              <w:t>3%</w:t>
            </w:r>
          </w:p>
        </w:tc>
        <w:tc>
          <w:tcPr>
            <w:tcW w:w="1184" w:type="dxa"/>
            <w:hideMark/>
          </w:tcPr>
          <w:p w14:paraId="65BF6524" w14:textId="77777777" w:rsidR="00AF134D" w:rsidRDefault="00AF134D" w:rsidP="00AF134D">
            <w:pPr>
              <w:pStyle w:val="NormalWeb"/>
              <w:jc w:val="center"/>
            </w:pPr>
            <w:r>
              <w:t>0%</w:t>
            </w:r>
          </w:p>
        </w:tc>
      </w:tr>
      <w:tr w:rsidR="00AF134D" w14:paraId="1D84E307"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35B8AF8E" w14:textId="77777777" w:rsidR="00AF134D" w:rsidRDefault="00AF134D" w:rsidP="00AF134D">
            <w:pPr>
              <w:pStyle w:val="NormalWeb"/>
            </w:pPr>
            <w:r>
              <w:t>50–59</w:t>
            </w:r>
          </w:p>
        </w:tc>
        <w:tc>
          <w:tcPr>
            <w:tcW w:w="1099" w:type="dxa"/>
            <w:hideMark/>
          </w:tcPr>
          <w:p w14:paraId="0933B5ED" w14:textId="77777777" w:rsidR="00AF134D" w:rsidRDefault="00AF134D" w:rsidP="00AF134D">
            <w:pPr>
              <w:pStyle w:val="NormalWeb"/>
              <w:jc w:val="center"/>
            </w:pPr>
            <w:r>
              <w:t>3,480</w:t>
            </w:r>
          </w:p>
        </w:tc>
        <w:tc>
          <w:tcPr>
            <w:tcW w:w="1099" w:type="dxa"/>
            <w:hideMark/>
          </w:tcPr>
          <w:p w14:paraId="1FD708AF" w14:textId="77777777" w:rsidR="00AF134D" w:rsidRDefault="00AF134D" w:rsidP="00AF134D">
            <w:pPr>
              <w:pStyle w:val="NormalWeb"/>
              <w:jc w:val="center"/>
            </w:pPr>
            <w:r>
              <w:t>914</w:t>
            </w:r>
          </w:p>
        </w:tc>
        <w:tc>
          <w:tcPr>
            <w:tcW w:w="1099" w:type="dxa"/>
            <w:hideMark/>
          </w:tcPr>
          <w:p w14:paraId="1774F546" w14:textId="77777777" w:rsidR="00AF134D" w:rsidRDefault="00AF134D" w:rsidP="00AF134D">
            <w:pPr>
              <w:pStyle w:val="NormalWeb"/>
              <w:jc w:val="center"/>
            </w:pPr>
            <w:r>
              <w:t>217</w:t>
            </w:r>
          </w:p>
        </w:tc>
        <w:tc>
          <w:tcPr>
            <w:tcW w:w="1099" w:type="dxa"/>
            <w:hideMark/>
          </w:tcPr>
          <w:p w14:paraId="7CF22DC8" w14:textId="77777777" w:rsidR="00AF134D" w:rsidRDefault="00AF134D" w:rsidP="00AF134D">
            <w:pPr>
              <w:pStyle w:val="NormalWeb"/>
              <w:jc w:val="center"/>
            </w:pPr>
            <w:r>
              <w:t>28</w:t>
            </w:r>
          </w:p>
        </w:tc>
        <w:tc>
          <w:tcPr>
            <w:tcW w:w="1100" w:type="dxa"/>
            <w:hideMark/>
          </w:tcPr>
          <w:p w14:paraId="71D34A10" w14:textId="77777777" w:rsidR="00AF134D" w:rsidRDefault="00AF134D" w:rsidP="00AF134D">
            <w:pPr>
              <w:pStyle w:val="NormalWeb"/>
              <w:jc w:val="center"/>
            </w:pPr>
            <w:r>
              <w:t>4,639</w:t>
            </w:r>
          </w:p>
        </w:tc>
        <w:tc>
          <w:tcPr>
            <w:tcW w:w="1184" w:type="dxa"/>
            <w:hideMark/>
          </w:tcPr>
          <w:p w14:paraId="51CD441E" w14:textId="77777777" w:rsidR="00AF134D" w:rsidRDefault="00AF134D" w:rsidP="00AF134D">
            <w:pPr>
              <w:pStyle w:val="NormalWeb"/>
              <w:jc w:val="center"/>
            </w:pPr>
            <w:r>
              <w:t>20%</w:t>
            </w:r>
          </w:p>
        </w:tc>
        <w:tc>
          <w:tcPr>
            <w:tcW w:w="1184" w:type="dxa"/>
            <w:hideMark/>
          </w:tcPr>
          <w:p w14:paraId="4ABB19ED" w14:textId="77777777" w:rsidR="00AF134D" w:rsidRDefault="00AF134D" w:rsidP="00AF134D">
            <w:pPr>
              <w:pStyle w:val="NormalWeb"/>
              <w:jc w:val="center"/>
            </w:pPr>
            <w:r>
              <w:t>5%</w:t>
            </w:r>
          </w:p>
        </w:tc>
        <w:tc>
          <w:tcPr>
            <w:tcW w:w="1184" w:type="dxa"/>
            <w:hideMark/>
          </w:tcPr>
          <w:p w14:paraId="06DE6993" w14:textId="77777777" w:rsidR="00AF134D" w:rsidRDefault="00AF134D" w:rsidP="00AF134D">
            <w:pPr>
              <w:pStyle w:val="NormalWeb"/>
              <w:jc w:val="center"/>
            </w:pPr>
            <w:r>
              <w:t>1%</w:t>
            </w:r>
          </w:p>
        </w:tc>
      </w:tr>
      <w:tr w:rsidR="00AF134D" w14:paraId="4EF69B95" w14:textId="77777777" w:rsidTr="00AF134D">
        <w:tblPrEx>
          <w:tblCellMar>
            <w:top w:w="57" w:type="dxa"/>
            <w:left w:w="57" w:type="dxa"/>
            <w:bottom w:w="57" w:type="dxa"/>
            <w:right w:w="57" w:type="dxa"/>
          </w:tblCellMar>
        </w:tblPrEx>
        <w:tc>
          <w:tcPr>
            <w:tcW w:w="1418" w:type="dxa"/>
            <w:hideMark/>
          </w:tcPr>
          <w:p w14:paraId="0E0646FB" w14:textId="77777777" w:rsidR="00AF134D" w:rsidRDefault="00AF134D" w:rsidP="00AF134D">
            <w:pPr>
              <w:pStyle w:val="NormalWeb"/>
            </w:pPr>
            <w:r>
              <w:t>60–69</w:t>
            </w:r>
          </w:p>
        </w:tc>
        <w:tc>
          <w:tcPr>
            <w:tcW w:w="1099" w:type="dxa"/>
            <w:hideMark/>
          </w:tcPr>
          <w:p w14:paraId="21DDD0F2" w14:textId="77777777" w:rsidR="00AF134D" w:rsidRDefault="00AF134D" w:rsidP="00AF134D">
            <w:pPr>
              <w:pStyle w:val="NormalWeb"/>
              <w:jc w:val="center"/>
            </w:pPr>
            <w:r>
              <w:t>1,671</w:t>
            </w:r>
          </w:p>
        </w:tc>
        <w:tc>
          <w:tcPr>
            <w:tcW w:w="1099" w:type="dxa"/>
            <w:hideMark/>
          </w:tcPr>
          <w:p w14:paraId="55A58B83" w14:textId="77777777" w:rsidR="00AF134D" w:rsidRDefault="00AF134D" w:rsidP="00AF134D">
            <w:pPr>
              <w:pStyle w:val="NormalWeb"/>
              <w:jc w:val="center"/>
            </w:pPr>
            <w:r>
              <w:t>625</w:t>
            </w:r>
          </w:p>
        </w:tc>
        <w:tc>
          <w:tcPr>
            <w:tcW w:w="1099" w:type="dxa"/>
            <w:hideMark/>
          </w:tcPr>
          <w:p w14:paraId="4AE5F1E3" w14:textId="77777777" w:rsidR="00AF134D" w:rsidRDefault="00AF134D" w:rsidP="00AF134D">
            <w:pPr>
              <w:pStyle w:val="NormalWeb"/>
              <w:jc w:val="center"/>
            </w:pPr>
            <w:r>
              <w:t>189</w:t>
            </w:r>
          </w:p>
        </w:tc>
        <w:tc>
          <w:tcPr>
            <w:tcW w:w="1099" w:type="dxa"/>
            <w:hideMark/>
          </w:tcPr>
          <w:p w14:paraId="727D6E60" w14:textId="77777777" w:rsidR="00AF134D" w:rsidRDefault="00AF134D" w:rsidP="00AF134D">
            <w:pPr>
              <w:pStyle w:val="NormalWeb"/>
              <w:jc w:val="center"/>
            </w:pPr>
            <w:r>
              <w:t>45</w:t>
            </w:r>
          </w:p>
        </w:tc>
        <w:tc>
          <w:tcPr>
            <w:tcW w:w="1100" w:type="dxa"/>
            <w:hideMark/>
          </w:tcPr>
          <w:p w14:paraId="51003BB4" w14:textId="77777777" w:rsidR="00AF134D" w:rsidRDefault="00AF134D" w:rsidP="00AF134D">
            <w:pPr>
              <w:pStyle w:val="NormalWeb"/>
              <w:jc w:val="center"/>
            </w:pPr>
            <w:r>
              <w:t>2,530</w:t>
            </w:r>
          </w:p>
        </w:tc>
        <w:tc>
          <w:tcPr>
            <w:tcW w:w="1184" w:type="dxa"/>
            <w:hideMark/>
          </w:tcPr>
          <w:p w14:paraId="10FF58B6" w14:textId="77777777" w:rsidR="00AF134D" w:rsidRDefault="00AF134D" w:rsidP="00AF134D">
            <w:pPr>
              <w:pStyle w:val="NormalWeb"/>
              <w:jc w:val="center"/>
            </w:pPr>
            <w:r>
              <w:t>25%</w:t>
            </w:r>
          </w:p>
        </w:tc>
        <w:tc>
          <w:tcPr>
            <w:tcW w:w="1184" w:type="dxa"/>
            <w:hideMark/>
          </w:tcPr>
          <w:p w14:paraId="2EFAFC4F" w14:textId="77777777" w:rsidR="00AF134D" w:rsidRDefault="00AF134D" w:rsidP="00AF134D">
            <w:pPr>
              <w:pStyle w:val="NormalWeb"/>
              <w:jc w:val="center"/>
            </w:pPr>
            <w:r>
              <w:t>7%</w:t>
            </w:r>
          </w:p>
        </w:tc>
        <w:tc>
          <w:tcPr>
            <w:tcW w:w="1184" w:type="dxa"/>
            <w:hideMark/>
          </w:tcPr>
          <w:p w14:paraId="6DAE3365" w14:textId="77777777" w:rsidR="00AF134D" w:rsidRDefault="00AF134D" w:rsidP="00AF134D">
            <w:pPr>
              <w:pStyle w:val="NormalWeb"/>
              <w:jc w:val="center"/>
            </w:pPr>
            <w:r>
              <w:t>2%</w:t>
            </w:r>
          </w:p>
        </w:tc>
      </w:tr>
      <w:tr w:rsidR="00AF134D" w14:paraId="36BBF097"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65BB8090" w14:textId="77777777" w:rsidR="00AF134D" w:rsidRDefault="00AF134D" w:rsidP="00AF134D">
            <w:pPr>
              <w:pStyle w:val="NormalWeb"/>
            </w:pPr>
            <w:r>
              <w:t>70–79</w:t>
            </w:r>
          </w:p>
        </w:tc>
        <w:tc>
          <w:tcPr>
            <w:tcW w:w="1099" w:type="dxa"/>
            <w:hideMark/>
          </w:tcPr>
          <w:p w14:paraId="6540018E" w14:textId="77777777" w:rsidR="00AF134D" w:rsidRDefault="00AF134D" w:rsidP="00AF134D">
            <w:pPr>
              <w:pStyle w:val="NormalWeb"/>
              <w:jc w:val="center"/>
            </w:pPr>
            <w:r>
              <w:t>566</w:t>
            </w:r>
          </w:p>
        </w:tc>
        <w:tc>
          <w:tcPr>
            <w:tcW w:w="1099" w:type="dxa"/>
            <w:hideMark/>
          </w:tcPr>
          <w:p w14:paraId="63889E58" w14:textId="77777777" w:rsidR="00AF134D" w:rsidRDefault="00AF134D" w:rsidP="00AF134D">
            <w:pPr>
              <w:pStyle w:val="NormalWeb"/>
              <w:jc w:val="center"/>
            </w:pPr>
            <w:r>
              <w:t>401</w:t>
            </w:r>
          </w:p>
        </w:tc>
        <w:tc>
          <w:tcPr>
            <w:tcW w:w="1099" w:type="dxa"/>
            <w:hideMark/>
          </w:tcPr>
          <w:p w14:paraId="0B2F762E" w14:textId="77777777" w:rsidR="00AF134D" w:rsidRDefault="00AF134D" w:rsidP="00AF134D">
            <w:pPr>
              <w:pStyle w:val="NormalWeb"/>
              <w:jc w:val="center"/>
            </w:pPr>
            <w:r>
              <w:t>82</w:t>
            </w:r>
          </w:p>
        </w:tc>
        <w:tc>
          <w:tcPr>
            <w:tcW w:w="1099" w:type="dxa"/>
            <w:hideMark/>
          </w:tcPr>
          <w:p w14:paraId="36D57EE1" w14:textId="77777777" w:rsidR="00AF134D" w:rsidRDefault="00AF134D" w:rsidP="00AF134D">
            <w:pPr>
              <w:pStyle w:val="NormalWeb"/>
              <w:jc w:val="center"/>
            </w:pPr>
            <w:r>
              <w:t>74</w:t>
            </w:r>
          </w:p>
        </w:tc>
        <w:tc>
          <w:tcPr>
            <w:tcW w:w="1100" w:type="dxa"/>
            <w:hideMark/>
          </w:tcPr>
          <w:p w14:paraId="3771521C" w14:textId="77777777" w:rsidR="00AF134D" w:rsidRDefault="00AF134D" w:rsidP="00AF134D">
            <w:pPr>
              <w:pStyle w:val="NormalWeb"/>
              <w:jc w:val="center"/>
            </w:pPr>
            <w:r>
              <w:t>1,123</w:t>
            </w:r>
          </w:p>
        </w:tc>
        <w:tc>
          <w:tcPr>
            <w:tcW w:w="1184" w:type="dxa"/>
            <w:hideMark/>
          </w:tcPr>
          <w:p w14:paraId="1167C3E2" w14:textId="77777777" w:rsidR="00AF134D" w:rsidRDefault="00AF134D" w:rsidP="00AF134D">
            <w:pPr>
              <w:pStyle w:val="NormalWeb"/>
              <w:jc w:val="center"/>
            </w:pPr>
            <w:r>
              <w:t>36%</w:t>
            </w:r>
          </w:p>
        </w:tc>
        <w:tc>
          <w:tcPr>
            <w:tcW w:w="1184" w:type="dxa"/>
            <w:hideMark/>
          </w:tcPr>
          <w:p w14:paraId="54D2620F" w14:textId="77777777" w:rsidR="00AF134D" w:rsidRDefault="00AF134D" w:rsidP="00AF134D">
            <w:pPr>
              <w:pStyle w:val="NormalWeb"/>
              <w:jc w:val="center"/>
            </w:pPr>
            <w:r>
              <w:t>7%</w:t>
            </w:r>
          </w:p>
        </w:tc>
        <w:tc>
          <w:tcPr>
            <w:tcW w:w="1184" w:type="dxa"/>
            <w:hideMark/>
          </w:tcPr>
          <w:p w14:paraId="2608B2B1" w14:textId="77777777" w:rsidR="00AF134D" w:rsidRDefault="00AF134D" w:rsidP="00AF134D">
            <w:pPr>
              <w:pStyle w:val="NormalWeb"/>
              <w:jc w:val="center"/>
            </w:pPr>
            <w:r>
              <w:t>7%</w:t>
            </w:r>
          </w:p>
        </w:tc>
      </w:tr>
      <w:tr w:rsidR="00AF134D" w14:paraId="682A9665" w14:textId="77777777" w:rsidTr="00AF134D">
        <w:tblPrEx>
          <w:tblCellMar>
            <w:top w:w="57" w:type="dxa"/>
            <w:left w:w="57" w:type="dxa"/>
            <w:bottom w:w="57" w:type="dxa"/>
            <w:right w:w="57" w:type="dxa"/>
          </w:tblCellMar>
        </w:tblPrEx>
        <w:tc>
          <w:tcPr>
            <w:tcW w:w="1418" w:type="dxa"/>
            <w:hideMark/>
          </w:tcPr>
          <w:p w14:paraId="6309A4D9" w14:textId="77777777" w:rsidR="00AF134D" w:rsidRDefault="00AF134D" w:rsidP="00AF134D">
            <w:pPr>
              <w:pStyle w:val="NormalWeb"/>
            </w:pPr>
            <w:r>
              <w:t>80–89</w:t>
            </w:r>
          </w:p>
        </w:tc>
        <w:tc>
          <w:tcPr>
            <w:tcW w:w="1099" w:type="dxa"/>
            <w:hideMark/>
          </w:tcPr>
          <w:p w14:paraId="04060A6D" w14:textId="77777777" w:rsidR="00AF134D" w:rsidRDefault="00AF134D" w:rsidP="00AF134D">
            <w:pPr>
              <w:pStyle w:val="NormalWeb"/>
              <w:jc w:val="center"/>
            </w:pPr>
            <w:r>
              <w:t>183</w:t>
            </w:r>
          </w:p>
        </w:tc>
        <w:tc>
          <w:tcPr>
            <w:tcW w:w="1099" w:type="dxa"/>
            <w:hideMark/>
          </w:tcPr>
          <w:p w14:paraId="76CAB928" w14:textId="77777777" w:rsidR="00AF134D" w:rsidRDefault="00AF134D" w:rsidP="00AF134D">
            <w:pPr>
              <w:pStyle w:val="NormalWeb"/>
              <w:jc w:val="center"/>
            </w:pPr>
            <w:r>
              <w:t>258</w:t>
            </w:r>
          </w:p>
        </w:tc>
        <w:tc>
          <w:tcPr>
            <w:tcW w:w="1099" w:type="dxa"/>
            <w:hideMark/>
          </w:tcPr>
          <w:p w14:paraId="5A2E3142" w14:textId="77777777" w:rsidR="00AF134D" w:rsidRDefault="00AF134D" w:rsidP="00AF134D">
            <w:pPr>
              <w:pStyle w:val="NormalWeb"/>
              <w:jc w:val="center"/>
            </w:pPr>
            <w:r>
              <w:t>21</w:t>
            </w:r>
          </w:p>
        </w:tc>
        <w:tc>
          <w:tcPr>
            <w:tcW w:w="1099" w:type="dxa"/>
            <w:hideMark/>
          </w:tcPr>
          <w:p w14:paraId="3924A963" w14:textId="77777777" w:rsidR="00AF134D" w:rsidRDefault="00AF134D" w:rsidP="00AF134D">
            <w:pPr>
              <w:pStyle w:val="NormalWeb"/>
              <w:jc w:val="center"/>
            </w:pPr>
            <w:r>
              <w:t>91</w:t>
            </w:r>
          </w:p>
        </w:tc>
        <w:tc>
          <w:tcPr>
            <w:tcW w:w="1100" w:type="dxa"/>
            <w:hideMark/>
          </w:tcPr>
          <w:p w14:paraId="4E8310D5" w14:textId="77777777" w:rsidR="00AF134D" w:rsidRDefault="00AF134D" w:rsidP="00AF134D">
            <w:pPr>
              <w:pStyle w:val="NormalWeb"/>
              <w:jc w:val="center"/>
            </w:pPr>
            <w:r>
              <w:t>553</w:t>
            </w:r>
          </w:p>
        </w:tc>
        <w:tc>
          <w:tcPr>
            <w:tcW w:w="1184" w:type="dxa"/>
            <w:hideMark/>
          </w:tcPr>
          <w:p w14:paraId="15299B5D" w14:textId="77777777" w:rsidR="00AF134D" w:rsidRDefault="00AF134D" w:rsidP="00AF134D">
            <w:pPr>
              <w:pStyle w:val="NormalWeb"/>
              <w:jc w:val="center"/>
            </w:pPr>
            <w:r>
              <w:t>47%</w:t>
            </w:r>
          </w:p>
        </w:tc>
        <w:tc>
          <w:tcPr>
            <w:tcW w:w="1184" w:type="dxa"/>
            <w:hideMark/>
          </w:tcPr>
          <w:p w14:paraId="783A0C68" w14:textId="77777777" w:rsidR="00AF134D" w:rsidRDefault="00AF134D" w:rsidP="00AF134D">
            <w:pPr>
              <w:pStyle w:val="NormalWeb"/>
              <w:jc w:val="center"/>
            </w:pPr>
            <w:r>
              <w:t>4%</w:t>
            </w:r>
          </w:p>
        </w:tc>
        <w:tc>
          <w:tcPr>
            <w:tcW w:w="1184" w:type="dxa"/>
            <w:hideMark/>
          </w:tcPr>
          <w:p w14:paraId="65FAF8E0" w14:textId="77777777" w:rsidR="00AF134D" w:rsidRDefault="00AF134D" w:rsidP="00AF134D">
            <w:pPr>
              <w:pStyle w:val="NormalWeb"/>
              <w:jc w:val="center"/>
            </w:pPr>
            <w:r>
              <w:t>16%</w:t>
            </w:r>
          </w:p>
        </w:tc>
      </w:tr>
      <w:tr w:rsidR="00AF134D" w14:paraId="5DA432E9"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44D8858B" w14:textId="77777777" w:rsidR="00AF134D" w:rsidRDefault="00AF134D" w:rsidP="00AF134D">
            <w:pPr>
              <w:pStyle w:val="NormalWeb"/>
            </w:pPr>
            <w:r>
              <w:t>90+</w:t>
            </w:r>
          </w:p>
        </w:tc>
        <w:tc>
          <w:tcPr>
            <w:tcW w:w="1099" w:type="dxa"/>
            <w:hideMark/>
          </w:tcPr>
          <w:p w14:paraId="41881211" w14:textId="77777777" w:rsidR="00AF134D" w:rsidRDefault="00AF134D" w:rsidP="00AF134D">
            <w:pPr>
              <w:pStyle w:val="NormalWeb"/>
              <w:jc w:val="center"/>
            </w:pPr>
            <w:r>
              <w:t>44</w:t>
            </w:r>
          </w:p>
        </w:tc>
        <w:tc>
          <w:tcPr>
            <w:tcW w:w="1099" w:type="dxa"/>
            <w:hideMark/>
          </w:tcPr>
          <w:p w14:paraId="1C29F796" w14:textId="77777777" w:rsidR="00AF134D" w:rsidRDefault="00AF134D" w:rsidP="00AF134D">
            <w:pPr>
              <w:pStyle w:val="NormalWeb"/>
              <w:jc w:val="center"/>
            </w:pPr>
            <w:r>
              <w:t>70</w:t>
            </w:r>
          </w:p>
        </w:tc>
        <w:tc>
          <w:tcPr>
            <w:tcW w:w="1099" w:type="dxa"/>
            <w:hideMark/>
          </w:tcPr>
          <w:p w14:paraId="110BEE11" w14:textId="77777777" w:rsidR="00AF134D" w:rsidRDefault="00AF134D" w:rsidP="00AF134D">
            <w:pPr>
              <w:pStyle w:val="NormalWeb"/>
              <w:jc w:val="center"/>
            </w:pPr>
            <w:r>
              <w:t>0</w:t>
            </w:r>
          </w:p>
        </w:tc>
        <w:tc>
          <w:tcPr>
            <w:tcW w:w="1099" w:type="dxa"/>
            <w:hideMark/>
          </w:tcPr>
          <w:p w14:paraId="11B8BAF9" w14:textId="77777777" w:rsidR="00AF134D" w:rsidRDefault="00AF134D" w:rsidP="00AF134D">
            <w:pPr>
              <w:pStyle w:val="NormalWeb"/>
              <w:jc w:val="center"/>
            </w:pPr>
            <w:r>
              <w:t>32</w:t>
            </w:r>
          </w:p>
        </w:tc>
        <w:tc>
          <w:tcPr>
            <w:tcW w:w="1100" w:type="dxa"/>
            <w:hideMark/>
          </w:tcPr>
          <w:p w14:paraId="76E9B028" w14:textId="77777777" w:rsidR="00AF134D" w:rsidRDefault="00AF134D" w:rsidP="00AF134D">
            <w:pPr>
              <w:pStyle w:val="NormalWeb"/>
              <w:jc w:val="center"/>
            </w:pPr>
            <w:r>
              <w:t>146</w:t>
            </w:r>
          </w:p>
        </w:tc>
        <w:tc>
          <w:tcPr>
            <w:tcW w:w="1184" w:type="dxa"/>
            <w:hideMark/>
          </w:tcPr>
          <w:p w14:paraId="7E17D63B" w14:textId="77777777" w:rsidR="00AF134D" w:rsidRDefault="00AF134D" w:rsidP="00AF134D">
            <w:pPr>
              <w:pStyle w:val="NormalWeb"/>
              <w:jc w:val="center"/>
            </w:pPr>
            <w:r>
              <w:t>48%</w:t>
            </w:r>
          </w:p>
        </w:tc>
        <w:tc>
          <w:tcPr>
            <w:tcW w:w="1184" w:type="dxa"/>
            <w:hideMark/>
          </w:tcPr>
          <w:p w14:paraId="73827E41" w14:textId="77777777" w:rsidR="00AF134D" w:rsidRDefault="00AF134D" w:rsidP="00AF134D">
            <w:pPr>
              <w:pStyle w:val="NormalWeb"/>
              <w:jc w:val="center"/>
            </w:pPr>
            <w:r>
              <w:t>0%</w:t>
            </w:r>
          </w:p>
        </w:tc>
        <w:tc>
          <w:tcPr>
            <w:tcW w:w="1184" w:type="dxa"/>
            <w:hideMark/>
          </w:tcPr>
          <w:p w14:paraId="7032884F" w14:textId="77777777" w:rsidR="00AF134D" w:rsidRDefault="00AF134D" w:rsidP="00AF134D">
            <w:pPr>
              <w:pStyle w:val="NormalWeb"/>
              <w:jc w:val="center"/>
            </w:pPr>
            <w:r>
              <w:t>22%</w:t>
            </w:r>
          </w:p>
        </w:tc>
      </w:tr>
      <w:tr w:rsidR="00AF134D" w14:paraId="6762B94A" w14:textId="77777777" w:rsidTr="00AF134D">
        <w:tblPrEx>
          <w:tblCellMar>
            <w:top w:w="57" w:type="dxa"/>
            <w:left w:w="57" w:type="dxa"/>
            <w:bottom w:w="57" w:type="dxa"/>
            <w:right w:w="57" w:type="dxa"/>
          </w:tblCellMar>
        </w:tblPrEx>
        <w:tc>
          <w:tcPr>
            <w:tcW w:w="1418" w:type="dxa"/>
            <w:hideMark/>
          </w:tcPr>
          <w:p w14:paraId="7F420A5A" w14:textId="77777777" w:rsidR="00AF134D" w:rsidRDefault="00AF134D" w:rsidP="00AF134D">
            <w:pPr>
              <w:pStyle w:val="NormalWeb"/>
            </w:pPr>
            <w:r>
              <w:t>Age unknown</w:t>
            </w:r>
          </w:p>
        </w:tc>
        <w:tc>
          <w:tcPr>
            <w:tcW w:w="1099" w:type="dxa"/>
            <w:hideMark/>
          </w:tcPr>
          <w:p w14:paraId="23942C9D" w14:textId="77777777" w:rsidR="00AF134D" w:rsidRDefault="00AF134D" w:rsidP="00AF134D">
            <w:pPr>
              <w:pStyle w:val="NormalWeb"/>
              <w:jc w:val="center"/>
            </w:pPr>
            <w:r>
              <w:t>1</w:t>
            </w:r>
          </w:p>
        </w:tc>
        <w:tc>
          <w:tcPr>
            <w:tcW w:w="1099" w:type="dxa"/>
            <w:hideMark/>
          </w:tcPr>
          <w:p w14:paraId="068037B7" w14:textId="77777777" w:rsidR="00AF134D" w:rsidRDefault="00AF134D" w:rsidP="00AF134D">
            <w:pPr>
              <w:pStyle w:val="NormalWeb"/>
              <w:jc w:val="center"/>
            </w:pPr>
            <w:r>
              <w:t>0</w:t>
            </w:r>
          </w:p>
        </w:tc>
        <w:tc>
          <w:tcPr>
            <w:tcW w:w="1099" w:type="dxa"/>
            <w:hideMark/>
          </w:tcPr>
          <w:p w14:paraId="7FE60F30" w14:textId="77777777" w:rsidR="00AF134D" w:rsidRDefault="00AF134D" w:rsidP="00AF134D">
            <w:pPr>
              <w:pStyle w:val="NormalWeb"/>
              <w:jc w:val="center"/>
            </w:pPr>
            <w:r>
              <w:t>0</w:t>
            </w:r>
          </w:p>
        </w:tc>
        <w:tc>
          <w:tcPr>
            <w:tcW w:w="1099" w:type="dxa"/>
            <w:hideMark/>
          </w:tcPr>
          <w:p w14:paraId="37E1AEFB" w14:textId="77777777" w:rsidR="00AF134D" w:rsidRDefault="00AF134D" w:rsidP="00AF134D">
            <w:pPr>
              <w:pStyle w:val="NormalWeb"/>
              <w:jc w:val="center"/>
            </w:pPr>
            <w:r>
              <w:t>0</w:t>
            </w:r>
          </w:p>
        </w:tc>
        <w:tc>
          <w:tcPr>
            <w:tcW w:w="1100" w:type="dxa"/>
            <w:hideMark/>
          </w:tcPr>
          <w:p w14:paraId="6802A77A" w14:textId="77777777" w:rsidR="00AF134D" w:rsidRDefault="00AF134D" w:rsidP="00AF134D">
            <w:pPr>
              <w:pStyle w:val="NormalWeb"/>
              <w:jc w:val="center"/>
            </w:pPr>
            <w:r>
              <w:t>1</w:t>
            </w:r>
          </w:p>
        </w:tc>
        <w:tc>
          <w:tcPr>
            <w:tcW w:w="1184" w:type="dxa"/>
            <w:hideMark/>
          </w:tcPr>
          <w:p w14:paraId="48DFDA6C" w14:textId="77777777" w:rsidR="00AF134D" w:rsidRDefault="00AF134D" w:rsidP="00AF134D">
            <w:pPr>
              <w:pStyle w:val="NormalWeb"/>
              <w:jc w:val="center"/>
            </w:pPr>
            <w:r>
              <w:t>0%</w:t>
            </w:r>
          </w:p>
        </w:tc>
        <w:tc>
          <w:tcPr>
            <w:tcW w:w="1184" w:type="dxa"/>
            <w:hideMark/>
          </w:tcPr>
          <w:p w14:paraId="4ECB38AD" w14:textId="77777777" w:rsidR="00AF134D" w:rsidRDefault="00AF134D" w:rsidP="00AF134D">
            <w:pPr>
              <w:pStyle w:val="NormalWeb"/>
              <w:jc w:val="center"/>
            </w:pPr>
            <w:r>
              <w:t>0%</w:t>
            </w:r>
          </w:p>
        </w:tc>
        <w:tc>
          <w:tcPr>
            <w:tcW w:w="1184" w:type="dxa"/>
            <w:hideMark/>
          </w:tcPr>
          <w:p w14:paraId="654A1DB6" w14:textId="77777777" w:rsidR="00AF134D" w:rsidRDefault="00AF134D" w:rsidP="00AF134D">
            <w:pPr>
              <w:pStyle w:val="NormalWeb"/>
              <w:jc w:val="center"/>
            </w:pPr>
            <w:r>
              <w:t>0%</w:t>
            </w:r>
          </w:p>
        </w:tc>
      </w:tr>
      <w:tr w:rsidR="00AF134D" w:rsidRPr="00613F23" w14:paraId="0FB40BF1"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shd w:val="clear" w:color="auto" w:fill="FDE9D9" w:themeFill="accent6" w:themeFillTint="33"/>
            <w:hideMark/>
          </w:tcPr>
          <w:p w14:paraId="516B347B" w14:textId="77777777" w:rsidR="00AF134D" w:rsidRPr="00613F23" w:rsidRDefault="00AF134D" w:rsidP="00AF134D">
            <w:pPr>
              <w:pStyle w:val="NormalWeb"/>
              <w:rPr>
                <w:b/>
                <w:bCs/>
              </w:rPr>
            </w:pPr>
            <w:r w:rsidRPr="00613F23">
              <w:rPr>
                <w:b/>
                <w:bCs/>
              </w:rPr>
              <w:t>Total</w:t>
            </w:r>
          </w:p>
        </w:tc>
        <w:tc>
          <w:tcPr>
            <w:tcW w:w="1099" w:type="dxa"/>
            <w:shd w:val="clear" w:color="auto" w:fill="FDE9D9" w:themeFill="accent6" w:themeFillTint="33"/>
            <w:hideMark/>
          </w:tcPr>
          <w:p w14:paraId="18C94268" w14:textId="77777777" w:rsidR="00AF134D" w:rsidRPr="00613F23" w:rsidRDefault="00AF134D" w:rsidP="00AF134D">
            <w:pPr>
              <w:pStyle w:val="NormalWeb"/>
              <w:jc w:val="center"/>
              <w:rPr>
                <w:b/>
                <w:bCs/>
              </w:rPr>
            </w:pPr>
            <w:r w:rsidRPr="00613F23">
              <w:rPr>
                <w:b/>
                <w:bCs/>
              </w:rPr>
              <w:t>42,758</w:t>
            </w:r>
          </w:p>
        </w:tc>
        <w:tc>
          <w:tcPr>
            <w:tcW w:w="1099" w:type="dxa"/>
            <w:shd w:val="clear" w:color="auto" w:fill="FDE9D9" w:themeFill="accent6" w:themeFillTint="33"/>
            <w:hideMark/>
          </w:tcPr>
          <w:p w14:paraId="7C053C96" w14:textId="77777777" w:rsidR="00AF134D" w:rsidRPr="00613F23" w:rsidRDefault="00AF134D" w:rsidP="00AF134D">
            <w:pPr>
              <w:pStyle w:val="NormalWeb"/>
              <w:jc w:val="center"/>
              <w:rPr>
                <w:b/>
                <w:bCs/>
              </w:rPr>
            </w:pPr>
            <w:r w:rsidRPr="00613F23">
              <w:rPr>
                <w:b/>
                <w:bCs/>
              </w:rPr>
              <w:t>6,515</w:t>
            </w:r>
          </w:p>
        </w:tc>
        <w:tc>
          <w:tcPr>
            <w:tcW w:w="1099" w:type="dxa"/>
            <w:shd w:val="clear" w:color="auto" w:fill="FDE9D9" w:themeFill="accent6" w:themeFillTint="33"/>
            <w:hideMark/>
          </w:tcPr>
          <w:p w14:paraId="6FF23828" w14:textId="77777777" w:rsidR="00AF134D" w:rsidRPr="00613F23" w:rsidRDefault="00AF134D" w:rsidP="00AF134D">
            <w:pPr>
              <w:pStyle w:val="NormalWeb"/>
              <w:jc w:val="center"/>
              <w:rPr>
                <w:b/>
                <w:bCs/>
              </w:rPr>
            </w:pPr>
            <w:r w:rsidRPr="00613F23">
              <w:rPr>
                <w:b/>
                <w:bCs/>
              </w:rPr>
              <w:t>896</w:t>
            </w:r>
          </w:p>
        </w:tc>
        <w:tc>
          <w:tcPr>
            <w:tcW w:w="1099" w:type="dxa"/>
            <w:shd w:val="clear" w:color="auto" w:fill="FDE9D9" w:themeFill="accent6" w:themeFillTint="33"/>
            <w:hideMark/>
          </w:tcPr>
          <w:p w14:paraId="3A614580" w14:textId="77777777" w:rsidR="00AF134D" w:rsidRPr="00613F23" w:rsidRDefault="00AF134D" w:rsidP="00AF134D">
            <w:pPr>
              <w:pStyle w:val="NormalWeb"/>
              <w:jc w:val="center"/>
              <w:rPr>
                <w:b/>
                <w:bCs/>
              </w:rPr>
            </w:pPr>
            <w:r w:rsidRPr="00613F23">
              <w:rPr>
                <w:b/>
                <w:bCs/>
              </w:rPr>
              <w:t>296</w:t>
            </w:r>
          </w:p>
        </w:tc>
        <w:tc>
          <w:tcPr>
            <w:tcW w:w="1100" w:type="dxa"/>
            <w:shd w:val="clear" w:color="auto" w:fill="FDE9D9" w:themeFill="accent6" w:themeFillTint="33"/>
            <w:hideMark/>
          </w:tcPr>
          <w:p w14:paraId="40B419CA" w14:textId="77777777" w:rsidR="00AF134D" w:rsidRPr="00613F23" w:rsidRDefault="00AF134D" w:rsidP="00AF134D">
            <w:pPr>
              <w:pStyle w:val="NormalWeb"/>
              <w:jc w:val="center"/>
              <w:rPr>
                <w:b/>
                <w:bCs/>
              </w:rPr>
            </w:pPr>
            <w:r w:rsidRPr="00613F23">
              <w:rPr>
                <w:b/>
                <w:bCs/>
              </w:rPr>
              <w:t>50,465</w:t>
            </w:r>
          </w:p>
        </w:tc>
        <w:tc>
          <w:tcPr>
            <w:tcW w:w="1184" w:type="dxa"/>
            <w:shd w:val="clear" w:color="auto" w:fill="FDE9D9" w:themeFill="accent6" w:themeFillTint="33"/>
            <w:hideMark/>
          </w:tcPr>
          <w:p w14:paraId="584E2F80" w14:textId="77777777" w:rsidR="00AF134D" w:rsidRPr="00613F23" w:rsidRDefault="00AF134D" w:rsidP="00AF134D">
            <w:pPr>
              <w:pStyle w:val="NormalWeb"/>
              <w:jc w:val="center"/>
              <w:rPr>
                <w:b/>
                <w:bCs/>
              </w:rPr>
            </w:pPr>
            <w:r w:rsidRPr="00613F23">
              <w:rPr>
                <w:b/>
                <w:bCs/>
              </w:rPr>
              <w:t>13%</w:t>
            </w:r>
          </w:p>
        </w:tc>
        <w:tc>
          <w:tcPr>
            <w:tcW w:w="1184" w:type="dxa"/>
            <w:shd w:val="clear" w:color="auto" w:fill="FDE9D9" w:themeFill="accent6" w:themeFillTint="33"/>
            <w:hideMark/>
          </w:tcPr>
          <w:p w14:paraId="4A812887" w14:textId="77777777" w:rsidR="00AF134D" w:rsidRPr="00613F23" w:rsidRDefault="00AF134D" w:rsidP="00AF134D">
            <w:pPr>
              <w:pStyle w:val="NormalWeb"/>
              <w:jc w:val="center"/>
              <w:rPr>
                <w:b/>
                <w:bCs/>
              </w:rPr>
            </w:pPr>
            <w:r w:rsidRPr="00613F23">
              <w:rPr>
                <w:b/>
                <w:bCs/>
              </w:rPr>
              <w:t>2%</w:t>
            </w:r>
          </w:p>
        </w:tc>
        <w:tc>
          <w:tcPr>
            <w:tcW w:w="1184" w:type="dxa"/>
            <w:shd w:val="clear" w:color="auto" w:fill="FDE9D9" w:themeFill="accent6" w:themeFillTint="33"/>
            <w:hideMark/>
          </w:tcPr>
          <w:p w14:paraId="57FC9384" w14:textId="77777777" w:rsidR="00AF134D" w:rsidRPr="00613F23" w:rsidRDefault="00AF134D" w:rsidP="00AF134D">
            <w:pPr>
              <w:pStyle w:val="NormalWeb"/>
              <w:jc w:val="center"/>
              <w:rPr>
                <w:b/>
                <w:bCs/>
              </w:rPr>
            </w:pPr>
            <w:r w:rsidRPr="00613F23">
              <w:rPr>
                <w:b/>
                <w:bCs/>
              </w:rPr>
              <w:t>1%</w:t>
            </w:r>
          </w:p>
        </w:tc>
      </w:tr>
    </w:tbl>
    <w:p w14:paraId="093ADFFD" w14:textId="77777777" w:rsidR="00AF134D" w:rsidRDefault="00AF134D" w:rsidP="00AF134D">
      <w:pPr>
        <w:pStyle w:val="CDIfootnotes"/>
        <w:rPr>
          <w:lang w:val="en-GB"/>
        </w:rPr>
      </w:pPr>
      <w:r>
        <w:rPr>
          <w:lang w:val="en-GB"/>
        </w:rPr>
        <w:t>a</w:t>
      </w:r>
      <w:r>
        <w:rPr>
          <w:lang w:val="en-GB"/>
        </w:rPr>
        <w:tab/>
        <w:t>Source: NINDSS, extract from 28 September 2021 for notifications to 29 August 2021.</w:t>
      </w:r>
    </w:p>
    <w:p w14:paraId="32AFB2AB" w14:textId="77777777" w:rsidR="00AF134D" w:rsidRDefault="00AF134D" w:rsidP="00AF134D">
      <w:pPr>
        <w:pStyle w:val="CDIfootnotes"/>
        <w:rPr>
          <w:lang w:val="en-GB"/>
        </w:rPr>
      </w:pPr>
      <w:r>
        <w:rPr>
          <w:lang w:val="en-GB"/>
        </w:rPr>
        <w:t>b</w:t>
      </w:r>
      <w:r>
        <w:rPr>
          <w:lang w:val="en-GB"/>
        </w:rPr>
        <w:tab/>
        <w:t xml:space="preserve">‘Not severe’ includes all cases that were not hospitalised, admitted to </w:t>
      </w:r>
      <w:proofErr w:type="gramStart"/>
      <w:r>
        <w:rPr>
          <w:lang w:val="en-GB"/>
        </w:rPr>
        <w:t>ICU</w:t>
      </w:r>
      <w:proofErr w:type="gramEnd"/>
      <w:r>
        <w:rPr>
          <w:lang w:val="en-GB"/>
        </w:rPr>
        <w:t xml:space="preserve"> or died.</w:t>
      </w:r>
    </w:p>
    <w:p w14:paraId="22C6B52E" w14:textId="22021092" w:rsidR="00106AD7" w:rsidRDefault="00106AD7">
      <w:pPr>
        <w:pStyle w:val="NormalWeb"/>
      </w:pPr>
      <w:r>
        <w:t>In the year to date to 26 September 2021, there were 981 COVID-19 cases admitted to ICUs participating in the sentinel surveillance system, Short Period Incidence Study of Severe Acute Respiratory Infection (SPRINT-SARI),</w:t>
      </w:r>
      <w:r>
        <w:rPr>
          <w:vertAlign w:val="superscript"/>
        </w:rPr>
        <w:t>4</w:t>
      </w:r>
      <w:r>
        <w:t xml:space="preserve"> with 190 of these admitted during this reporting period (13 – 26 September 2021). </w:t>
      </w:r>
    </w:p>
    <w:p w14:paraId="3C2164BA" w14:textId="77777777" w:rsidR="00106AD7" w:rsidRDefault="00106AD7">
      <w:pPr>
        <w:pStyle w:val="Heading3"/>
        <w:rPr>
          <w:rFonts w:eastAsia="Times New Roman"/>
        </w:rPr>
      </w:pPr>
      <w:r>
        <w:rPr>
          <w:rFonts w:eastAsia="Times New Roman"/>
        </w:rPr>
        <w:t xml:space="preserve">Risk factors for severe disease </w:t>
      </w:r>
    </w:p>
    <w:p w14:paraId="68220431" w14:textId="77777777" w:rsidR="00106AD7" w:rsidRDefault="00106AD7">
      <w:pPr>
        <w:pStyle w:val="NormalWeb"/>
      </w:pPr>
      <w:r>
        <w:t xml:space="preserve">The proportion of cases who were admitted to hospital increased as a person’s age increased (Table 6). </w:t>
      </w:r>
    </w:p>
    <w:p w14:paraId="7C07B6B8" w14:textId="7382D36B" w:rsidR="00106AD7" w:rsidRDefault="00106AD7">
      <w:pPr>
        <w:pStyle w:val="NormalWeb"/>
      </w:pPr>
      <w:r>
        <w:t xml:space="preserve">Comorbidity data extracted from SPRINT-SARI reflect the sickest patients with COVID-19 managed in ICU; data are therefore not generalisable to all cases (Table 7). In patients admitted to ICU with COVID-19 since 1 February 2021, the most prevalent comorbidity was diabetes, closely following by obesity (a body mass index of &gt; 30 or weight over 120 kg). Of those adult patients admitted to ICU this year for whom comorbidity data was known, 61% (477/776) had at least one comorbidity; 39% (299/776) of patients had none of the listed comorbidities recorded. </w:t>
      </w:r>
    </w:p>
    <w:p w14:paraId="78D25640" w14:textId="77777777" w:rsidR="00AF134D" w:rsidRPr="00D3178E" w:rsidRDefault="00AF134D" w:rsidP="00AF134D">
      <w:pPr>
        <w:pStyle w:val="CDIFigures"/>
      </w:pPr>
      <w:r w:rsidRPr="00D3178E">
        <w:rPr>
          <w:rStyle w:val="Strong"/>
          <w:b/>
          <w:bCs w:val="0"/>
        </w:rPr>
        <w:t>Table 7: Comorbidities for adult COVID-19 cases (aged greater than or equal to 18 years) amongst those admitted to ICU, Australia, 1 February 2021 – 26 September 2021</w:t>
      </w:r>
      <w:r w:rsidRPr="00D3178E">
        <w:rPr>
          <w:rStyle w:val="Strong"/>
          <w:b/>
          <w:bCs w:val="0"/>
          <w:vertAlign w:val="superscript"/>
        </w:rPr>
        <w:t>a</w:t>
      </w:r>
    </w:p>
    <w:tbl>
      <w:tblPr>
        <w:tblStyle w:val="CDI-StandardTable"/>
        <w:tblW w:w="0" w:type="auto"/>
        <w:tblLook w:val="04A0" w:firstRow="1" w:lastRow="0" w:firstColumn="1" w:lastColumn="0" w:noHBand="0" w:noVBand="1"/>
        <w:tblDescription w:val="A table summarising the  prevalence of comorbidities among adult COVID-19 cases admitted to ICU from 1 February 2021 to 26 September 2021. Among such cases, the most frequent comorbidities have been obesity and diabetes (each 31%). Almost two-fifths of this year’s ICU cases (39%) did not have any listed comorbidities; 26% of ICU cases had two or more comorbidities, with 9% (55 cases) having three or more comorbidities.&#10;"/>
      </w:tblPr>
      <w:tblGrid>
        <w:gridCol w:w="5220"/>
        <w:gridCol w:w="5220"/>
      </w:tblGrid>
      <w:tr w:rsidR="00AF134D" w:rsidRPr="00D3178E" w14:paraId="2592E7B9" w14:textId="77777777" w:rsidTr="00AF134D">
        <w:trPr>
          <w:cnfStyle w:val="100000000000" w:firstRow="1" w:lastRow="0" w:firstColumn="0" w:lastColumn="0" w:oddVBand="0" w:evenVBand="0" w:oddHBand="0" w:evenHBand="0" w:firstRowFirstColumn="0" w:firstRowLastColumn="0" w:lastRowFirstColumn="0" w:lastRowLastColumn="0"/>
        </w:trPr>
        <w:tc>
          <w:tcPr>
            <w:tcW w:w="5220" w:type="dxa"/>
            <w:tcBorders>
              <w:right w:val="single" w:sz="2" w:space="0" w:color="FFFFFF" w:themeColor="background1"/>
            </w:tcBorders>
            <w:hideMark/>
          </w:tcPr>
          <w:p w14:paraId="3843C305" w14:textId="77777777" w:rsidR="00AF134D" w:rsidRPr="00D3178E" w:rsidRDefault="00AF134D" w:rsidP="00AF134D">
            <w:pPr>
              <w:pStyle w:val="NormalWeb"/>
              <w:rPr>
                <w:color w:val="FFFFFF" w:themeColor="background1"/>
              </w:rPr>
            </w:pPr>
            <w:r w:rsidRPr="00D3178E">
              <w:rPr>
                <w:color w:val="FFFFFF" w:themeColor="background1"/>
              </w:rPr>
              <w:t>Comorbidity</w:t>
            </w:r>
          </w:p>
        </w:tc>
        <w:tc>
          <w:tcPr>
            <w:tcW w:w="5220" w:type="dxa"/>
            <w:tcBorders>
              <w:left w:val="single" w:sz="2" w:space="0" w:color="FFFFFF" w:themeColor="background1"/>
            </w:tcBorders>
            <w:hideMark/>
          </w:tcPr>
          <w:p w14:paraId="1A9D74B4" w14:textId="77777777" w:rsidR="00AF134D" w:rsidRPr="00D3178E" w:rsidRDefault="00AF134D" w:rsidP="00AF134D">
            <w:pPr>
              <w:pStyle w:val="NormalWeb"/>
              <w:jc w:val="center"/>
              <w:rPr>
                <w:color w:val="FFFFFF" w:themeColor="background1"/>
              </w:rPr>
            </w:pPr>
            <w:r w:rsidRPr="00D3178E">
              <w:rPr>
                <w:color w:val="FFFFFF" w:themeColor="background1"/>
              </w:rPr>
              <w:t xml:space="preserve">ICU </w:t>
            </w:r>
            <w:proofErr w:type="spellStart"/>
            <w:r w:rsidRPr="00D3178E">
              <w:rPr>
                <w:color w:val="FFFFFF" w:themeColor="background1"/>
              </w:rPr>
              <w:t>cases</w:t>
            </w:r>
            <w:r w:rsidRPr="00D3178E">
              <w:rPr>
                <w:color w:val="FFFFFF" w:themeColor="background1"/>
                <w:vertAlign w:val="superscript"/>
              </w:rPr>
              <w:t>a</w:t>
            </w:r>
            <w:proofErr w:type="spellEnd"/>
            <w:r w:rsidRPr="00D3178E">
              <w:rPr>
                <w:color w:val="FFFFFF" w:themeColor="background1"/>
              </w:rPr>
              <w:t xml:space="preserve"> (n = 956) (%)</w:t>
            </w:r>
          </w:p>
        </w:tc>
      </w:tr>
      <w:tr w:rsidR="00AF134D" w14:paraId="421E4DC8" w14:textId="77777777" w:rsidTr="00AF134D">
        <w:tblPrEx>
          <w:tblCellMar>
            <w:top w:w="57" w:type="dxa"/>
            <w:left w:w="57" w:type="dxa"/>
            <w:bottom w:w="57" w:type="dxa"/>
            <w:right w:w="57" w:type="dxa"/>
          </w:tblCellMar>
        </w:tblPrEx>
        <w:tc>
          <w:tcPr>
            <w:tcW w:w="5220" w:type="dxa"/>
            <w:hideMark/>
          </w:tcPr>
          <w:p w14:paraId="0FD05EE1" w14:textId="77777777" w:rsidR="00AF134D" w:rsidRDefault="00AF134D" w:rsidP="00AF134D">
            <w:pPr>
              <w:pStyle w:val="NormalWeb"/>
            </w:pPr>
            <w:r>
              <w:t>Cardiac disease (n = 767)</w:t>
            </w:r>
          </w:p>
        </w:tc>
        <w:tc>
          <w:tcPr>
            <w:tcW w:w="5220" w:type="dxa"/>
            <w:hideMark/>
          </w:tcPr>
          <w:p w14:paraId="47D499D5" w14:textId="77777777" w:rsidR="00AF134D" w:rsidRDefault="00AF134D" w:rsidP="00AF134D">
            <w:pPr>
              <w:pStyle w:val="NormalWeb"/>
              <w:jc w:val="center"/>
            </w:pPr>
            <w:r>
              <w:t>81 (11)</w:t>
            </w:r>
          </w:p>
        </w:tc>
      </w:tr>
      <w:tr w:rsidR="00AF134D" w14:paraId="2FECBD09"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1F9ABD7C" w14:textId="77777777" w:rsidR="00AF134D" w:rsidRDefault="00AF134D" w:rsidP="00AF134D">
            <w:pPr>
              <w:pStyle w:val="NormalWeb"/>
            </w:pPr>
            <w:r>
              <w:t xml:space="preserve">Chronic respiratory condition (n = 768) </w:t>
            </w:r>
            <w:r w:rsidRPr="00D3178E">
              <w:rPr>
                <w:vertAlign w:val="superscript"/>
              </w:rPr>
              <w:t>b</w:t>
            </w:r>
          </w:p>
        </w:tc>
        <w:tc>
          <w:tcPr>
            <w:tcW w:w="5220" w:type="dxa"/>
            <w:hideMark/>
          </w:tcPr>
          <w:p w14:paraId="0E6410FF" w14:textId="77777777" w:rsidR="00AF134D" w:rsidRDefault="00AF134D" w:rsidP="00AF134D">
            <w:pPr>
              <w:pStyle w:val="NormalWeb"/>
              <w:jc w:val="center"/>
            </w:pPr>
            <w:r>
              <w:t>108 (14)</w:t>
            </w:r>
          </w:p>
        </w:tc>
      </w:tr>
      <w:tr w:rsidR="00AF134D" w14:paraId="79BABE12" w14:textId="77777777" w:rsidTr="00AF134D">
        <w:tblPrEx>
          <w:tblCellMar>
            <w:top w:w="57" w:type="dxa"/>
            <w:left w:w="57" w:type="dxa"/>
            <w:bottom w:w="57" w:type="dxa"/>
            <w:right w:w="57" w:type="dxa"/>
          </w:tblCellMar>
        </w:tblPrEx>
        <w:tc>
          <w:tcPr>
            <w:tcW w:w="5220" w:type="dxa"/>
            <w:hideMark/>
          </w:tcPr>
          <w:p w14:paraId="281CD72A" w14:textId="77777777" w:rsidR="00AF134D" w:rsidRDefault="00AF134D" w:rsidP="00AF134D">
            <w:pPr>
              <w:pStyle w:val="NormalWeb"/>
            </w:pPr>
            <w:r>
              <w:t>Diabetes (n = 769)</w:t>
            </w:r>
          </w:p>
        </w:tc>
        <w:tc>
          <w:tcPr>
            <w:tcW w:w="5220" w:type="dxa"/>
            <w:hideMark/>
          </w:tcPr>
          <w:p w14:paraId="75773860" w14:textId="77777777" w:rsidR="00AF134D" w:rsidRDefault="00AF134D" w:rsidP="00AF134D">
            <w:pPr>
              <w:pStyle w:val="NormalWeb"/>
              <w:jc w:val="center"/>
            </w:pPr>
            <w:r>
              <w:t>237 (31)</w:t>
            </w:r>
          </w:p>
        </w:tc>
      </w:tr>
      <w:tr w:rsidR="00AF134D" w14:paraId="2CAC54DD"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0C1ABAD8" w14:textId="77777777" w:rsidR="00AF134D" w:rsidRDefault="00AF134D" w:rsidP="00AF134D">
            <w:pPr>
              <w:pStyle w:val="NormalWeb"/>
            </w:pPr>
            <w:r>
              <w:t>Obesity (n = 744)</w:t>
            </w:r>
          </w:p>
        </w:tc>
        <w:tc>
          <w:tcPr>
            <w:tcW w:w="5220" w:type="dxa"/>
            <w:hideMark/>
          </w:tcPr>
          <w:p w14:paraId="787E9F25" w14:textId="77777777" w:rsidR="00AF134D" w:rsidRDefault="00AF134D" w:rsidP="00AF134D">
            <w:pPr>
              <w:pStyle w:val="NormalWeb"/>
              <w:jc w:val="center"/>
            </w:pPr>
            <w:r>
              <w:t>229 (31)</w:t>
            </w:r>
          </w:p>
        </w:tc>
      </w:tr>
      <w:tr w:rsidR="00AF134D" w14:paraId="4F45816F" w14:textId="77777777" w:rsidTr="00AF134D">
        <w:tblPrEx>
          <w:tblCellMar>
            <w:top w:w="57" w:type="dxa"/>
            <w:left w:w="57" w:type="dxa"/>
            <w:bottom w:w="57" w:type="dxa"/>
            <w:right w:w="57" w:type="dxa"/>
          </w:tblCellMar>
        </w:tblPrEx>
        <w:tc>
          <w:tcPr>
            <w:tcW w:w="5220" w:type="dxa"/>
            <w:hideMark/>
          </w:tcPr>
          <w:p w14:paraId="6A407707" w14:textId="77777777" w:rsidR="00AF134D" w:rsidRDefault="00AF134D" w:rsidP="00AF134D">
            <w:pPr>
              <w:pStyle w:val="NormalWeb"/>
            </w:pPr>
            <w:r>
              <w:t>Chronic renal disease (n = 765)</w:t>
            </w:r>
          </w:p>
        </w:tc>
        <w:tc>
          <w:tcPr>
            <w:tcW w:w="5220" w:type="dxa"/>
            <w:hideMark/>
          </w:tcPr>
          <w:p w14:paraId="46233217" w14:textId="77777777" w:rsidR="00AF134D" w:rsidRDefault="00AF134D" w:rsidP="00AF134D">
            <w:pPr>
              <w:pStyle w:val="NormalWeb"/>
              <w:jc w:val="center"/>
            </w:pPr>
            <w:r>
              <w:t>38 (5)</w:t>
            </w:r>
          </w:p>
        </w:tc>
      </w:tr>
      <w:tr w:rsidR="00AF134D" w14:paraId="58CC98FE"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38835A70" w14:textId="77777777" w:rsidR="00AF134D" w:rsidRDefault="00AF134D" w:rsidP="00AF134D">
            <w:pPr>
              <w:pStyle w:val="NormalWeb"/>
            </w:pPr>
            <w:r>
              <w:t>Chronic neurological condition (n = 764)</w:t>
            </w:r>
          </w:p>
        </w:tc>
        <w:tc>
          <w:tcPr>
            <w:tcW w:w="5220" w:type="dxa"/>
            <w:hideMark/>
          </w:tcPr>
          <w:p w14:paraId="22314FBC" w14:textId="77777777" w:rsidR="00AF134D" w:rsidRDefault="00AF134D" w:rsidP="00AF134D">
            <w:pPr>
              <w:pStyle w:val="NormalWeb"/>
              <w:jc w:val="center"/>
            </w:pPr>
            <w:r>
              <w:t>19 (2)</w:t>
            </w:r>
          </w:p>
        </w:tc>
      </w:tr>
      <w:tr w:rsidR="00AF134D" w14:paraId="37C6CA4C" w14:textId="77777777" w:rsidTr="00AF134D">
        <w:tblPrEx>
          <w:tblCellMar>
            <w:top w:w="57" w:type="dxa"/>
            <w:left w:w="57" w:type="dxa"/>
            <w:bottom w:w="57" w:type="dxa"/>
            <w:right w:w="57" w:type="dxa"/>
          </w:tblCellMar>
        </w:tblPrEx>
        <w:tc>
          <w:tcPr>
            <w:tcW w:w="5220" w:type="dxa"/>
            <w:hideMark/>
          </w:tcPr>
          <w:p w14:paraId="3C161CDE" w14:textId="77777777" w:rsidR="00AF134D" w:rsidRDefault="00AF134D" w:rsidP="00AF134D">
            <w:pPr>
              <w:pStyle w:val="NormalWeb"/>
            </w:pPr>
            <w:r>
              <w:t>Malignancy (n = 765)</w:t>
            </w:r>
          </w:p>
        </w:tc>
        <w:tc>
          <w:tcPr>
            <w:tcW w:w="5220" w:type="dxa"/>
            <w:hideMark/>
          </w:tcPr>
          <w:p w14:paraId="375E4D43" w14:textId="77777777" w:rsidR="00AF134D" w:rsidRDefault="00AF134D" w:rsidP="00AF134D">
            <w:pPr>
              <w:pStyle w:val="NormalWeb"/>
              <w:jc w:val="center"/>
            </w:pPr>
            <w:r>
              <w:t>28 (4)</w:t>
            </w:r>
          </w:p>
        </w:tc>
      </w:tr>
      <w:tr w:rsidR="00AF134D" w14:paraId="7FA68A66"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604B9FF9" w14:textId="77777777" w:rsidR="00AF134D" w:rsidRDefault="00AF134D" w:rsidP="00AF134D">
            <w:pPr>
              <w:pStyle w:val="NormalWeb"/>
            </w:pPr>
            <w:r>
              <w:t>Chronic liver disease (n = 766)</w:t>
            </w:r>
          </w:p>
        </w:tc>
        <w:tc>
          <w:tcPr>
            <w:tcW w:w="5220" w:type="dxa"/>
            <w:hideMark/>
          </w:tcPr>
          <w:p w14:paraId="5044EF8B" w14:textId="77777777" w:rsidR="00AF134D" w:rsidRDefault="00AF134D" w:rsidP="00AF134D">
            <w:pPr>
              <w:pStyle w:val="NormalWeb"/>
              <w:jc w:val="center"/>
            </w:pPr>
            <w:r>
              <w:t>16 (2)</w:t>
            </w:r>
          </w:p>
        </w:tc>
      </w:tr>
      <w:tr w:rsidR="00AF134D" w14:paraId="1A6FBAB0" w14:textId="77777777" w:rsidTr="00AF134D">
        <w:tblPrEx>
          <w:tblCellMar>
            <w:top w:w="57" w:type="dxa"/>
            <w:left w:w="57" w:type="dxa"/>
            <w:bottom w:w="57" w:type="dxa"/>
            <w:right w:w="57" w:type="dxa"/>
          </w:tblCellMar>
        </w:tblPrEx>
        <w:tc>
          <w:tcPr>
            <w:tcW w:w="5220" w:type="dxa"/>
            <w:hideMark/>
          </w:tcPr>
          <w:p w14:paraId="33186244" w14:textId="77777777" w:rsidR="00AF134D" w:rsidRDefault="00AF134D" w:rsidP="00AF134D">
            <w:pPr>
              <w:pStyle w:val="NormalWeb"/>
            </w:pPr>
            <w:r>
              <w:t>Immunosuppression (n = 764)</w:t>
            </w:r>
          </w:p>
        </w:tc>
        <w:tc>
          <w:tcPr>
            <w:tcW w:w="5220" w:type="dxa"/>
            <w:hideMark/>
          </w:tcPr>
          <w:p w14:paraId="497EA43E" w14:textId="77777777" w:rsidR="00AF134D" w:rsidRDefault="00AF134D" w:rsidP="00AF134D">
            <w:pPr>
              <w:pStyle w:val="NormalWeb"/>
              <w:jc w:val="center"/>
            </w:pPr>
            <w:r>
              <w:t>28 (4)</w:t>
            </w:r>
          </w:p>
        </w:tc>
      </w:tr>
      <w:tr w:rsidR="00AF134D" w:rsidRPr="00D3178E" w14:paraId="4B92C981"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2"/>
            <w:shd w:val="clear" w:color="auto" w:fill="595959" w:themeFill="text1" w:themeFillTint="A6"/>
            <w:hideMark/>
          </w:tcPr>
          <w:p w14:paraId="4B59B573" w14:textId="77777777" w:rsidR="00AF134D" w:rsidRPr="00D3178E" w:rsidRDefault="00AF134D" w:rsidP="00AF134D">
            <w:pPr>
              <w:pStyle w:val="NormalWeb"/>
              <w:rPr>
                <w:b/>
                <w:bCs/>
                <w:color w:val="FFFFFF" w:themeColor="background1"/>
              </w:rPr>
            </w:pPr>
            <w:r w:rsidRPr="00D3178E">
              <w:rPr>
                <w:b/>
                <w:bCs/>
                <w:color w:val="FFFFFF" w:themeColor="background1"/>
              </w:rPr>
              <w:t xml:space="preserve">Number of specified comorbidities (n = 776) </w:t>
            </w:r>
            <w:proofErr w:type="spellStart"/>
            <w:proofErr w:type="gramStart"/>
            <w:r w:rsidRPr="00120C95">
              <w:rPr>
                <w:b/>
                <w:bCs/>
                <w:color w:val="FFFFFF" w:themeColor="background1"/>
                <w:vertAlign w:val="superscript"/>
              </w:rPr>
              <w:t>c,d</w:t>
            </w:r>
            <w:proofErr w:type="spellEnd"/>
            <w:proofErr w:type="gramEnd"/>
          </w:p>
        </w:tc>
      </w:tr>
      <w:tr w:rsidR="00AF134D" w14:paraId="12C60934" w14:textId="77777777" w:rsidTr="00AF134D">
        <w:tblPrEx>
          <w:tblCellMar>
            <w:top w:w="57" w:type="dxa"/>
            <w:left w:w="57" w:type="dxa"/>
            <w:bottom w:w="57" w:type="dxa"/>
            <w:right w:w="57" w:type="dxa"/>
          </w:tblCellMar>
        </w:tblPrEx>
        <w:tc>
          <w:tcPr>
            <w:tcW w:w="5220" w:type="dxa"/>
            <w:hideMark/>
          </w:tcPr>
          <w:p w14:paraId="594933B3" w14:textId="77777777" w:rsidR="00AF134D" w:rsidRDefault="00AF134D" w:rsidP="00AF134D">
            <w:pPr>
              <w:pStyle w:val="NormalWeb"/>
            </w:pPr>
            <w:r>
              <w:t>One or more</w:t>
            </w:r>
          </w:p>
        </w:tc>
        <w:tc>
          <w:tcPr>
            <w:tcW w:w="5220" w:type="dxa"/>
            <w:hideMark/>
          </w:tcPr>
          <w:p w14:paraId="6851520F" w14:textId="77777777" w:rsidR="00AF134D" w:rsidRDefault="00AF134D" w:rsidP="00AF134D">
            <w:pPr>
              <w:pStyle w:val="NormalWeb"/>
              <w:jc w:val="center"/>
            </w:pPr>
            <w:r>
              <w:t>477 (61)</w:t>
            </w:r>
          </w:p>
        </w:tc>
      </w:tr>
      <w:tr w:rsidR="00AF134D" w14:paraId="207102A6"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525BDE1D" w14:textId="77777777" w:rsidR="00AF134D" w:rsidRDefault="00AF134D" w:rsidP="00AF134D">
            <w:pPr>
              <w:pStyle w:val="NormalWeb"/>
            </w:pPr>
            <w:r>
              <w:t>Two or more</w:t>
            </w:r>
          </w:p>
        </w:tc>
        <w:tc>
          <w:tcPr>
            <w:tcW w:w="5220" w:type="dxa"/>
            <w:hideMark/>
          </w:tcPr>
          <w:p w14:paraId="2964F0A7" w14:textId="77777777" w:rsidR="00AF134D" w:rsidRDefault="00AF134D" w:rsidP="00AF134D">
            <w:pPr>
              <w:pStyle w:val="NormalWeb"/>
              <w:jc w:val="center"/>
            </w:pPr>
            <w:r>
              <w:t>204 (26)</w:t>
            </w:r>
          </w:p>
        </w:tc>
      </w:tr>
      <w:tr w:rsidR="00AF134D" w14:paraId="1E4828A1" w14:textId="77777777" w:rsidTr="00AF134D">
        <w:tblPrEx>
          <w:tblCellMar>
            <w:top w:w="57" w:type="dxa"/>
            <w:left w:w="57" w:type="dxa"/>
            <w:bottom w:w="57" w:type="dxa"/>
            <w:right w:w="57" w:type="dxa"/>
          </w:tblCellMar>
        </w:tblPrEx>
        <w:tc>
          <w:tcPr>
            <w:tcW w:w="5220" w:type="dxa"/>
            <w:hideMark/>
          </w:tcPr>
          <w:p w14:paraId="2A7F54D3" w14:textId="77777777" w:rsidR="00AF134D" w:rsidRDefault="00AF134D" w:rsidP="00AF134D">
            <w:pPr>
              <w:pStyle w:val="NormalWeb"/>
            </w:pPr>
            <w:r>
              <w:t>Three or more</w:t>
            </w:r>
          </w:p>
        </w:tc>
        <w:tc>
          <w:tcPr>
            <w:tcW w:w="5220" w:type="dxa"/>
            <w:hideMark/>
          </w:tcPr>
          <w:p w14:paraId="71E5F72B" w14:textId="77777777" w:rsidR="00AF134D" w:rsidRDefault="00AF134D" w:rsidP="00AF134D">
            <w:pPr>
              <w:pStyle w:val="NormalWeb"/>
              <w:jc w:val="center"/>
            </w:pPr>
            <w:r>
              <w:t>72 (9)</w:t>
            </w:r>
          </w:p>
        </w:tc>
      </w:tr>
      <w:tr w:rsidR="00AF134D" w14:paraId="5C18D241"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514B73A4" w14:textId="77777777" w:rsidR="00AF134D" w:rsidRDefault="00AF134D" w:rsidP="00AF134D">
            <w:pPr>
              <w:pStyle w:val="NormalWeb"/>
            </w:pPr>
            <w:r>
              <w:t>No comorbidities</w:t>
            </w:r>
          </w:p>
        </w:tc>
        <w:tc>
          <w:tcPr>
            <w:tcW w:w="5220" w:type="dxa"/>
            <w:hideMark/>
          </w:tcPr>
          <w:p w14:paraId="56A03B89" w14:textId="77777777" w:rsidR="00AF134D" w:rsidRDefault="00AF134D" w:rsidP="00AF134D">
            <w:pPr>
              <w:pStyle w:val="NormalWeb"/>
              <w:jc w:val="center"/>
            </w:pPr>
            <w:r>
              <w:t>299 (39)</w:t>
            </w:r>
          </w:p>
        </w:tc>
      </w:tr>
    </w:tbl>
    <w:p w14:paraId="3F46FF80" w14:textId="77777777" w:rsidR="00AF134D" w:rsidRDefault="00AF134D" w:rsidP="00AF134D">
      <w:pPr>
        <w:pStyle w:val="CDIfootnotes"/>
        <w:rPr>
          <w:lang w:val="en-GB"/>
        </w:rPr>
      </w:pPr>
      <w:r>
        <w:rPr>
          <w:lang w:val="en-GB"/>
        </w:rPr>
        <w:t>a</w:t>
      </w:r>
      <w:r>
        <w:rPr>
          <w:lang w:val="en-GB"/>
        </w:rPr>
        <w:tab/>
        <w:t>Source: SPRINT-SARI. Only includes adult cases (≥ 18 years old) and excludes those with missing data on comorbidities or where comorbidity is unknown.</w:t>
      </w:r>
    </w:p>
    <w:p w14:paraId="21C49CF4" w14:textId="77777777" w:rsidR="00AF134D" w:rsidRDefault="00AF134D" w:rsidP="00AF134D">
      <w:pPr>
        <w:pStyle w:val="CDIfootnotes"/>
        <w:rPr>
          <w:lang w:val="en-GB"/>
        </w:rPr>
      </w:pPr>
      <w:r>
        <w:rPr>
          <w:lang w:val="en-GB"/>
        </w:rPr>
        <w:t>b</w:t>
      </w:r>
      <w:r>
        <w:rPr>
          <w:lang w:val="en-GB"/>
        </w:rPr>
        <w:tab/>
        <w:t>Includes asthma.</w:t>
      </w:r>
    </w:p>
    <w:p w14:paraId="0EC6131C" w14:textId="77777777" w:rsidR="00AF134D" w:rsidRDefault="00AF134D" w:rsidP="00AF134D">
      <w:pPr>
        <w:pStyle w:val="CDIfootnotes"/>
        <w:rPr>
          <w:lang w:val="en-GB"/>
        </w:rPr>
      </w:pPr>
      <w:r>
        <w:rPr>
          <w:lang w:val="en-GB"/>
        </w:rPr>
        <w:t xml:space="preserve">c </w:t>
      </w:r>
      <w:r>
        <w:rPr>
          <w:lang w:val="en-GB"/>
        </w:rPr>
        <w:tab/>
        <w:t xml:space="preserve">Includes chronic respiratory conditions, cardiac disease (excluding hypertension), immunosuppressive condition/therapy, diabetes, obesity, liver disease, renal </w:t>
      </w:r>
      <w:proofErr w:type="gramStart"/>
      <w:r>
        <w:rPr>
          <w:lang w:val="en-GB"/>
        </w:rPr>
        <w:t>disease</w:t>
      </w:r>
      <w:proofErr w:type="gramEnd"/>
      <w:r>
        <w:rPr>
          <w:lang w:val="en-GB"/>
        </w:rPr>
        <w:t xml:space="preserve"> and neurological disorder.</w:t>
      </w:r>
    </w:p>
    <w:p w14:paraId="5FD7E42C" w14:textId="77777777" w:rsidR="00AF134D" w:rsidRDefault="00AF134D" w:rsidP="00AF134D">
      <w:pPr>
        <w:pStyle w:val="CDIfootnotes"/>
        <w:rPr>
          <w:lang w:val="en-GB"/>
        </w:rPr>
      </w:pPr>
      <w:r>
        <w:rPr>
          <w:lang w:val="en-GB"/>
        </w:rPr>
        <w:t>d</w:t>
      </w:r>
      <w:r>
        <w:rPr>
          <w:lang w:val="en-GB"/>
        </w:rPr>
        <w:tab/>
        <w:t>Excludes cases where comorbidity data is missing or unknown for all comorbidities.</w:t>
      </w:r>
    </w:p>
    <w:p w14:paraId="4EF9B8C3" w14:textId="77777777" w:rsidR="00106AD7" w:rsidRDefault="00106AD7">
      <w:pPr>
        <w:pStyle w:val="Heading3"/>
        <w:rPr>
          <w:rFonts w:eastAsia="Times New Roman"/>
        </w:rPr>
      </w:pPr>
      <w:r>
        <w:rPr>
          <w:rFonts w:eastAsia="Times New Roman"/>
        </w:rPr>
        <w:t xml:space="preserve">COVID-19 deaths </w:t>
      </w:r>
    </w:p>
    <w:p w14:paraId="5D31FDDC" w14:textId="1D162AB9" w:rsidR="00106AD7" w:rsidRDefault="00106AD7">
      <w:pPr>
        <w:pStyle w:val="NormalWeb"/>
      </w:pPr>
      <w:r>
        <w:t xml:space="preserve">In the past two weeks, there were 147 deaths associated with COVID-19, 126 in New South Wales, 20 in Victoria and one in the Australian Capital Territory. This brings the total number of COVID-19 associated deaths in 2021 to 339 (Table 8). </w:t>
      </w:r>
    </w:p>
    <w:p w14:paraId="06189547" w14:textId="77777777" w:rsidR="00AF134D" w:rsidRDefault="00AF134D" w:rsidP="00AF134D">
      <w:pPr>
        <w:pStyle w:val="NormalWeb"/>
        <w:rPr>
          <w:lang w:val="en-GB"/>
        </w:rPr>
      </w:pPr>
      <w:r>
        <w:rPr>
          <w:rStyle w:val="Strong"/>
          <w:lang w:val="en-GB"/>
        </w:rPr>
        <w:t>Table 8: Deaths associated with COVID-19 by reporting period, Australia, 1 January 2020 – 26 September 2021a</w:t>
      </w:r>
    </w:p>
    <w:tbl>
      <w:tblPr>
        <w:tblStyle w:val="CDI-StandardTable"/>
        <w:tblW w:w="0" w:type="auto"/>
        <w:tblLook w:val="04A0" w:firstRow="1" w:lastRow="0" w:firstColumn="1" w:lastColumn="0" w:noHBand="0" w:noVBand="1"/>
        <w:tblDescription w:val="A table comparing deaths due to COVID-19 in the current two-week reporting period ending 26 September 2021 and for the year to date. One hundred and forty-seven COVID-19 deaths occurred in the most recent reporting period. There have been 339 COVID-19 deaths during the calendar year to date, while the epidemic to date has seen a total of 1,248 COVID-19 deaths.&#10;"/>
      </w:tblPr>
      <w:tblGrid>
        <w:gridCol w:w="4985"/>
        <w:gridCol w:w="5455"/>
      </w:tblGrid>
      <w:tr w:rsidR="00AF134D" w:rsidRPr="005F19BB" w14:paraId="4FF731F5" w14:textId="77777777" w:rsidTr="00AF134D">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78238A40" w14:textId="77777777" w:rsidR="00AF134D" w:rsidRPr="005F19BB" w:rsidRDefault="00AF134D" w:rsidP="00AF134D">
            <w:pPr>
              <w:pStyle w:val="NormalWeb"/>
              <w:rPr>
                <w:color w:val="FFFFFF" w:themeColor="background1"/>
              </w:rPr>
            </w:pPr>
            <w:r w:rsidRPr="005F19BB">
              <w:rPr>
                <w:color w:val="FFFFFF" w:themeColor="background1"/>
              </w:rPr>
              <w:t>Reporting period</w:t>
            </w:r>
          </w:p>
        </w:tc>
        <w:tc>
          <w:tcPr>
            <w:tcW w:w="5455" w:type="dxa"/>
            <w:tcBorders>
              <w:left w:val="single" w:sz="2" w:space="0" w:color="FFFFFF" w:themeColor="background1"/>
            </w:tcBorders>
            <w:hideMark/>
          </w:tcPr>
          <w:p w14:paraId="067BA1B4" w14:textId="77777777" w:rsidR="00AF134D" w:rsidRPr="005F19BB" w:rsidRDefault="00AF134D" w:rsidP="00AF134D">
            <w:pPr>
              <w:pStyle w:val="NormalWeb"/>
              <w:jc w:val="center"/>
              <w:rPr>
                <w:color w:val="FFFFFF" w:themeColor="background1"/>
              </w:rPr>
            </w:pPr>
            <w:r w:rsidRPr="005F19BB">
              <w:rPr>
                <w:color w:val="FFFFFF" w:themeColor="background1"/>
              </w:rPr>
              <w:t xml:space="preserve">Number of </w:t>
            </w:r>
            <w:proofErr w:type="spellStart"/>
            <w:r w:rsidRPr="005F19BB">
              <w:rPr>
                <w:color w:val="FFFFFF" w:themeColor="background1"/>
              </w:rPr>
              <w:t>deaths</w:t>
            </w:r>
            <w:r w:rsidRPr="005F19BB">
              <w:rPr>
                <w:color w:val="FFFFFF" w:themeColor="background1"/>
                <w:vertAlign w:val="superscript"/>
              </w:rPr>
              <w:t>b</w:t>
            </w:r>
            <w:proofErr w:type="spellEnd"/>
          </w:p>
        </w:tc>
      </w:tr>
      <w:tr w:rsidR="00AF134D" w14:paraId="4CE252D6" w14:textId="77777777" w:rsidTr="00AF134D">
        <w:tblPrEx>
          <w:tblCellMar>
            <w:top w:w="57" w:type="dxa"/>
            <w:left w:w="57" w:type="dxa"/>
            <w:bottom w:w="57" w:type="dxa"/>
            <w:right w:w="57" w:type="dxa"/>
          </w:tblCellMar>
        </w:tblPrEx>
        <w:tc>
          <w:tcPr>
            <w:tcW w:w="0" w:type="auto"/>
            <w:hideMark/>
          </w:tcPr>
          <w:p w14:paraId="59446D5A" w14:textId="77777777" w:rsidR="00AF134D" w:rsidRDefault="00AF134D" w:rsidP="00AF134D">
            <w:pPr>
              <w:pStyle w:val="NormalWeb"/>
            </w:pPr>
            <w:r>
              <w:t>Reporting period 13–26 September 2021</w:t>
            </w:r>
          </w:p>
        </w:tc>
        <w:tc>
          <w:tcPr>
            <w:tcW w:w="5455" w:type="dxa"/>
            <w:hideMark/>
          </w:tcPr>
          <w:p w14:paraId="3123FE5F" w14:textId="77777777" w:rsidR="00AF134D" w:rsidRDefault="00AF134D" w:rsidP="00AF134D">
            <w:pPr>
              <w:pStyle w:val="NormalWeb"/>
              <w:jc w:val="center"/>
            </w:pPr>
            <w:r>
              <w:t>147</w:t>
            </w:r>
          </w:p>
        </w:tc>
      </w:tr>
      <w:tr w:rsidR="00AF134D" w14:paraId="62118F9B" w14:textId="77777777" w:rsidTr="00AF134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190AACB" w14:textId="77777777" w:rsidR="00AF134D" w:rsidRDefault="00AF134D" w:rsidP="00AF134D">
            <w:pPr>
              <w:pStyle w:val="NormalWeb"/>
            </w:pPr>
            <w:r>
              <w:t>Year to date (2021) 1 January – 26 September 2021</w:t>
            </w:r>
          </w:p>
        </w:tc>
        <w:tc>
          <w:tcPr>
            <w:tcW w:w="5455" w:type="dxa"/>
            <w:hideMark/>
          </w:tcPr>
          <w:p w14:paraId="45F4F96C" w14:textId="77777777" w:rsidR="00AF134D" w:rsidRDefault="00AF134D" w:rsidP="00AF134D">
            <w:pPr>
              <w:pStyle w:val="NormalWeb"/>
              <w:jc w:val="center"/>
            </w:pPr>
            <w:r>
              <w:t>339</w:t>
            </w:r>
          </w:p>
        </w:tc>
      </w:tr>
      <w:tr w:rsidR="00AF134D" w14:paraId="3C6DD96B" w14:textId="77777777" w:rsidTr="00AF134D">
        <w:tblPrEx>
          <w:tblCellMar>
            <w:top w:w="57" w:type="dxa"/>
            <w:left w:w="57" w:type="dxa"/>
            <w:bottom w:w="57" w:type="dxa"/>
            <w:right w:w="57" w:type="dxa"/>
          </w:tblCellMar>
        </w:tblPrEx>
        <w:tc>
          <w:tcPr>
            <w:tcW w:w="0" w:type="auto"/>
            <w:hideMark/>
          </w:tcPr>
          <w:p w14:paraId="56BF1250" w14:textId="77777777" w:rsidR="00AF134D" w:rsidRDefault="00AF134D" w:rsidP="00AF134D">
            <w:pPr>
              <w:pStyle w:val="NormalWeb"/>
            </w:pPr>
            <w:r>
              <w:t>Epidemic to date 1 January 2020 – 26 September 2021</w:t>
            </w:r>
          </w:p>
        </w:tc>
        <w:tc>
          <w:tcPr>
            <w:tcW w:w="5455" w:type="dxa"/>
            <w:hideMark/>
          </w:tcPr>
          <w:p w14:paraId="7B2E5B34" w14:textId="77777777" w:rsidR="00AF134D" w:rsidRDefault="00AF134D" w:rsidP="00AF134D">
            <w:pPr>
              <w:pStyle w:val="NormalWeb"/>
              <w:jc w:val="center"/>
            </w:pPr>
            <w:r>
              <w:t>1,248</w:t>
            </w:r>
          </w:p>
        </w:tc>
      </w:tr>
    </w:tbl>
    <w:p w14:paraId="7671C828" w14:textId="02B41261" w:rsidR="00AF134D" w:rsidRPr="00AF134D" w:rsidRDefault="00AF134D" w:rsidP="00AF134D">
      <w:pPr>
        <w:pStyle w:val="CDIfootnotes"/>
        <w:rPr>
          <w:lang w:val="en-GB"/>
        </w:rPr>
      </w:pPr>
      <w:r>
        <w:rPr>
          <w:lang w:val="en-GB"/>
        </w:rPr>
        <w:t>a</w:t>
      </w:r>
      <w:r>
        <w:rPr>
          <w:lang w:val="en-GB"/>
        </w:rPr>
        <w:tab/>
        <w:t>Source: NINDSS, extract from 28 September 2021, based on notification received date.</w:t>
      </w:r>
    </w:p>
    <w:p w14:paraId="789CD74D" w14:textId="77777777" w:rsidR="00AF134D" w:rsidRDefault="00AF134D">
      <w:pPr>
        <w:rPr>
          <w:rFonts w:asciiTheme="majorHAnsi" w:eastAsia="Times New Roman" w:hAnsiTheme="majorHAnsi" w:cstheme="majorBidi"/>
          <w:b/>
          <w:bCs/>
          <w:sz w:val="32"/>
          <w:szCs w:val="28"/>
        </w:rPr>
      </w:pPr>
      <w:r>
        <w:rPr>
          <w:rFonts w:eastAsia="Times New Roman"/>
        </w:rPr>
        <w:br w:type="page"/>
      </w:r>
    </w:p>
    <w:p w14:paraId="61E4C5C6" w14:textId="31C1F33A" w:rsidR="00106AD7" w:rsidRDefault="00106AD7">
      <w:pPr>
        <w:pStyle w:val="Heading1"/>
        <w:rPr>
          <w:rFonts w:eastAsia="Times New Roman"/>
        </w:rPr>
      </w:pPr>
      <w:r>
        <w:rPr>
          <w:rFonts w:eastAsia="Times New Roman"/>
        </w:rPr>
        <w:t xml:space="preserve">Acknowledgements </w:t>
      </w:r>
    </w:p>
    <w:p w14:paraId="20842981" w14:textId="77777777" w:rsidR="00106AD7" w:rsidRDefault="00106AD7">
      <w:pPr>
        <w:pStyle w:val="NormalWeb"/>
      </w:pPr>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14:paraId="0938F4E9" w14:textId="77777777" w:rsidR="00106AD7" w:rsidRDefault="00106AD7">
      <w:pPr>
        <w:pStyle w:val="Heading1"/>
        <w:rPr>
          <w:rFonts w:eastAsia="Times New Roman"/>
        </w:rPr>
      </w:pPr>
      <w:r>
        <w:rPr>
          <w:rFonts w:eastAsia="Times New Roman"/>
        </w:rPr>
        <w:t xml:space="preserve">Author details </w:t>
      </w:r>
    </w:p>
    <w:p w14:paraId="69184737" w14:textId="77777777" w:rsidR="00106AD7" w:rsidRDefault="00106AD7">
      <w:pPr>
        <w:pStyle w:val="Heading2"/>
        <w:rPr>
          <w:rFonts w:eastAsia="Times New Roman"/>
        </w:rPr>
      </w:pPr>
      <w:r>
        <w:rPr>
          <w:rFonts w:eastAsia="Times New Roman"/>
        </w:rPr>
        <w:t xml:space="preserve">Corresponding author </w:t>
      </w:r>
    </w:p>
    <w:p w14:paraId="6370E823" w14:textId="77777777" w:rsidR="00106AD7" w:rsidRDefault="00106AD7" w:rsidP="00AF134D">
      <w:pPr>
        <w:pStyle w:val="NoSpacing"/>
      </w:pPr>
      <w:r>
        <w:t xml:space="preserve">COVID-19 National Incident Room Surveillance Team </w:t>
      </w:r>
    </w:p>
    <w:p w14:paraId="7D867AC6" w14:textId="77777777" w:rsidR="00106AD7" w:rsidRDefault="00106AD7" w:rsidP="00AF134D">
      <w:pPr>
        <w:pStyle w:val="NoSpacing"/>
      </w:pPr>
      <w:r>
        <w:t xml:space="preserve">Australian Government Department of Health, GPO Box 9484, MDP 14, Canberra, ACT 2601. </w:t>
      </w:r>
    </w:p>
    <w:p w14:paraId="2B210BFF" w14:textId="77777777" w:rsidR="00106AD7" w:rsidRDefault="00106AD7" w:rsidP="00AF134D">
      <w:pPr>
        <w:pStyle w:val="NoSpacing"/>
      </w:pPr>
      <w:r>
        <w:t>Email: epi.coronavirus@health.gov.au</w:t>
      </w:r>
    </w:p>
    <w:p w14:paraId="2DD5F819" w14:textId="77777777" w:rsidR="00106AD7" w:rsidRDefault="00106AD7">
      <w:pPr>
        <w:pStyle w:val="Heading1"/>
        <w:rPr>
          <w:rFonts w:eastAsia="Times New Roman"/>
        </w:rPr>
      </w:pPr>
      <w:r>
        <w:rPr>
          <w:rFonts w:eastAsia="Times New Roman"/>
        </w:rPr>
        <w:t xml:space="preserve">References </w:t>
      </w:r>
    </w:p>
    <w:p w14:paraId="049BB559" w14:textId="77777777" w:rsidR="00106AD7" w:rsidRDefault="00106AD7" w:rsidP="00106AD7">
      <w:pPr>
        <w:numPr>
          <w:ilvl w:val="0"/>
          <w:numId w:val="7"/>
        </w:numPr>
        <w:spacing w:before="100" w:beforeAutospacing="1" w:after="100" w:afterAutospacing="1" w:line="240" w:lineRule="auto"/>
        <w:rPr>
          <w:rFonts w:eastAsia="Times New Roman"/>
        </w:rPr>
      </w:pPr>
      <w:r>
        <w:rPr>
          <w:rFonts w:eastAsia="Times New Roman"/>
        </w:rPr>
        <w:t xml:space="preserve">COVID-19 National Incident Room Surveillance Team. COVID-19 Australia: Epidemiology Report 50: Reporting period ending 12 September 2021. </w:t>
      </w:r>
      <w:proofErr w:type="spellStart"/>
      <w:r w:rsidRPr="00D1124F">
        <w:rPr>
          <w:rStyle w:val="Emphasis"/>
          <w:rFonts w:eastAsia="Times New Roman"/>
          <w:b w:val="0"/>
          <w:bCs w:val="0"/>
        </w:rPr>
        <w:t>Commun</w:t>
      </w:r>
      <w:proofErr w:type="spellEnd"/>
      <w:r w:rsidRPr="00D1124F">
        <w:rPr>
          <w:rStyle w:val="Emphasis"/>
          <w:rFonts w:eastAsia="Times New Roman"/>
          <w:b w:val="0"/>
          <w:bCs w:val="0"/>
        </w:rPr>
        <w:t xml:space="preserve"> Dis </w:t>
      </w:r>
      <w:proofErr w:type="spellStart"/>
      <w:r w:rsidRPr="00D1124F">
        <w:rPr>
          <w:rStyle w:val="Emphasis"/>
          <w:rFonts w:eastAsia="Times New Roman"/>
          <w:b w:val="0"/>
          <w:bCs w:val="0"/>
        </w:rPr>
        <w:t>Intell</w:t>
      </w:r>
      <w:proofErr w:type="spellEnd"/>
      <w:r w:rsidRPr="00D1124F">
        <w:rPr>
          <w:rStyle w:val="Emphasis"/>
          <w:rFonts w:eastAsia="Times New Roman"/>
          <w:b w:val="0"/>
          <w:bCs w:val="0"/>
        </w:rPr>
        <w:t xml:space="preserve"> (2018)</w:t>
      </w:r>
      <w:r>
        <w:rPr>
          <w:rFonts w:eastAsia="Times New Roman"/>
        </w:rPr>
        <w:t xml:space="preserve">. 2021;45. </w:t>
      </w:r>
      <w:proofErr w:type="spellStart"/>
      <w:r>
        <w:rPr>
          <w:rFonts w:eastAsia="Times New Roman"/>
        </w:rPr>
        <w:t>doi</w:t>
      </w:r>
      <w:proofErr w:type="spellEnd"/>
      <w:r>
        <w:rPr>
          <w:rFonts w:eastAsia="Times New Roman"/>
        </w:rPr>
        <w:t xml:space="preserve">: https://doi.org/10.33321/cdi.2021.45.50. </w:t>
      </w:r>
    </w:p>
    <w:p w14:paraId="6488B7C6" w14:textId="77777777" w:rsidR="00106AD7" w:rsidRDefault="00106AD7" w:rsidP="00106AD7">
      <w:pPr>
        <w:numPr>
          <w:ilvl w:val="0"/>
          <w:numId w:val="7"/>
        </w:numPr>
        <w:spacing w:before="100" w:beforeAutospacing="1" w:after="100" w:afterAutospacing="1" w:line="240" w:lineRule="auto"/>
        <w:rPr>
          <w:rFonts w:eastAsia="Times New Roman"/>
        </w:rPr>
      </w:pPr>
      <w:r>
        <w:rPr>
          <w:rFonts w:eastAsia="Times New Roman"/>
        </w:rPr>
        <w:t xml:space="preserve">COVID-19 National Incident Room Surveillance Team. Technical supplement. COVID-19 Australia: Epidemiology reporting. </w:t>
      </w:r>
      <w:proofErr w:type="spellStart"/>
      <w:r w:rsidRPr="00D1124F">
        <w:rPr>
          <w:rStyle w:val="Emphasis"/>
          <w:rFonts w:eastAsia="Times New Roman"/>
          <w:b w:val="0"/>
          <w:bCs w:val="0"/>
        </w:rPr>
        <w:t>Commun</w:t>
      </w:r>
      <w:proofErr w:type="spellEnd"/>
      <w:r w:rsidRPr="00D1124F">
        <w:rPr>
          <w:rStyle w:val="Emphasis"/>
          <w:rFonts w:eastAsia="Times New Roman"/>
          <w:b w:val="0"/>
          <w:bCs w:val="0"/>
        </w:rPr>
        <w:t xml:space="preserve"> Dis </w:t>
      </w:r>
      <w:proofErr w:type="spellStart"/>
      <w:r w:rsidRPr="00D1124F">
        <w:rPr>
          <w:rStyle w:val="Emphasis"/>
          <w:rFonts w:eastAsia="Times New Roman"/>
          <w:b w:val="0"/>
          <w:bCs w:val="0"/>
        </w:rPr>
        <w:t>Intell</w:t>
      </w:r>
      <w:proofErr w:type="spellEnd"/>
      <w:r w:rsidRPr="00D1124F">
        <w:rPr>
          <w:rStyle w:val="Emphasis"/>
          <w:rFonts w:eastAsia="Times New Roman"/>
          <w:b w:val="0"/>
          <w:bCs w:val="0"/>
        </w:rPr>
        <w:t xml:space="preserve"> (2018)</w:t>
      </w:r>
      <w:r>
        <w:rPr>
          <w:rFonts w:eastAsia="Times New Roman"/>
        </w:rPr>
        <w:t xml:space="preserve">. 2021;45. </w:t>
      </w:r>
      <w:proofErr w:type="spellStart"/>
      <w:r>
        <w:rPr>
          <w:rFonts w:eastAsia="Times New Roman"/>
        </w:rPr>
        <w:t>doi</w:t>
      </w:r>
      <w:proofErr w:type="spellEnd"/>
      <w:r>
        <w:rPr>
          <w:rFonts w:eastAsia="Times New Roman"/>
        </w:rPr>
        <w:t xml:space="preserve">: https://doi.org/10.33321/cdi.2021.45.2. </w:t>
      </w:r>
    </w:p>
    <w:p w14:paraId="6BFF19B8" w14:textId="77777777" w:rsidR="00106AD7" w:rsidRDefault="00106AD7" w:rsidP="00106AD7">
      <w:pPr>
        <w:numPr>
          <w:ilvl w:val="0"/>
          <w:numId w:val="7"/>
        </w:numPr>
        <w:spacing w:before="100" w:beforeAutospacing="1" w:after="100" w:afterAutospacing="1" w:line="240" w:lineRule="auto"/>
        <w:rPr>
          <w:rFonts w:eastAsia="Times New Roman"/>
        </w:rPr>
      </w:pPr>
      <w:r>
        <w:rPr>
          <w:rFonts w:eastAsia="Times New Roman"/>
        </w:rPr>
        <w:t xml:space="preserve">Australian Government Department of Health. Vaccination numbers and statistics. [Internet.] Canberra: Australian Government Department of Health; 2021. [Accessed on 28 September 2021.] Available from: https://www.health.gov.au/initiatives-and-programs/covid-19-vaccines/numbers-statistics. </w:t>
      </w:r>
    </w:p>
    <w:p w14:paraId="348A8C2C" w14:textId="77777777" w:rsidR="00106AD7" w:rsidRDefault="00106AD7" w:rsidP="00106AD7">
      <w:pPr>
        <w:numPr>
          <w:ilvl w:val="0"/>
          <w:numId w:val="7"/>
        </w:numPr>
        <w:spacing w:before="100" w:beforeAutospacing="1" w:after="100" w:afterAutospacing="1" w:line="240" w:lineRule="auto"/>
        <w:rPr>
          <w:rFonts w:eastAsia="Times New Roman"/>
        </w:rPr>
      </w:pPr>
      <w:r>
        <w:rPr>
          <w:rFonts w:eastAsia="Times New Roman"/>
        </w:rPr>
        <w:t>Australian and New Zealand Intensive Care Research Centre (ANZIC-RC). SPRINT-SARI: Short period incidence study of severe acute respiratory infection. [Internet.] Melbourne: Monash University; 2020. Available from: https://www.monash.edu/medicine/sphpm/anzicrc/research/sprint-sari. a Source: NINDSS, extract from 28 September 2021 for notifications up to 26 September 2021. Excludes cases where age or sex data is missing. b Population data based on Australian Bureau of Statistics (ABS) Estimated Resident Population (ERP) as at June 2020. c Note the change to focus on rates in this year only. For cumulative rates since the beginning of the epidemic in Australia, readers are encouraged to consult previous reports.</w:t>
      </w:r>
    </w:p>
    <w:p w14:paraId="1B913C7B" w14:textId="77777777" w:rsidR="00621CE7" w:rsidRDefault="00621CE7" w:rsidP="00AF134D">
      <w:pPr>
        <w:pStyle w:val="Heading1"/>
        <w:rPr>
          <w:rStyle w:val="Strong"/>
          <w:b/>
          <w:bCs/>
        </w:rPr>
        <w:sectPr w:rsidR="00621CE7"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4698F86A" w14:textId="1C23917D" w:rsidR="00AF134D" w:rsidRDefault="00AF134D" w:rsidP="00AF134D">
      <w:pPr>
        <w:pStyle w:val="Heading1"/>
        <w:rPr>
          <w:rStyle w:val="Strong"/>
          <w:b/>
          <w:bCs/>
        </w:rPr>
      </w:pPr>
      <w:r w:rsidRPr="00247CC2">
        <w:rPr>
          <w:rStyle w:val="Strong"/>
          <w:b/>
          <w:bCs/>
        </w:rPr>
        <w:t>Appendix A: Supplementary figures and tables</w:t>
      </w:r>
    </w:p>
    <w:p w14:paraId="757ED41E" w14:textId="77777777" w:rsidR="00AF134D" w:rsidRPr="005F19BB" w:rsidRDefault="00AF134D" w:rsidP="00AF134D">
      <w:pPr>
        <w:pStyle w:val="CDIFigures"/>
      </w:pPr>
      <w:r w:rsidRPr="005F19BB">
        <w:rPr>
          <w:rStyle w:val="Strong"/>
          <w:b/>
          <w:bCs w:val="0"/>
        </w:rPr>
        <w:t>Table A.1: COVID-19 cases and rates per 100,000 population, by age group, sex and diagnosis date Australia, 26 September 2021</w:t>
      </w:r>
      <w:proofErr w:type="gramStart"/>
      <w:r w:rsidRPr="005F19BB">
        <w:rPr>
          <w:rStyle w:val="Strong"/>
          <w:b/>
          <w:bCs w:val="0"/>
          <w:vertAlign w:val="superscript"/>
        </w:rPr>
        <w:t>a,b</w:t>
      </w:r>
      <w:proofErr w:type="gramEnd"/>
    </w:p>
    <w:tbl>
      <w:tblPr>
        <w:tblStyle w:val="CDI-StandardTable"/>
        <w:tblW w:w="0" w:type="auto"/>
        <w:tblLook w:val="04A0" w:firstRow="1" w:lastRow="0" w:firstColumn="1" w:lastColumn="0" w:noHBand="0" w:noVBand="1"/>
        <w:tblDescription w:val="This table summarises cumulative and four-weekly confirmed cases and rates per 100,000 population, as a function of age group and sex."/>
      </w:tblPr>
      <w:tblGrid>
        <w:gridCol w:w="1418"/>
        <w:gridCol w:w="1130"/>
        <w:gridCol w:w="1131"/>
        <w:gridCol w:w="1130"/>
        <w:gridCol w:w="1131"/>
        <w:gridCol w:w="1130"/>
        <w:gridCol w:w="1131"/>
        <w:gridCol w:w="1130"/>
        <w:gridCol w:w="1131"/>
        <w:gridCol w:w="1130"/>
        <w:gridCol w:w="1131"/>
        <w:gridCol w:w="1130"/>
        <w:gridCol w:w="1131"/>
      </w:tblGrid>
      <w:tr w:rsidR="00AF134D" w:rsidRPr="00247CC2" w14:paraId="7E535E23" w14:textId="77777777" w:rsidTr="00621CE7">
        <w:trPr>
          <w:cnfStyle w:val="100000000000" w:firstRow="1" w:lastRow="0" w:firstColumn="0" w:lastColumn="0" w:oddVBand="0" w:evenVBand="0" w:oddHBand="0" w:evenHBand="0" w:firstRowFirstColumn="0" w:firstRowLastColumn="0" w:lastRowFirstColumn="0" w:lastRowLastColumn="0"/>
          <w:tblHeader/>
        </w:trPr>
        <w:tc>
          <w:tcPr>
            <w:tcW w:w="1418" w:type="dxa"/>
            <w:vMerge w:val="restart"/>
            <w:tcBorders>
              <w:bottom w:val="single" w:sz="2" w:space="0" w:color="FFFFFF" w:themeColor="background1"/>
              <w:right w:val="single" w:sz="2" w:space="0" w:color="FFFFFF" w:themeColor="background1"/>
            </w:tcBorders>
            <w:hideMark/>
          </w:tcPr>
          <w:p w14:paraId="1D9C8C65" w14:textId="77777777" w:rsidR="00AF134D" w:rsidRPr="00247CC2" w:rsidRDefault="00AF134D" w:rsidP="00AF134D">
            <w:pPr>
              <w:pStyle w:val="NormalWeb"/>
              <w:rPr>
                <w:color w:val="FFFFFF" w:themeColor="background1"/>
              </w:rPr>
            </w:pPr>
            <w:r w:rsidRPr="00247CC2">
              <w:rPr>
                <w:color w:val="FFFFFF" w:themeColor="background1"/>
              </w:rPr>
              <w:t>Age group</w:t>
            </w:r>
          </w:p>
        </w:tc>
        <w:tc>
          <w:tcPr>
            <w:tcW w:w="6783" w:type="dxa"/>
            <w:gridSpan w:val="6"/>
            <w:tcBorders>
              <w:left w:val="single" w:sz="2" w:space="0" w:color="FFFFFF" w:themeColor="background1"/>
              <w:bottom w:val="single" w:sz="2" w:space="0" w:color="FFFFFF" w:themeColor="background1"/>
              <w:right w:val="single" w:sz="2" w:space="0" w:color="FFFFFF" w:themeColor="background1"/>
            </w:tcBorders>
            <w:hideMark/>
          </w:tcPr>
          <w:p w14:paraId="19C2BE29" w14:textId="77777777" w:rsidR="00AF134D" w:rsidRPr="00247CC2" w:rsidRDefault="00AF134D" w:rsidP="00AF134D">
            <w:pPr>
              <w:pStyle w:val="NormalWeb"/>
              <w:jc w:val="center"/>
              <w:rPr>
                <w:color w:val="FFFFFF" w:themeColor="background1"/>
              </w:rPr>
            </w:pPr>
            <w:r w:rsidRPr="00247CC2">
              <w:rPr>
                <w:color w:val="FFFFFF" w:themeColor="background1"/>
              </w:rPr>
              <w:t>This reporting period</w:t>
            </w:r>
          </w:p>
        </w:tc>
        <w:tc>
          <w:tcPr>
            <w:tcW w:w="6783" w:type="dxa"/>
            <w:gridSpan w:val="6"/>
            <w:tcBorders>
              <w:left w:val="single" w:sz="2" w:space="0" w:color="FFFFFF" w:themeColor="background1"/>
              <w:bottom w:val="single" w:sz="2" w:space="0" w:color="FFFFFF" w:themeColor="background1"/>
            </w:tcBorders>
            <w:hideMark/>
          </w:tcPr>
          <w:p w14:paraId="5F05D899" w14:textId="77777777" w:rsidR="00AF134D" w:rsidRPr="00247CC2" w:rsidRDefault="00AF134D" w:rsidP="00AF134D">
            <w:pPr>
              <w:pStyle w:val="NormalWeb"/>
              <w:jc w:val="center"/>
              <w:rPr>
                <w:color w:val="FFFFFF" w:themeColor="background1"/>
              </w:rPr>
            </w:pPr>
            <w:r w:rsidRPr="00247CC2">
              <w:rPr>
                <w:color w:val="FFFFFF" w:themeColor="background1"/>
              </w:rPr>
              <w:t xml:space="preserve">This </w:t>
            </w:r>
            <w:proofErr w:type="spellStart"/>
            <w:r w:rsidRPr="00247CC2">
              <w:rPr>
                <w:color w:val="FFFFFF" w:themeColor="background1"/>
              </w:rPr>
              <w:t>year</w:t>
            </w:r>
            <w:r w:rsidRPr="00FA6AD4">
              <w:rPr>
                <w:color w:val="FFFFFF" w:themeColor="background1"/>
                <w:vertAlign w:val="superscript"/>
              </w:rPr>
              <w:t>c</w:t>
            </w:r>
            <w:proofErr w:type="spellEnd"/>
          </w:p>
        </w:tc>
      </w:tr>
      <w:tr w:rsidR="00AF134D" w:rsidRPr="00247CC2" w14:paraId="21E87729" w14:textId="77777777" w:rsidTr="00621CE7">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bottom w:val="single" w:sz="2" w:space="0" w:color="FFFFFF" w:themeColor="background1"/>
              <w:right w:val="single" w:sz="2" w:space="0" w:color="FFFFFF" w:themeColor="background1"/>
            </w:tcBorders>
            <w:hideMark/>
          </w:tcPr>
          <w:p w14:paraId="5F4F6EE2" w14:textId="77777777" w:rsidR="00AF134D" w:rsidRPr="00247CC2" w:rsidRDefault="00AF134D" w:rsidP="00AF134D">
            <w:pPr>
              <w:rPr>
                <w:color w:val="FFFFFF" w:themeColor="background1"/>
                <w:sz w:val="24"/>
                <w:szCs w:val="24"/>
              </w:rPr>
            </w:pPr>
          </w:p>
        </w:tc>
        <w:tc>
          <w:tcPr>
            <w:tcW w:w="6783"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55DABD9" w14:textId="77777777" w:rsidR="00AF134D" w:rsidRPr="00247CC2" w:rsidRDefault="00AF134D" w:rsidP="00AF134D">
            <w:pPr>
              <w:pStyle w:val="NormalWeb"/>
              <w:jc w:val="center"/>
              <w:rPr>
                <w:color w:val="FFFFFF" w:themeColor="background1"/>
              </w:rPr>
            </w:pPr>
            <w:r w:rsidRPr="00247CC2">
              <w:rPr>
                <w:color w:val="FFFFFF" w:themeColor="background1"/>
              </w:rPr>
              <w:t>13–26 September 2021</w:t>
            </w:r>
          </w:p>
        </w:tc>
        <w:tc>
          <w:tcPr>
            <w:tcW w:w="6783" w:type="dxa"/>
            <w:gridSpan w:val="6"/>
            <w:tcBorders>
              <w:top w:val="single" w:sz="2" w:space="0" w:color="FFFFFF" w:themeColor="background1"/>
              <w:left w:val="single" w:sz="2" w:space="0" w:color="FFFFFF" w:themeColor="background1"/>
              <w:bottom w:val="single" w:sz="2" w:space="0" w:color="FFFFFF" w:themeColor="background1"/>
            </w:tcBorders>
            <w:hideMark/>
          </w:tcPr>
          <w:p w14:paraId="75964BD7" w14:textId="77777777" w:rsidR="00AF134D" w:rsidRPr="00247CC2" w:rsidRDefault="00AF134D" w:rsidP="00AF134D">
            <w:pPr>
              <w:pStyle w:val="NormalWeb"/>
              <w:jc w:val="center"/>
              <w:rPr>
                <w:color w:val="FFFFFF" w:themeColor="background1"/>
              </w:rPr>
            </w:pPr>
            <w:r w:rsidRPr="00247CC2">
              <w:rPr>
                <w:color w:val="FFFFFF" w:themeColor="background1"/>
              </w:rPr>
              <w:t>1 January 2021 – 26 September 2021</w:t>
            </w:r>
          </w:p>
        </w:tc>
      </w:tr>
      <w:tr w:rsidR="00AF134D" w:rsidRPr="00247CC2" w14:paraId="1EBEA18F" w14:textId="77777777" w:rsidTr="00621CE7">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bottom w:val="single" w:sz="2" w:space="0" w:color="FFFFFF" w:themeColor="background1"/>
              <w:right w:val="single" w:sz="2" w:space="0" w:color="FFFFFF" w:themeColor="background1"/>
            </w:tcBorders>
            <w:hideMark/>
          </w:tcPr>
          <w:p w14:paraId="6E3023B4" w14:textId="77777777" w:rsidR="00AF134D" w:rsidRPr="00247CC2" w:rsidRDefault="00AF134D" w:rsidP="00AF134D">
            <w:pPr>
              <w:rPr>
                <w:color w:val="FFFFFF" w:themeColor="background1"/>
                <w:sz w:val="24"/>
                <w:szCs w:val="24"/>
              </w:rPr>
            </w:pPr>
          </w:p>
        </w:tc>
        <w:tc>
          <w:tcPr>
            <w:tcW w:w="339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7D698FE" w14:textId="77777777" w:rsidR="00AF134D" w:rsidRPr="00247CC2" w:rsidRDefault="00AF134D" w:rsidP="00AF134D">
            <w:pPr>
              <w:pStyle w:val="NormalWeb"/>
              <w:jc w:val="center"/>
              <w:rPr>
                <w:color w:val="FFFFFF" w:themeColor="background1"/>
              </w:rPr>
            </w:pPr>
            <w:r w:rsidRPr="00247CC2">
              <w:rPr>
                <w:color w:val="FFFFFF" w:themeColor="background1"/>
              </w:rPr>
              <w:t>Cases</w:t>
            </w:r>
          </w:p>
        </w:tc>
        <w:tc>
          <w:tcPr>
            <w:tcW w:w="339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EB811A2" w14:textId="77777777" w:rsidR="00AF134D" w:rsidRPr="00247CC2" w:rsidRDefault="00AF134D" w:rsidP="00AF134D">
            <w:pPr>
              <w:pStyle w:val="NormalWeb"/>
              <w:jc w:val="center"/>
              <w:rPr>
                <w:color w:val="FFFFFF" w:themeColor="background1"/>
              </w:rPr>
            </w:pPr>
            <w:r w:rsidRPr="00247CC2">
              <w:rPr>
                <w:color w:val="FFFFFF" w:themeColor="background1"/>
              </w:rPr>
              <w:t>Rate per 100,000 population</w:t>
            </w:r>
          </w:p>
        </w:tc>
        <w:tc>
          <w:tcPr>
            <w:tcW w:w="339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68920A9" w14:textId="77777777" w:rsidR="00AF134D" w:rsidRPr="00247CC2" w:rsidRDefault="00AF134D" w:rsidP="00AF134D">
            <w:pPr>
              <w:pStyle w:val="NormalWeb"/>
              <w:jc w:val="center"/>
              <w:rPr>
                <w:color w:val="FFFFFF" w:themeColor="background1"/>
              </w:rPr>
            </w:pPr>
            <w:r w:rsidRPr="00247CC2">
              <w:rPr>
                <w:color w:val="FFFFFF" w:themeColor="background1"/>
              </w:rPr>
              <w:t>Cases</w:t>
            </w:r>
          </w:p>
        </w:tc>
        <w:tc>
          <w:tcPr>
            <w:tcW w:w="3392" w:type="dxa"/>
            <w:gridSpan w:val="3"/>
            <w:tcBorders>
              <w:top w:val="single" w:sz="2" w:space="0" w:color="FFFFFF" w:themeColor="background1"/>
              <w:left w:val="single" w:sz="2" w:space="0" w:color="FFFFFF" w:themeColor="background1"/>
              <w:bottom w:val="single" w:sz="2" w:space="0" w:color="FFFFFF" w:themeColor="background1"/>
            </w:tcBorders>
            <w:hideMark/>
          </w:tcPr>
          <w:p w14:paraId="15B6BEB3" w14:textId="77777777" w:rsidR="00AF134D" w:rsidRPr="00247CC2" w:rsidRDefault="00AF134D" w:rsidP="00AF134D">
            <w:pPr>
              <w:pStyle w:val="NormalWeb"/>
              <w:jc w:val="center"/>
              <w:rPr>
                <w:color w:val="FFFFFF" w:themeColor="background1"/>
              </w:rPr>
            </w:pPr>
            <w:r w:rsidRPr="00247CC2">
              <w:rPr>
                <w:color w:val="FFFFFF" w:themeColor="background1"/>
              </w:rPr>
              <w:t>Rate per 100,000 population</w:t>
            </w:r>
          </w:p>
        </w:tc>
      </w:tr>
      <w:tr w:rsidR="00AF134D" w:rsidRPr="00247CC2" w14:paraId="4E6362DB" w14:textId="77777777" w:rsidTr="00621CE7">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right w:val="single" w:sz="2" w:space="0" w:color="FFFFFF" w:themeColor="background1"/>
            </w:tcBorders>
            <w:hideMark/>
          </w:tcPr>
          <w:p w14:paraId="1248BE33" w14:textId="77777777" w:rsidR="00AF134D" w:rsidRPr="00247CC2" w:rsidRDefault="00AF134D" w:rsidP="00AF134D">
            <w:pPr>
              <w:rPr>
                <w:color w:val="FFFFFF" w:themeColor="background1"/>
                <w:sz w:val="24"/>
                <w:szCs w:val="24"/>
              </w:rPr>
            </w:pPr>
          </w:p>
        </w:tc>
        <w:tc>
          <w:tcPr>
            <w:tcW w:w="1130" w:type="dxa"/>
            <w:tcBorders>
              <w:top w:val="single" w:sz="2" w:space="0" w:color="FFFFFF" w:themeColor="background1"/>
              <w:left w:val="single" w:sz="2" w:space="0" w:color="FFFFFF" w:themeColor="background1"/>
              <w:right w:val="single" w:sz="2" w:space="0" w:color="FFFFFF" w:themeColor="background1"/>
            </w:tcBorders>
            <w:hideMark/>
          </w:tcPr>
          <w:p w14:paraId="0BB55670" w14:textId="77777777" w:rsidR="00AF134D" w:rsidRPr="00247CC2" w:rsidRDefault="00AF134D" w:rsidP="00AF134D">
            <w:pPr>
              <w:pStyle w:val="NormalWeb"/>
              <w:jc w:val="center"/>
              <w:rPr>
                <w:color w:val="FFFFFF" w:themeColor="background1"/>
              </w:rPr>
            </w:pPr>
            <w:r w:rsidRPr="00247CC2">
              <w:rPr>
                <w:color w:val="FFFFFF" w:themeColor="background1"/>
              </w:rPr>
              <w:t>Male</w:t>
            </w:r>
          </w:p>
        </w:tc>
        <w:tc>
          <w:tcPr>
            <w:tcW w:w="1131" w:type="dxa"/>
            <w:tcBorders>
              <w:top w:val="single" w:sz="2" w:space="0" w:color="FFFFFF" w:themeColor="background1"/>
              <w:left w:val="single" w:sz="2" w:space="0" w:color="FFFFFF" w:themeColor="background1"/>
              <w:right w:val="single" w:sz="2" w:space="0" w:color="FFFFFF" w:themeColor="background1"/>
            </w:tcBorders>
            <w:hideMark/>
          </w:tcPr>
          <w:p w14:paraId="46C1CB19" w14:textId="77777777" w:rsidR="00AF134D" w:rsidRPr="00247CC2" w:rsidRDefault="00AF134D" w:rsidP="00AF134D">
            <w:pPr>
              <w:pStyle w:val="NormalWeb"/>
              <w:jc w:val="center"/>
              <w:rPr>
                <w:color w:val="FFFFFF" w:themeColor="background1"/>
              </w:rPr>
            </w:pPr>
            <w:r w:rsidRPr="00247CC2">
              <w:rPr>
                <w:color w:val="FFFFFF" w:themeColor="background1"/>
              </w:rPr>
              <w:t>Female</w:t>
            </w:r>
          </w:p>
        </w:tc>
        <w:tc>
          <w:tcPr>
            <w:tcW w:w="1130" w:type="dxa"/>
            <w:tcBorders>
              <w:top w:val="single" w:sz="2" w:space="0" w:color="FFFFFF" w:themeColor="background1"/>
              <w:left w:val="single" w:sz="2" w:space="0" w:color="FFFFFF" w:themeColor="background1"/>
              <w:right w:val="single" w:sz="2" w:space="0" w:color="FFFFFF" w:themeColor="background1"/>
            </w:tcBorders>
            <w:hideMark/>
          </w:tcPr>
          <w:p w14:paraId="139951B4" w14:textId="77777777" w:rsidR="00AF134D" w:rsidRPr="00247CC2" w:rsidRDefault="00AF134D" w:rsidP="00AF134D">
            <w:pPr>
              <w:pStyle w:val="NormalWeb"/>
              <w:jc w:val="center"/>
              <w:rPr>
                <w:color w:val="FFFFFF" w:themeColor="background1"/>
              </w:rPr>
            </w:pPr>
            <w:r w:rsidRPr="00247CC2">
              <w:rPr>
                <w:color w:val="FFFFFF" w:themeColor="background1"/>
              </w:rPr>
              <w:t>People</w:t>
            </w:r>
          </w:p>
        </w:tc>
        <w:tc>
          <w:tcPr>
            <w:tcW w:w="1131" w:type="dxa"/>
            <w:tcBorders>
              <w:top w:val="single" w:sz="2" w:space="0" w:color="FFFFFF" w:themeColor="background1"/>
              <w:left w:val="single" w:sz="2" w:space="0" w:color="FFFFFF" w:themeColor="background1"/>
              <w:right w:val="single" w:sz="2" w:space="0" w:color="FFFFFF" w:themeColor="background1"/>
            </w:tcBorders>
            <w:hideMark/>
          </w:tcPr>
          <w:p w14:paraId="7BE03523" w14:textId="77777777" w:rsidR="00AF134D" w:rsidRPr="00247CC2" w:rsidRDefault="00AF134D" w:rsidP="00AF134D">
            <w:pPr>
              <w:pStyle w:val="NormalWeb"/>
              <w:jc w:val="center"/>
              <w:rPr>
                <w:color w:val="FFFFFF" w:themeColor="background1"/>
              </w:rPr>
            </w:pPr>
            <w:r w:rsidRPr="00247CC2">
              <w:rPr>
                <w:color w:val="FFFFFF" w:themeColor="background1"/>
              </w:rPr>
              <w:t>Male</w:t>
            </w:r>
          </w:p>
        </w:tc>
        <w:tc>
          <w:tcPr>
            <w:tcW w:w="1130" w:type="dxa"/>
            <w:tcBorders>
              <w:top w:val="single" w:sz="2" w:space="0" w:color="FFFFFF" w:themeColor="background1"/>
              <w:left w:val="single" w:sz="2" w:space="0" w:color="FFFFFF" w:themeColor="background1"/>
              <w:right w:val="single" w:sz="2" w:space="0" w:color="FFFFFF" w:themeColor="background1"/>
            </w:tcBorders>
            <w:hideMark/>
          </w:tcPr>
          <w:p w14:paraId="63637C3E" w14:textId="77777777" w:rsidR="00AF134D" w:rsidRPr="00247CC2" w:rsidRDefault="00AF134D" w:rsidP="00AF134D">
            <w:pPr>
              <w:pStyle w:val="NormalWeb"/>
              <w:jc w:val="center"/>
              <w:rPr>
                <w:color w:val="FFFFFF" w:themeColor="background1"/>
              </w:rPr>
            </w:pPr>
            <w:r w:rsidRPr="00247CC2">
              <w:rPr>
                <w:color w:val="FFFFFF" w:themeColor="background1"/>
              </w:rPr>
              <w:t>Female</w:t>
            </w:r>
          </w:p>
        </w:tc>
        <w:tc>
          <w:tcPr>
            <w:tcW w:w="1131" w:type="dxa"/>
            <w:tcBorders>
              <w:top w:val="single" w:sz="2" w:space="0" w:color="FFFFFF" w:themeColor="background1"/>
              <w:left w:val="single" w:sz="2" w:space="0" w:color="FFFFFF" w:themeColor="background1"/>
              <w:right w:val="single" w:sz="2" w:space="0" w:color="FFFFFF" w:themeColor="background1"/>
            </w:tcBorders>
            <w:hideMark/>
          </w:tcPr>
          <w:p w14:paraId="7AA25287" w14:textId="77777777" w:rsidR="00AF134D" w:rsidRPr="00247CC2" w:rsidRDefault="00AF134D" w:rsidP="00AF134D">
            <w:pPr>
              <w:pStyle w:val="NormalWeb"/>
              <w:jc w:val="center"/>
              <w:rPr>
                <w:color w:val="FFFFFF" w:themeColor="background1"/>
              </w:rPr>
            </w:pPr>
            <w:r w:rsidRPr="00247CC2">
              <w:rPr>
                <w:color w:val="FFFFFF" w:themeColor="background1"/>
              </w:rPr>
              <w:t>People</w:t>
            </w:r>
          </w:p>
        </w:tc>
        <w:tc>
          <w:tcPr>
            <w:tcW w:w="1130" w:type="dxa"/>
            <w:tcBorders>
              <w:top w:val="single" w:sz="2" w:space="0" w:color="FFFFFF" w:themeColor="background1"/>
              <w:left w:val="single" w:sz="2" w:space="0" w:color="FFFFFF" w:themeColor="background1"/>
              <w:right w:val="single" w:sz="2" w:space="0" w:color="FFFFFF" w:themeColor="background1"/>
            </w:tcBorders>
            <w:hideMark/>
          </w:tcPr>
          <w:p w14:paraId="4044F67C" w14:textId="77777777" w:rsidR="00AF134D" w:rsidRPr="00247CC2" w:rsidRDefault="00AF134D" w:rsidP="00AF134D">
            <w:pPr>
              <w:pStyle w:val="NormalWeb"/>
              <w:jc w:val="center"/>
              <w:rPr>
                <w:color w:val="FFFFFF" w:themeColor="background1"/>
              </w:rPr>
            </w:pPr>
            <w:r w:rsidRPr="00247CC2">
              <w:rPr>
                <w:color w:val="FFFFFF" w:themeColor="background1"/>
              </w:rPr>
              <w:t>Male</w:t>
            </w:r>
          </w:p>
        </w:tc>
        <w:tc>
          <w:tcPr>
            <w:tcW w:w="1131" w:type="dxa"/>
            <w:tcBorders>
              <w:top w:val="single" w:sz="2" w:space="0" w:color="FFFFFF" w:themeColor="background1"/>
              <w:left w:val="single" w:sz="2" w:space="0" w:color="FFFFFF" w:themeColor="background1"/>
              <w:right w:val="single" w:sz="2" w:space="0" w:color="FFFFFF" w:themeColor="background1"/>
            </w:tcBorders>
            <w:hideMark/>
          </w:tcPr>
          <w:p w14:paraId="30B0CD30" w14:textId="77777777" w:rsidR="00AF134D" w:rsidRPr="00247CC2" w:rsidRDefault="00AF134D" w:rsidP="00AF134D">
            <w:pPr>
              <w:pStyle w:val="NormalWeb"/>
              <w:jc w:val="center"/>
              <w:rPr>
                <w:color w:val="FFFFFF" w:themeColor="background1"/>
              </w:rPr>
            </w:pPr>
            <w:r w:rsidRPr="00247CC2">
              <w:rPr>
                <w:color w:val="FFFFFF" w:themeColor="background1"/>
              </w:rPr>
              <w:t>Female</w:t>
            </w:r>
          </w:p>
        </w:tc>
        <w:tc>
          <w:tcPr>
            <w:tcW w:w="1130" w:type="dxa"/>
            <w:tcBorders>
              <w:top w:val="single" w:sz="2" w:space="0" w:color="FFFFFF" w:themeColor="background1"/>
              <w:left w:val="single" w:sz="2" w:space="0" w:color="FFFFFF" w:themeColor="background1"/>
              <w:right w:val="single" w:sz="2" w:space="0" w:color="FFFFFF" w:themeColor="background1"/>
            </w:tcBorders>
            <w:hideMark/>
          </w:tcPr>
          <w:p w14:paraId="09BC719F" w14:textId="77777777" w:rsidR="00AF134D" w:rsidRPr="00247CC2" w:rsidRDefault="00AF134D" w:rsidP="00AF134D">
            <w:pPr>
              <w:pStyle w:val="NormalWeb"/>
              <w:jc w:val="center"/>
              <w:rPr>
                <w:color w:val="FFFFFF" w:themeColor="background1"/>
              </w:rPr>
            </w:pPr>
            <w:r w:rsidRPr="00247CC2">
              <w:rPr>
                <w:color w:val="FFFFFF" w:themeColor="background1"/>
              </w:rPr>
              <w:t>People</w:t>
            </w:r>
          </w:p>
        </w:tc>
        <w:tc>
          <w:tcPr>
            <w:tcW w:w="1131" w:type="dxa"/>
            <w:tcBorders>
              <w:top w:val="single" w:sz="2" w:space="0" w:color="FFFFFF" w:themeColor="background1"/>
              <w:left w:val="single" w:sz="2" w:space="0" w:color="FFFFFF" w:themeColor="background1"/>
              <w:right w:val="single" w:sz="2" w:space="0" w:color="FFFFFF" w:themeColor="background1"/>
            </w:tcBorders>
            <w:hideMark/>
          </w:tcPr>
          <w:p w14:paraId="1D5FA9AB" w14:textId="77777777" w:rsidR="00AF134D" w:rsidRPr="00247CC2" w:rsidRDefault="00AF134D" w:rsidP="00AF134D">
            <w:pPr>
              <w:pStyle w:val="NormalWeb"/>
              <w:jc w:val="center"/>
              <w:rPr>
                <w:color w:val="FFFFFF" w:themeColor="background1"/>
              </w:rPr>
            </w:pPr>
            <w:r w:rsidRPr="00247CC2">
              <w:rPr>
                <w:color w:val="FFFFFF" w:themeColor="background1"/>
              </w:rPr>
              <w:t>Male</w:t>
            </w:r>
          </w:p>
        </w:tc>
        <w:tc>
          <w:tcPr>
            <w:tcW w:w="1130" w:type="dxa"/>
            <w:tcBorders>
              <w:top w:val="single" w:sz="2" w:space="0" w:color="FFFFFF" w:themeColor="background1"/>
              <w:left w:val="single" w:sz="2" w:space="0" w:color="FFFFFF" w:themeColor="background1"/>
              <w:right w:val="single" w:sz="2" w:space="0" w:color="FFFFFF" w:themeColor="background1"/>
            </w:tcBorders>
            <w:hideMark/>
          </w:tcPr>
          <w:p w14:paraId="79FCD4D7" w14:textId="77777777" w:rsidR="00AF134D" w:rsidRPr="00247CC2" w:rsidRDefault="00AF134D" w:rsidP="00AF134D">
            <w:pPr>
              <w:pStyle w:val="NormalWeb"/>
              <w:jc w:val="center"/>
              <w:rPr>
                <w:color w:val="FFFFFF" w:themeColor="background1"/>
              </w:rPr>
            </w:pPr>
            <w:r w:rsidRPr="00247CC2">
              <w:rPr>
                <w:color w:val="FFFFFF" w:themeColor="background1"/>
              </w:rPr>
              <w:t>Female</w:t>
            </w:r>
          </w:p>
        </w:tc>
        <w:tc>
          <w:tcPr>
            <w:tcW w:w="1131" w:type="dxa"/>
            <w:tcBorders>
              <w:top w:val="single" w:sz="2" w:space="0" w:color="FFFFFF" w:themeColor="background1"/>
              <w:left w:val="single" w:sz="2" w:space="0" w:color="FFFFFF" w:themeColor="background1"/>
            </w:tcBorders>
            <w:hideMark/>
          </w:tcPr>
          <w:p w14:paraId="737E467F" w14:textId="77777777" w:rsidR="00AF134D" w:rsidRPr="00247CC2" w:rsidRDefault="00AF134D" w:rsidP="00AF134D">
            <w:pPr>
              <w:pStyle w:val="NormalWeb"/>
              <w:jc w:val="center"/>
              <w:rPr>
                <w:color w:val="FFFFFF" w:themeColor="background1"/>
              </w:rPr>
            </w:pPr>
            <w:r w:rsidRPr="00247CC2">
              <w:rPr>
                <w:color w:val="FFFFFF" w:themeColor="background1"/>
              </w:rPr>
              <w:t>People</w:t>
            </w:r>
          </w:p>
        </w:tc>
      </w:tr>
      <w:tr w:rsidR="00AF134D" w14:paraId="7177A2CF" w14:textId="77777777" w:rsidTr="00621CE7">
        <w:tblPrEx>
          <w:tblCellMar>
            <w:top w:w="57" w:type="dxa"/>
            <w:left w:w="57" w:type="dxa"/>
            <w:bottom w:w="57" w:type="dxa"/>
            <w:right w:w="57" w:type="dxa"/>
          </w:tblCellMar>
        </w:tblPrEx>
        <w:tc>
          <w:tcPr>
            <w:tcW w:w="1418" w:type="dxa"/>
            <w:hideMark/>
          </w:tcPr>
          <w:p w14:paraId="55D45AFA" w14:textId="77777777" w:rsidR="00AF134D" w:rsidRDefault="00AF134D" w:rsidP="00AF134D">
            <w:pPr>
              <w:pStyle w:val="NormalWeb"/>
            </w:pPr>
            <w:r>
              <w:t>0–9</w:t>
            </w:r>
          </w:p>
        </w:tc>
        <w:tc>
          <w:tcPr>
            <w:tcW w:w="1130" w:type="dxa"/>
            <w:hideMark/>
          </w:tcPr>
          <w:p w14:paraId="4EB3067B" w14:textId="77777777" w:rsidR="00AF134D" w:rsidRDefault="00AF134D" w:rsidP="00AF134D">
            <w:pPr>
              <w:pStyle w:val="NormalWeb"/>
              <w:jc w:val="center"/>
            </w:pPr>
            <w:r>
              <w:t>1,904</w:t>
            </w:r>
          </w:p>
        </w:tc>
        <w:tc>
          <w:tcPr>
            <w:tcW w:w="1131" w:type="dxa"/>
            <w:hideMark/>
          </w:tcPr>
          <w:p w14:paraId="450C7879" w14:textId="77777777" w:rsidR="00AF134D" w:rsidRDefault="00AF134D" w:rsidP="00AF134D">
            <w:pPr>
              <w:pStyle w:val="NormalWeb"/>
              <w:jc w:val="center"/>
            </w:pPr>
            <w:r>
              <w:t>1,744</w:t>
            </w:r>
          </w:p>
        </w:tc>
        <w:tc>
          <w:tcPr>
            <w:tcW w:w="1130" w:type="dxa"/>
            <w:hideMark/>
          </w:tcPr>
          <w:p w14:paraId="0A7680FE" w14:textId="77777777" w:rsidR="00AF134D" w:rsidRDefault="00AF134D" w:rsidP="00AF134D">
            <w:pPr>
              <w:pStyle w:val="NormalWeb"/>
              <w:jc w:val="center"/>
            </w:pPr>
            <w:r>
              <w:t>3,663</w:t>
            </w:r>
          </w:p>
        </w:tc>
        <w:tc>
          <w:tcPr>
            <w:tcW w:w="1131" w:type="dxa"/>
            <w:hideMark/>
          </w:tcPr>
          <w:p w14:paraId="7F3F4B3D" w14:textId="77777777" w:rsidR="00AF134D" w:rsidRDefault="00AF134D" w:rsidP="00AF134D">
            <w:pPr>
              <w:pStyle w:val="NormalWeb"/>
              <w:jc w:val="center"/>
            </w:pPr>
            <w:r>
              <w:t>116</w:t>
            </w:r>
          </w:p>
        </w:tc>
        <w:tc>
          <w:tcPr>
            <w:tcW w:w="1130" w:type="dxa"/>
            <w:hideMark/>
          </w:tcPr>
          <w:p w14:paraId="3A36617D" w14:textId="77777777" w:rsidR="00AF134D" w:rsidRDefault="00AF134D" w:rsidP="00AF134D">
            <w:pPr>
              <w:pStyle w:val="NormalWeb"/>
              <w:jc w:val="center"/>
            </w:pPr>
            <w:r>
              <w:t>113</w:t>
            </w:r>
          </w:p>
        </w:tc>
        <w:tc>
          <w:tcPr>
            <w:tcW w:w="1131" w:type="dxa"/>
            <w:hideMark/>
          </w:tcPr>
          <w:p w14:paraId="5346DBD7" w14:textId="77777777" w:rsidR="00AF134D" w:rsidRDefault="00AF134D" w:rsidP="00AF134D">
            <w:pPr>
              <w:pStyle w:val="NormalWeb"/>
              <w:jc w:val="center"/>
            </w:pPr>
            <w:r>
              <w:t>115</w:t>
            </w:r>
          </w:p>
        </w:tc>
        <w:tc>
          <w:tcPr>
            <w:tcW w:w="1130" w:type="dxa"/>
            <w:hideMark/>
          </w:tcPr>
          <w:p w14:paraId="606CA25E" w14:textId="77777777" w:rsidR="00AF134D" w:rsidRDefault="00AF134D" w:rsidP="00AF134D">
            <w:pPr>
              <w:pStyle w:val="NormalWeb"/>
              <w:jc w:val="center"/>
            </w:pPr>
            <w:r>
              <w:t>5,143</w:t>
            </w:r>
          </w:p>
        </w:tc>
        <w:tc>
          <w:tcPr>
            <w:tcW w:w="1131" w:type="dxa"/>
            <w:hideMark/>
          </w:tcPr>
          <w:p w14:paraId="429DD321" w14:textId="77777777" w:rsidR="00AF134D" w:rsidRDefault="00AF134D" w:rsidP="00AF134D">
            <w:pPr>
              <w:pStyle w:val="NormalWeb"/>
              <w:jc w:val="center"/>
            </w:pPr>
            <w:r>
              <w:t>4,866</w:t>
            </w:r>
          </w:p>
        </w:tc>
        <w:tc>
          <w:tcPr>
            <w:tcW w:w="1130" w:type="dxa"/>
            <w:hideMark/>
          </w:tcPr>
          <w:p w14:paraId="3BB970CE" w14:textId="77777777" w:rsidR="00AF134D" w:rsidRDefault="00AF134D" w:rsidP="00AF134D">
            <w:pPr>
              <w:pStyle w:val="NormalWeb"/>
              <w:jc w:val="center"/>
            </w:pPr>
            <w:r>
              <w:t>10,076</w:t>
            </w:r>
          </w:p>
        </w:tc>
        <w:tc>
          <w:tcPr>
            <w:tcW w:w="1131" w:type="dxa"/>
            <w:hideMark/>
          </w:tcPr>
          <w:p w14:paraId="5429642E" w14:textId="77777777" w:rsidR="00AF134D" w:rsidRDefault="00AF134D" w:rsidP="00AF134D">
            <w:pPr>
              <w:pStyle w:val="NormalWeb"/>
              <w:jc w:val="center"/>
            </w:pPr>
            <w:r>
              <w:t>314.2</w:t>
            </w:r>
          </w:p>
        </w:tc>
        <w:tc>
          <w:tcPr>
            <w:tcW w:w="1130" w:type="dxa"/>
            <w:hideMark/>
          </w:tcPr>
          <w:p w14:paraId="52F50E47" w14:textId="77777777" w:rsidR="00AF134D" w:rsidRDefault="00AF134D" w:rsidP="00AF134D">
            <w:pPr>
              <w:pStyle w:val="NormalWeb"/>
              <w:jc w:val="center"/>
            </w:pPr>
            <w:r>
              <w:t>314.3</w:t>
            </w:r>
          </w:p>
        </w:tc>
        <w:tc>
          <w:tcPr>
            <w:tcW w:w="1131" w:type="dxa"/>
            <w:hideMark/>
          </w:tcPr>
          <w:p w14:paraId="1E31A445" w14:textId="77777777" w:rsidR="00AF134D" w:rsidRDefault="00AF134D" w:rsidP="00AF134D">
            <w:pPr>
              <w:pStyle w:val="NormalWeb"/>
              <w:jc w:val="center"/>
            </w:pPr>
            <w:r>
              <w:t>316.4</w:t>
            </w:r>
          </w:p>
        </w:tc>
      </w:tr>
      <w:tr w:rsidR="00AF134D" w14:paraId="65B243C7" w14:textId="77777777" w:rsidTr="00621CE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15ADE4CD" w14:textId="77777777" w:rsidR="00AF134D" w:rsidRDefault="00AF134D" w:rsidP="00AF134D">
            <w:pPr>
              <w:pStyle w:val="NormalWeb"/>
            </w:pPr>
            <w:r>
              <w:t>10–19</w:t>
            </w:r>
          </w:p>
        </w:tc>
        <w:tc>
          <w:tcPr>
            <w:tcW w:w="1130" w:type="dxa"/>
            <w:hideMark/>
          </w:tcPr>
          <w:p w14:paraId="4B2F3ADA" w14:textId="77777777" w:rsidR="00AF134D" w:rsidRDefault="00AF134D" w:rsidP="00AF134D">
            <w:pPr>
              <w:pStyle w:val="NormalWeb"/>
              <w:jc w:val="center"/>
            </w:pPr>
            <w:r>
              <w:t>2,014</w:t>
            </w:r>
          </w:p>
        </w:tc>
        <w:tc>
          <w:tcPr>
            <w:tcW w:w="1131" w:type="dxa"/>
            <w:hideMark/>
          </w:tcPr>
          <w:p w14:paraId="6DF1A7BE" w14:textId="77777777" w:rsidR="00AF134D" w:rsidRDefault="00AF134D" w:rsidP="00AF134D">
            <w:pPr>
              <w:pStyle w:val="NormalWeb"/>
              <w:jc w:val="center"/>
            </w:pPr>
            <w:r>
              <w:t>1,785</w:t>
            </w:r>
          </w:p>
        </w:tc>
        <w:tc>
          <w:tcPr>
            <w:tcW w:w="1130" w:type="dxa"/>
            <w:hideMark/>
          </w:tcPr>
          <w:p w14:paraId="6ABD0919" w14:textId="77777777" w:rsidR="00AF134D" w:rsidRDefault="00AF134D" w:rsidP="00AF134D">
            <w:pPr>
              <w:pStyle w:val="NormalWeb"/>
              <w:jc w:val="center"/>
            </w:pPr>
            <w:r>
              <w:t>3,807</w:t>
            </w:r>
          </w:p>
        </w:tc>
        <w:tc>
          <w:tcPr>
            <w:tcW w:w="1131" w:type="dxa"/>
            <w:hideMark/>
          </w:tcPr>
          <w:p w14:paraId="711305A1" w14:textId="77777777" w:rsidR="00AF134D" w:rsidRDefault="00AF134D" w:rsidP="00AF134D">
            <w:pPr>
              <w:pStyle w:val="NormalWeb"/>
              <w:jc w:val="center"/>
            </w:pPr>
            <w:r>
              <w:t>127</w:t>
            </w:r>
          </w:p>
        </w:tc>
        <w:tc>
          <w:tcPr>
            <w:tcW w:w="1130" w:type="dxa"/>
            <w:hideMark/>
          </w:tcPr>
          <w:p w14:paraId="01CBF3DE" w14:textId="77777777" w:rsidR="00AF134D" w:rsidRDefault="00AF134D" w:rsidP="00AF134D">
            <w:pPr>
              <w:pStyle w:val="NormalWeb"/>
              <w:jc w:val="center"/>
            </w:pPr>
            <w:r>
              <w:t>119</w:t>
            </w:r>
          </w:p>
        </w:tc>
        <w:tc>
          <w:tcPr>
            <w:tcW w:w="1131" w:type="dxa"/>
            <w:hideMark/>
          </w:tcPr>
          <w:p w14:paraId="0857413A" w14:textId="77777777" w:rsidR="00AF134D" w:rsidRDefault="00AF134D" w:rsidP="00AF134D">
            <w:pPr>
              <w:pStyle w:val="NormalWeb"/>
              <w:jc w:val="center"/>
            </w:pPr>
            <w:r>
              <w:t>123</w:t>
            </w:r>
          </w:p>
        </w:tc>
        <w:tc>
          <w:tcPr>
            <w:tcW w:w="1130" w:type="dxa"/>
            <w:hideMark/>
          </w:tcPr>
          <w:p w14:paraId="166DFCAE" w14:textId="77777777" w:rsidR="00AF134D" w:rsidRDefault="00AF134D" w:rsidP="00AF134D">
            <w:pPr>
              <w:pStyle w:val="NormalWeb"/>
              <w:jc w:val="center"/>
            </w:pPr>
            <w:r>
              <w:t>5,836</w:t>
            </w:r>
          </w:p>
        </w:tc>
        <w:tc>
          <w:tcPr>
            <w:tcW w:w="1131" w:type="dxa"/>
            <w:hideMark/>
          </w:tcPr>
          <w:p w14:paraId="148368EF" w14:textId="77777777" w:rsidR="00AF134D" w:rsidRDefault="00AF134D" w:rsidP="00AF134D">
            <w:pPr>
              <w:pStyle w:val="NormalWeb"/>
              <w:jc w:val="center"/>
            </w:pPr>
            <w:r>
              <w:t>5,443</w:t>
            </w:r>
          </w:p>
        </w:tc>
        <w:tc>
          <w:tcPr>
            <w:tcW w:w="1130" w:type="dxa"/>
            <w:hideMark/>
          </w:tcPr>
          <w:p w14:paraId="105D593A" w14:textId="77777777" w:rsidR="00AF134D" w:rsidRDefault="00AF134D" w:rsidP="00AF134D">
            <w:pPr>
              <w:pStyle w:val="NormalWeb"/>
              <w:jc w:val="center"/>
            </w:pPr>
            <w:r>
              <w:t>11,315</w:t>
            </w:r>
          </w:p>
        </w:tc>
        <w:tc>
          <w:tcPr>
            <w:tcW w:w="1131" w:type="dxa"/>
            <w:hideMark/>
          </w:tcPr>
          <w:p w14:paraId="6834D155" w14:textId="77777777" w:rsidR="00AF134D" w:rsidRDefault="00AF134D" w:rsidP="00AF134D">
            <w:pPr>
              <w:pStyle w:val="NormalWeb"/>
              <w:jc w:val="center"/>
            </w:pPr>
            <w:r>
              <w:t>368.0</w:t>
            </w:r>
          </w:p>
        </w:tc>
        <w:tc>
          <w:tcPr>
            <w:tcW w:w="1130" w:type="dxa"/>
            <w:hideMark/>
          </w:tcPr>
          <w:p w14:paraId="4D4FA878" w14:textId="77777777" w:rsidR="00AF134D" w:rsidRDefault="00AF134D" w:rsidP="00AF134D">
            <w:pPr>
              <w:pStyle w:val="NormalWeb"/>
              <w:jc w:val="center"/>
            </w:pPr>
            <w:r>
              <w:t>362.7</w:t>
            </w:r>
          </w:p>
        </w:tc>
        <w:tc>
          <w:tcPr>
            <w:tcW w:w="1131" w:type="dxa"/>
            <w:hideMark/>
          </w:tcPr>
          <w:p w14:paraId="03FEEC0C" w14:textId="77777777" w:rsidR="00AF134D" w:rsidRDefault="00AF134D" w:rsidP="00AF134D">
            <w:pPr>
              <w:pStyle w:val="NormalWeb"/>
              <w:jc w:val="center"/>
            </w:pPr>
            <w:r>
              <w:t>366.6</w:t>
            </w:r>
          </w:p>
        </w:tc>
      </w:tr>
      <w:tr w:rsidR="00AF134D" w14:paraId="1CD50C20" w14:textId="77777777" w:rsidTr="00621CE7">
        <w:tblPrEx>
          <w:tblCellMar>
            <w:top w:w="57" w:type="dxa"/>
            <w:left w:w="57" w:type="dxa"/>
            <w:bottom w:w="57" w:type="dxa"/>
            <w:right w:w="57" w:type="dxa"/>
          </w:tblCellMar>
        </w:tblPrEx>
        <w:tc>
          <w:tcPr>
            <w:tcW w:w="1418" w:type="dxa"/>
            <w:hideMark/>
          </w:tcPr>
          <w:p w14:paraId="02DF04B6" w14:textId="77777777" w:rsidR="00AF134D" w:rsidRDefault="00AF134D" w:rsidP="00AF134D">
            <w:pPr>
              <w:pStyle w:val="NormalWeb"/>
            </w:pPr>
            <w:r>
              <w:t>20–29</w:t>
            </w:r>
          </w:p>
        </w:tc>
        <w:tc>
          <w:tcPr>
            <w:tcW w:w="1130" w:type="dxa"/>
            <w:hideMark/>
          </w:tcPr>
          <w:p w14:paraId="40C45E4F" w14:textId="77777777" w:rsidR="00AF134D" w:rsidRDefault="00AF134D" w:rsidP="00AF134D">
            <w:pPr>
              <w:pStyle w:val="NormalWeb"/>
              <w:jc w:val="center"/>
            </w:pPr>
            <w:r>
              <w:t>2,472</w:t>
            </w:r>
          </w:p>
        </w:tc>
        <w:tc>
          <w:tcPr>
            <w:tcW w:w="1131" w:type="dxa"/>
            <w:hideMark/>
          </w:tcPr>
          <w:p w14:paraId="4862CC46" w14:textId="77777777" w:rsidR="00AF134D" w:rsidRDefault="00AF134D" w:rsidP="00AF134D">
            <w:pPr>
              <w:pStyle w:val="NormalWeb"/>
              <w:jc w:val="center"/>
            </w:pPr>
            <w:r>
              <w:t>2,285</w:t>
            </w:r>
          </w:p>
        </w:tc>
        <w:tc>
          <w:tcPr>
            <w:tcW w:w="1130" w:type="dxa"/>
            <w:hideMark/>
          </w:tcPr>
          <w:p w14:paraId="11438687" w14:textId="77777777" w:rsidR="00AF134D" w:rsidRDefault="00AF134D" w:rsidP="00AF134D">
            <w:pPr>
              <w:pStyle w:val="NormalWeb"/>
              <w:jc w:val="center"/>
            </w:pPr>
            <w:r>
              <w:t>4,764</w:t>
            </w:r>
          </w:p>
        </w:tc>
        <w:tc>
          <w:tcPr>
            <w:tcW w:w="1131" w:type="dxa"/>
            <w:hideMark/>
          </w:tcPr>
          <w:p w14:paraId="668CAE80" w14:textId="77777777" w:rsidR="00AF134D" w:rsidRDefault="00AF134D" w:rsidP="00AF134D">
            <w:pPr>
              <w:pStyle w:val="NormalWeb"/>
              <w:jc w:val="center"/>
            </w:pPr>
            <w:r>
              <w:t>134</w:t>
            </w:r>
          </w:p>
        </w:tc>
        <w:tc>
          <w:tcPr>
            <w:tcW w:w="1130" w:type="dxa"/>
            <w:hideMark/>
          </w:tcPr>
          <w:p w14:paraId="3E0F4CF3" w14:textId="77777777" w:rsidR="00AF134D" w:rsidRDefault="00AF134D" w:rsidP="00AF134D">
            <w:pPr>
              <w:pStyle w:val="NormalWeb"/>
              <w:jc w:val="center"/>
            </w:pPr>
            <w:r>
              <w:t>129</w:t>
            </w:r>
          </w:p>
        </w:tc>
        <w:tc>
          <w:tcPr>
            <w:tcW w:w="1131" w:type="dxa"/>
            <w:hideMark/>
          </w:tcPr>
          <w:p w14:paraId="6C07E80E" w14:textId="77777777" w:rsidR="00AF134D" w:rsidRDefault="00AF134D" w:rsidP="00AF134D">
            <w:pPr>
              <w:pStyle w:val="NormalWeb"/>
              <w:jc w:val="center"/>
            </w:pPr>
            <w:r>
              <w:t>132</w:t>
            </w:r>
          </w:p>
        </w:tc>
        <w:tc>
          <w:tcPr>
            <w:tcW w:w="1130" w:type="dxa"/>
            <w:hideMark/>
          </w:tcPr>
          <w:p w14:paraId="065E62DE" w14:textId="77777777" w:rsidR="00AF134D" w:rsidRDefault="00AF134D" w:rsidP="00AF134D">
            <w:pPr>
              <w:pStyle w:val="NormalWeb"/>
              <w:jc w:val="center"/>
            </w:pPr>
            <w:r>
              <w:t>8,122</w:t>
            </w:r>
          </w:p>
        </w:tc>
        <w:tc>
          <w:tcPr>
            <w:tcW w:w="1131" w:type="dxa"/>
            <w:hideMark/>
          </w:tcPr>
          <w:p w14:paraId="6E0382D6" w14:textId="77777777" w:rsidR="00AF134D" w:rsidRDefault="00AF134D" w:rsidP="00AF134D">
            <w:pPr>
              <w:pStyle w:val="NormalWeb"/>
              <w:jc w:val="center"/>
            </w:pPr>
            <w:r>
              <w:t>6,969</w:t>
            </w:r>
          </w:p>
        </w:tc>
        <w:tc>
          <w:tcPr>
            <w:tcW w:w="1130" w:type="dxa"/>
            <w:hideMark/>
          </w:tcPr>
          <w:p w14:paraId="17BF41AF" w14:textId="77777777" w:rsidR="00AF134D" w:rsidRDefault="00AF134D" w:rsidP="00AF134D">
            <w:pPr>
              <w:pStyle w:val="NormalWeb"/>
              <w:jc w:val="center"/>
            </w:pPr>
            <w:r>
              <w:t>15,129</w:t>
            </w:r>
          </w:p>
        </w:tc>
        <w:tc>
          <w:tcPr>
            <w:tcW w:w="1131" w:type="dxa"/>
            <w:hideMark/>
          </w:tcPr>
          <w:p w14:paraId="1F478675" w14:textId="77777777" w:rsidR="00AF134D" w:rsidRDefault="00AF134D" w:rsidP="00AF134D">
            <w:pPr>
              <w:pStyle w:val="NormalWeb"/>
              <w:jc w:val="center"/>
            </w:pPr>
            <w:r>
              <w:t>441.3</w:t>
            </w:r>
          </w:p>
        </w:tc>
        <w:tc>
          <w:tcPr>
            <w:tcW w:w="1130" w:type="dxa"/>
            <w:hideMark/>
          </w:tcPr>
          <w:p w14:paraId="15FDEC9B" w14:textId="77777777" w:rsidR="00AF134D" w:rsidRDefault="00AF134D" w:rsidP="00AF134D">
            <w:pPr>
              <w:pStyle w:val="NormalWeb"/>
              <w:jc w:val="center"/>
            </w:pPr>
            <w:r>
              <w:t>392.0</w:t>
            </w:r>
          </w:p>
        </w:tc>
        <w:tc>
          <w:tcPr>
            <w:tcW w:w="1131" w:type="dxa"/>
            <w:hideMark/>
          </w:tcPr>
          <w:p w14:paraId="496AAF54" w14:textId="77777777" w:rsidR="00AF134D" w:rsidRDefault="00AF134D" w:rsidP="00AF134D">
            <w:pPr>
              <w:pStyle w:val="NormalWeb"/>
              <w:jc w:val="center"/>
            </w:pPr>
            <w:r>
              <w:t>418.1</w:t>
            </w:r>
          </w:p>
        </w:tc>
      </w:tr>
      <w:tr w:rsidR="00AF134D" w14:paraId="399E4792" w14:textId="77777777" w:rsidTr="00621CE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343EDC9A" w14:textId="77777777" w:rsidR="00AF134D" w:rsidRDefault="00AF134D" w:rsidP="00AF134D">
            <w:pPr>
              <w:pStyle w:val="NormalWeb"/>
            </w:pPr>
            <w:r>
              <w:t>30–39</w:t>
            </w:r>
          </w:p>
        </w:tc>
        <w:tc>
          <w:tcPr>
            <w:tcW w:w="1130" w:type="dxa"/>
            <w:hideMark/>
          </w:tcPr>
          <w:p w14:paraId="6AA1C387" w14:textId="77777777" w:rsidR="00AF134D" w:rsidRDefault="00AF134D" w:rsidP="00AF134D">
            <w:pPr>
              <w:pStyle w:val="NormalWeb"/>
              <w:jc w:val="center"/>
            </w:pPr>
            <w:r>
              <w:t>2,260</w:t>
            </w:r>
          </w:p>
        </w:tc>
        <w:tc>
          <w:tcPr>
            <w:tcW w:w="1131" w:type="dxa"/>
            <w:hideMark/>
          </w:tcPr>
          <w:p w14:paraId="5AD70C1A" w14:textId="77777777" w:rsidR="00AF134D" w:rsidRDefault="00AF134D" w:rsidP="00AF134D">
            <w:pPr>
              <w:pStyle w:val="NormalWeb"/>
              <w:jc w:val="center"/>
            </w:pPr>
            <w:r>
              <w:t>1,980</w:t>
            </w:r>
          </w:p>
        </w:tc>
        <w:tc>
          <w:tcPr>
            <w:tcW w:w="1130" w:type="dxa"/>
            <w:hideMark/>
          </w:tcPr>
          <w:p w14:paraId="06F8172B" w14:textId="77777777" w:rsidR="00AF134D" w:rsidRDefault="00AF134D" w:rsidP="00AF134D">
            <w:pPr>
              <w:pStyle w:val="NormalWeb"/>
              <w:jc w:val="center"/>
            </w:pPr>
            <w:r>
              <w:t>4,250</w:t>
            </w:r>
          </w:p>
        </w:tc>
        <w:tc>
          <w:tcPr>
            <w:tcW w:w="1131" w:type="dxa"/>
            <w:hideMark/>
          </w:tcPr>
          <w:p w14:paraId="769D784D" w14:textId="77777777" w:rsidR="00AF134D" w:rsidRDefault="00AF134D" w:rsidP="00AF134D">
            <w:pPr>
              <w:pStyle w:val="NormalWeb"/>
              <w:jc w:val="center"/>
            </w:pPr>
            <w:r>
              <w:t>122</w:t>
            </w:r>
          </w:p>
        </w:tc>
        <w:tc>
          <w:tcPr>
            <w:tcW w:w="1130" w:type="dxa"/>
            <w:hideMark/>
          </w:tcPr>
          <w:p w14:paraId="121D1E35" w14:textId="77777777" w:rsidR="00AF134D" w:rsidRDefault="00AF134D" w:rsidP="00AF134D">
            <w:pPr>
              <w:pStyle w:val="NormalWeb"/>
              <w:jc w:val="center"/>
            </w:pPr>
            <w:r>
              <w:t>104</w:t>
            </w:r>
          </w:p>
        </w:tc>
        <w:tc>
          <w:tcPr>
            <w:tcW w:w="1131" w:type="dxa"/>
            <w:hideMark/>
          </w:tcPr>
          <w:p w14:paraId="021C9107" w14:textId="77777777" w:rsidR="00AF134D" w:rsidRDefault="00AF134D" w:rsidP="00AF134D">
            <w:pPr>
              <w:pStyle w:val="NormalWeb"/>
              <w:jc w:val="center"/>
            </w:pPr>
            <w:r>
              <w:t>113</w:t>
            </w:r>
          </w:p>
        </w:tc>
        <w:tc>
          <w:tcPr>
            <w:tcW w:w="1130" w:type="dxa"/>
            <w:hideMark/>
          </w:tcPr>
          <w:p w14:paraId="1CF46EBF" w14:textId="77777777" w:rsidR="00AF134D" w:rsidRDefault="00AF134D" w:rsidP="00AF134D">
            <w:pPr>
              <w:pStyle w:val="NormalWeb"/>
              <w:jc w:val="center"/>
            </w:pPr>
            <w:r>
              <w:t>6,790</w:t>
            </w:r>
          </w:p>
        </w:tc>
        <w:tc>
          <w:tcPr>
            <w:tcW w:w="1131" w:type="dxa"/>
            <w:hideMark/>
          </w:tcPr>
          <w:p w14:paraId="68494784" w14:textId="77777777" w:rsidR="00AF134D" w:rsidRDefault="00AF134D" w:rsidP="00AF134D">
            <w:pPr>
              <w:pStyle w:val="NormalWeb"/>
              <w:jc w:val="center"/>
            </w:pPr>
            <w:r>
              <w:t>5,756</w:t>
            </w:r>
          </w:p>
        </w:tc>
        <w:tc>
          <w:tcPr>
            <w:tcW w:w="1130" w:type="dxa"/>
            <w:hideMark/>
          </w:tcPr>
          <w:p w14:paraId="5E497149" w14:textId="77777777" w:rsidR="00AF134D" w:rsidRDefault="00AF134D" w:rsidP="00AF134D">
            <w:pPr>
              <w:pStyle w:val="NormalWeb"/>
              <w:jc w:val="center"/>
            </w:pPr>
            <w:r>
              <w:t>12,576</w:t>
            </w:r>
          </w:p>
        </w:tc>
        <w:tc>
          <w:tcPr>
            <w:tcW w:w="1131" w:type="dxa"/>
            <w:hideMark/>
          </w:tcPr>
          <w:p w14:paraId="428BF1A9" w14:textId="77777777" w:rsidR="00AF134D" w:rsidRDefault="00AF134D" w:rsidP="00AF134D">
            <w:pPr>
              <w:pStyle w:val="NormalWeb"/>
              <w:jc w:val="center"/>
            </w:pPr>
            <w:r>
              <w:t>365.6</w:t>
            </w:r>
          </w:p>
        </w:tc>
        <w:tc>
          <w:tcPr>
            <w:tcW w:w="1130" w:type="dxa"/>
            <w:hideMark/>
          </w:tcPr>
          <w:p w14:paraId="0DC2A8B4" w14:textId="77777777" w:rsidR="00AF134D" w:rsidRDefault="00AF134D" w:rsidP="00AF134D">
            <w:pPr>
              <w:pStyle w:val="NormalWeb"/>
              <w:jc w:val="center"/>
            </w:pPr>
            <w:r>
              <w:t>302.8</w:t>
            </w:r>
          </w:p>
        </w:tc>
        <w:tc>
          <w:tcPr>
            <w:tcW w:w="1131" w:type="dxa"/>
            <w:hideMark/>
          </w:tcPr>
          <w:p w14:paraId="7FCEBFBA" w14:textId="77777777" w:rsidR="00AF134D" w:rsidRDefault="00AF134D" w:rsidP="00AF134D">
            <w:pPr>
              <w:pStyle w:val="NormalWeb"/>
              <w:jc w:val="center"/>
            </w:pPr>
            <w:r>
              <w:t>334.6</w:t>
            </w:r>
          </w:p>
        </w:tc>
      </w:tr>
      <w:tr w:rsidR="00AF134D" w14:paraId="4AB6D7B8" w14:textId="77777777" w:rsidTr="00621CE7">
        <w:tblPrEx>
          <w:tblCellMar>
            <w:top w:w="57" w:type="dxa"/>
            <w:left w:w="57" w:type="dxa"/>
            <w:bottom w:w="57" w:type="dxa"/>
            <w:right w:w="57" w:type="dxa"/>
          </w:tblCellMar>
        </w:tblPrEx>
        <w:tc>
          <w:tcPr>
            <w:tcW w:w="1418" w:type="dxa"/>
            <w:hideMark/>
          </w:tcPr>
          <w:p w14:paraId="082C6F67" w14:textId="77777777" w:rsidR="00AF134D" w:rsidRDefault="00AF134D" w:rsidP="00AF134D">
            <w:pPr>
              <w:pStyle w:val="NormalWeb"/>
            </w:pPr>
            <w:r>
              <w:t>40–49</w:t>
            </w:r>
          </w:p>
        </w:tc>
        <w:tc>
          <w:tcPr>
            <w:tcW w:w="1130" w:type="dxa"/>
            <w:hideMark/>
          </w:tcPr>
          <w:p w14:paraId="2BBA8136" w14:textId="77777777" w:rsidR="00AF134D" w:rsidRDefault="00AF134D" w:rsidP="00AF134D">
            <w:pPr>
              <w:pStyle w:val="NormalWeb"/>
              <w:jc w:val="center"/>
            </w:pPr>
            <w:r>
              <w:t>1,480</w:t>
            </w:r>
          </w:p>
        </w:tc>
        <w:tc>
          <w:tcPr>
            <w:tcW w:w="1131" w:type="dxa"/>
            <w:hideMark/>
          </w:tcPr>
          <w:p w14:paraId="2CFBB056" w14:textId="77777777" w:rsidR="00AF134D" w:rsidRDefault="00AF134D" w:rsidP="00AF134D">
            <w:pPr>
              <w:pStyle w:val="NormalWeb"/>
              <w:jc w:val="center"/>
            </w:pPr>
            <w:r>
              <w:t>1,364</w:t>
            </w:r>
          </w:p>
        </w:tc>
        <w:tc>
          <w:tcPr>
            <w:tcW w:w="1130" w:type="dxa"/>
            <w:hideMark/>
          </w:tcPr>
          <w:p w14:paraId="4EA8A42A" w14:textId="77777777" w:rsidR="00AF134D" w:rsidRDefault="00AF134D" w:rsidP="00AF134D">
            <w:pPr>
              <w:pStyle w:val="NormalWeb"/>
              <w:jc w:val="center"/>
            </w:pPr>
            <w:r>
              <w:t>2,850</w:t>
            </w:r>
          </w:p>
        </w:tc>
        <w:tc>
          <w:tcPr>
            <w:tcW w:w="1131" w:type="dxa"/>
            <w:hideMark/>
          </w:tcPr>
          <w:p w14:paraId="36AEBFB1" w14:textId="77777777" w:rsidR="00AF134D" w:rsidRDefault="00AF134D" w:rsidP="00AF134D">
            <w:pPr>
              <w:pStyle w:val="NormalWeb"/>
              <w:jc w:val="center"/>
            </w:pPr>
            <w:r>
              <w:t>91</w:t>
            </w:r>
          </w:p>
        </w:tc>
        <w:tc>
          <w:tcPr>
            <w:tcW w:w="1130" w:type="dxa"/>
            <w:hideMark/>
          </w:tcPr>
          <w:p w14:paraId="68FCBA5F" w14:textId="77777777" w:rsidR="00AF134D" w:rsidRDefault="00AF134D" w:rsidP="00AF134D">
            <w:pPr>
              <w:pStyle w:val="NormalWeb"/>
              <w:jc w:val="center"/>
            </w:pPr>
            <w:r>
              <w:t>82</w:t>
            </w:r>
          </w:p>
        </w:tc>
        <w:tc>
          <w:tcPr>
            <w:tcW w:w="1131" w:type="dxa"/>
            <w:hideMark/>
          </w:tcPr>
          <w:p w14:paraId="4286BCE2" w14:textId="77777777" w:rsidR="00AF134D" w:rsidRDefault="00AF134D" w:rsidP="00AF134D">
            <w:pPr>
              <w:pStyle w:val="NormalWeb"/>
              <w:jc w:val="center"/>
            </w:pPr>
            <w:r>
              <w:t>87</w:t>
            </w:r>
          </w:p>
        </w:tc>
        <w:tc>
          <w:tcPr>
            <w:tcW w:w="1130" w:type="dxa"/>
            <w:hideMark/>
          </w:tcPr>
          <w:p w14:paraId="4608F2EF" w14:textId="77777777" w:rsidR="00AF134D" w:rsidRDefault="00AF134D" w:rsidP="00AF134D">
            <w:pPr>
              <w:pStyle w:val="NormalWeb"/>
              <w:jc w:val="center"/>
            </w:pPr>
            <w:r>
              <w:t>4,618</w:t>
            </w:r>
          </w:p>
        </w:tc>
        <w:tc>
          <w:tcPr>
            <w:tcW w:w="1131" w:type="dxa"/>
            <w:hideMark/>
          </w:tcPr>
          <w:p w14:paraId="605C8394" w14:textId="77777777" w:rsidR="00AF134D" w:rsidRDefault="00AF134D" w:rsidP="00AF134D">
            <w:pPr>
              <w:pStyle w:val="NormalWeb"/>
              <w:jc w:val="center"/>
            </w:pPr>
            <w:r>
              <w:t>4,070</w:t>
            </w:r>
          </w:p>
        </w:tc>
        <w:tc>
          <w:tcPr>
            <w:tcW w:w="1130" w:type="dxa"/>
            <w:hideMark/>
          </w:tcPr>
          <w:p w14:paraId="5830ACEA" w14:textId="77777777" w:rsidR="00AF134D" w:rsidRDefault="00AF134D" w:rsidP="00AF134D">
            <w:pPr>
              <w:pStyle w:val="NormalWeb"/>
              <w:jc w:val="center"/>
            </w:pPr>
            <w:r>
              <w:t>8,715</w:t>
            </w:r>
          </w:p>
        </w:tc>
        <w:tc>
          <w:tcPr>
            <w:tcW w:w="1131" w:type="dxa"/>
            <w:hideMark/>
          </w:tcPr>
          <w:p w14:paraId="5E667947" w14:textId="77777777" w:rsidR="00AF134D" w:rsidRDefault="00AF134D" w:rsidP="00AF134D">
            <w:pPr>
              <w:pStyle w:val="NormalWeb"/>
              <w:jc w:val="center"/>
            </w:pPr>
            <w:r>
              <w:t>283.2</w:t>
            </w:r>
          </w:p>
        </w:tc>
        <w:tc>
          <w:tcPr>
            <w:tcW w:w="1130" w:type="dxa"/>
            <w:hideMark/>
          </w:tcPr>
          <w:p w14:paraId="1C4784B1" w14:textId="77777777" w:rsidR="00AF134D" w:rsidRDefault="00AF134D" w:rsidP="00AF134D">
            <w:pPr>
              <w:pStyle w:val="NormalWeb"/>
              <w:jc w:val="center"/>
            </w:pPr>
            <w:r>
              <w:t>244.3</w:t>
            </w:r>
          </w:p>
        </w:tc>
        <w:tc>
          <w:tcPr>
            <w:tcW w:w="1131" w:type="dxa"/>
            <w:hideMark/>
          </w:tcPr>
          <w:p w14:paraId="7EBA435A" w14:textId="77777777" w:rsidR="00AF134D" w:rsidRDefault="00AF134D" w:rsidP="00AF134D">
            <w:pPr>
              <w:pStyle w:val="NormalWeb"/>
              <w:jc w:val="center"/>
            </w:pPr>
            <w:r>
              <w:t>264.4</w:t>
            </w:r>
          </w:p>
        </w:tc>
      </w:tr>
      <w:tr w:rsidR="00AF134D" w14:paraId="6E10E007" w14:textId="77777777" w:rsidTr="00621CE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637E89C7" w14:textId="77777777" w:rsidR="00AF134D" w:rsidRDefault="00AF134D" w:rsidP="00AF134D">
            <w:pPr>
              <w:pStyle w:val="NormalWeb"/>
            </w:pPr>
            <w:r>
              <w:t>50–59</w:t>
            </w:r>
          </w:p>
        </w:tc>
        <w:tc>
          <w:tcPr>
            <w:tcW w:w="1130" w:type="dxa"/>
            <w:hideMark/>
          </w:tcPr>
          <w:p w14:paraId="087892A1" w14:textId="77777777" w:rsidR="00AF134D" w:rsidRDefault="00AF134D" w:rsidP="00AF134D">
            <w:pPr>
              <w:pStyle w:val="NormalWeb"/>
              <w:jc w:val="center"/>
            </w:pPr>
            <w:r>
              <w:t>1,206</w:t>
            </w:r>
          </w:p>
        </w:tc>
        <w:tc>
          <w:tcPr>
            <w:tcW w:w="1131" w:type="dxa"/>
            <w:hideMark/>
          </w:tcPr>
          <w:p w14:paraId="149DDD38" w14:textId="77777777" w:rsidR="00AF134D" w:rsidRDefault="00AF134D" w:rsidP="00AF134D">
            <w:pPr>
              <w:pStyle w:val="NormalWeb"/>
              <w:jc w:val="center"/>
            </w:pPr>
            <w:r>
              <w:t>1,067</w:t>
            </w:r>
          </w:p>
        </w:tc>
        <w:tc>
          <w:tcPr>
            <w:tcW w:w="1130" w:type="dxa"/>
            <w:hideMark/>
          </w:tcPr>
          <w:p w14:paraId="073C5FB3" w14:textId="77777777" w:rsidR="00AF134D" w:rsidRDefault="00AF134D" w:rsidP="00AF134D">
            <w:pPr>
              <w:pStyle w:val="NormalWeb"/>
              <w:jc w:val="center"/>
            </w:pPr>
            <w:r>
              <w:t>2,279</w:t>
            </w:r>
          </w:p>
        </w:tc>
        <w:tc>
          <w:tcPr>
            <w:tcW w:w="1131" w:type="dxa"/>
            <w:hideMark/>
          </w:tcPr>
          <w:p w14:paraId="32300BE7" w14:textId="77777777" w:rsidR="00AF134D" w:rsidRDefault="00AF134D" w:rsidP="00AF134D">
            <w:pPr>
              <w:pStyle w:val="NormalWeb"/>
              <w:jc w:val="center"/>
            </w:pPr>
            <w:r>
              <w:t>79</w:t>
            </w:r>
          </w:p>
        </w:tc>
        <w:tc>
          <w:tcPr>
            <w:tcW w:w="1130" w:type="dxa"/>
            <w:hideMark/>
          </w:tcPr>
          <w:p w14:paraId="78456765" w14:textId="77777777" w:rsidR="00AF134D" w:rsidRDefault="00AF134D" w:rsidP="00AF134D">
            <w:pPr>
              <w:pStyle w:val="NormalWeb"/>
              <w:jc w:val="center"/>
            </w:pPr>
            <w:r>
              <w:t>67</w:t>
            </w:r>
          </w:p>
        </w:tc>
        <w:tc>
          <w:tcPr>
            <w:tcW w:w="1131" w:type="dxa"/>
            <w:hideMark/>
          </w:tcPr>
          <w:p w14:paraId="199C7CAA" w14:textId="77777777" w:rsidR="00AF134D" w:rsidRDefault="00AF134D" w:rsidP="00AF134D">
            <w:pPr>
              <w:pStyle w:val="NormalWeb"/>
              <w:jc w:val="center"/>
            </w:pPr>
            <w:r>
              <w:t>73</w:t>
            </w:r>
          </w:p>
        </w:tc>
        <w:tc>
          <w:tcPr>
            <w:tcW w:w="1130" w:type="dxa"/>
            <w:hideMark/>
          </w:tcPr>
          <w:p w14:paraId="236739AF" w14:textId="77777777" w:rsidR="00AF134D" w:rsidRDefault="00AF134D" w:rsidP="00AF134D">
            <w:pPr>
              <w:pStyle w:val="NormalWeb"/>
              <w:jc w:val="center"/>
            </w:pPr>
            <w:r>
              <w:t>3,532</w:t>
            </w:r>
          </w:p>
        </w:tc>
        <w:tc>
          <w:tcPr>
            <w:tcW w:w="1131" w:type="dxa"/>
            <w:hideMark/>
          </w:tcPr>
          <w:p w14:paraId="4A1CC3B1" w14:textId="77777777" w:rsidR="00AF134D" w:rsidRDefault="00AF134D" w:rsidP="00AF134D">
            <w:pPr>
              <w:pStyle w:val="NormalWeb"/>
              <w:jc w:val="center"/>
            </w:pPr>
            <w:r>
              <w:t>2,994</w:t>
            </w:r>
          </w:p>
        </w:tc>
        <w:tc>
          <w:tcPr>
            <w:tcW w:w="1130" w:type="dxa"/>
            <w:hideMark/>
          </w:tcPr>
          <w:p w14:paraId="4C8C4454" w14:textId="77777777" w:rsidR="00AF134D" w:rsidRDefault="00AF134D" w:rsidP="00AF134D">
            <w:pPr>
              <w:pStyle w:val="NormalWeb"/>
              <w:jc w:val="center"/>
            </w:pPr>
            <w:r>
              <w:t>6,554</w:t>
            </w:r>
          </w:p>
        </w:tc>
        <w:tc>
          <w:tcPr>
            <w:tcW w:w="1131" w:type="dxa"/>
            <w:hideMark/>
          </w:tcPr>
          <w:p w14:paraId="3C261AFD" w14:textId="77777777" w:rsidR="00AF134D" w:rsidRDefault="00AF134D" w:rsidP="00AF134D">
            <w:pPr>
              <w:pStyle w:val="NormalWeb"/>
              <w:jc w:val="center"/>
            </w:pPr>
            <w:r>
              <w:t>231.9</w:t>
            </w:r>
          </w:p>
        </w:tc>
        <w:tc>
          <w:tcPr>
            <w:tcW w:w="1130" w:type="dxa"/>
            <w:hideMark/>
          </w:tcPr>
          <w:p w14:paraId="1CE638E6" w14:textId="77777777" w:rsidR="00AF134D" w:rsidRDefault="00AF134D" w:rsidP="00AF134D">
            <w:pPr>
              <w:pStyle w:val="NormalWeb"/>
              <w:jc w:val="center"/>
            </w:pPr>
            <w:r>
              <w:t>187.4</w:t>
            </w:r>
          </w:p>
        </w:tc>
        <w:tc>
          <w:tcPr>
            <w:tcW w:w="1131" w:type="dxa"/>
            <w:hideMark/>
          </w:tcPr>
          <w:p w14:paraId="472192FD" w14:textId="77777777" w:rsidR="00AF134D" w:rsidRDefault="00AF134D" w:rsidP="00AF134D">
            <w:pPr>
              <w:pStyle w:val="NormalWeb"/>
              <w:jc w:val="center"/>
            </w:pPr>
            <w:r>
              <w:t>210.0</w:t>
            </w:r>
          </w:p>
        </w:tc>
      </w:tr>
      <w:tr w:rsidR="00AF134D" w14:paraId="328503B1" w14:textId="77777777" w:rsidTr="00621CE7">
        <w:tblPrEx>
          <w:tblCellMar>
            <w:top w:w="57" w:type="dxa"/>
            <w:left w:w="57" w:type="dxa"/>
            <w:bottom w:w="57" w:type="dxa"/>
            <w:right w:w="57" w:type="dxa"/>
          </w:tblCellMar>
        </w:tblPrEx>
        <w:tc>
          <w:tcPr>
            <w:tcW w:w="1418" w:type="dxa"/>
            <w:hideMark/>
          </w:tcPr>
          <w:p w14:paraId="186F70DE" w14:textId="77777777" w:rsidR="00AF134D" w:rsidRDefault="00AF134D" w:rsidP="00AF134D">
            <w:pPr>
              <w:pStyle w:val="NormalWeb"/>
            </w:pPr>
            <w:r>
              <w:t>60–69</w:t>
            </w:r>
          </w:p>
        </w:tc>
        <w:tc>
          <w:tcPr>
            <w:tcW w:w="1130" w:type="dxa"/>
            <w:hideMark/>
          </w:tcPr>
          <w:p w14:paraId="0649C619" w14:textId="77777777" w:rsidR="00AF134D" w:rsidRDefault="00AF134D" w:rsidP="00AF134D">
            <w:pPr>
              <w:pStyle w:val="NormalWeb"/>
              <w:jc w:val="center"/>
            </w:pPr>
            <w:r>
              <w:t>622</w:t>
            </w:r>
          </w:p>
        </w:tc>
        <w:tc>
          <w:tcPr>
            <w:tcW w:w="1131" w:type="dxa"/>
            <w:hideMark/>
          </w:tcPr>
          <w:p w14:paraId="57417191" w14:textId="77777777" w:rsidR="00AF134D" w:rsidRDefault="00AF134D" w:rsidP="00AF134D">
            <w:pPr>
              <w:pStyle w:val="NormalWeb"/>
              <w:jc w:val="center"/>
            </w:pPr>
            <w:r>
              <w:t>604</w:t>
            </w:r>
          </w:p>
        </w:tc>
        <w:tc>
          <w:tcPr>
            <w:tcW w:w="1130" w:type="dxa"/>
            <w:hideMark/>
          </w:tcPr>
          <w:p w14:paraId="04AEA245" w14:textId="77777777" w:rsidR="00AF134D" w:rsidRDefault="00AF134D" w:rsidP="00AF134D">
            <w:pPr>
              <w:pStyle w:val="NormalWeb"/>
              <w:jc w:val="center"/>
            </w:pPr>
            <w:r>
              <w:t>1,228</w:t>
            </w:r>
          </w:p>
        </w:tc>
        <w:tc>
          <w:tcPr>
            <w:tcW w:w="1131" w:type="dxa"/>
            <w:hideMark/>
          </w:tcPr>
          <w:p w14:paraId="3A93D555" w14:textId="77777777" w:rsidR="00AF134D" w:rsidRDefault="00AF134D" w:rsidP="00AF134D">
            <w:pPr>
              <w:pStyle w:val="NormalWeb"/>
              <w:jc w:val="center"/>
            </w:pPr>
            <w:r>
              <w:t>48</w:t>
            </w:r>
          </w:p>
        </w:tc>
        <w:tc>
          <w:tcPr>
            <w:tcW w:w="1130" w:type="dxa"/>
            <w:hideMark/>
          </w:tcPr>
          <w:p w14:paraId="546BF46C" w14:textId="77777777" w:rsidR="00AF134D" w:rsidRDefault="00AF134D" w:rsidP="00AF134D">
            <w:pPr>
              <w:pStyle w:val="NormalWeb"/>
              <w:jc w:val="center"/>
            </w:pPr>
            <w:r>
              <w:t>43</w:t>
            </w:r>
          </w:p>
        </w:tc>
        <w:tc>
          <w:tcPr>
            <w:tcW w:w="1131" w:type="dxa"/>
            <w:hideMark/>
          </w:tcPr>
          <w:p w14:paraId="4C8CA535" w14:textId="77777777" w:rsidR="00AF134D" w:rsidRDefault="00AF134D" w:rsidP="00AF134D">
            <w:pPr>
              <w:pStyle w:val="NormalWeb"/>
              <w:jc w:val="center"/>
            </w:pPr>
            <w:r>
              <w:t>46</w:t>
            </w:r>
          </w:p>
        </w:tc>
        <w:tc>
          <w:tcPr>
            <w:tcW w:w="1130" w:type="dxa"/>
            <w:hideMark/>
          </w:tcPr>
          <w:p w14:paraId="4AAAB127" w14:textId="77777777" w:rsidR="00AF134D" w:rsidRDefault="00AF134D" w:rsidP="00AF134D">
            <w:pPr>
              <w:pStyle w:val="NormalWeb"/>
              <w:jc w:val="center"/>
            </w:pPr>
            <w:r>
              <w:t>1,904</w:t>
            </w:r>
          </w:p>
        </w:tc>
        <w:tc>
          <w:tcPr>
            <w:tcW w:w="1131" w:type="dxa"/>
            <w:hideMark/>
          </w:tcPr>
          <w:p w14:paraId="115B0946" w14:textId="77777777" w:rsidR="00AF134D" w:rsidRDefault="00AF134D" w:rsidP="00AF134D">
            <w:pPr>
              <w:pStyle w:val="NormalWeb"/>
              <w:jc w:val="center"/>
            </w:pPr>
            <w:r>
              <w:t>1,643</w:t>
            </w:r>
          </w:p>
        </w:tc>
        <w:tc>
          <w:tcPr>
            <w:tcW w:w="1130" w:type="dxa"/>
            <w:hideMark/>
          </w:tcPr>
          <w:p w14:paraId="6C7F8FAE" w14:textId="77777777" w:rsidR="00AF134D" w:rsidRDefault="00AF134D" w:rsidP="00AF134D">
            <w:pPr>
              <w:pStyle w:val="NormalWeb"/>
              <w:jc w:val="center"/>
            </w:pPr>
            <w:r>
              <w:t>3,559</w:t>
            </w:r>
          </w:p>
        </w:tc>
        <w:tc>
          <w:tcPr>
            <w:tcW w:w="1131" w:type="dxa"/>
            <w:hideMark/>
          </w:tcPr>
          <w:p w14:paraId="74B7EA76" w14:textId="77777777" w:rsidR="00AF134D" w:rsidRDefault="00AF134D" w:rsidP="00AF134D">
            <w:pPr>
              <w:pStyle w:val="NormalWeb"/>
              <w:jc w:val="center"/>
            </w:pPr>
            <w:r>
              <w:t>145.7</w:t>
            </w:r>
          </w:p>
        </w:tc>
        <w:tc>
          <w:tcPr>
            <w:tcW w:w="1130" w:type="dxa"/>
            <w:hideMark/>
          </w:tcPr>
          <w:p w14:paraId="4EAAB291" w14:textId="77777777" w:rsidR="00AF134D" w:rsidRDefault="00AF134D" w:rsidP="00AF134D">
            <w:pPr>
              <w:pStyle w:val="NormalWeb"/>
              <w:jc w:val="center"/>
            </w:pPr>
            <w:r>
              <w:t>118.2</w:t>
            </w:r>
          </w:p>
        </w:tc>
        <w:tc>
          <w:tcPr>
            <w:tcW w:w="1131" w:type="dxa"/>
            <w:hideMark/>
          </w:tcPr>
          <w:p w14:paraId="05914EB4" w14:textId="77777777" w:rsidR="00AF134D" w:rsidRDefault="00AF134D" w:rsidP="00AF134D">
            <w:pPr>
              <w:pStyle w:val="NormalWeb"/>
              <w:jc w:val="center"/>
            </w:pPr>
            <w:r>
              <w:t>132.0</w:t>
            </w:r>
          </w:p>
        </w:tc>
      </w:tr>
      <w:tr w:rsidR="00AF134D" w14:paraId="4051EBF1" w14:textId="77777777" w:rsidTr="00621CE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33EB6EE6" w14:textId="77777777" w:rsidR="00AF134D" w:rsidRDefault="00AF134D" w:rsidP="00AF134D">
            <w:pPr>
              <w:pStyle w:val="NormalWeb"/>
            </w:pPr>
            <w:r>
              <w:t>70–79</w:t>
            </w:r>
          </w:p>
        </w:tc>
        <w:tc>
          <w:tcPr>
            <w:tcW w:w="1130" w:type="dxa"/>
            <w:hideMark/>
          </w:tcPr>
          <w:p w14:paraId="6A0A3FF9" w14:textId="77777777" w:rsidR="00AF134D" w:rsidRDefault="00AF134D" w:rsidP="00AF134D">
            <w:pPr>
              <w:pStyle w:val="NormalWeb"/>
              <w:jc w:val="center"/>
            </w:pPr>
            <w:r>
              <w:t>317</w:t>
            </w:r>
          </w:p>
        </w:tc>
        <w:tc>
          <w:tcPr>
            <w:tcW w:w="1131" w:type="dxa"/>
            <w:hideMark/>
          </w:tcPr>
          <w:p w14:paraId="26452C2B" w14:textId="77777777" w:rsidR="00AF134D" w:rsidRDefault="00AF134D" w:rsidP="00AF134D">
            <w:pPr>
              <w:pStyle w:val="NormalWeb"/>
              <w:jc w:val="center"/>
            </w:pPr>
            <w:r>
              <w:t>319</w:t>
            </w:r>
          </w:p>
        </w:tc>
        <w:tc>
          <w:tcPr>
            <w:tcW w:w="1130" w:type="dxa"/>
            <w:hideMark/>
          </w:tcPr>
          <w:p w14:paraId="46BC3900" w14:textId="77777777" w:rsidR="00AF134D" w:rsidRDefault="00AF134D" w:rsidP="00AF134D">
            <w:pPr>
              <w:pStyle w:val="NormalWeb"/>
              <w:jc w:val="center"/>
            </w:pPr>
            <w:r>
              <w:t>639</w:t>
            </w:r>
          </w:p>
        </w:tc>
        <w:tc>
          <w:tcPr>
            <w:tcW w:w="1131" w:type="dxa"/>
            <w:hideMark/>
          </w:tcPr>
          <w:p w14:paraId="3DE38480" w14:textId="77777777" w:rsidR="00AF134D" w:rsidRDefault="00AF134D" w:rsidP="00AF134D">
            <w:pPr>
              <w:pStyle w:val="NormalWeb"/>
              <w:jc w:val="center"/>
            </w:pPr>
            <w:r>
              <w:t>35</w:t>
            </w:r>
          </w:p>
        </w:tc>
        <w:tc>
          <w:tcPr>
            <w:tcW w:w="1130" w:type="dxa"/>
            <w:hideMark/>
          </w:tcPr>
          <w:p w14:paraId="5C5EF19F" w14:textId="77777777" w:rsidR="00AF134D" w:rsidRDefault="00AF134D" w:rsidP="00AF134D">
            <w:pPr>
              <w:pStyle w:val="NormalWeb"/>
              <w:jc w:val="center"/>
            </w:pPr>
            <w:r>
              <w:t>33</w:t>
            </w:r>
          </w:p>
        </w:tc>
        <w:tc>
          <w:tcPr>
            <w:tcW w:w="1131" w:type="dxa"/>
            <w:hideMark/>
          </w:tcPr>
          <w:p w14:paraId="416859C5" w14:textId="77777777" w:rsidR="00AF134D" w:rsidRDefault="00AF134D" w:rsidP="00AF134D">
            <w:pPr>
              <w:pStyle w:val="NormalWeb"/>
              <w:jc w:val="center"/>
            </w:pPr>
            <w:r>
              <w:t>34</w:t>
            </w:r>
          </w:p>
        </w:tc>
        <w:tc>
          <w:tcPr>
            <w:tcW w:w="1130" w:type="dxa"/>
            <w:hideMark/>
          </w:tcPr>
          <w:p w14:paraId="5B48C1D1" w14:textId="77777777" w:rsidR="00AF134D" w:rsidRDefault="00AF134D" w:rsidP="00AF134D">
            <w:pPr>
              <w:pStyle w:val="NormalWeb"/>
              <w:jc w:val="center"/>
            </w:pPr>
            <w:r>
              <w:t>863</w:t>
            </w:r>
          </w:p>
        </w:tc>
        <w:tc>
          <w:tcPr>
            <w:tcW w:w="1131" w:type="dxa"/>
            <w:hideMark/>
          </w:tcPr>
          <w:p w14:paraId="1140544F" w14:textId="77777777" w:rsidR="00AF134D" w:rsidRDefault="00AF134D" w:rsidP="00AF134D">
            <w:pPr>
              <w:pStyle w:val="NormalWeb"/>
              <w:jc w:val="center"/>
            </w:pPr>
            <w:r>
              <w:t>796</w:t>
            </w:r>
          </w:p>
        </w:tc>
        <w:tc>
          <w:tcPr>
            <w:tcW w:w="1130" w:type="dxa"/>
            <w:hideMark/>
          </w:tcPr>
          <w:p w14:paraId="6BEF04F5" w14:textId="77777777" w:rsidR="00AF134D" w:rsidRDefault="00AF134D" w:rsidP="00AF134D">
            <w:pPr>
              <w:pStyle w:val="NormalWeb"/>
              <w:jc w:val="center"/>
            </w:pPr>
            <w:r>
              <w:t>1,667</w:t>
            </w:r>
          </w:p>
        </w:tc>
        <w:tc>
          <w:tcPr>
            <w:tcW w:w="1131" w:type="dxa"/>
            <w:hideMark/>
          </w:tcPr>
          <w:p w14:paraId="4B9E15ED" w14:textId="77777777" w:rsidR="00AF134D" w:rsidRDefault="00AF134D" w:rsidP="00AF134D">
            <w:pPr>
              <w:pStyle w:val="NormalWeb"/>
              <w:jc w:val="center"/>
            </w:pPr>
            <w:r>
              <w:t>94.7</w:t>
            </w:r>
          </w:p>
        </w:tc>
        <w:tc>
          <w:tcPr>
            <w:tcW w:w="1130" w:type="dxa"/>
            <w:hideMark/>
          </w:tcPr>
          <w:p w14:paraId="0ABC06BC" w14:textId="77777777" w:rsidR="00AF134D" w:rsidRDefault="00AF134D" w:rsidP="00AF134D">
            <w:pPr>
              <w:pStyle w:val="NormalWeb"/>
              <w:jc w:val="center"/>
            </w:pPr>
            <w:r>
              <w:t>82.2</w:t>
            </w:r>
          </w:p>
        </w:tc>
        <w:tc>
          <w:tcPr>
            <w:tcW w:w="1131" w:type="dxa"/>
            <w:hideMark/>
          </w:tcPr>
          <w:p w14:paraId="6A5B0168" w14:textId="77777777" w:rsidR="00AF134D" w:rsidRDefault="00AF134D" w:rsidP="00AF134D">
            <w:pPr>
              <w:pStyle w:val="NormalWeb"/>
              <w:jc w:val="center"/>
            </w:pPr>
            <w:r>
              <w:t>88.7</w:t>
            </w:r>
          </w:p>
        </w:tc>
      </w:tr>
      <w:tr w:rsidR="00AF134D" w14:paraId="481D321D" w14:textId="77777777" w:rsidTr="00621CE7">
        <w:tblPrEx>
          <w:tblCellMar>
            <w:top w:w="57" w:type="dxa"/>
            <w:left w:w="57" w:type="dxa"/>
            <w:bottom w:w="57" w:type="dxa"/>
            <w:right w:w="57" w:type="dxa"/>
          </w:tblCellMar>
        </w:tblPrEx>
        <w:tc>
          <w:tcPr>
            <w:tcW w:w="1418" w:type="dxa"/>
            <w:hideMark/>
          </w:tcPr>
          <w:p w14:paraId="21D54B61" w14:textId="77777777" w:rsidR="00AF134D" w:rsidRDefault="00AF134D" w:rsidP="00AF134D">
            <w:pPr>
              <w:pStyle w:val="NormalWeb"/>
            </w:pPr>
            <w:r>
              <w:t>80–89</w:t>
            </w:r>
          </w:p>
        </w:tc>
        <w:tc>
          <w:tcPr>
            <w:tcW w:w="1130" w:type="dxa"/>
            <w:hideMark/>
          </w:tcPr>
          <w:p w14:paraId="0EB97F04" w14:textId="77777777" w:rsidR="00AF134D" w:rsidRDefault="00AF134D" w:rsidP="00AF134D">
            <w:pPr>
              <w:pStyle w:val="NormalWeb"/>
              <w:jc w:val="center"/>
            </w:pPr>
            <w:r>
              <w:t>163</w:t>
            </w:r>
          </w:p>
        </w:tc>
        <w:tc>
          <w:tcPr>
            <w:tcW w:w="1131" w:type="dxa"/>
            <w:hideMark/>
          </w:tcPr>
          <w:p w14:paraId="7D4A6775" w14:textId="77777777" w:rsidR="00AF134D" w:rsidRDefault="00AF134D" w:rsidP="00AF134D">
            <w:pPr>
              <w:pStyle w:val="NormalWeb"/>
              <w:jc w:val="center"/>
            </w:pPr>
            <w:r>
              <w:t>148</w:t>
            </w:r>
          </w:p>
        </w:tc>
        <w:tc>
          <w:tcPr>
            <w:tcW w:w="1130" w:type="dxa"/>
            <w:hideMark/>
          </w:tcPr>
          <w:p w14:paraId="2A6FFDC0" w14:textId="77777777" w:rsidR="00AF134D" w:rsidRDefault="00AF134D" w:rsidP="00AF134D">
            <w:pPr>
              <w:pStyle w:val="NormalWeb"/>
              <w:jc w:val="center"/>
            </w:pPr>
            <w:r>
              <w:t>311</w:t>
            </w:r>
          </w:p>
        </w:tc>
        <w:tc>
          <w:tcPr>
            <w:tcW w:w="1131" w:type="dxa"/>
            <w:hideMark/>
          </w:tcPr>
          <w:p w14:paraId="2566672C" w14:textId="77777777" w:rsidR="00AF134D" w:rsidRDefault="00AF134D" w:rsidP="00AF134D">
            <w:pPr>
              <w:pStyle w:val="NormalWeb"/>
              <w:jc w:val="center"/>
            </w:pPr>
            <w:r>
              <w:t>44</w:t>
            </w:r>
          </w:p>
        </w:tc>
        <w:tc>
          <w:tcPr>
            <w:tcW w:w="1130" w:type="dxa"/>
            <w:hideMark/>
          </w:tcPr>
          <w:p w14:paraId="6490D434" w14:textId="77777777" w:rsidR="00AF134D" w:rsidRDefault="00AF134D" w:rsidP="00AF134D">
            <w:pPr>
              <w:pStyle w:val="NormalWeb"/>
              <w:jc w:val="center"/>
            </w:pPr>
            <w:r>
              <w:t>31</w:t>
            </w:r>
          </w:p>
        </w:tc>
        <w:tc>
          <w:tcPr>
            <w:tcW w:w="1131" w:type="dxa"/>
            <w:hideMark/>
          </w:tcPr>
          <w:p w14:paraId="2329CB33" w14:textId="77777777" w:rsidR="00AF134D" w:rsidRDefault="00AF134D" w:rsidP="00AF134D">
            <w:pPr>
              <w:pStyle w:val="NormalWeb"/>
              <w:jc w:val="center"/>
            </w:pPr>
            <w:r>
              <w:t>37</w:t>
            </w:r>
          </w:p>
        </w:tc>
        <w:tc>
          <w:tcPr>
            <w:tcW w:w="1130" w:type="dxa"/>
            <w:hideMark/>
          </w:tcPr>
          <w:p w14:paraId="1565241E" w14:textId="77777777" w:rsidR="00AF134D" w:rsidRDefault="00AF134D" w:rsidP="00AF134D">
            <w:pPr>
              <w:pStyle w:val="NormalWeb"/>
              <w:jc w:val="center"/>
            </w:pPr>
            <w:r>
              <w:t>393</w:t>
            </w:r>
          </w:p>
        </w:tc>
        <w:tc>
          <w:tcPr>
            <w:tcW w:w="1131" w:type="dxa"/>
            <w:hideMark/>
          </w:tcPr>
          <w:p w14:paraId="64275C67" w14:textId="77777777" w:rsidR="00AF134D" w:rsidRDefault="00AF134D" w:rsidP="00AF134D">
            <w:pPr>
              <w:pStyle w:val="NormalWeb"/>
              <w:jc w:val="center"/>
            </w:pPr>
            <w:r>
              <w:t>417</w:t>
            </w:r>
          </w:p>
        </w:tc>
        <w:tc>
          <w:tcPr>
            <w:tcW w:w="1130" w:type="dxa"/>
            <w:hideMark/>
          </w:tcPr>
          <w:p w14:paraId="5510BC86" w14:textId="77777777" w:rsidR="00AF134D" w:rsidRDefault="00AF134D" w:rsidP="00AF134D">
            <w:pPr>
              <w:pStyle w:val="NormalWeb"/>
              <w:jc w:val="center"/>
            </w:pPr>
            <w:r>
              <w:t>812</w:t>
            </w:r>
          </w:p>
        </w:tc>
        <w:tc>
          <w:tcPr>
            <w:tcW w:w="1131" w:type="dxa"/>
            <w:hideMark/>
          </w:tcPr>
          <w:p w14:paraId="7E1D4A1A" w14:textId="77777777" w:rsidR="00AF134D" w:rsidRDefault="00AF134D" w:rsidP="00AF134D">
            <w:pPr>
              <w:pStyle w:val="NormalWeb"/>
              <w:jc w:val="center"/>
            </w:pPr>
            <w:r>
              <w:t>106.0</w:t>
            </w:r>
          </w:p>
        </w:tc>
        <w:tc>
          <w:tcPr>
            <w:tcW w:w="1130" w:type="dxa"/>
            <w:hideMark/>
          </w:tcPr>
          <w:p w14:paraId="44B0B717" w14:textId="77777777" w:rsidR="00AF134D" w:rsidRDefault="00AF134D" w:rsidP="00AF134D">
            <w:pPr>
              <w:pStyle w:val="NormalWeb"/>
              <w:jc w:val="center"/>
            </w:pPr>
            <w:r>
              <w:t>88.0</w:t>
            </w:r>
          </w:p>
        </w:tc>
        <w:tc>
          <w:tcPr>
            <w:tcW w:w="1131" w:type="dxa"/>
            <w:hideMark/>
          </w:tcPr>
          <w:p w14:paraId="4A6CB9B5" w14:textId="77777777" w:rsidR="00AF134D" w:rsidRDefault="00AF134D" w:rsidP="00AF134D">
            <w:pPr>
              <w:pStyle w:val="NormalWeb"/>
              <w:jc w:val="center"/>
            </w:pPr>
            <w:r>
              <w:t>96.1</w:t>
            </w:r>
          </w:p>
        </w:tc>
      </w:tr>
      <w:tr w:rsidR="00AF134D" w14:paraId="084410E5" w14:textId="77777777" w:rsidTr="00621CE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231868D0" w14:textId="77777777" w:rsidR="00AF134D" w:rsidRDefault="00AF134D" w:rsidP="00AF134D">
            <w:pPr>
              <w:pStyle w:val="NormalWeb"/>
            </w:pPr>
            <w:r>
              <w:t>90 and over</w:t>
            </w:r>
          </w:p>
        </w:tc>
        <w:tc>
          <w:tcPr>
            <w:tcW w:w="1130" w:type="dxa"/>
            <w:hideMark/>
          </w:tcPr>
          <w:p w14:paraId="7A79CB13" w14:textId="77777777" w:rsidR="00AF134D" w:rsidRDefault="00AF134D" w:rsidP="00AF134D">
            <w:pPr>
              <w:pStyle w:val="NormalWeb"/>
              <w:jc w:val="center"/>
            </w:pPr>
            <w:r>
              <w:t>18</w:t>
            </w:r>
          </w:p>
        </w:tc>
        <w:tc>
          <w:tcPr>
            <w:tcW w:w="1131" w:type="dxa"/>
            <w:hideMark/>
          </w:tcPr>
          <w:p w14:paraId="2D709E1A" w14:textId="77777777" w:rsidR="00AF134D" w:rsidRDefault="00AF134D" w:rsidP="00AF134D">
            <w:pPr>
              <w:pStyle w:val="NormalWeb"/>
              <w:jc w:val="center"/>
            </w:pPr>
            <w:r>
              <w:t>46</w:t>
            </w:r>
          </w:p>
        </w:tc>
        <w:tc>
          <w:tcPr>
            <w:tcW w:w="1130" w:type="dxa"/>
            <w:hideMark/>
          </w:tcPr>
          <w:p w14:paraId="546E0B35" w14:textId="77777777" w:rsidR="00AF134D" w:rsidRDefault="00AF134D" w:rsidP="00AF134D">
            <w:pPr>
              <w:pStyle w:val="NormalWeb"/>
              <w:jc w:val="center"/>
            </w:pPr>
            <w:r>
              <w:t>64</w:t>
            </w:r>
          </w:p>
        </w:tc>
        <w:tc>
          <w:tcPr>
            <w:tcW w:w="1131" w:type="dxa"/>
            <w:hideMark/>
          </w:tcPr>
          <w:p w14:paraId="1CB0E033" w14:textId="77777777" w:rsidR="00AF134D" w:rsidRDefault="00AF134D" w:rsidP="00AF134D">
            <w:pPr>
              <w:pStyle w:val="NormalWeb"/>
              <w:jc w:val="center"/>
            </w:pPr>
            <w:r>
              <w:t>25</w:t>
            </w:r>
          </w:p>
        </w:tc>
        <w:tc>
          <w:tcPr>
            <w:tcW w:w="1130" w:type="dxa"/>
            <w:hideMark/>
          </w:tcPr>
          <w:p w14:paraId="4895C63D" w14:textId="77777777" w:rsidR="00AF134D" w:rsidRDefault="00AF134D" w:rsidP="00AF134D">
            <w:pPr>
              <w:pStyle w:val="NormalWeb"/>
              <w:jc w:val="center"/>
            </w:pPr>
            <w:r>
              <w:t>33</w:t>
            </w:r>
          </w:p>
        </w:tc>
        <w:tc>
          <w:tcPr>
            <w:tcW w:w="1131" w:type="dxa"/>
            <w:hideMark/>
          </w:tcPr>
          <w:p w14:paraId="34E2F777" w14:textId="77777777" w:rsidR="00AF134D" w:rsidRDefault="00AF134D" w:rsidP="00AF134D">
            <w:pPr>
              <w:pStyle w:val="NormalWeb"/>
              <w:jc w:val="center"/>
            </w:pPr>
            <w:r>
              <w:t>30</w:t>
            </w:r>
          </w:p>
        </w:tc>
        <w:tc>
          <w:tcPr>
            <w:tcW w:w="1130" w:type="dxa"/>
            <w:hideMark/>
          </w:tcPr>
          <w:p w14:paraId="023C59E4" w14:textId="77777777" w:rsidR="00AF134D" w:rsidRDefault="00AF134D" w:rsidP="00AF134D">
            <w:pPr>
              <w:pStyle w:val="NormalWeb"/>
              <w:jc w:val="center"/>
            </w:pPr>
            <w:r>
              <w:t>69</w:t>
            </w:r>
          </w:p>
        </w:tc>
        <w:tc>
          <w:tcPr>
            <w:tcW w:w="1131" w:type="dxa"/>
            <w:hideMark/>
          </w:tcPr>
          <w:p w14:paraId="60512225" w14:textId="77777777" w:rsidR="00AF134D" w:rsidRDefault="00AF134D" w:rsidP="00AF134D">
            <w:pPr>
              <w:pStyle w:val="NormalWeb"/>
              <w:jc w:val="center"/>
            </w:pPr>
            <w:r>
              <w:t>140</w:t>
            </w:r>
          </w:p>
        </w:tc>
        <w:tc>
          <w:tcPr>
            <w:tcW w:w="1130" w:type="dxa"/>
            <w:hideMark/>
          </w:tcPr>
          <w:p w14:paraId="2397C6A1" w14:textId="77777777" w:rsidR="00AF134D" w:rsidRDefault="00AF134D" w:rsidP="00AF134D">
            <w:pPr>
              <w:pStyle w:val="NormalWeb"/>
              <w:jc w:val="center"/>
            </w:pPr>
            <w:r>
              <w:t>209</w:t>
            </w:r>
          </w:p>
        </w:tc>
        <w:tc>
          <w:tcPr>
            <w:tcW w:w="1131" w:type="dxa"/>
            <w:hideMark/>
          </w:tcPr>
          <w:p w14:paraId="10ABC929" w14:textId="77777777" w:rsidR="00AF134D" w:rsidRDefault="00AF134D" w:rsidP="00AF134D">
            <w:pPr>
              <w:pStyle w:val="NormalWeb"/>
              <w:jc w:val="center"/>
            </w:pPr>
            <w:r>
              <w:t>94.3</w:t>
            </w:r>
          </w:p>
        </w:tc>
        <w:tc>
          <w:tcPr>
            <w:tcW w:w="1130" w:type="dxa"/>
            <w:hideMark/>
          </w:tcPr>
          <w:p w14:paraId="2950E5FD" w14:textId="77777777" w:rsidR="00AF134D" w:rsidRDefault="00AF134D" w:rsidP="00AF134D">
            <w:pPr>
              <w:pStyle w:val="NormalWeb"/>
              <w:jc w:val="center"/>
            </w:pPr>
            <w:r>
              <w:t>101.3</w:t>
            </w:r>
          </w:p>
        </w:tc>
        <w:tc>
          <w:tcPr>
            <w:tcW w:w="1131" w:type="dxa"/>
            <w:hideMark/>
          </w:tcPr>
          <w:p w14:paraId="1F93E850" w14:textId="77777777" w:rsidR="00AF134D" w:rsidRDefault="00AF134D" w:rsidP="00AF134D">
            <w:pPr>
              <w:pStyle w:val="NormalWeb"/>
              <w:jc w:val="center"/>
            </w:pPr>
            <w:r>
              <w:t>98.9</w:t>
            </w:r>
          </w:p>
        </w:tc>
      </w:tr>
    </w:tbl>
    <w:p w14:paraId="3648CDC6" w14:textId="77777777" w:rsidR="00AF134D" w:rsidRDefault="00AF134D" w:rsidP="00AF134D">
      <w:pPr>
        <w:pStyle w:val="CDIfootnotes"/>
        <w:rPr>
          <w:lang w:val="en-GB"/>
        </w:rPr>
      </w:pPr>
      <w:r>
        <w:rPr>
          <w:lang w:val="en-GB"/>
        </w:rPr>
        <w:t>a</w:t>
      </w:r>
      <w:r>
        <w:rPr>
          <w:lang w:val="en-GB"/>
        </w:rPr>
        <w:tab/>
        <w:t>Source: NINDSS, extract from 28 September 2021 for notifications up to 26 September 2021. Excludes cases where age or sex data is missing.</w:t>
      </w:r>
    </w:p>
    <w:p w14:paraId="220B01B1" w14:textId="77777777" w:rsidR="00AF134D" w:rsidRDefault="00AF134D" w:rsidP="00AF134D">
      <w:pPr>
        <w:pStyle w:val="CDIfootnotes"/>
        <w:rPr>
          <w:lang w:val="en-GB"/>
        </w:rPr>
      </w:pPr>
      <w:r>
        <w:rPr>
          <w:lang w:val="en-GB"/>
        </w:rPr>
        <w:t>b</w:t>
      </w:r>
      <w:r>
        <w:rPr>
          <w:lang w:val="en-GB"/>
        </w:rPr>
        <w:tab/>
        <w:t>Population data based on Australian Bureau of Statistics (ABS) Estimated Resident Population (ERP) as at June 2020.</w:t>
      </w:r>
    </w:p>
    <w:p w14:paraId="1B4CB832" w14:textId="77777777" w:rsidR="00AF134D" w:rsidRDefault="00AF134D" w:rsidP="00AF134D">
      <w:pPr>
        <w:pStyle w:val="CDIfootnotes"/>
        <w:rPr>
          <w:lang w:val="en-GB"/>
        </w:rPr>
      </w:pPr>
      <w:r>
        <w:rPr>
          <w:lang w:val="en-GB"/>
        </w:rPr>
        <w:t>c</w:t>
      </w:r>
      <w:r>
        <w:rPr>
          <w:lang w:val="en-GB"/>
        </w:rPr>
        <w:tab/>
        <w:t>Note the change to focus on rates in this year only. For cumulative rates since the beginning of the epidemic in Australia, readers are encouraged to consult previous reports.</w:t>
      </w:r>
    </w:p>
    <w:p w14:paraId="76EFE6A3" w14:textId="2DCA0CE2" w:rsidR="008B5348" w:rsidRDefault="008B5348">
      <w:pPr>
        <w:rPr>
          <w:rStyle w:val="A10"/>
        </w:rPr>
      </w:pPr>
    </w:p>
    <w:p w14:paraId="6C6FF0C6" w14:textId="77777777" w:rsidR="008B5348" w:rsidRDefault="008B5348">
      <w:pPr>
        <w:rPr>
          <w:rStyle w:val="A10"/>
        </w:rPr>
      </w:pPr>
      <w:r>
        <w:rPr>
          <w:rStyle w:val="A10"/>
        </w:rPr>
        <w:br w:type="page"/>
      </w:r>
    </w:p>
    <w:p w14:paraId="1D74DBFC" w14:textId="77777777" w:rsidR="008B5348" w:rsidRDefault="008B5348">
      <w:pPr>
        <w:rPr>
          <w:rStyle w:val="A10"/>
        </w:rPr>
        <w:sectPr w:rsidR="008B5348" w:rsidSect="00621CE7">
          <w:footnotePr>
            <w:numFmt w:val="lowerRoman"/>
          </w:footnotePr>
          <w:pgSz w:w="16838" w:h="11906" w:orient="landscape"/>
          <w:pgMar w:top="720" w:right="720" w:bottom="720" w:left="1134" w:header="709" w:footer="284" w:gutter="0"/>
          <w:cols w:space="708"/>
          <w:titlePg/>
          <w:docGrid w:linePitch="360"/>
        </w:sectPr>
      </w:pPr>
    </w:p>
    <w:p w14:paraId="2728165C"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47EE89A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523E1C0" w14:textId="77777777" w:rsidR="000A5F42" w:rsidRPr="000606CC" w:rsidRDefault="000A5F42" w:rsidP="000A5F42">
      <w:pPr>
        <w:pStyle w:val="NoSpacing"/>
        <w:rPr>
          <w:rStyle w:val="URI"/>
          <w:rFonts w:cstheme="minorHAnsi"/>
          <w:sz w:val="20"/>
          <w:szCs w:val="18"/>
        </w:rPr>
      </w:pPr>
    </w:p>
    <w:p w14:paraId="6C9855E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2B250A0A" w14:textId="77777777" w:rsidR="000A5F42" w:rsidRPr="000606CC" w:rsidRDefault="000A5F42" w:rsidP="000A5F42">
      <w:pPr>
        <w:pStyle w:val="NoSpacing"/>
        <w:rPr>
          <w:rStyle w:val="Strong"/>
          <w:rFonts w:cstheme="minorHAnsi"/>
          <w:sz w:val="20"/>
          <w:szCs w:val="18"/>
        </w:rPr>
      </w:pPr>
    </w:p>
    <w:p w14:paraId="46FEEA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C6D006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CB4310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7C99E5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CCBCC9D" w14:textId="77777777" w:rsidR="000A5F42" w:rsidRPr="000606CC" w:rsidRDefault="000A5F42" w:rsidP="000A5F42">
      <w:pPr>
        <w:pStyle w:val="NoSpacing"/>
        <w:rPr>
          <w:rStyle w:val="Strong"/>
          <w:rFonts w:cstheme="minorHAnsi"/>
          <w:sz w:val="20"/>
          <w:szCs w:val="18"/>
        </w:rPr>
      </w:pPr>
    </w:p>
    <w:p w14:paraId="7175838A" w14:textId="2A25EC2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4444389" w14:textId="77777777" w:rsidR="000A5F42" w:rsidRPr="000606CC" w:rsidRDefault="000A5F42" w:rsidP="000A5F42">
      <w:pPr>
        <w:pStyle w:val="NoSpacing"/>
        <w:rPr>
          <w:rStyle w:val="Strong"/>
          <w:rFonts w:cstheme="minorHAnsi"/>
          <w:sz w:val="20"/>
          <w:szCs w:val="18"/>
        </w:rPr>
      </w:pPr>
    </w:p>
    <w:p w14:paraId="09DFC91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9326DE4" w14:textId="77777777" w:rsidR="000A5F42" w:rsidRPr="000606CC" w:rsidRDefault="000A5F42" w:rsidP="000A5F42">
      <w:pPr>
        <w:pStyle w:val="NoSpacing"/>
        <w:rPr>
          <w:rStyle w:val="Strong"/>
          <w:rFonts w:cstheme="minorHAnsi"/>
          <w:sz w:val="20"/>
          <w:szCs w:val="18"/>
        </w:rPr>
      </w:pPr>
    </w:p>
    <w:p w14:paraId="4EAEAB4E" w14:textId="2B80DBD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DEEA342" w14:textId="77777777" w:rsidR="000A5F42" w:rsidRPr="000606CC" w:rsidRDefault="000A5F42" w:rsidP="000A5F42">
      <w:pPr>
        <w:pStyle w:val="NoSpacing"/>
        <w:rPr>
          <w:rStyle w:val="Strong"/>
          <w:rFonts w:cstheme="minorHAnsi"/>
          <w:sz w:val="20"/>
          <w:szCs w:val="18"/>
        </w:rPr>
      </w:pPr>
    </w:p>
    <w:p w14:paraId="66F9DF3C" w14:textId="24243FF4"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AF5ECD9" w14:textId="2EE1EE8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678BF175" w14:textId="77777777" w:rsidR="000A5F42" w:rsidRPr="000606CC" w:rsidRDefault="000A5F42" w:rsidP="000A5F42">
      <w:pPr>
        <w:pStyle w:val="NoSpacing"/>
        <w:pBdr>
          <w:bottom w:val="single" w:sz="6" w:space="1" w:color="auto"/>
        </w:pBdr>
        <w:rPr>
          <w:rStyle w:val="Strong"/>
          <w:rFonts w:cstheme="minorHAnsi"/>
          <w:sz w:val="12"/>
          <w:szCs w:val="18"/>
        </w:rPr>
      </w:pPr>
    </w:p>
    <w:p w14:paraId="7EBB1148" w14:textId="77777777" w:rsidR="000A5F42" w:rsidRPr="000606CC" w:rsidRDefault="000A5F42" w:rsidP="000A5F42">
      <w:pPr>
        <w:pStyle w:val="NoSpacing"/>
        <w:rPr>
          <w:rFonts w:cstheme="minorHAnsi"/>
          <w:sz w:val="20"/>
          <w:szCs w:val="18"/>
        </w:rPr>
      </w:pPr>
    </w:p>
    <w:p w14:paraId="6992FA0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68FD183" w14:textId="77777777" w:rsidR="000A5F42" w:rsidRPr="000606CC" w:rsidRDefault="000A5F42" w:rsidP="000A5F42">
      <w:pPr>
        <w:pStyle w:val="NoSpacing"/>
        <w:rPr>
          <w:rFonts w:cstheme="minorHAnsi"/>
          <w:sz w:val="20"/>
          <w:szCs w:val="18"/>
        </w:rPr>
      </w:pPr>
    </w:p>
    <w:p w14:paraId="1665740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D21A19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1E40DE4C" w14:textId="58638C4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99CC52E" w14:textId="77777777" w:rsidR="000A5F42" w:rsidRPr="000606CC" w:rsidRDefault="000A5F42" w:rsidP="000A5F42">
      <w:pPr>
        <w:pStyle w:val="NoSpacing"/>
        <w:rPr>
          <w:rFonts w:cstheme="minorHAnsi"/>
          <w:sz w:val="20"/>
          <w:szCs w:val="18"/>
        </w:rPr>
      </w:pPr>
    </w:p>
    <w:p w14:paraId="4E4538B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09CED57" w14:textId="5E4DEA4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F49F2E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2F9638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46B644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6F2701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DC26DFB" w14:textId="77777777" w:rsidR="000A5F42" w:rsidRPr="000606CC" w:rsidRDefault="000A5F42" w:rsidP="000A5F42">
      <w:pPr>
        <w:pStyle w:val="NoSpacing"/>
        <w:rPr>
          <w:rStyle w:val="Strong"/>
          <w:rFonts w:cstheme="minorHAnsi"/>
          <w:sz w:val="20"/>
          <w:szCs w:val="18"/>
        </w:rPr>
      </w:pPr>
    </w:p>
    <w:p w14:paraId="1702114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55E65A7" w14:textId="77777777" w:rsidR="000A5F42" w:rsidRPr="000606CC" w:rsidRDefault="000A5F42" w:rsidP="000A5F42">
      <w:pPr>
        <w:pStyle w:val="NoSpacing"/>
        <w:rPr>
          <w:rStyle w:val="Strong"/>
          <w:rFonts w:cstheme="minorHAnsi"/>
          <w:sz w:val="20"/>
          <w:szCs w:val="18"/>
        </w:rPr>
      </w:pPr>
    </w:p>
    <w:p w14:paraId="516E97BA" w14:textId="5ECDD95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ABF8F2B" w14:textId="77777777" w:rsidR="000A5F42" w:rsidRPr="000606CC" w:rsidRDefault="000A5F42" w:rsidP="000A5F42">
      <w:pPr>
        <w:pStyle w:val="NoSpacing"/>
        <w:rPr>
          <w:rStyle w:val="URI"/>
          <w:rFonts w:cstheme="minorHAnsi"/>
          <w:sz w:val="20"/>
          <w:szCs w:val="18"/>
        </w:rPr>
      </w:pPr>
    </w:p>
    <w:p w14:paraId="41E41ADF" w14:textId="3561898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66E7A3F7"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84476" w14:textId="77777777" w:rsidR="007E7029" w:rsidRDefault="007E7029" w:rsidP="00E54DBA">
      <w:r>
        <w:separator/>
      </w:r>
    </w:p>
    <w:p w14:paraId="7727361C" w14:textId="77777777" w:rsidR="007E7029" w:rsidRDefault="007E7029"/>
    <w:p w14:paraId="3653C8CF" w14:textId="77777777" w:rsidR="007E7029" w:rsidRDefault="007E7029" w:rsidP="008714B0"/>
  </w:endnote>
  <w:endnote w:type="continuationSeparator" w:id="0">
    <w:p w14:paraId="34580109" w14:textId="77777777" w:rsidR="007E7029" w:rsidRDefault="007E7029" w:rsidP="00E54DBA">
      <w:r>
        <w:continuationSeparator/>
      </w:r>
    </w:p>
    <w:p w14:paraId="2F2C7CC7" w14:textId="77777777" w:rsidR="007E7029" w:rsidRDefault="007E7029"/>
    <w:p w14:paraId="58BBB535" w14:textId="77777777" w:rsidR="007E7029" w:rsidRDefault="007E702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F64C" w14:textId="5DB86E04" w:rsidR="00377F75" w:rsidRPr="0042435E" w:rsidRDefault="00377F75"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D1124F">
      <w:rPr>
        <w:i/>
        <w:sz w:val="18"/>
      </w:rPr>
      <w:t>Commun</w:t>
    </w:r>
    <w:proofErr w:type="spellEnd"/>
    <w:r w:rsidRPr="00D1124F">
      <w:rPr>
        <w:i/>
        <w:sz w:val="18"/>
      </w:rPr>
      <w:t xml:space="preserve"> Dis </w:t>
    </w:r>
    <w:proofErr w:type="spellStart"/>
    <w:r w:rsidRPr="00D1124F">
      <w:rPr>
        <w:i/>
        <w:sz w:val="18"/>
      </w:rPr>
      <w:t>Intell</w:t>
    </w:r>
    <w:proofErr w:type="spellEnd"/>
    <w:r w:rsidRPr="00D1124F">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20CA0">
      <w:rPr>
        <w:sz w:val="18"/>
      </w:rPr>
      <w:t>https://doi.org/10.33321/cdi.2021.45.54</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320CA0">
      <w:rPr>
        <w:sz w:val="18"/>
      </w:rPr>
      <w:t>8/10/2021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20C8E" w14:textId="201FEC15" w:rsidR="00377F75" w:rsidRPr="00BB5378" w:rsidRDefault="00377F75"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D1124F">
      <w:rPr>
        <w:i/>
        <w:sz w:val="18"/>
      </w:rPr>
      <w:t>Commun</w:t>
    </w:r>
    <w:proofErr w:type="spellEnd"/>
    <w:r w:rsidRPr="00D1124F">
      <w:rPr>
        <w:i/>
        <w:sz w:val="18"/>
      </w:rPr>
      <w:t xml:space="preserve"> Dis </w:t>
    </w:r>
    <w:proofErr w:type="spellStart"/>
    <w:r w:rsidRPr="00D1124F">
      <w:rPr>
        <w:i/>
        <w:sz w:val="18"/>
      </w:rPr>
      <w:t>Intell</w:t>
    </w:r>
    <w:proofErr w:type="spellEnd"/>
    <w:r w:rsidRPr="00D1124F">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20CA0">
      <w:rPr>
        <w:sz w:val="18"/>
      </w:rPr>
      <w:t>https://doi.org/10.33321/cdi.2021.45.54</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320CA0">
      <w:rPr>
        <w:sz w:val="18"/>
      </w:rPr>
      <w:t>8/10/2021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5E228" w14:textId="77777777" w:rsidR="007E7029" w:rsidRPr="00B91FB5" w:rsidRDefault="007E7029" w:rsidP="00B91FB5">
      <w:pPr>
        <w:spacing w:after="0" w:line="240" w:lineRule="auto"/>
        <w:rPr>
          <w:sz w:val="18"/>
          <w:szCs w:val="18"/>
        </w:rPr>
      </w:pPr>
      <w:r w:rsidRPr="00B91FB5">
        <w:rPr>
          <w:sz w:val="18"/>
          <w:szCs w:val="18"/>
        </w:rPr>
        <w:separator/>
      </w:r>
    </w:p>
  </w:footnote>
  <w:footnote w:type="continuationSeparator" w:id="0">
    <w:p w14:paraId="2FDEDE35" w14:textId="77777777" w:rsidR="007E7029" w:rsidRDefault="007E7029" w:rsidP="00E54DBA">
      <w:r>
        <w:continuationSeparator/>
      </w:r>
    </w:p>
  </w:footnote>
  <w:footnote w:type="continuationNotice" w:id="1">
    <w:p w14:paraId="472A13D8" w14:textId="77777777" w:rsidR="007E7029" w:rsidRPr="00224EFF" w:rsidRDefault="007E7029" w:rsidP="00224EFF">
      <w:pPr>
        <w:pStyle w:val="Footer"/>
      </w:pPr>
    </w:p>
  </w:footnote>
  <w:footnote w:id="2">
    <w:p w14:paraId="525C605F" w14:textId="31F65B17" w:rsidR="00377F75" w:rsidRPr="00AF134D" w:rsidRDefault="00377F75" w:rsidP="00AF134D">
      <w:pPr>
        <w:pStyle w:val="CDIfootnotes"/>
      </w:pPr>
      <w:r w:rsidRPr="00AF134D">
        <w:rPr>
          <w:rStyle w:val="FootnoteReference"/>
          <w:vertAlign w:val="baseline"/>
        </w:rPr>
        <w:footnoteRef/>
      </w:r>
      <w:r w:rsidRPr="00AF134D">
        <w:tab/>
        <w:t>https://www.health.gov.au/news/health-alerts/novel-coronavirus-2019-ncov-health-alert#local-outbreak-information.</w:t>
      </w:r>
    </w:p>
  </w:footnote>
  <w:footnote w:id="3">
    <w:p w14:paraId="5B6BA444" w14:textId="1757EB91" w:rsidR="00377F75" w:rsidRPr="00AF134D" w:rsidRDefault="00377F75" w:rsidP="00AF134D">
      <w:pPr>
        <w:pStyle w:val="CDIfootnotes"/>
      </w:pPr>
      <w:r w:rsidRPr="00AF134D">
        <w:rPr>
          <w:rStyle w:val="FootnoteReference"/>
          <w:vertAlign w:val="baseline"/>
        </w:rPr>
        <w:footnoteRef/>
      </w:r>
      <w:r w:rsidRPr="00AF134D">
        <w:tab/>
        <w:t>https://www.who.int/emergencies/diseases/novel-coronavirus-2019/situation-reports/.</w:t>
      </w:r>
    </w:p>
  </w:footnote>
  <w:footnote w:id="4">
    <w:p w14:paraId="097C885A" w14:textId="2DCFCE39" w:rsidR="00377F75" w:rsidRPr="00AF134D" w:rsidRDefault="00377F75" w:rsidP="00AF134D">
      <w:pPr>
        <w:pStyle w:val="CDIfootnotes"/>
      </w:pPr>
      <w:r w:rsidRPr="00AF134D">
        <w:rPr>
          <w:rStyle w:val="FootnoteReference"/>
          <w:vertAlign w:val="baseline"/>
        </w:rPr>
        <w:footnoteRef/>
      </w:r>
      <w:r w:rsidRPr="00AF134D">
        <w:tab/>
        <w:t>https://www.health.gov.au/news/health-alerts/novel-coronavirus-2019-ncov-health-alert/coronavirus-covid-19-current-situation-and-case-numbers.</w:t>
      </w:r>
    </w:p>
  </w:footnote>
  <w:footnote w:id="5">
    <w:p w14:paraId="3F518343" w14:textId="3E1DE928" w:rsidR="00377F75" w:rsidRDefault="00377F75" w:rsidP="00AF134D">
      <w:pPr>
        <w:pStyle w:val="CDIfootnotes"/>
      </w:pPr>
      <w:r w:rsidRPr="00AF134D">
        <w:rPr>
          <w:rStyle w:val="FootnoteReference"/>
          <w:vertAlign w:val="baseline"/>
        </w:rPr>
        <w:footnoteRef/>
      </w:r>
      <w:r w:rsidRPr="00AF134D">
        <w:tab/>
        <w:t>Previously known as the National Notifiable Diseases Surveillance System (NNDSS).</w:t>
      </w:r>
    </w:p>
  </w:footnote>
  <w:footnote w:id="6">
    <w:p w14:paraId="792090B6" w14:textId="307B694D" w:rsidR="00377F75" w:rsidRPr="00AF134D" w:rsidRDefault="00377F75" w:rsidP="00AF134D">
      <w:pPr>
        <w:pStyle w:val="CDIfootnotes"/>
      </w:pPr>
      <w:r w:rsidRPr="00AF134D">
        <w:rPr>
          <w:rStyle w:val="FootnoteReference"/>
          <w:vertAlign w:val="baseline"/>
        </w:rPr>
        <w:footnoteRef/>
      </w:r>
      <w:r w:rsidRPr="00AF134D">
        <w:tab/>
        <w:t>Almost all cases under initial investigation and with a missing source of acquisition are known to be locally acquired. Therefore, case numbers and rates of locally-acquired cases reported in this section include cases under initial investigation and missing a source of acquisition. The inclusion of cases under initial investigation, and those missing source of acquisition, among jurisdictional locally-acquired case totals differs from the data analysis in previous reports in this series; accordingly, comparison of locally-acquired case numbers and case rates from this report with values tabulated in previous reports should be undertaken with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AFC6D" w14:textId="1C48048C" w:rsidR="00377F75" w:rsidRPr="00A153B6" w:rsidRDefault="007E702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77F75">
          <w:t>Surveillance summary</w:t>
        </w:r>
      </w:sdtContent>
    </w:sdt>
    <w:r w:rsidR="00377F75">
      <w:ptab w:relativeTo="margin" w:alignment="right" w:leader="none"/>
    </w:r>
    <w:r w:rsidR="00377F75"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5916A" w14:textId="77777777" w:rsidR="00377F75" w:rsidRPr="000A5F42" w:rsidRDefault="00377F75" w:rsidP="000A5F42">
    <w:pPr>
      <w:pStyle w:val="Header"/>
      <w:jc w:val="center"/>
      <w:rPr>
        <w:b/>
      </w:rPr>
    </w:pPr>
    <w:r w:rsidRPr="00E810C5">
      <w:rPr>
        <w:rFonts w:cs="Myriad Pro"/>
        <w:noProof/>
        <w:color w:val="211D1E"/>
        <w:sz w:val="16"/>
      </w:rPr>
      <w:drawing>
        <wp:inline distT="0" distB="0" distL="0" distR="0" wp14:anchorId="26454CE4" wp14:editId="4BA38D56">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802F2B"/>
    <w:multiLevelType w:val="multilevel"/>
    <w:tmpl w:val="A846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CE"/>
    <w:rsid w:val="00000B5B"/>
    <w:rsid w:val="00001611"/>
    <w:rsid w:val="00007C49"/>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6AD7"/>
    <w:rsid w:val="00113D58"/>
    <w:rsid w:val="00116FFB"/>
    <w:rsid w:val="001200CB"/>
    <w:rsid w:val="001378A3"/>
    <w:rsid w:val="00141A8E"/>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0796F"/>
    <w:rsid w:val="002126FC"/>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06A8"/>
    <w:rsid w:val="002F327B"/>
    <w:rsid w:val="00301626"/>
    <w:rsid w:val="003059EC"/>
    <w:rsid w:val="00316CCD"/>
    <w:rsid w:val="00320CA0"/>
    <w:rsid w:val="00324F7E"/>
    <w:rsid w:val="003323BC"/>
    <w:rsid w:val="00342A69"/>
    <w:rsid w:val="00346D42"/>
    <w:rsid w:val="00346E11"/>
    <w:rsid w:val="003477CE"/>
    <w:rsid w:val="003601C0"/>
    <w:rsid w:val="003635F5"/>
    <w:rsid w:val="00372A88"/>
    <w:rsid w:val="00377F75"/>
    <w:rsid w:val="00381A0F"/>
    <w:rsid w:val="00384CD0"/>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79A2"/>
    <w:rsid w:val="00510EAC"/>
    <w:rsid w:val="00542A57"/>
    <w:rsid w:val="00557133"/>
    <w:rsid w:val="00565974"/>
    <w:rsid w:val="005732C0"/>
    <w:rsid w:val="0057336D"/>
    <w:rsid w:val="0057489A"/>
    <w:rsid w:val="00574ACF"/>
    <w:rsid w:val="00581588"/>
    <w:rsid w:val="0058540B"/>
    <w:rsid w:val="00587C87"/>
    <w:rsid w:val="00590B80"/>
    <w:rsid w:val="00594D39"/>
    <w:rsid w:val="005B3134"/>
    <w:rsid w:val="005B4E61"/>
    <w:rsid w:val="005B595A"/>
    <w:rsid w:val="005B66C2"/>
    <w:rsid w:val="005C66A6"/>
    <w:rsid w:val="005D2465"/>
    <w:rsid w:val="005D5526"/>
    <w:rsid w:val="005E2BA2"/>
    <w:rsid w:val="005E33DD"/>
    <w:rsid w:val="005E4229"/>
    <w:rsid w:val="005E540E"/>
    <w:rsid w:val="005E55FB"/>
    <w:rsid w:val="005F16BB"/>
    <w:rsid w:val="00607115"/>
    <w:rsid w:val="00620768"/>
    <w:rsid w:val="00621CE7"/>
    <w:rsid w:val="0062594B"/>
    <w:rsid w:val="00631406"/>
    <w:rsid w:val="006324FF"/>
    <w:rsid w:val="006351D6"/>
    <w:rsid w:val="00636E0D"/>
    <w:rsid w:val="0064142F"/>
    <w:rsid w:val="00643CB4"/>
    <w:rsid w:val="00656427"/>
    <w:rsid w:val="00660255"/>
    <w:rsid w:val="006971F3"/>
    <w:rsid w:val="006C1259"/>
    <w:rsid w:val="006C74A3"/>
    <w:rsid w:val="006D1381"/>
    <w:rsid w:val="006D31BC"/>
    <w:rsid w:val="006E7943"/>
    <w:rsid w:val="006F24EA"/>
    <w:rsid w:val="006F3D5D"/>
    <w:rsid w:val="00704CA9"/>
    <w:rsid w:val="0071048D"/>
    <w:rsid w:val="00710F86"/>
    <w:rsid w:val="007111A8"/>
    <w:rsid w:val="00731BC3"/>
    <w:rsid w:val="00741192"/>
    <w:rsid w:val="00743A33"/>
    <w:rsid w:val="00746080"/>
    <w:rsid w:val="0075144A"/>
    <w:rsid w:val="00786329"/>
    <w:rsid w:val="00790E25"/>
    <w:rsid w:val="00792C7D"/>
    <w:rsid w:val="00794A4D"/>
    <w:rsid w:val="007A5234"/>
    <w:rsid w:val="007B7854"/>
    <w:rsid w:val="007C56A1"/>
    <w:rsid w:val="007C6454"/>
    <w:rsid w:val="007E01E0"/>
    <w:rsid w:val="007E7029"/>
    <w:rsid w:val="007F0B93"/>
    <w:rsid w:val="007F2ECA"/>
    <w:rsid w:val="00811708"/>
    <w:rsid w:val="00816B90"/>
    <w:rsid w:val="00817799"/>
    <w:rsid w:val="00822F5F"/>
    <w:rsid w:val="00824FD3"/>
    <w:rsid w:val="00826589"/>
    <w:rsid w:val="00834BCC"/>
    <w:rsid w:val="0084697B"/>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95F69"/>
    <w:rsid w:val="009A5166"/>
    <w:rsid w:val="009A76F8"/>
    <w:rsid w:val="009B2B83"/>
    <w:rsid w:val="009C49F8"/>
    <w:rsid w:val="009D77CC"/>
    <w:rsid w:val="009E2423"/>
    <w:rsid w:val="009E55D7"/>
    <w:rsid w:val="009F4150"/>
    <w:rsid w:val="009F4BDC"/>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57D0D"/>
    <w:rsid w:val="00A6708F"/>
    <w:rsid w:val="00A71BF6"/>
    <w:rsid w:val="00A86F9A"/>
    <w:rsid w:val="00A9162C"/>
    <w:rsid w:val="00A94DBA"/>
    <w:rsid w:val="00AA35E6"/>
    <w:rsid w:val="00AA50B6"/>
    <w:rsid w:val="00AB3472"/>
    <w:rsid w:val="00AD0762"/>
    <w:rsid w:val="00AE3DCF"/>
    <w:rsid w:val="00AE4452"/>
    <w:rsid w:val="00AE7C38"/>
    <w:rsid w:val="00AF134D"/>
    <w:rsid w:val="00B01F99"/>
    <w:rsid w:val="00B02B37"/>
    <w:rsid w:val="00B05276"/>
    <w:rsid w:val="00B11F51"/>
    <w:rsid w:val="00B132DB"/>
    <w:rsid w:val="00B31427"/>
    <w:rsid w:val="00B33861"/>
    <w:rsid w:val="00B40DE2"/>
    <w:rsid w:val="00B50210"/>
    <w:rsid w:val="00B53955"/>
    <w:rsid w:val="00B6408A"/>
    <w:rsid w:val="00B714B8"/>
    <w:rsid w:val="00B82C2C"/>
    <w:rsid w:val="00B8720B"/>
    <w:rsid w:val="00B876EF"/>
    <w:rsid w:val="00B91FB5"/>
    <w:rsid w:val="00BA4697"/>
    <w:rsid w:val="00BA4CB8"/>
    <w:rsid w:val="00BB5378"/>
    <w:rsid w:val="00BB786F"/>
    <w:rsid w:val="00BC0BD3"/>
    <w:rsid w:val="00BD0107"/>
    <w:rsid w:val="00BD4921"/>
    <w:rsid w:val="00BE0C33"/>
    <w:rsid w:val="00BE262C"/>
    <w:rsid w:val="00BE6C3D"/>
    <w:rsid w:val="00BF29C5"/>
    <w:rsid w:val="00C07606"/>
    <w:rsid w:val="00C12542"/>
    <w:rsid w:val="00C15366"/>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0B96"/>
    <w:rsid w:val="00CB15E1"/>
    <w:rsid w:val="00CB3D46"/>
    <w:rsid w:val="00CD1A87"/>
    <w:rsid w:val="00CD35F3"/>
    <w:rsid w:val="00CD5C93"/>
    <w:rsid w:val="00CE342B"/>
    <w:rsid w:val="00CF320C"/>
    <w:rsid w:val="00CF3A4B"/>
    <w:rsid w:val="00CF4001"/>
    <w:rsid w:val="00D05837"/>
    <w:rsid w:val="00D1124F"/>
    <w:rsid w:val="00D12D8A"/>
    <w:rsid w:val="00D13E0C"/>
    <w:rsid w:val="00D25896"/>
    <w:rsid w:val="00D327D4"/>
    <w:rsid w:val="00D373A1"/>
    <w:rsid w:val="00D37C0F"/>
    <w:rsid w:val="00D45661"/>
    <w:rsid w:val="00D45943"/>
    <w:rsid w:val="00D47D22"/>
    <w:rsid w:val="00D51865"/>
    <w:rsid w:val="00D51D0C"/>
    <w:rsid w:val="00D74140"/>
    <w:rsid w:val="00DA6E56"/>
    <w:rsid w:val="00DB3012"/>
    <w:rsid w:val="00DC24E5"/>
    <w:rsid w:val="00DC6705"/>
    <w:rsid w:val="00DD2DE8"/>
    <w:rsid w:val="00DE38B4"/>
    <w:rsid w:val="00DE3D47"/>
    <w:rsid w:val="00DE5D02"/>
    <w:rsid w:val="00DF02E3"/>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95487"/>
    <w:rsid w:val="00EA3D54"/>
    <w:rsid w:val="00EA56D9"/>
    <w:rsid w:val="00EA5CE3"/>
    <w:rsid w:val="00EB51C1"/>
    <w:rsid w:val="00EB5AE1"/>
    <w:rsid w:val="00EB5E0B"/>
    <w:rsid w:val="00EC2171"/>
    <w:rsid w:val="00ED442D"/>
    <w:rsid w:val="00ED70C2"/>
    <w:rsid w:val="00EE0F2D"/>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A3A59"/>
  <w15:docId w15:val="{9C58933A-7800-4397-B38B-17E932B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51</vt:lpstr>
    </vt:vector>
  </TitlesOfParts>
  <Manager/>
  <Company>Australian Government, Department of Health</Company>
  <LinksUpToDate>false</LinksUpToDate>
  <CharactersWithSpaces>30455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51</dc:title>
  <dc:subject>This is the fifty-first epidemiological report for coronavirus disease 2019 (COVID-19), reported in Australia as at 23:59 Australian Eastern Standard Time [AEST] 26 September 2021. It includes data on COVID-19 cases diagnosed in Australia.</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15</cp:revision>
  <cp:lastPrinted>2018-05-10T02:19:00Z</cp:lastPrinted>
  <dcterms:created xsi:type="dcterms:W3CDTF">2021-10-07T03:36:00Z</dcterms:created>
  <dcterms:modified xsi:type="dcterms:W3CDTF">2021-10-29T04:23:00Z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8/10/2021</vt:lpwstr>
  </property>
  <property fmtid="{D5CDD505-2E9C-101B-9397-08002B2CF9AE}" pid="5" name="DOI">
    <vt:lpwstr>https://doi.org/10.33321/cdi.2021.45.54</vt:lpwstr>
  </property>
</Properties>
</file>