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7152"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3B2BE0">
          <w:t>2023</w:t>
        </w:r>
      </w:fldSimple>
      <w:r w:rsidRPr="00B50D8D">
        <w:t xml:space="preserve">, Volume </w:t>
      </w:r>
      <w:fldSimple w:instr=" DOCPROPERTY  Vol  \* MERGEFORMAT ">
        <w:r w:rsidR="003B2BE0">
          <w:t>47</w:t>
        </w:r>
      </w:fldSimple>
    </w:p>
    <w:p w14:paraId="329A4C47" w14:textId="24298516" w:rsidR="00B50D8D" w:rsidRPr="00B50D8D" w:rsidRDefault="000978B6" w:rsidP="00B50D8D">
      <w:pPr>
        <w:pStyle w:val="CDIfootnotes"/>
      </w:pPr>
      <w:fldSimple w:instr=" DOCPROPERTY  DOI  \* MERGEFORMAT ">
        <w:r w:rsidR="00EF3F16">
          <w:t>https://doi.org/10.33321/cdi.2023.47.40</w:t>
        </w:r>
      </w:fldSimple>
    </w:p>
    <w:p w14:paraId="646D1270" w14:textId="08679F50" w:rsidR="00B50D8D" w:rsidRPr="00B50D8D" w:rsidRDefault="00B50D8D" w:rsidP="00B50D8D">
      <w:pPr>
        <w:pStyle w:val="CDIfootnotes"/>
      </w:pPr>
      <w:r w:rsidRPr="00B50D8D">
        <w:t xml:space="preserve">Publication date: </w:t>
      </w:r>
      <w:fldSimple w:instr=" DOCPROPERTY  ePubDate  \* MERGEFORMAT ">
        <w:r w:rsidR="00B61093">
          <w:t>27/7/2023</w:t>
        </w:r>
      </w:fldSimple>
    </w:p>
    <w:p w14:paraId="476939F0" w14:textId="7F25952E" w:rsidR="00B50D8D" w:rsidRPr="00B50D8D" w:rsidRDefault="00000000" w:rsidP="00B50D8D">
      <w:pPr>
        <w:pStyle w:val="CDIfootnotes"/>
      </w:pPr>
      <w:hyperlink r:id="rId9" w:history="1">
        <w:r w:rsidR="00B50D8D" w:rsidRPr="00B50D8D">
          <w:rPr>
            <w:rStyle w:val="Hyperlink"/>
          </w:rPr>
          <w:t>http://health.gov.au/cdi</w:t>
        </w:r>
      </w:hyperlink>
      <w:r w:rsidR="00B50D8D" w:rsidRPr="00B50D8D">
        <w:t xml:space="preserve"> </w:t>
      </w:r>
    </w:p>
    <w:p w14:paraId="452A5DD5" w14:textId="4D440C08" w:rsidR="0038134A" w:rsidRDefault="0038134A" w:rsidP="0038134A">
      <w:pPr>
        <w:pStyle w:val="Title"/>
        <w:divId w:val="1157111804"/>
        <w:rPr>
          <w:rFonts w:eastAsia="Times New Roman"/>
          <w:sz w:val="48"/>
          <w:szCs w:val="48"/>
        </w:rPr>
      </w:pPr>
      <w:r>
        <w:rPr>
          <w:rFonts w:eastAsia="Times New Roman"/>
        </w:rPr>
        <w:t>Summary of National Surveillance Data on Vaccine Preventable Diseases in Australia, 2016-2018 Final</w:t>
      </w:r>
      <w:r w:rsidR="00C46DB3">
        <w:rPr>
          <w:rFonts w:eastAsia="Times New Roman"/>
        </w:rPr>
        <w:t> </w:t>
      </w:r>
      <w:r>
        <w:rPr>
          <w:rFonts w:eastAsia="Times New Roman"/>
        </w:rPr>
        <w:t xml:space="preserve">Report </w:t>
      </w:r>
    </w:p>
    <w:p w14:paraId="055E8455" w14:textId="77777777" w:rsidR="0038134A" w:rsidRDefault="0038134A" w:rsidP="00201171">
      <w:pPr>
        <w:pStyle w:val="Subtitle"/>
        <w:divId w:val="1157111804"/>
        <w:rPr>
          <w:rFonts w:eastAsia="Times New Roman"/>
        </w:rPr>
      </w:pPr>
      <w:r>
        <w:rPr>
          <w:rFonts w:eastAsia="Times New Roman"/>
        </w:rPr>
        <w:t xml:space="preserve">Erratum to </w:t>
      </w:r>
      <w:proofErr w:type="spellStart"/>
      <w:r>
        <w:rPr>
          <w:rFonts w:eastAsia="Times New Roman"/>
        </w:rPr>
        <w:t>Commun</w:t>
      </w:r>
      <w:proofErr w:type="spellEnd"/>
      <w:r>
        <w:rPr>
          <w:rFonts w:eastAsia="Times New Roman"/>
        </w:rPr>
        <w:t xml:space="preserve"> Dis </w:t>
      </w:r>
      <w:proofErr w:type="spellStart"/>
      <w:r>
        <w:rPr>
          <w:rFonts w:eastAsia="Times New Roman"/>
        </w:rPr>
        <w:t>Intell</w:t>
      </w:r>
      <w:proofErr w:type="spellEnd"/>
      <w:r>
        <w:rPr>
          <w:rFonts w:eastAsia="Times New Roman"/>
        </w:rPr>
        <w:t xml:space="preserve"> (2018) 2022;46. (https://doi.org/10.33321/cdi.2022.46.28) </w:t>
      </w:r>
    </w:p>
    <w:p w14:paraId="16075D17" w14:textId="77777777" w:rsidR="0038134A" w:rsidRDefault="0038134A" w:rsidP="0038134A">
      <w:pPr>
        <w:divId w:val="1157111804"/>
      </w:pPr>
      <w:r>
        <w:t xml:space="preserve">Cyra Patel, Aditi Dey, Han Wang, Peter McIntyre, Kristine Macartney, Frank Beard </w:t>
      </w:r>
    </w:p>
    <w:p w14:paraId="338AF547" w14:textId="16DDFB92" w:rsidR="0038134A" w:rsidRDefault="0038134A" w:rsidP="0038134A">
      <w:pPr>
        <w:divId w:val="1157111804"/>
      </w:pPr>
      <w:r>
        <w:t>Two tables within this report, as originally published, contained errors which are notified and corrected here. In Table 1, an incorrect rate ratio was reported for pneumococcal disease hospit</w:t>
      </w:r>
      <w:r w:rsidR="000978B6">
        <w:t>a</w:t>
      </w:r>
      <w:r>
        <w:t>lisations. In Table 3.10.1, the reported statistics for pneumococcal disease hospitalisations were for hospitalisation where pneumococcal disease was noted as the principal cause of hospitalisation. For consistency with previous surveillance reports and with reporting on the length of stay for hospitalisations in this table, the hospitalisation statistics have now been corrected to report hospitalisation numbers where pneumococcal disease was coded as any cause of hospitalisation during the reporting period. The corrected versions of these two tables are now shown overleaf.</w:t>
      </w:r>
    </w:p>
    <w:p w14:paraId="66A015D8" w14:textId="77777777" w:rsidR="00201171" w:rsidRDefault="00201171" w:rsidP="00201171">
      <w:pPr>
        <w:pStyle w:val="CDIFigures"/>
        <w:divId w:val="1276905115"/>
        <w:rPr>
          <w:rStyle w:val="Strong"/>
          <w:b/>
          <w:bCs w:val="0"/>
        </w:rPr>
        <w:sectPr w:rsidR="00201171" w:rsidSect="00A30C3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134" w:left="720" w:header="709" w:footer="284" w:gutter="0"/>
          <w:cols w:space="708"/>
          <w:titlePg/>
          <w:docGrid w:linePitch="360"/>
        </w:sectPr>
      </w:pPr>
    </w:p>
    <w:p w14:paraId="4C3C0C0A" w14:textId="5DAF6636" w:rsidR="00201171" w:rsidRPr="00201171" w:rsidRDefault="00201171" w:rsidP="00201171">
      <w:pPr>
        <w:pStyle w:val="CDIFigures"/>
        <w:divId w:val="1276905115"/>
      </w:pPr>
      <w:r w:rsidRPr="00201171">
        <w:rPr>
          <w:rStyle w:val="Strong"/>
          <w:b/>
          <w:bCs w:val="0"/>
        </w:rPr>
        <w:lastRenderedPageBreak/>
        <w:t>Table 1: Notifications, hospitalisations and deaths for 16 vaccine preventable diseases, current versus previous reporting periods (2016–18 vs 2012–15)</w:t>
      </w:r>
      <w:r w:rsidRPr="00201171">
        <w:rPr>
          <w:rStyle w:val="Strong"/>
          <w:b/>
          <w:bCs w:val="0"/>
          <w:vertAlign w:val="superscript"/>
        </w:rPr>
        <w:t>a</w:t>
      </w:r>
      <w:r w:rsidRPr="00201171">
        <w:t xml:space="preserve"> </w:t>
      </w:r>
    </w:p>
    <w:tbl>
      <w:tblPr>
        <w:tblStyle w:val="CDI-StandardTable"/>
        <w:tblW w:w="0" w:type="auto"/>
        <w:tblCellMar>
          <w:left w:w="113" w:type="dxa"/>
          <w:right w:w="113" w:type="dxa"/>
        </w:tblCellMar>
        <w:tblLook w:val="04A0" w:firstRow="1" w:lastRow="0" w:firstColumn="1" w:lastColumn="0" w:noHBand="0" w:noVBand="1"/>
        <w:tblDescription w:val="Table 1 shows the rates and rate ratios of notifications, hospitalisations and deaths for 16 vaccine preventable diseases over two successive reporting periods (4 years from 2012 to 2015 and 3 years from 2016 to 2018).&#10;This version of this Table corrects the originally published version, in which an incorrect rate ratio was reported for pneumococcal disease hospitalisations."/>
      </w:tblPr>
      <w:tblGrid>
        <w:gridCol w:w="2552"/>
        <w:gridCol w:w="1134"/>
        <w:gridCol w:w="1134"/>
        <w:gridCol w:w="1562"/>
        <w:gridCol w:w="1272"/>
        <w:gridCol w:w="1419"/>
        <w:gridCol w:w="1594"/>
        <w:gridCol w:w="1239"/>
        <w:gridCol w:w="1419"/>
        <w:gridCol w:w="1659"/>
      </w:tblGrid>
      <w:tr w:rsidR="00201171" w:rsidRPr="00407865" w14:paraId="07A629FC" w14:textId="77777777" w:rsidTr="00684D29">
        <w:trPr>
          <w:cnfStyle w:val="100000000000" w:firstRow="1" w:lastRow="0" w:firstColumn="0" w:lastColumn="0" w:oddVBand="0" w:evenVBand="0" w:oddHBand="0" w:evenHBand="0" w:firstRowFirstColumn="0" w:firstRowLastColumn="0" w:lastRowFirstColumn="0" w:lastRowLastColumn="0"/>
          <w:divId w:val="1276905115"/>
          <w:tblHeader/>
        </w:trPr>
        <w:tc>
          <w:tcPr>
            <w:tcW w:w="2552" w:type="dxa"/>
            <w:vMerge w:val="restart"/>
            <w:hideMark/>
          </w:tcPr>
          <w:p w14:paraId="36A6C1B0" w14:textId="77777777" w:rsidR="00201171" w:rsidRPr="00407865" w:rsidRDefault="00201171" w:rsidP="00201171">
            <w:pPr>
              <w:pStyle w:val="NormalWeb"/>
              <w:jc w:val="left"/>
              <w:rPr>
                <w:sz w:val="18"/>
                <w:szCs w:val="18"/>
                <w:lang w:val="en-GB"/>
              </w:rPr>
            </w:pPr>
            <w:r w:rsidRPr="00407865">
              <w:rPr>
                <w:sz w:val="18"/>
                <w:szCs w:val="18"/>
                <w:lang w:val="en-GB"/>
              </w:rPr>
              <w:t>Disease</w:t>
            </w:r>
          </w:p>
        </w:tc>
        <w:tc>
          <w:tcPr>
            <w:tcW w:w="3830" w:type="dxa"/>
            <w:gridSpan w:val="3"/>
            <w:hideMark/>
          </w:tcPr>
          <w:p w14:paraId="36613F8D" w14:textId="77777777" w:rsidR="00201171" w:rsidRPr="00407865" w:rsidRDefault="00201171">
            <w:pPr>
              <w:pStyle w:val="NormalWeb"/>
              <w:rPr>
                <w:sz w:val="18"/>
                <w:szCs w:val="18"/>
                <w:lang w:val="en-GB"/>
              </w:rPr>
            </w:pPr>
            <w:r w:rsidRPr="00407865">
              <w:rPr>
                <w:sz w:val="18"/>
                <w:szCs w:val="18"/>
                <w:lang w:val="en-GB"/>
              </w:rPr>
              <w:t>Notifications</w:t>
            </w:r>
          </w:p>
        </w:tc>
        <w:tc>
          <w:tcPr>
            <w:tcW w:w="0" w:type="auto"/>
            <w:gridSpan w:val="3"/>
            <w:hideMark/>
          </w:tcPr>
          <w:p w14:paraId="7D876003" w14:textId="47933969" w:rsidR="00201171" w:rsidRPr="00407865" w:rsidRDefault="00201171" w:rsidP="00201171">
            <w:pPr>
              <w:pStyle w:val="NormalWeb"/>
              <w:rPr>
                <w:sz w:val="18"/>
                <w:szCs w:val="18"/>
                <w:lang w:val="en-GB"/>
              </w:rPr>
            </w:pPr>
            <w:r w:rsidRPr="00407865">
              <w:rPr>
                <w:sz w:val="18"/>
                <w:szCs w:val="18"/>
                <w:lang w:val="en-GB"/>
              </w:rPr>
              <w:t>Hospitalisations</w:t>
            </w:r>
            <w:r w:rsidR="00EC45C2">
              <w:rPr>
                <w:sz w:val="18"/>
                <w:szCs w:val="18"/>
                <w:lang w:val="en-GB"/>
              </w:rPr>
              <w:t xml:space="preserve"> </w:t>
            </w:r>
            <w:r w:rsidRPr="00407865">
              <w:rPr>
                <w:sz w:val="18"/>
                <w:szCs w:val="18"/>
                <w:lang w:val="en-GB"/>
              </w:rPr>
              <w:t>Principal diagnosis</w:t>
            </w:r>
          </w:p>
        </w:tc>
        <w:tc>
          <w:tcPr>
            <w:tcW w:w="0" w:type="auto"/>
            <w:gridSpan w:val="3"/>
            <w:hideMark/>
          </w:tcPr>
          <w:p w14:paraId="0D516BED" w14:textId="1B5CEE5F" w:rsidR="00201171" w:rsidRPr="00407865" w:rsidRDefault="00201171" w:rsidP="00201171">
            <w:pPr>
              <w:pStyle w:val="NormalWeb"/>
              <w:rPr>
                <w:sz w:val="18"/>
                <w:szCs w:val="18"/>
                <w:lang w:val="en-GB"/>
              </w:rPr>
            </w:pPr>
            <w:r w:rsidRPr="00407865">
              <w:rPr>
                <w:sz w:val="18"/>
                <w:szCs w:val="18"/>
                <w:lang w:val="en-GB"/>
              </w:rPr>
              <w:t>Deaths</w:t>
            </w:r>
            <w:r w:rsidR="00EC45C2">
              <w:rPr>
                <w:sz w:val="18"/>
                <w:szCs w:val="18"/>
                <w:lang w:val="en-GB"/>
              </w:rPr>
              <w:t xml:space="preserve"> </w:t>
            </w:r>
            <w:r w:rsidRPr="00407865">
              <w:rPr>
                <w:sz w:val="18"/>
                <w:szCs w:val="18"/>
                <w:lang w:val="en-GB"/>
              </w:rPr>
              <w:t>Underlying cause</w:t>
            </w:r>
          </w:p>
        </w:tc>
      </w:tr>
      <w:tr w:rsidR="00407865" w:rsidRPr="00407865" w14:paraId="4CF44C25" w14:textId="77777777" w:rsidTr="00EC45C2">
        <w:trPr>
          <w:cnfStyle w:val="100000000000" w:firstRow="1" w:lastRow="0" w:firstColumn="0" w:lastColumn="0" w:oddVBand="0" w:evenVBand="0" w:oddHBand="0" w:evenHBand="0" w:firstRowFirstColumn="0" w:firstRowLastColumn="0" w:lastRowFirstColumn="0" w:lastRowLastColumn="0"/>
          <w:divId w:val="1276905115"/>
          <w:trHeight w:val="846"/>
          <w:tblHeader/>
        </w:trPr>
        <w:tc>
          <w:tcPr>
            <w:tcW w:w="2552" w:type="dxa"/>
            <w:vMerge/>
            <w:hideMark/>
          </w:tcPr>
          <w:p w14:paraId="0CA55595" w14:textId="77777777" w:rsidR="00201171" w:rsidRPr="00407865" w:rsidRDefault="00201171" w:rsidP="00201171">
            <w:pPr>
              <w:jc w:val="left"/>
              <w:rPr>
                <w:sz w:val="18"/>
                <w:szCs w:val="18"/>
                <w:lang w:val="en-GB"/>
              </w:rPr>
            </w:pPr>
          </w:p>
        </w:tc>
        <w:tc>
          <w:tcPr>
            <w:tcW w:w="1134" w:type="dxa"/>
            <w:hideMark/>
          </w:tcPr>
          <w:p w14:paraId="136CA8FE" w14:textId="2296CB61" w:rsidR="00201171" w:rsidRPr="00407865" w:rsidRDefault="00201171" w:rsidP="00201171">
            <w:pPr>
              <w:pStyle w:val="NormalWeb"/>
              <w:rPr>
                <w:sz w:val="18"/>
                <w:szCs w:val="18"/>
                <w:lang w:val="en-GB"/>
              </w:rPr>
            </w:pPr>
            <w:r w:rsidRPr="00407865">
              <w:rPr>
                <w:sz w:val="18"/>
                <w:szCs w:val="18"/>
                <w:lang w:val="en-GB"/>
              </w:rPr>
              <w:t xml:space="preserve">Average annual </w:t>
            </w:r>
            <w:proofErr w:type="spellStart"/>
            <w:r w:rsidRPr="00407865">
              <w:rPr>
                <w:sz w:val="18"/>
                <w:szCs w:val="18"/>
                <w:lang w:val="en-GB"/>
              </w:rPr>
              <w:t>rate</w:t>
            </w:r>
            <w:r w:rsidRPr="00407865">
              <w:rPr>
                <w:sz w:val="18"/>
                <w:szCs w:val="18"/>
                <w:vertAlign w:val="superscript"/>
                <w:lang w:val="en-GB"/>
              </w:rPr>
              <w:t>b</w:t>
            </w:r>
            <w:proofErr w:type="spellEnd"/>
            <w:r w:rsidRPr="00407865">
              <w:rPr>
                <w:sz w:val="18"/>
                <w:szCs w:val="18"/>
                <w:vertAlign w:val="superscript"/>
                <w:lang w:val="en-GB"/>
              </w:rPr>
              <w:br/>
            </w:r>
            <w:r w:rsidRPr="00407865">
              <w:rPr>
                <w:sz w:val="18"/>
                <w:szCs w:val="18"/>
                <w:lang w:val="en-GB"/>
              </w:rPr>
              <w:t>2012–2015</w:t>
            </w:r>
          </w:p>
        </w:tc>
        <w:tc>
          <w:tcPr>
            <w:tcW w:w="1134" w:type="dxa"/>
            <w:hideMark/>
          </w:tcPr>
          <w:p w14:paraId="55127FDD" w14:textId="743E7EDA" w:rsidR="00201171" w:rsidRPr="00407865" w:rsidRDefault="00201171" w:rsidP="00201171">
            <w:pPr>
              <w:pStyle w:val="NormalWeb"/>
              <w:rPr>
                <w:sz w:val="18"/>
                <w:szCs w:val="18"/>
                <w:lang w:val="en-GB"/>
              </w:rPr>
            </w:pPr>
            <w:r w:rsidRPr="00407865">
              <w:rPr>
                <w:sz w:val="18"/>
                <w:szCs w:val="18"/>
                <w:lang w:val="en-GB"/>
              </w:rPr>
              <w:t xml:space="preserve">Average annual </w:t>
            </w:r>
            <w:proofErr w:type="spellStart"/>
            <w:r w:rsidRPr="00407865">
              <w:rPr>
                <w:sz w:val="18"/>
                <w:szCs w:val="18"/>
                <w:lang w:val="en-GB"/>
              </w:rPr>
              <w:t>rate</w:t>
            </w:r>
            <w:r w:rsidRPr="00407865">
              <w:rPr>
                <w:sz w:val="18"/>
                <w:szCs w:val="18"/>
                <w:vertAlign w:val="superscript"/>
                <w:lang w:val="en-GB"/>
              </w:rPr>
              <w:t>b</w:t>
            </w:r>
            <w:proofErr w:type="spellEnd"/>
            <w:r w:rsidRPr="00407865">
              <w:rPr>
                <w:sz w:val="18"/>
                <w:szCs w:val="18"/>
                <w:vertAlign w:val="superscript"/>
                <w:lang w:val="en-GB"/>
              </w:rPr>
              <w:br/>
            </w:r>
            <w:r w:rsidRPr="00407865">
              <w:rPr>
                <w:sz w:val="18"/>
                <w:szCs w:val="18"/>
                <w:lang w:val="en-GB"/>
              </w:rPr>
              <w:t>2016–2018</w:t>
            </w:r>
          </w:p>
        </w:tc>
        <w:tc>
          <w:tcPr>
            <w:tcW w:w="1562" w:type="dxa"/>
            <w:hideMark/>
          </w:tcPr>
          <w:p w14:paraId="41C0149B" w14:textId="0FDCD74D" w:rsidR="00201171" w:rsidRPr="00407865" w:rsidRDefault="00201171">
            <w:pPr>
              <w:pStyle w:val="NormalWeb"/>
              <w:rPr>
                <w:sz w:val="18"/>
                <w:szCs w:val="18"/>
                <w:lang w:val="en-GB"/>
              </w:rPr>
            </w:pPr>
            <w:r w:rsidRPr="00407865">
              <w:rPr>
                <w:sz w:val="18"/>
                <w:szCs w:val="18"/>
                <w:lang w:val="en-GB"/>
              </w:rPr>
              <w:t>Rate ratio</w:t>
            </w:r>
            <w:r w:rsidR="00C75336">
              <w:rPr>
                <w:sz w:val="18"/>
                <w:szCs w:val="18"/>
                <w:lang w:val="en-GB"/>
              </w:rPr>
              <w:br/>
            </w:r>
            <w:r w:rsidRPr="00407865">
              <w:rPr>
                <w:sz w:val="18"/>
                <w:szCs w:val="18"/>
                <w:lang w:val="en-GB"/>
              </w:rPr>
              <w:t>(95% CI)</w:t>
            </w:r>
            <w:r w:rsidRPr="00407865">
              <w:rPr>
                <w:sz w:val="18"/>
                <w:szCs w:val="18"/>
                <w:vertAlign w:val="superscript"/>
                <w:lang w:val="en-GB"/>
              </w:rPr>
              <w:t>c</w:t>
            </w:r>
          </w:p>
        </w:tc>
        <w:tc>
          <w:tcPr>
            <w:tcW w:w="1272" w:type="dxa"/>
            <w:hideMark/>
          </w:tcPr>
          <w:p w14:paraId="2CA27C83" w14:textId="297A46D7" w:rsidR="00201171" w:rsidRPr="00407865" w:rsidRDefault="00201171" w:rsidP="00201171">
            <w:pPr>
              <w:pStyle w:val="NormalWeb"/>
              <w:rPr>
                <w:sz w:val="18"/>
                <w:szCs w:val="18"/>
                <w:lang w:val="en-GB"/>
              </w:rPr>
            </w:pPr>
            <w:r w:rsidRPr="00407865">
              <w:rPr>
                <w:sz w:val="18"/>
                <w:szCs w:val="18"/>
                <w:lang w:val="en-GB"/>
              </w:rPr>
              <w:t xml:space="preserve">Average annual </w:t>
            </w:r>
            <w:proofErr w:type="spellStart"/>
            <w:r w:rsidRPr="00407865">
              <w:rPr>
                <w:sz w:val="18"/>
                <w:szCs w:val="18"/>
                <w:lang w:val="en-GB"/>
              </w:rPr>
              <w:t>rate</w:t>
            </w:r>
            <w:r w:rsidRPr="00407865">
              <w:rPr>
                <w:sz w:val="18"/>
                <w:szCs w:val="18"/>
                <w:vertAlign w:val="superscript"/>
                <w:lang w:val="en-GB"/>
              </w:rPr>
              <w:t>b</w:t>
            </w:r>
            <w:proofErr w:type="spellEnd"/>
            <w:r w:rsidRPr="00407865">
              <w:rPr>
                <w:sz w:val="18"/>
                <w:szCs w:val="18"/>
                <w:vertAlign w:val="superscript"/>
                <w:lang w:val="en-GB"/>
              </w:rPr>
              <w:br/>
            </w:r>
            <w:r w:rsidRPr="00407865">
              <w:rPr>
                <w:sz w:val="18"/>
                <w:szCs w:val="18"/>
                <w:lang w:val="en-GB"/>
              </w:rPr>
              <w:t>2012–2015</w:t>
            </w:r>
          </w:p>
        </w:tc>
        <w:tc>
          <w:tcPr>
            <w:tcW w:w="1419" w:type="dxa"/>
            <w:hideMark/>
          </w:tcPr>
          <w:p w14:paraId="4C6B2E39" w14:textId="3B7D5BD2" w:rsidR="00201171" w:rsidRPr="00407865" w:rsidRDefault="00201171" w:rsidP="00201171">
            <w:pPr>
              <w:pStyle w:val="NormalWeb"/>
              <w:rPr>
                <w:sz w:val="18"/>
                <w:szCs w:val="18"/>
                <w:lang w:val="en-GB"/>
              </w:rPr>
            </w:pPr>
            <w:r w:rsidRPr="00407865">
              <w:rPr>
                <w:sz w:val="18"/>
                <w:szCs w:val="18"/>
                <w:lang w:val="en-GB"/>
              </w:rPr>
              <w:t xml:space="preserve">Average annual </w:t>
            </w:r>
            <w:proofErr w:type="spellStart"/>
            <w:r w:rsidRPr="00407865">
              <w:rPr>
                <w:sz w:val="18"/>
                <w:szCs w:val="18"/>
                <w:lang w:val="en-GB"/>
              </w:rPr>
              <w:t>rate</w:t>
            </w:r>
            <w:r w:rsidRPr="00407865">
              <w:rPr>
                <w:sz w:val="18"/>
                <w:szCs w:val="18"/>
                <w:vertAlign w:val="superscript"/>
                <w:lang w:val="en-GB"/>
              </w:rPr>
              <w:t>b</w:t>
            </w:r>
            <w:proofErr w:type="spellEnd"/>
            <w:r w:rsidRPr="00407865">
              <w:rPr>
                <w:sz w:val="18"/>
                <w:szCs w:val="18"/>
                <w:vertAlign w:val="superscript"/>
                <w:lang w:val="en-GB"/>
              </w:rPr>
              <w:br/>
            </w:r>
            <w:r w:rsidRPr="00407865">
              <w:rPr>
                <w:sz w:val="18"/>
                <w:szCs w:val="18"/>
                <w:lang w:val="en-GB"/>
              </w:rPr>
              <w:t>2016–2018</w:t>
            </w:r>
          </w:p>
        </w:tc>
        <w:tc>
          <w:tcPr>
            <w:tcW w:w="1594" w:type="dxa"/>
            <w:hideMark/>
          </w:tcPr>
          <w:p w14:paraId="46D910F5" w14:textId="73734CF3" w:rsidR="00201171" w:rsidRPr="00407865" w:rsidRDefault="00201171">
            <w:pPr>
              <w:pStyle w:val="NormalWeb"/>
              <w:rPr>
                <w:sz w:val="18"/>
                <w:szCs w:val="18"/>
                <w:lang w:val="en-GB"/>
              </w:rPr>
            </w:pPr>
            <w:r w:rsidRPr="00407865">
              <w:rPr>
                <w:sz w:val="18"/>
                <w:szCs w:val="18"/>
                <w:lang w:val="en-GB"/>
              </w:rPr>
              <w:t>Rate ratio</w:t>
            </w:r>
            <w:r w:rsidR="00C75336">
              <w:rPr>
                <w:sz w:val="18"/>
                <w:szCs w:val="18"/>
                <w:lang w:val="en-GB"/>
              </w:rPr>
              <w:br/>
            </w:r>
            <w:r w:rsidRPr="00407865">
              <w:rPr>
                <w:sz w:val="18"/>
                <w:szCs w:val="18"/>
                <w:lang w:val="en-GB"/>
              </w:rPr>
              <w:t>(95% CI)</w:t>
            </w:r>
            <w:r w:rsidRPr="00407865">
              <w:rPr>
                <w:sz w:val="18"/>
                <w:szCs w:val="18"/>
                <w:vertAlign w:val="superscript"/>
                <w:lang w:val="en-GB"/>
              </w:rPr>
              <w:t>c</w:t>
            </w:r>
          </w:p>
        </w:tc>
        <w:tc>
          <w:tcPr>
            <w:tcW w:w="1239" w:type="dxa"/>
            <w:hideMark/>
          </w:tcPr>
          <w:p w14:paraId="2622CECB" w14:textId="3312F642" w:rsidR="00201171" w:rsidRPr="00407865" w:rsidRDefault="00201171" w:rsidP="00201171">
            <w:pPr>
              <w:pStyle w:val="NormalWeb"/>
              <w:rPr>
                <w:sz w:val="18"/>
                <w:szCs w:val="18"/>
                <w:lang w:val="en-GB"/>
              </w:rPr>
            </w:pPr>
            <w:r w:rsidRPr="00407865">
              <w:rPr>
                <w:sz w:val="18"/>
                <w:szCs w:val="18"/>
                <w:lang w:val="en-GB"/>
              </w:rPr>
              <w:t xml:space="preserve">Average annual </w:t>
            </w:r>
            <w:proofErr w:type="spellStart"/>
            <w:r w:rsidRPr="00407865">
              <w:rPr>
                <w:sz w:val="18"/>
                <w:szCs w:val="18"/>
                <w:lang w:val="en-GB"/>
              </w:rPr>
              <w:t>rate</w:t>
            </w:r>
            <w:r w:rsidRPr="00407865">
              <w:rPr>
                <w:sz w:val="18"/>
                <w:szCs w:val="18"/>
                <w:vertAlign w:val="superscript"/>
                <w:lang w:val="en-GB"/>
              </w:rPr>
              <w:t>b</w:t>
            </w:r>
            <w:proofErr w:type="spellEnd"/>
            <w:r w:rsidRPr="00407865">
              <w:rPr>
                <w:sz w:val="18"/>
                <w:szCs w:val="18"/>
                <w:vertAlign w:val="superscript"/>
                <w:lang w:val="en-GB"/>
              </w:rPr>
              <w:br/>
            </w:r>
            <w:r w:rsidRPr="00407865">
              <w:rPr>
                <w:sz w:val="18"/>
                <w:szCs w:val="18"/>
                <w:lang w:val="en-GB"/>
              </w:rPr>
              <w:t>2012–2015</w:t>
            </w:r>
          </w:p>
        </w:tc>
        <w:tc>
          <w:tcPr>
            <w:tcW w:w="1419" w:type="dxa"/>
            <w:hideMark/>
          </w:tcPr>
          <w:p w14:paraId="38559FC4" w14:textId="75939761" w:rsidR="00201171" w:rsidRPr="00407865" w:rsidRDefault="00201171" w:rsidP="00201171">
            <w:pPr>
              <w:pStyle w:val="NormalWeb"/>
              <w:rPr>
                <w:sz w:val="18"/>
                <w:szCs w:val="18"/>
                <w:lang w:val="en-GB"/>
              </w:rPr>
            </w:pPr>
            <w:r w:rsidRPr="00407865">
              <w:rPr>
                <w:sz w:val="18"/>
                <w:szCs w:val="18"/>
                <w:lang w:val="en-GB"/>
              </w:rPr>
              <w:t xml:space="preserve">Average annual </w:t>
            </w:r>
            <w:proofErr w:type="spellStart"/>
            <w:r w:rsidRPr="00407865">
              <w:rPr>
                <w:sz w:val="18"/>
                <w:szCs w:val="18"/>
                <w:lang w:val="en-GB"/>
              </w:rPr>
              <w:t>rate</w:t>
            </w:r>
            <w:r w:rsidRPr="00407865">
              <w:rPr>
                <w:sz w:val="18"/>
                <w:szCs w:val="18"/>
                <w:vertAlign w:val="superscript"/>
                <w:lang w:val="en-GB"/>
              </w:rPr>
              <w:t>b</w:t>
            </w:r>
            <w:proofErr w:type="spellEnd"/>
            <w:r w:rsidRPr="00407865">
              <w:rPr>
                <w:sz w:val="18"/>
                <w:szCs w:val="18"/>
                <w:vertAlign w:val="superscript"/>
                <w:lang w:val="en-GB"/>
              </w:rPr>
              <w:br/>
            </w:r>
            <w:r w:rsidRPr="00407865">
              <w:rPr>
                <w:sz w:val="18"/>
                <w:szCs w:val="18"/>
                <w:lang w:val="en-GB"/>
              </w:rPr>
              <w:t>2016–2018</w:t>
            </w:r>
          </w:p>
        </w:tc>
        <w:tc>
          <w:tcPr>
            <w:tcW w:w="1659" w:type="dxa"/>
            <w:hideMark/>
          </w:tcPr>
          <w:p w14:paraId="47DEE497" w14:textId="45F3A229" w:rsidR="00201171" w:rsidRPr="00407865" w:rsidRDefault="00201171">
            <w:pPr>
              <w:pStyle w:val="NormalWeb"/>
              <w:rPr>
                <w:sz w:val="18"/>
                <w:szCs w:val="18"/>
                <w:lang w:val="en-GB"/>
              </w:rPr>
            </w:pPr>
            <w:r w:rsidRPr="00407865">
              <w:rPr>
                <w:sz w:val="18"/>
                <w:szCs w:val="18"/>
                <w:lang w:val="en-GB"/>
              </w:rPr>
              <w:t>Rate ratio</w:t>
            </w:r>
            <w:r w:rsidR="00C75336">
              <w:rPr>
                <w:sz w:val="18"/>
                <w:szCs w:val="18"/>
                <w:lang w:val="en-GB"/>
              </w:rPr>
              <w:br/>
            </w:r>
            <w:r w:rsidRPr="00407865">
              <w:rPr>
                <w:sz w:val="18"/>
                <w:szCs w:val="18"/>
                <w:lang w:val="en-GB"/>
              </w:rPr>
              <w:t>(95% CI)</w:t>
            </w:r>
            <w:r w:rsidRPr="00407865">
              <w:rPr>
                <w:sz w:val="18"/>
                <w:szCs w:val="18"/>
                <w:vertAlign w:val="superscript"/>
                <w:lang w:val="en-GB"/>
              </w:rPr>
              <w:t>c</w:t>
            </w:r>
          </w:p>
        </w:tc>
      </w:tr>
      <w:tr w:rsidR="00407865" w:rsidRPr="00407865" w14:paraId="4521BC72" w14:textId="77777777" w:rsidTr="00684D29">
        <w:trPr>
          <w:divId w:val="1276905115"/>
        </w:trPr>
        <w:tc>
          <w:tcPr>
            <w:tcW w:w="2552" w:type="dxa"/>
            <w:hideMark/>
          </w:tcPr>
          <w:p w14:paraId="531A18BB" w14:textId="77777777" w:rsidR="00201171" w:rsidRPr="00407865" w:rsidRDefault="00201171" w:rsidP="00201171">
            <w:pPr>
              <w:pStyle w:val="NormalWeb"/>
              <w:jc w:val="left"/>
              <w:rPr>
                <w:sz w:val="18"/>
                <w:szCs w:val="18"/>
                <w:lang w:val="en-GB"/>
              </w:rPr>
            </w:pPr>
            <w:r w:rsidRPr="00407865">
              <w:rPr>
                <w:sz w:val="18"/>
                <w:szCs w:val="18"/>
                <w:lang w:val="en-GB"/>
              </w:rPr>
              <w:t>Diphtheria</w:t>
            </w:r>
          </w:p>
        </w:tc>
        <w:tc>
          <w:tcPr>
            <w:tcW w:w="1134" w:type="dxa"/>
            <w:hideMark/>
          </w:tcPr>
          <w:p w14:paraId="2B33B05A" w14:textId="77777777" w:rsidR="00201171" w:rsidRPr="00407865" w:rsidRDefault="00201171">
            <w:pPr>
              <w:pStyle w:val="NormalWeb"/>
              <w:rPr>
                <w:sz w:val="18"/>
                <w:szCs w:val="18"/>
                <w:lang w:val="en-GB"/>
              </w:rPr>
            </w:pPr>
            <w:r w:rsidRPr="00407865">
              <w:rPr>
                <w:sz w:val="18"/>
                <w:szCs w:val="18"/>
                <w:lang w:val="en-GB"/>
              </w:rPr>
              <w:t>&lt; 0.01</w:t>
            </w:r>
          </w:p>
        </w:tc>
        <w:tc>
          <w:tcPr>
            <w:tcW w:w="1134" w:type="dxa"/>
            <w:hideMark/>
          </w:tcPr>
          <w:p w14:paraId="79012E2E" w14:textId="77777777" w:rsidR="00201171" w:rsidRPr="00407865" w:rsidRDefault="00201171">
            <w:pPr>
              <w:pStyle w:val="NormalWeb"/>
              <w:rPr>
                <w:sz w:val="18"/>
                <w:szCs w:val="18"/>
                <w:lang w:val="en-GB"/>
              </w:rPr>
            </w:pPr>
            <w:r w:rsidRPr="00407865">
              <w:rPr>
                <w:sz w:val="18"/>
                <w:szCs w:val="18"/>
                <w:lang w:val="en-GB"/>
              </w:rPr>
              <w:t>0.04</w:t>
            </w:r>
          </w:p>
        </w:tc>
        <w:tc>
          <w:tcPr>
            <w:tcW w:w="1562" w:type="dxa"/>
            <w:hideMark/>
          </w:tcPr>
          <w:p w14:paraId="3D559179" w14:textId="77777777" w:rsidR="00201171" w:rsidRPr="00407865" w:rsidRDefault="00201171">
            <w:pPr>
              <w:pStyle w:val="NormalWeb"/>
              <w:rPr>
                <w:sz w:val="18"/>
                <w:szCs w:val="18"/>
                <w:lang w:val="en-GB"/>
              </w:rPr>
            </w:pPr>
            <w:r w:rsidRPr="00407865">
              <w:rPr>
                <w:sz w:val="18"/>
                <w:szCs w:val="18"/>
                <w:lang w:val="en-GB"/>
              </w:rPr>
              <w:t>4.87 (2.07–13.26)</w:t>
            </w:r>
          </w:p>
        </w:tc>
        <w:tc>
          <w:tcPr>
            <w:tcW w:w="1272" w:type="dxa"/>
            <w:hideMark/>
          </w:tcPr>
          <w:p w14:paraId="16BAA50D" w14:textId="77777777" w:rsidR="00201171" w:rsidRPr="00407865" w:rsidRDefault="00201171">
            <w:pPr>
              <w:pStyle w:val="NormalWeb"/>
              <w:rPr>
                <w:sz w:val="18"/>
                <w:szCs w:val="18"/>
                <w:lang w:val="en-GB"/>
              </w:rPr>
            </w:pPr>
            <w:r w:rsidRPr="00407865">
              <w:rPr>
                <w:sz w:val="18"/>
                <w:szCs w:val="18"/>
                <w:lang w:val="en-GB"/>
              </w:rPr>
              <w:t>0.01</w:t>
            </w:r>
          </w:p>
        </w:tc>
        <w:tc>
          <w:tcPr>
            <w:tcW w:w="1419" w:type="dxa"/>
            <w:hideMark/>
          </w:tcPr>
          <w:p w14:paraId="115AB240" w14:textId="77777777" w:rsidR="00201171" w:rsidRPr="00407865" w:rsidRDefault="00201171">
            <w:pPr>
              <w:pStyle w:val="NormalWeb"/>
              <w:rPr>
                <w:sz w:val="18"/>
                <w:szCs w:val="18"/>
                <w:lang w:val="en-GB"/>
              </w:rPr>
            </w:pPr>
            <w:r w:rsidRPr="00407865">
              <w:rPr>
                <w:sz w:val="18"/>
                <w:szCs w:val="18"/>
                <w:lang w:val="en-GB"/>
              </w:rPr>
              <w:t>0.01</w:t>
            </w:r>
          </w:p>
        </w:tc>
        <w:tc>
          <w:tcPr>
            <w:tcW w:w="1594" w:type="dxa"/>
            <w:hideMark/>
          </w:tcPr>
          <w:p w14:paraId="5F750283" w14:textId="77777777" w:rsidR="00201171" w:rsidRPr="00407865" w:rsidRDefault="00201171">
            <w:pPr>
              <w:pStyle w:val="NormalWeb"/>
              <w:rPr>
                <w:sz w:val="18"/>
                <w:szCs w:val="18"/>
                <w:lang w:val="en-GB"/>
              </w:rPr>
            </w:pPr>
            <w:r w:rsidRPr="00407865">
              <w:rPr>
                <w:sz w:val="18"/>
                <w:szCs w:val="18"/>
                <w:lang w:val="en-GB"/>
              </w:rPr>
              <w:t>0.88 (0.29–2.57)</w:t>
            </w:r>
          </w:p>
        </w:tc>
        <w:tc>
          <w:tcPr>
            <w:tcW w:w="1239" w:type="dxa"/>
            <w:hideMark/>
          </w:tcPr>
          <w:p w14:paraId="26EE3D73" w14:textId="77777777" w:rsidR="00201171" w:rsidRPr="00407865" w:rsidRDefault="00201171">
            <w:pPr>
              <w:pStyle w:val="NormalWeb"/>
              <w:rPr>
                <w:sz w:val="18"/>
                <w:szCs w:val="18"/>
                <w:lang w:val="en-GB"/>
              </w:rPr>
            </w:pPr>
            <w:r w:rsidRPr="00407865">
              <w:rPr>
                <w:sz w:val="18"/>
                <w:szCs w:val="18"/>
                <w:lang w:val="en-GB"/>
              </w:rPr>
              <w:t>&lt; 0.01</w:t>
            </w:r>
          </w:p>
        </w:tc>
        <w:tc>
          <w:tcPr>
            <w:tcW w:w="1419" w:type="dxa"/>
            <w:hideMark/>
          </w:tcPr>
          <w:p w14:paraId="1CB820CC" w14:textId="77777777" w:rsidR="00201171" w:rsidRPr="00407865" w:rsidRDefault="00201171">
            <w:pPr>
              <w:pStyle w:val="NormalWeb"/>
              <w:rPr>
                <w:sz w:val="18"/>
                <w:szCs w:val="18"/>
                <w:lang w:val="en-GB"/>
              </w:rPr>
            </w:pPr>
            <w:r w:rsidRPr="00407865">
              <w:rPr>
                <w:sz w:val="18"/>
                <w:szCs w:val="18"/>
                <w:lang w:val="en-GB"/>
              </w:rPr>
              <w:t>&lt; 0.01</w:t>
            </w:r>
          </w:p>
        </w:tc>
        <w:tc>
          <w:tcPr>
            <w:tcW w:w="1659" w:type="dxa"/>
            <w:hideMark/>
          </w:tcPr>
          <w:p w14:paraId="5ECEF88A" w14:textId="77777777" w:rsidR="00201171" w:rsidRPr="00407865" w:rsidRDefault="00201171">
            <w:pPr>
              <w:pStyle w:val="NormalWeb"/>
              <w:rPr>
                <w:sz w:val="18"/>
                <w:szCs w:val="18"/>
                <w:lang w:val="en-GB"/>
              </w:rPr>
            </w:pPr>
            <w:r w:rsidRPr="00407865">
              <w:rPr>
                <w:sz w:val="18"/>
                <w:szCs w:val="18"/>
                <w:lang w:val="en-GB"/>
              </w:rPr>
              <w:t>1.26 (0.02–99.21)</w:t>
            </w:r>
          </w:p>
        </w:tc>
      </w:tr>
      <w:tr w:rsidR="00407865" w:rsidRPr="00407865" w14:paraId="3629B979"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3A4733FC" w14:textId="77777777" w:rsidR="00201171" w:rsidRPr="00407865" w:rsidRDefault="00201171" w:rsidP="00201171">
            <w:pPr>
              <w:pStyle w:val="NormalWeb"/>
              <w:jc w:val="left"/>
              <w:rPr>
                <w:sz w:val="18"/>
                <w:szCs w:val="18"/>
                <w:lang w:val="en-GB"/>
              </w:rPr>
            </w:pPr>
            <w:r w:rsidRPr="000978B6">
              <w:rPr>
                <w:i/>
                <w:iCs/>
                <w:sz w:val="18"/>
                <w:szCs w:val="18"/>
                <w:lang w:val="en-GB"/>
              </w:rPr>
              <w:t>Haemophilus influenzae</w:t>
            </w:r>
            <w:r w:rsidRPr="00407865">
              <w:rPr>
                <w:sz w:val="18"/>
                <w:szCs w:val="18"/>
                <w:lang w:val="en-GB"/>
              </w:rPr>
              <w:t xml:space="preserve"> type b</w:t>
            </w:r>
          </w:p>
        </w:tc>
        <w:tc>
          <w:tcPr>
            <w:tcW w:w="1134" w:type="dxa"/>
            <w:hideMark/>
          </w:tcPr>
          <w:p w14:paraId="58A22AD4" w14:textId="77777777" w:rsidR="00201171" w:rsidRPr="00407865" w:rsidRDefault="00201171">
            <w:pPr>
              <w:pStyle w:val="NormalWeb"/>
              <w:rPr>
                <w:sz w:val="18"/>
                <w:szCs w:val="18"/>
                <w:lang w:val="en-GB"/>
              </w:rPr>
            </w:pPr>
            <w:r w:rsidRPr="00407865">
              <w:rPr>
                <w:sz w:val="18"/>
                <w:szCs w:val="18"/>
                <w:lang w:val="en-GB"/>
              </w:rPr>
              <w:t>0.08</w:t>
            </w:r>
          </w:p>
        </w:tc>
        <w:tc>
          <w:tcPr>
            <w:tcW w:w="1134" w:type="dxa"/>
            <w:hideMark/>
          </w:tcPr>
          <w:p w14:paraId="6051F083" w14:textId="77777777" w:rsidR="00201171" w:rsidRPr="00407865" w:rsidRDefault="00201171">
            <w:pPr>
              <w:pStyle w:val="NormalWeb"/>
              <w:rPr>
                <w:sz w:val="18"/>
                <w:szCs w:val="18"/>
                <w:lang w:val="en-GB"/>
              </w:rPr>
            </w:pPr>
            <w:r w:rsidRPr="00407865">
              <w:rPr>
                <w:sz w:val="18"/>
                <w:szCs w:val="18"/>
                <w:lang w:val="en-GB"/>
              </w:rPr>
              <w:t>0.07</w:t>
            </w:r>
          </w:p>
        </w:tc>
        <w:tc>
          <w:tcPr>
            <w:tcW w:w="1562" w:type="dxa"/>
            <w:hideMark/>
          </w:tcPr>
          <w:p w14:paraId="4284C834" w14:textId="77777777" w:rsidR="00201171" w:rsidRPr="00407865" w:rsidRDefault="00201171">
            <w:pPr>
              <w:pStyle w:val="NormalWeb"/>
              <w:rPr>
                <w:sz w:val="18"/>
                <w:szCs w:val="18"/>
                <w:lang w:val="en-GB"/>
              </w:rPr>
            </w:pPr>
            <w:r w:rsidRPr="00407865">
              <w:rPr>
                <w:sz w:val="18"/>
                <w:szCs w:val="18"/>
                <w:lang w:val="en-GB"/>
              </w:rPr>
              <w:t>0.88 (0.61–1.28)</w:t>
            </w:r>
          </w:p>
        </w:tc>
        <w:tc>
          <w:tcPr>
            <w:tcW w:w="1272" w:type="dxa"/>
            <w:hideMark/>
          </w:tcPr>
          <w:p w14:paraId="7B013AF8" w14:textId="77777777" w:rsidR="00201171" w:rsidRPr="00407865" w:rsidRDefault="00201171">
            <w:pPr>
              <w:pStyle w:val="NormalWeb"/>
              <w:rPr>
                <w:sz w:val="18"/>
                <w:szCs w:val="18"/>
                <w:lang w:val="en-GB"/>
              </w:rPr>
            </w:pPr>
            <w:proofErr w:type="spellStart"/>
            <w:r w:rsidRPr="00407865">
              <w:rPr>
                <w:sz w:val="18"/>
                <w:szCs w:val="18"/>
                <w:lang w:val="en-GB"/>
              </w:rPr>
              <w:t>na</w:t>
            </w:r>
            <w:r w:rsidRPr="00684D29">
              <w:rPr>
                <w:sz w:val="18"/>
                <w:szCs w:val="18"/>
                <w:vertAlign w:val="superscript"/>
                <w:lang w:val="en-GB"/>
              </w:rPr>
              <w:t>f</w:t>
            </w:r>
            <w:proofErr w:type="spellEnd"/>
          </w:p>
        </w:tc>
        <w:tc>
          <w:tcPr>
            <w:tcW w:w="1419" w:type="dxa"/>
            <w:hideMark/>
          </w:tcPr>
          <w:p w14:paraId="79403241" w14:textId="77777777" w:rsidR="00201171" w:rsidRPr="00407865" w:rsidRDefault="00201171">
            <w:pPr>
              <w:pStyle w:val="NormalWeb"/>
              <w:rPr>
                <w:sz w:val="18"/>
                <w:szCs w:val="18"/>
                <w:lang w:val="en-GB"/>
              </w:rPr>
            </w:pPr>
            <w:proofErr w:type="spellStart"/>
            <w:r w:rsidRPr="00407865">
              <w:rPr>
                <w:sz w:val="18"/>
                <w:szCs w:val="18"/>
                <w:lang w:val="en-GB"/>
              </w:rPr>
              <w:t>na</w:t>
            </w:r>
            <w:r w:rsidRPr="00684D29">
              <w:rPr>
                <w:sz w:val="18"/>
                <w:szCs w:val="18"/>
                <w:vertAlign w:val="superscript"/>
                <w:lang w:val="en-GB"/>
              </w:rPr>
              <w:t>f</w:t>
            </w:r>
            <w:proofErr w:type="spellEnd"/>
          </w:p>
        </w:tc>
        <w:tc>
          <w:tcPr>
            <w:tcW w:w="1594" w:type="dxa"/>
            <w:hideMark/>
          </w:tcPr>
          <w:p w14:paraId="2ED4D2B0" w14:textId="77777777" w:rsidR="00201171" w:rsidRPr="00407865" w:rsidRDefault="00201171">
            <w:pPr>
              <w:pStyle w:val="NormalWeb"/>
              <w:rPr>
                <w:sz w:val="18"/>
                <w:szCs w:val="18"/>
                <w:lang w:val="en-GB"/>
              </w:rPr>
            </w:pPr>
            <w:r w:rsidRPr="00407865">
              <w:rPr>
                <w:sz w:val="18"/>
                <w:szCs w:val="18"/>
                <w:lang w:val="en-GB"/>
              </w:rPr>
              <w:t>–</w:t>
            </w:r>
          </w:p>
        </w:tc>
        <w:tc>
          <w:tcPr>
            <w:tcW w:w="1239" w:type="dxa"/>
            <w:hideMark/>
          </w:tcPr>
          <w:p w14:paraId="35A37325" w14:textId="77777777" w:rsidR="00201171" w:rsidRPr="00407865" w:rsidRDefault="00201171">
            <w:pPr>
              <w:pStyle w:val="NormalWeb"/>
              <w:rPr>
                <w:sz w:val="18"/>
                <w:szCs w:val="18"/>
                <w:lang w:val="en-GB"/>
              </w:rPr>
            </w:pPr>
            <w:proofErr w:type="spellStart"/>
            <w:r w:rsidRPr="00407865">
              <w:rPr>
                <w:sz w:val="18"/>
                <w:szCs w:val="18"/>
                <w:lang w:val="en-GB"/>
              </w:rPr>
              <w:t>na</w:t>
            </w:r>
            <w:r w:rsidRPr="00684D29">
              <w:rPr>
                <w:sz w:val="18"/>
                <w:szCs w:val="18"/>
                <w:vertAlign w:val="superscript"/>
                <w:lang w:val="en-GB"/>
              </w:rPr>
              <w:t>f</w:t>
            </w:r>
            <w:proofErr w:type="spellEnd"/>
          </w:p>
        </w:tc>
        <w:tc>
          <w:tcPr>
            <w:tcW w:w="1419" w:type="dxa"/>
            <w:hideMark/>
          </w:tcPr>
          <w:p w14:paraId="5A8517AD" w14:textId="77777777" w:rsidR="00201171" w:rsidRPr="00407865" w:rsidRDefault="00201171">
            <w:pPr>
              <w:pStyle w:val="NormalWeb"/>
              <w:rPr>
                <w:sz w:val="18"/>
                <w:szCs w:val="18"/>
                <w:lang w:val="en-GB"/>
              </w:rPr>
            </w:pPr>
            <w:proofErr w:type="spellStart"/>
            <w:r w:rsidRPr="00407865">
              <w:rPr>
                <w:sz w:val="18"/>
                <w:szCs w:val="18"/>
                <w:lang w:val="en-GB"/>
              </w:rPr>
              <w:t>na</w:t>
            </w:r>
            <w:r w:rsidRPr="00684D29">
              <w:rPr>
                <w:sz w:val="18"/>
                <w:szCs w:val="18"/>
                <w:vertAlign w:val="superscript"/>
                <w:lang w:val="en-GB"/>
              </w:rPr>
              <w:t>f</w:t>
            </w:r>
            <w:proofErr w:type="spellEnd"/>
          </w:p>
        </w:tc>
        <w:tc>
          <w:tcPr>
            <w:tcW w:w="1659" w:type="dxa"/>
            <w:hideMark/>
          </w:tcPr>
          <w:p w14:paraId="3EEA1B65" w14:textId="77777777" w:rsidR="00201171" w:rsidRPr="00407865" w:rsidRDefault="00201171">
            <w:pPr>
              <w:pStyle w:val="NormalWeb"/>
              <w:rPr>
                <w:sz w:val="18"/>
                <w:szCs w:val="18"/>
                <w:lang w:val="en-GB"/>
              </w:rPr>
            </w:pPr>
            <w:r w:rsidRPr="00407865">
              <w:rPr>
                <w:sz w:val="18"/>
                <w:szCs w:val="18"/>
                <w:lang w:val="en-GB"/>
              </w:rPr>
              <w:t>–</w:t>
            </w:r>
          </w:p>
        </w:tc>
      </w:tr>
      <w:tr w:rsidR="00407865" w:rsidRPr="00407865" w14:paraId="18E2088C" w14:textId="77777777" w:rsidTr="00684D29">
        <w:trPr>
          <w:divId w:val="1276905115"/>
        </w:trPr>
        <w:tc>
          <w:tcPr>
            <w:tcW w:w="2552" w:type="dxa"/>
            <w:hideMark/>
          </w:tcPr>
          <w:p w14:paraId="79BD313E" w14:textId="77777777" w:rsidR="00201171" w:rsidRPr="00407865" w:rsidRDefault="00201171" w:rsidP="00201171">
            <w:pPr>
              <w:pStyle w:val="NormalWeb"/>
              <w:jc w:val="left"/>
              <w:rPr>
                <w:sz w:val="18"/>
                <w:szCs w:val="18"/>
                <w:lang w:val="en-GB"/>
              </w:rPr>
            </w:pPr>
            <w:r w:rsidRPr="00407865">
              <w:rPr>
                <w:sz w:val="18"/>
                <w:szCs w:val="18"/>
                <w:lang w:val="en-GB"/>
              </w:rPr>
              <w:t>Hepatitis A</w:t>
            </w:r>
          </w:p>
        </w:tc>
        <w:tc>
          <w:tcPr>
            <w:tcW w:w="1134" w:type="dxa"/>
            <w:hideMark/>
          </w:tcPr>
          <w:p w14:paraId="6A171301" w14:textId="77777777" w:rsidR="00201171" w:rsidRPr="00407865" w:rsidRDefault="00201171">
            <w:pPr>
              <w:pStyle w:val="NormalWeb"/>
              <w:rPr>
                <w:sz w:val="18"/>
                <w:szCs w:val="18"/>
                <w:lang w:val="en-GB"/>
              </w:rPr>
            </w:pPr>
            <w:r w:rsidRPr="00407865">
              <w:rPr>
                <w:sz w:val="18"/>
                <w:szCs w:val="18"/>
                <w:lang w:val="en-GB"/>
              </w:rPr>
              <w:t>0.83</w:t>
            </w:r>
          </w:p>
        </w:tc>
        <w:tc>
          <w:tcPr>
            <w:tcW w:w="1134" w:type="dxa"/>
            <w:hideMark/>
          </w:tcPr>
          <w:p w14:paraId="1240F465" w14:textId="77777777" w:rsidR="00201171" w:rsidRPr="00407865" w:rsidRDefault="00201171">
            <w:pPr>
              <w:pStyle w:val="NormalWeb"/>
              <w:rPr>
                <w:sz w:val="18"/>
                <w:szCs w:val="18"/>
                <w:lang w:val="en-GB"/>
              </w:rPr>
            </w:pPr>
            <w:r w:rsidRPr="00407865">
              <w:rPr>
                <w:sz w:val="18"/>
                <w:szCs w:val="18"/>
                <w:lang w:val="en-GB"/>
              </w:rPr>
              <w:t>1.08</w:t>
            </w:r>
          </w:p>
        </w:tc>
        <w:tc>
          <w:tcPr>
            <w:tcW w:w="1562" w:type="dxa"/>
            <w:hideMark/>
          </w:tcPr>
          <w:p w14:paraId="60EC70CD" w14:textId="77777777" w:rsidR="00201171" w:rsidRPr="00407865" w:rsidRDefault="00201171">
            <w:pPr>
              <w:pStyle w:val="NormalWeb"/>
              <w:rPr>
                <w:sz w:val="18"/>
                <w:szCs w:val="18"/>
                <w:lang w:val="en-GB"/>
              </w:rPr>
            </w:pPr>
            <w:r w:rsidRPr="00407865">
              <w:rPr>
                <w:sz w:val="18"/>
                <w:szCs w:val="18"/>
                <w:lang w:val="en-GB"/>
              </w:rPr>
              <w:t>1.31 (1.19–1.45)</w:t>
            </w:r>
          </w:p>
        </w:tc>
        <w:tc>
          <w:tcPr>
            <w:tcW w:w="1272" w:type="dxa"/>
            <w:hideMark/>
          </w:tcPr>
          <w:p w14:paraId="69B04575" w14:textId="77777777" w:rsidR="00201171" w:rsidRPr="00407865" w:rsidRDefault="00201171">
            <w:pPr>
              <w:pStyle w:val="NormalWeb"/>
              <w:rPr>
                <w:sz w:val="18"/>
                <w:szCs w:val="18"/>
                <w:lang w:val="en-GB"/>
              </w:rPr>
            </w:pPr>
            <w:r w:rsidRPr="00407865">
              <w:rPr>
                <w:sz w:val="18"/>
                <w:szCs w:val="18"/>
                <w:lang w:val="en-GB"/>
              </w:rPr>
              <w:t>0.43</w:t>
            </w:r>
          </w:p>
        </w:tc>
        <w:tc>
          <w:tcPr>
            <w:tcW w:w="1419" w:type="dxa"/>
            <w:hideMark/>
          </w:tcPr>
          <w:p w14:paraId="2A65834E" w14:textId="77777777" w:rsidR="00201171" w:rsidRPr="00407865" w:rsidRDefault="00201171">
            <w:pPr>
              <w:pStyle w:val="NormalWeb"/>
              <w:rPr>
                <w:sz w:val="18"/>
                <w:szCs w:val="18"/>
                <w:lang w:val="en-GB"/>
              </w:rPr>
            </w:pPr>
            <w:r w:rsidRPr="00407865">
              <w:rPr>
                <w:sz w:val="18"/>
                <w:szCs w:val="18"/>
                <w:lang w:val="en-GB"/>
              </w:rPr>
              <w:t>0.61</w:t>
            </w:r>
          </w:p>
        </w:tc>
        <w:tc>
          <w:tcPr>
            <w:tcW w:w="1594" w:type="dxa"/>
            <w:hideMark/>
          </w:tcPr>
          <w:p w14:paraId="136B0D19" w14:textId="77777777" w:rsidR="00201171" w:rsidRPr="00407865" w:rsidRDefault="00201171">
            <w:pPr>
              <w:pStyle w:val="NormalWeb"/>
              <w:rPr>
                <w:sz w:val="18"/>
                <w:szCs w:val="18"/>
                <w:lang w:val="en-GB"/>
              </w:rPr>
            </w:pPr>
            <w:r w:rsidRPr="00407865">
              <w:rPr>
                <w:sz w:val="18"/>
                <w:szCs w:val="18"/>
                <w:lang w:val="en-GB"/>
              </w:rPr>
              <w:t>1.41 (1.23–1.62)</w:t>
            </w:r>
          </w:p>
        </w:tc>
        <w:tc>
          <w:tcPr>
            <w:tcW w:w="1239" w:type="dxa"/>
            <w:hideMark/>
          </w:tcPr>
          <w:p w14:paraId="0CE22FAF" w14:textId="77777777" w:rsidR="00201171" w:rsidRPr="00407865" w:rsidRDefault="00201171">
            <w:pPr>
              <w:pStyle w:val="NormalWeb"/>
              <w:rPr>
                <w:sz w:val="18"/>
                <w:szCs w:val="18"/>
                <w:lang w:val="en-GB"/>
              </w:rPr>
            </w:pPr>
            <w:r w:rsidRPr="00407865">
              <w:rPr>
                <w:sz w:val="18"/>
                <w:szCs w:val="18"/>
                <w:lang w:val="en-GB"/>
              </w:rPr>
              <w:t>0.01</w:t>
            </w:r>
          </w:p>
        </w:tc>
        <w:tc>
          <w:tcPr>
            <w:tcW w:w="1419" w:type="dxa"/>
            <w:hideMark/>
          </w:tcPr>
          <w:p w14:paraId="5C4BF782" w14:textId="77777777" w:rsidR="00201171" w:rsidRPr="00407865" w:rsidRDefault="00201171">
            <w:pPr>
              <w:pStyle w:val="NormalWeb"/>
              <w:rPr>
                <w:sz w:val="18"/>
                <w:szCs w:val="18"/>
                <w:lang w:val="en-GB"/>
              </w:rPr>
            </w:pPr>
            <w:r w:rsidRPr="00407865">
              <w:rPr>
                <w:sz w:val="18"/>
                <w:szCs w:val="18"/>
                <w:lang w:val="en-GB"/>
              </w:rPr>
              <w:t>0</w:t>
            </w:r>
          </w:p>
        </w:tc>
        <w:tc>
          <w:tcPr>
            <w:tcW w:w="1659" w:type="dxa"/>
            <w:hideMark/>
          </w:tcPr>
          <w:p w14:paraId="69631323" w14:textId="77777777" w:rsidR="00201171" w:rsidRPr="00407865" w:rsidRDefault="00201171">
            <w:pPr>
              <w:pStyle w:val="NormalWeb"/>
              <w:rPr>
                <w:sz w:val="18"/>
                <w:szCs w:val="18"/>
                <w:lang w:val="en-GB"/>
              </w:rPr>
            </w:pPr>
            <w:r w:rsidRPr="00407865">
              <w:rPr>
                <w:sz w:val="18"/>
                <w:szCs w:val="18"/>
                <w:lang w:val="en-GB"/>
              </w:rPr>
              <w:t>0 (0–1.38)</w:t>
            </w:r>
          </w:p>
        </w:tc>
      </w:tr>
      <w:tr w:rsidR="00407865" w:rsidRPr="00407865" w14:paraId="7D9DD139"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326EACBD" w14:textId="77777777" w:rsidR="00201171" w:rsidRPr="00407865" w:rsidRDefault="00201171" w:rsidP="00201171">
            <w:pPr>
              <w:pStyle w:val="NormalWeb"/>
              <w:jc w:val="left"/>
              <w:rPr>
                <w:sz w:val="18"/>
                <w:szCs w:val="18"/>
                <w:lang w:val="en-GB"/>
              </w:rPr>
            </w:pPr>
            <w:r w:rsidRPr="00407865">
              <w:rPr>
                <w:sz w:val="18"/>
                <w:szCs w:val="18"/>
                <w:lang w:val="en-GB"/>
              </w:rPr>
              <w:t>Hepatitis B</w:t>
            </w:r>
          </w:p>
        </w:tc>
        <w:tc>
          <w:tcPr>
            <w:tcW w:w="1134" w:type="dxa"/>
            <w:hideMark/>
          </w:tcPr>
          <w:p w14:paraId="5AE5AC3F" w14:textId="77777777" w:rsidR="00201171" w:rsidRPr="00407865" w:rsidRDefault="00201171">
            <w:pPr>
              <w:pStyle w:val="NormalWeb"/>
              <w:rPr>
                <w:sz w:val="18"/>
                <w:szCs w:val="18"/>
                <w:lang w:val="en-GB"/>
              </w:rPr>
            </w:pPr>
            <w:r w:rsidRPr="00407865">
              <w:rPr>
                <w:sz w:val="18"/>
                <w:szCs w:val="18"/>
                <w:lang w:val="en-GB"/>
              </w:rPr>
              <w:t>0.73</w:t>
            </w:r>
          </w:p>
        </w:tc>
        <w:tc>
          <w:tcPr>
            <w:tcW w:w="1134" w:type="dxa"/>
            <w:hideMark/>
          </w:tcPr>
          <w:p w14:paraId="380DC1B5" w14:textId="77777777" w:rsidR="00201171" w:rsidRPr="00407865" w:rsidRDefault="00201171">
            <w:pPr>
              <w:pStyle w:val="NormalWeb"/>
              <w:rPr>
                <w:sz w:val="18"/>
                <w:szCs w:val="18"/>
                <w:lang w:val="en-GB"/>
              </w:rPr>
            </w:pPr>
            <w:r w:rsidRPr="00407865">
              <w:rPr>
                <w:sz w:val="18"/>
                <w:szCs w:val="18"/>
                <w:lang w:val="en-GB"/>
              </w:rPr>
              <w:t>0.62</w:t>
            </w:r>
          </w:p>
        </w:tc>
        <w:tc>
          <w:tcPr>
            <w:tcW w:w="1562" w:type="dxa"/>
            <w:hideMark/>
          </w:tcPr>
          <w:p w14:paraId="02CD07E9" w14:textId="77777777" w:rsidR="00201171" w:rsidRPr="00407865" w:rsidRDefault="00201171">
            <w:pPr>
              <w:pStyle w:val="NormalWeb"/>
              <w:rPr>
                <w:sz w:val="18"/>
                <w:szCs w:val="18"/>
                <w:lang w:val="en-GB"/>
              </w:rPr>
            </w:pPr>
            <w:r w:rsidRPr="00407865">
              <w:rPr>
                <w:sz w:val="18"/>
                <w:szCs w:val="18"/>
                <w:lang w:val="en-GB"/>
              </w:rPr>
              <w:t>0.86 (0.76–0.97)</w:t>
            </w:r>
          </w:p>
        </w:tc>
        <w:tc>
          <w:tcPr>
            <w:tcW w:w="1272" w:type="dxa"/>
            <w:hideMark/>
          </w:tcPr>
          <w:p w14:paraId="0EB5303E" w14:textId="77777777" w:rsidR="00201171" w:rsidRPr="00407865" w:rsidRDefault="00201171">
            <w:pPr>
              <w:pStyle w:val="NormalWeb"/>
              <w:rPr>
                <w:sz w:val="18"/>
                <w:szCs w:val="18"/>
                <w:lang w:val="en-GB"/>
              </w:rPr>
            </w:pPr>
            <w:r w:rsidRPr="00407865">
              <w:rPr>
                <w:sz w:val="18"/>
                <w:szCs w:val="18"/>
                <w:lang w:val="en-GB"/>
              </w:rPr>
              <w:t>0.49</w:t>
            </w:r>
          </w:p>
        </w:tc>
        <w:tc>
          <w:tcPr>
            <w:tcW w:w="1419" w:type="dxa"/>
            <w:hideMark/>
          </w:tcPr>
          <w:p w14:paraId="58086FA6" w14:textId="77777777" w:rsidR="00201171" w:rsidRPr="00407865" w:rsidRDefault="00201171">
            <w:pPr>
              <w:pStyle w:val="NormalWeb"/>
              <w:rPr>
                <w:sz w:val="18"/>
                <w:szCs w:val="18"/>
                <w:lang w:val="en-GB"/>
              </w:rPr>
            </w:pPr>
            <w:r w:rsidRPr="00407865">
              <w:rPr>
                <w:sz w:val="18"/>
                <w:szCs w:val="18"/>
                <w:lang w:val="en-GB"/>
              </w:rPr>
              <w:t>0.37</w:t>
            </w:r>
          </w:p>
        </w:tc>
        <w:tc>
          <w:tcPr>
            <w:tcW w:w="1594" w:type="dxa"/>
            <w:hideMark/>
          </w:tcPr>
          <w:p w14:paraId="56B01BD4" w14:textId="77777777" w:rsidR="00201171" w:rsidRPr="00407865" w:rsidRDefault="00201171">
            <w:pPr>
              <w:pStyle w:val="NormalWeb"/>
              <w:rPr>
                <w:sz w:val="18"/>
                <w:szCs w:val="18"/>
                <w:lang w:val="en-GB"/>
              </w:rPr>
            </w:pPr>
            <w:r w:rsidRPr="00407865">
              <w:rPr>
                <w:sz w:val="18"/>
                <w:szCs w:val="18"/>
                <w:lang w:val="en-GB"/>
              </w:rPr>
              <w:t>0.75 (0.65–0.88)</w:t>
            </w:r>
          </w:p>
        </w:tc>
        <w:tc>
          <w:tcPr>
            <w:tcW w:w="1239" w:type="dxa"/>
            <w:hideMark/>
          </w:tcPr>
          <w:p w14:paraId="3D287CC4" w14:textId="77777777" w:rsidR="00201171" w:rsidRPr="00407865" w:rsidRDefault="00201171">
            <w:pPr>
              <w:pStyle w:val="NormalWeb"/>
              <w:rPr>
                <w:sz w:val="18"/>
                <w:szCs w:val="18"/>
                <w:lang w:val="en-GB"/>
              </w:rPr>
            </w:pPr>
            <w:r w:rsidRPr="00407865">
              <w:rPr>
                <w:sz w:val="18"/>
                <w:szCs w:val="18"/>
                <w:lang w:val="en-GB"/>
              </w:rPr>
              <w:t>0.09</w:t>
            </w:r>
          </w:p>
        </w:tc>
        <w:tc>
          <w:tcPr>
            <w:tcW w:w="1419" w:type="dxa"/>
            <w:hideMark/>
          </w:tcPr>
          <w:p w14:paraId="5547427E" w14:textId="77777777" w:rsidR="00201171" w:rsidRPr="00407865" w:rsidRDefault="00201171">
            <w:pPr>
              <w:pStyle w:val="NormalWeb"/>
              <w:rPr>
                <w:sz w:val="18"/>
                <w:szCs w:val="18"/>
                <w:lang w:val="en-GB"/>
              </w:rPr>
            </w:pPr>
            <w:r w:rsidRPr="00407865">
              <w:rPr>
                <w:sz w:val="18"/>
                <w:szCs w:val="18"/>
                <w:lang w:val="en-GB"/>
              </w:rPr>
              <w:t>0.07</w:t>
            </w:r>
          </w:p>
        </w:tc>
        <w:tc>
          <w:tcPr>
            <w:tcW w:w="1659" w:type="dxa"/>
            <w:hideMark/>
          </w:tcPr>
          <w:p w14:paraId="29CECD11" w14:textId="77777777" w:rsidR="00201171" w:rsidRPr="00407865" w:rsidRDefault="00201171">
            <w:pPr>
              <w:pStyle w:val="NormalWeb"/>
              <w:rPr>
                <w:sz w:val="18"/>
                <w:szCs w:val="18"/>
                <w:lang w:val="en-GB"/>
              </w:rPr>
            </w:pPr>
            <w:r w:rsidRPr="00407865">
              <w:rPr>
                <w:sz w:val="18"/>
                <w:szCs w:val="18"/>
                <w:lang w:val="en-GB"/>
              </w:rPr>
              <w:t>0.82 (0.57–1.18)</w:t>
            </w:r>
          </w:p>
        </w:tc>
      </w:tr>
      <w:tr w:rsidR="00407865" w:rsidRPr="00407865" w14:paraId="32284181" w14:textId="77777777" w:rsidTr="00684D29">
        <w:trPr>
          <w:divId w:val="1276905115"/>
        </w:trPr>
        <w:tc>
          <w:tcPr>
            <w:tcW w:w="2552" w:type="dxa"/>
            <w:hideMark/>
          </w:tcPr>
          <w:p w14:paraId="2A7085EC" w14:textId="54279624" w:rsidR="00201171" w:rsidRPr="00407865" w:rsidRDefault="00201171" w:rsidP="00201171">
            <w:pPr>
              <w:pStyle w:val="NormalWeb"/>
              <w:jc w:val="left"/>
              <w:rPr>
                <w:sz w:val="18"/>
                <w:szCs w:val="18"/>
                <w:lang w:val="en-GB"/>
              </w:rPr>
            </w:pPr>
            <w:r w:rsidRPr="00407865">
              <w:rPr>
                <w:sz w:val="18"/>
                <w:szCs w:val="18"/>
                <w:lang w:val="en-GB"/>
              </w:rPr>
              <w:t>Influenza</w:t>
            </w:r>
            <w:r w:rsidR="000978B6">
              <w:rPr>
                <w:sz w:val="18"/>
                <w:szCs w:val="18"/>
                <w:lang w:val="en-GB"/>
              </w:rPr>
              <w:t xml:space="preserve"> </w:t>
            </w:r>
            <w:r w:rsidRPr="000978B6">
              <w:rPr>
                <w:sz w:val="18"/>
                <w:szCs w:val="18"/>
                <w:vertAlign w:val="superscript"/>
                <w:lang w:val="en-GB"/>
              </w:rPr>
              <w:t>d</w:t>
            </w:r>
          </w:p>
        </w:tc>
        <w:tc>
          <w:tcPr>
            <w:tcW w:w="1134" w:type="dxa"/>
            <w:hideMark/>
          </w:tcPr>
          <w:p w14:paraId="39CE7F48" w14:textId="77777777" w:rsidR="00201171" w:rsidRPr="00407865" w:rsidRDefault="00201171">
            <w:pPr>
              <w:pStyle w:val="NormalWeb"/>
              <w:rPr>
                <w:sz w:val="18"/>
                <w:szCs w:val="18"/>
                <w:lang w:val="en-GB"/>
              </w:rPr>
            </w:pPr>
            <w:r w:rsidRPr="00407865">
              <w:rPr>
                <w:sz w:val="18"/>
                <w:szCs w:val="18"/>
                <w:lang w:val="en-GB"/>
              </w:rPr>
              <w:t>258.65</w:t>
            </w:r>
          </w:p>
        </w:tc>
        <w:tc>
          <w:tcPr>
            <w:tcW w:w="1134" w:type="dxa"/>
            <w:hideMark/>
          </w:tcPr>
          <w:p w14:paraId="41F5D11C" w14:textId="77777777" w:rsidR="00201171" w:rsidRPr="00407865" w:rsidRDefault="00201171">
            <w:pPr>
              <w:pStyle w:val="NormalWeb"/>
              <w:rPr>
                <w:sz w:val="18"/>
                <w:szCs w:val="18"/>
                <w:lang w:val="en-GB"/>
              </w:rPr>
            </w:pPr>
            <w:r w:rsidRPr="00407865">
              <w:rPr>
                <w:sz w:val="18"/>
                <w:szCs w:val="18"/>
                <w:lang w:val="en-GB"/>
              </w:rPr>
              <w:t>543.42</w:t>
            </w:r>
          </w:p>
        </w:tc>
        <w:tc>
          <w:tcPr>
            <w:tcW w:w="1562" w:type="dxa"/>
            <w:hideMark/>
          </w:tcPr>
          <w:p w14:paraId="0E6404DA" w14:textId="77777777" w:rsidR="00201171" w:rsidRPr="00407865" w:rsidRDefault="00201171">
            <w:pPr>
              <w:pStyle w:val="NormalWeb"/>
              <w:rPr>
                <w:sz w:val="18"/>
                <w:szCs w:val="18"/>
                <w:lang w:val="en-GB"/>
              </w:rPr>
            </w:pPr>
            <w:r w:rsidRPr="00407865">
              <w:rPr>
                <w:sz w:val="18"/>
                <w:szCs w:val="18"/>
                <w:lang w:val="en-GB"/>
              </w:rPr>
              <w:t>2.10 (2.09–2.11)</w:t>
            </w:r>
          </w:p>
        </w:tc>
        <w:tc>
          <w:tcPr>
            <w:tcW w:w="1272" w:type="dxa"/>
            <w:hideMark/>
          </w:tcPr>
          <w:p w14:paraId="2E1AE554" w14:textId="77777777" w:rsidR="00201171" w:rsidRPr="00407865" w:rsidRDefault="00201171">
            <w:pPr>
              <w:pStyle w:val="NormalWeb"/>
              <w:rPr>
                <w:sz w:val="18"/>
                <w:szCs w:val="18"/>
                <w:lang w:val="en-GB"/>
              </w:rPr>
            </w:pPr>
            <w:r w:rsidRPr="00407865">
              <w:rPr>
                <w:sz w:val="18"/>
                <w:szCs w:val="18"/>
                <w:lang w:val="en-GB"/>
              </w:rPr>
              <w:t>34.68</w:t>
            </w:r>
          </w:p>
        </w:tc>
        <w:tc>
          <w:tcPr>
            <w:tcW w:w="1419" w:type="dxa"/>
            <w:hideMark/>
          </w:tcPr>
          <w:p w14:paraId="58DCA1F4" w14:textId="77777777" w:rsidR="00201171" w:rsidRPr="00407865" w:rsidRDefault="00201171">
            <w:pPr>
              <w:pStyle w:val="NormalWeb"/>
              <w:rPr>
                <w:sz w:val="18"/>
                <w:szCs w:val="18"/>
                <w:lang w:val="en-GB"/>
              </w:rPr>
            </w:pPr>
            <w:r w:rsidRPr="00407865">
              <w:rPr>
                <w:sz w:val="18"/>
                <w:szCs w:val="18"/>
                <w:lang w:val="en-GB"/>
              </w:rPr>
              <w:t>73.92</w:t>
            </w:r>
          </w:p>
        </w:tc>
        <w:tc>
          <w:tcPr>
            <w:tcW w:w="1594" w:type="dxa"/>
            <w:hideMark/>
          </w:tcPr>
          <w:p w14:paraId="233DF0B3" w14:textId="77777777" w:rsidR="00201171" w:rsidRPr="00407865" w:rsidRDefault="00201171">
            <w:pPr>
              <w:pStyle w:val="NormalWeb"/>
              <w:rPr>
                <w:sz w:val="18"/>
                <w:szCs w:val="18"/>
                <w:lang w:val="en-GB"/>
              </w:rPr>
            </w:pPr>
            <w:r w:rsidRPr="00407865">
              <w:rPr>
                <w:sz w:val="18"/>
                <w:szCs w:val="18"/>
                <w:lang w:val="en-GB"/>
              </w:rPr>
              <w:t>2.13 (2.11–2.16)</w:t>
            </w:r>
          </w:p>
        </w:tc>
        <w:tc>
          <w:tcPr>
            <w:tcW w:w="1239" w:type="dxa"/>
            <w:hideMark/>
          </w:tcPr>
          <w:p w14:paraId="1A47BB73" w14:textId="77777777" w:rsidR="00201171" w:rsidRPr="00407865" w:rsidRDefault="00201171">
            <w:pPr>
              <w:pStyle w:val="NormalWeb"/>
              <w:rPr>
                <w:sz w:val="18"/>
                <w:szCs w:val="18"/>
                <w:lang w:val="en-GB"/>
              </w:rPr>
            </w:pPr>
            <w:r w:rsidRPr="00407865">
              <w:rPr>
                <w:sz w:val="18"/>
                <w:szCs w:val="18"/>
                <w:lang w:val="en-GB"/>
              </w:rPr>
              <w:t>0.84</w:t>
            </w:r>
          </w:p>
        </w:tc>
        <w:tc>
          <w:tcPr>
            <w:tcW w:w="1419" w:type="dxa"/>
            <w:hideMark/>
          </w:tcPr>
          <w:p w14:paraId="4CEEFC00" w14:textId="77777777" w:rsidR="00201171" w:rsidRPr="00407865" w:rsidRDefault="00201171">
            <w:pPr>
              <w:pStyle w:val="NormalWeb"/>
              <w:rPr>
                <w:sz w:val="18"/>
                <w:szCs w:val="18"/>
                <w:lang w:val="en-GB"/>
              </w:rPr>
            </w:pPr>
            <w:r w:rsidRPr="00407865">
              <w:rPr>
                <w:sz w:val="18"/>
                <w:szCs w:val="18"/>
                <w:lang w:val="en-GB"/>
              </w:rPr>
              <w:t>2.51</w:t>
            </w:r>
          </w:p>
        </w:tc>
        <w:tc>
          <w:tcPr>
            <w:tcW w:w="1659" w:type="dxa"/>
            <w:hideMark/>
          </w:tcPr>
          <w:p w14:paraId="074661F2" w14:textId="77777777" w:rsidR="00201171" w:rsidRPr="00407865" w:rsidRDefault="00201171">
            <w:pPr>
              <w:pStyle w:val="NormalWeb"/>
              <w:rPr>
                <w:sz w:val="18"/>
                <w:szCs w:val="18"/>
                <w:lang w:val="en-GB"/>
              </w:rPr>
            </w:pPr>
            <w:r w:rsidRPr="00407865">
              <w:rPr>
                <w:sz w:val="18"/>
                <w:szCs w:val="18"/>
                <w:lang w:val="en-GB"/>
              </w:rPr>
              <w:t>3.01 (2.77–3.28)</w:t>
            </w:r>
          </w:p>
        </w:tc>
      </w:tr>
      <w:tr w:rsidR="00407865" w:rsidRPr="00407865" w14:paraId="78E5E853"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4D65BB5E" w14:textId="77777777" w:rsidR="00201171" w:rsidRPr="00407865" w:rsidRDefault="00201171" w:rsidP="00201171">
            <w:pPr>
              <w:pStyle w:val="NormalWeb"/>
              <w:jc w:val="left"/>
              <w:rPr>
                <w:sz w:val="18"/>
                <w:szCs w:val="18"/>
                <w:lang w:val="en-GB"/>
              </w:rPr>
            </w:pPr>
            <w:r w:rsidRPr="00407865">
              <w:rPr>
                <w:sz w:val="18"/>
                <w:szCs w:val="18"/>
                <w:lang w:val="en-GB"/>
              </w:rPr>
              <w:t>Measles</w:t>
            </w:r>
          </w:p>
        </w:tc>
        <w:tc>
          <w:tcPr>
            <w:tcW w:w="1134" w:type="dxa"/>
            <w:hideMark/>
          </w:tcPr>
          <w:p w14:paraId="52D1E641" w14:textId="77777777" w:rsidR="00201171" w:rsidRPr="00407865" w:rsidRDefault="00201171">
            <w:pPr>
              <w:pStyle w:val="NormalWeb"/>
              <w:rPr>
                <w:sz w:val="18"/>
                <w:szCs w:val="18"/>
                <w:lang w:val="en-GB"/>
              </w:rPr>
            </w:pPr>
            <w:r w:rsidRPr="00407865">
              <w:rPr>
                <w:sz w:val="18"/>
                <w:szCs w:val="18"/>
                <w:lang w:val="en-GB"/>
              </w:rPr>
              <w:t>0.83</w:t>
            </w:r>
          </w:p>
        </w:tc>
        <w:tc>
          <w:tcPr>
            <w:tcW w:w="1134" w:type="dxa"/>
            <w:hideMark/>
          </w:tcPr>
          <w:p w14:paraId="597B3509" w14:textId="77777777" w:rsidR="00201171" w:rsidRPr="00407865" w:rsidRDefault="00201171">
            <w:pPr>
              <w:pStyle w:val="NormalWeb"/>
              <w:rPr>
                <w:sz w:val="18"/>
                <w:szCs w:val="18"/>
                <w:lang w:val="en-GB"/>
              </w:rPr>
            </w:pPr>
            <w:r w:rsidRPr="00407865">
              <w:rPr>
                <w:sz w:val="18"/>
                <w:szCs w:val="18"/>
                <w:lang w:val="en-GB"/>
              </w:rPr>
              <w:t>0.38</w:t>
            </w:r>
          </w:p>
        </w:tc>
        <w:tc>
          <w:tcPr>
            <w:tcW w:w="1562" w:type="dxa"/>
            <w:hideMark/>
          </w:tcPr>
          <w:p w14:paraId="66AE89E9" w14:textId="77777777" w:rsidR="00201171" w:rsidRPr="00407865" w:rsidRDefault="00201171">
            <w:pPr>
              <w:pStyle w:val="NormalWeb"/>
              <w:rPr>
                <w:sz w:val="18"/>
                <w:szCs w:val="18"/>
                <w:lang w:val="en-GB"/>
              </w:rPr>
            </w:pPr>
            <w:r w:rsidRPr="00407865">
              <w:rPr>
                <w:sz w:val="18"/>
                <w:szCs w:val="18"/>
                <w:lang w:val="en-GB"/>
              </w:rPr>
              <w:t>0.46 (0.40–0.53)</w:t>
            </w:r>
          </w:p>
        </w:tc>
        <w:tc>
          <w:tcPr>
            <w:tcW w:w="1272" w:type="dxa"/>
            <w:hideMark/>
          </w:tcPr>
          <w:p w14:paraId="50EDA236" w14:textId="77777777" w:rsidR="00201171" w:rsidRPr="00407865" w:rsidRDefault="00201171">
            <w:pPr>
              <w:pStyle w:val="NormalWeb"/>
              <w:rPr>
                <w:sz w:val="18"/>
                <w:szCs w:val="18"/>
                <w:lang w:val="en-GB"/>
              </w:rPr>
            </w:pPr>
            <w:r w:rsidRPr="00407865">
              <w:rPr>
                <w:sz w:val="18"/>
                <w:szCs w:val="18"/>
                <w:lang w:val="en-GB"/>
              </w:rPr>
              <w:t>0.31</w:t>
            </w:r>
          </w:p>
        </w:tc>
        <w:tc>
          <w:tcPr>
            <w:tcW w:w="1419" w:type="dxa"/>
            <w:hideMark/>
          </w:tcPr>
          <w:p w14:paraId="4774C10B" w14:textId="77777777" w:rsidR="00201171" w:rsidRPr="00407865" w:rsidRDefault="00201171">
            <w:pPr>
              <w:pStyle w:val="NormalWeb"/>
              <w:rPr>
                <w:sz w:val="18"/>
                <w:szCs w:val="18"/>
                <w:lang w:val="en-GB"/>
              </w:rPr>
            </w:pPr>
            <w:r w:rsidRPr="00407865">
              <w:rPr>
                <w:sz w:val="18"/>
                <w:szCs w:val="18"/>
                <w:lang w:val="en-GB"/>
              </w:rPr>
              <w:t>0.19</w:t>
            </w:r>
          </w:p>
        </w:tc>
        <w:tc>
          <w:tcPr>
            <w:tcW w:w="1594" w:type="dxa"/>
            <w:hideMark/>
          </w:tcPr>
          <w:p w14:paraId="651E8B26" w14:textId="77777777" w:rsidR="00201171" w:rsidRPr="00407865" w:rsidRDefault="00201171">
            <w:pPr>
              <w:pStyle w:val="NormalWeb"/>
              <w:rPr>
                <w:sz w:val="18"/>
                <w:szCs w:val="18"/>
                <w:lang w:val="en-GB"/>
              </w:rPr>
            </w:pPr>
            <w:r w:rsidRPr="00407865">
              <w:rPr>
                <w:sz w:val="18"/>
                <w:szCs w:val="18"/>
                <w:lang w:val="en-GB"/>
              </w:rPr>
              <w:t>0.62 (0.50–0.76)</w:t>
            </w:r>
          </w:p>
        </w:tc>
        <w:tc>
          <w:tcPr>
            <w:tcW w:w="1239" w:type="dxa"/>
            <w:hideMark/>
          </w:tcPr>
          <w:p w14:paraId="5FCD2DEF" w14:textId="77777777" w:rsidR="00201171" w:rsidRPr="00407865" w:rsidRDefault="00201171">
            <w:pPr>
              <w:pStyle w:val="NormalWeb"/>
              <w:rPr>
                <w:sz w:val="18"/>
                <w:szCs w:val="18"/>
                <w:lang w:val="en-GB"/>
              </w:rPr>
            </w:pPr>
            <w:r w:rsidRPr="00407865">
              <w:rPr>
                <w:sz w:val="18"/>
                <w:szCs w:val="18"/>
                <w:lang w:val="en-GB"/>
              </w:rPr>
              <w:t>&lt; 0.01</w:t>
            </w:r>
          </w:p>
        </w:tc>
        <w:tc>
          <w:tcPr>
            <w:tcW w:w="1419" w:type="dxa"/>
            <w:hideMark/>
          </w:tcPr>
          <w:p w14:paraId="5D6810B3" w14:textId="77777777" w:rsidR="00201171" w:rsidRPr="00407865" w:rsidRDefault="00201171">
            <w:pPr>
              <w:pStyle w:val="NormalWeb"/>
              <w:rPr>
                <w:sz w:val="18"/>
                <w:szCs w:val="18"/>
                <w:lang w:val="en-GB"/>
              </w:rPr>
            </w:pPr>
            <w:r w:rsidRPr="00407865">
              <w:rPr>
                <w:sz w:val="18"/>
                <w:szCs w:val="18"/>
                <w:lang w:val="en-GB"/>
              </w:rPr>
              <w:t>0</w:t>
            </w:r>
          </w:p>
        </w:tc>
        <w:tc>
          <w:tcPr>
            <w:tcW w:w="1659" w:type="dxa"/>
            <w:hideMark/>
          </w:tcPr>
          <w:p w14:paraId="7C558BEC" w14:textId="77777777" w:rsidR="00201171" w:rsidRPr="00407865" w:rsidRDefault="00201171">
            <w:pPr>
              <w:pStyle w:val="NormalWeb"/>
              <w:rPr>
                <w:sz w:val="18"/>
                <w:szCs w:val="18"/>
                <w:lang w:val="en-GB"/>
              </w:rPr>
            </w:pPr>
            <w:r w:rsidRPr="00407865">
              <w:rPr>
                <w:sz w:val="18"/>
                <w:szCs w:val="18"/>
                <w:lang w:val="en-GB"/>
              </w:rPr>
              <w:t>0 (0–49.29)</w:t>
            </w:r>
          </w:p>
        </w:tc>
      </w:tr>
      <w:tr w:rsidR="00407865" w:rsidRPr="00407865" w14:paraId="5C2DC37B" w14:textId="77777777" w:rsidTr="00684D29">
        <w:trPr>
          <w:divId w:val="1276905115"/>
        </w:trPr>
        <w:tc>
          <w:tcPr>
            <w:tcW w:w="2552" w:type="dxa"/>
            <w:hideMark/>
          </w:tcPr>
          <w:p w14:paraId="270EA147" w14:textId="77777777" w:rsidR="00201171" w:rsidRPr="00407865" w:rsidRDefault="00201171" w:rsidP="00201171">
            <w:pPr>
              <w:pStyle w:val="NormalWeb"/>
              <w:jc w:val="left"/>
              <w:rPr>
                <w:sz w:val="18"/>
                <w:szCs w:val="18"/>
                <w:lang w:val="en-GB"/>
              </w:rPr>
            </w:pPr>
            <w:r w:rsidRPr="00407865">
              <w:rPr>
                <w:sz w:val="18"/>
                <w:szCs w:val="18"/>
                <w:lang w:val="en-GB"/>
              </w:rPr>
              <w:t>Meningococcal disease</w:t>
            </w:r>
          </w:p>
        </w:tc>
        <w:tc>
          <w:tcPr>
            <w:tcW w:w="1134" w:type="dxa"/>
            <w:hideMark/>
          </w:tcPr>
          <w:p w14:paraId="774DF4A2" w14:textId="77777777" w:rsidR="00201171" w:rsidRPr="00407865" w:rsidRDefault="00201171">
            <w:pPr>
              <w:pStyle w:val="NormalWeb"/>
              <w:rPr>
                <w:sz w:val="18"/>
                <w:szCs w:val="18"/>
                <w:lang w:val="en-GB"/>
              </w:rPr>
            </w:pPr>
            <w:r w:rsidRPr="00407865">
              <w:rPr>
                <w:sz w:val="18"/>
                <w:szCs w:val="18"/>
                <w:lang w:val="en-GB"/>
              </w:rPr>
              <w:t>0.77</w:t>
            </w:r>
          </w:p>
        </w:tc>
        <w:tc>
          <w:tcPr>
            <w:tcW w:w="1134" w:type="dxa"/>
            <w:hideMark/>
          </w:tcPr>
          <w:p w14:paraId="04AEF4E0" w14:textId="77777777" w:rsidR="00201171" w:rsidRPr="00407865" w:rsidRDefault="00201171">
            <w:pPr>
              <w:pStyle w:val="NormalWeb"/>
              <w:rPr>
                <w:sz w:val="18"/>
                <w:szCs w:val="18"/>
                <w:lang w:val="en-GB"/>
              </w:rPr>
            </w:pPr>
            <w:r w:rsidRPr="00407865">
              <w:rPr>
                <w:sz w:val="18"/>
                <w:szCs w:val="18"/>
                <w:lang w:val="en-GB"/>
              </w:rPr>
              <w:t>1.24</w:t>
            </w:r>
          </w:p>
        </w:tc>
        <w:tc>
          <w:tcPr>
            <w:tcW w:w="1562" w:type="dxa"/>
            <w:hideMark/>
          </w:tcPr>
          <w:p w14:paraId="46F4D8F7" w14:textId="77777777" w:rsidR="00201171" w:rsidRPr="00407865" w:rsidRDefault="00201171">
            <w:pPr>
              <w:pStyle w:val="NormalWeb"/>
              <w:rPr>
                <w:sz w:val="18"/>
                <w:szCs w:val="18"/>
                <w:lang w:val="en-GB"/>
              </w:rPr>
            </w:pPr>
            <w:r w:rsidRPr="00407865">
              <w:rPr>
                <w:sz w:val="18"/>
                <w:szCs w:val="18"/>
                <w:lang w:val="en-GB"/>
              </w:rPr>
              <w:t>1.60 (1.45–1.77)</w:t>
            </w:r>
          </w:p>
        </w:tc>
        <w:tc>
          <w:tcPr>
            <w:tcW w:w="1272" w:type="dxa"/>
            <w:hideMark/>
          </w:tcPr>
          <w:p w14:paraId="3A346049" w14:textId="77777777" w:rsidR="00201171" w:rsidRPr="00407865" w:rsidRDefault="00201171">
            <w:pPr>
              <w:pStyle w:val="NormalWeb"/>
              <w:rPr>
                <w:sz w:val="18"/>
                <w:szCs w:val="18"/>
                <w:lang w:val="en-GB"/>
              </w:rPr>
            </w:pPr>
            <w:r w:rsidRPr="00407865">
              <w:rPr>
                <w:sz w:val="18"/>
                <w:szCs w:val="18"/>
                <w:lang w:val="en-GB"/>
              </w:rPr>
              <w:t>1.00</w:t>
            </w:r>
          </w:p>
        </w:tc>
        <w:tc>
          <w:tcPr>
            <w:tcW w:w="1419" w:type="dxa"/>
            <w:hideMark/>
          </w:tcPr>
          <w:p w14:paraId="065EA139" w14:textId="77777777" w:rsidR="00201171" w:rsidRPr="00407865" w:rsidRDefault="00201171">
            <w:pPr>
              <w:pStyle w:val="NormalWeb"/>
              <w:rPr>
                <w:sz w:val="18"/>
                <w:szCs w:val="18"/>
                <w:lang w:val="en-GB"/>
              </w:rPr>
            </w:pPr>
            <w:r w:rsidRPr="00407865">
              <w:rPr>
                <w:sz w:val="18"/>
                <w:szCs w:val="18"/>
                <w:lang w:val="en-GB"/>
              </w:rPr>
              <w:t>1.37</w:t>
            </w:r>
          </w:p>
        </w:tc>
        <w:tc>
          <w:tcPr>
            <w:tcW w:w="1594" w:type="dxa"/>
            <w:hideMark/>
          </w:tcPr>
          <w:p w14:paraId="775BACDE" w14:textId="77777777" w:rsidR="00201171" w:rsidRPr="00407865" w:rsidRDefault="00201171">
            <w:pPr>
              <w:pStyle w:val="NormalWeb"/>
              <w:rPr>
                <w:sz w:val="18"/>
                <w:szCs w:val="18"/>
                <w:lang w:val="en-GB"/>
              </w:rPr>
            </w:pPr>
            <w:r w:rsidRPr="00407865">
              <w:rPr>
                <w:sz w:val="18"/>
                <w:szCs w:val="18"/>
                <w:lang w:val="en-GB"/>
              </w:rPr>
              <w:t>1.38 (1.26–1.51)</w:t>
            </w:r>
          </w:p>
        </w:tc>
        <w:tc>
          <w:tcPr>
            <w:tcW w:w="1239" w:type="dxa"/>
            <w:hideMark/>
          </w:tcPr>
          <w:p w14:paraId="1303C473" w14:textId="77777777" w:rsidR="00201171" w:rsidRPr="00407865" w:rsidRDefault="00201171">
            <w:pPr>
              <w:pStyle w:val="NormalWeb"/>
              <w:rPr>
                <w:sz w:val="18"/>
                <w:szCs w:val="18"/>
                <w:lang w:val="en-GB"/>
              </w:rPr>
            </w:pPr>
            <w:r w:rsidRPr="00407865">
              <w:rPr>
                <w:sz w:val="18"/>
                <w:szCs w:val="18"/>
                <w:lang w:val="en-GB"/>
              </w:rPr>
              <w:t>0.04</w:t>
            </w:r>
          </w:p>
        </w:tc>
        <w:tc>
          <w:tcPr>
            <w:tcW w:w="1419" w:type="dxa"/>
            <w:hideMark/>
          </w:tcPr>
          <w:p w14:paraId="129436BD" w14:textId="77777777" w:rsidR="00201171" w:rsidRPr="00407865" w:rsidRDefault="00201171">
            <w:pPr>
              <w:pStyle w:val="NormalWeb"/>
              <w:rPr>
                <w:sz w:val="18"/>
                <w:szCs w:val="18"/>
                <w:lang w:val="en-GB"/>
              </w:rPr>
            </w:pPr>
            <w:r w:rsidRPr="00407865">
              <w:rPr>
                <w:sz w:val="18"/>
                <w:szCs w:val="18"/>
                <w:lang w:val="en-GB"/>
              </w:rPr>
              <w:t>0.06</w:t>
            </w:r>
          </w:p>
        </w:tc>
        <w:tc>
          <w:tcPr>
            <w:tcW w:w="1659" w:type="dxa"/>
            <w:hideMark/>
          </w:tcPr>
          <w:p w14:paraId="5B04A4A9" w14:textId="77777777" w:rsidR="00201171" w:rsidRPr="00407865" w:rsidRDefault="00201171">
            <w:pPr>
              <w:pStyle w:val="NormalWeb"/>
              <w:rPr>
                <w:sz w:val="18"/>
                <w:szCs w:val="18"/>
                <w:lang w:val="en-GB"/>
              </w:rPr>
            </w:pPr>
            <w:r w:rsidRPr="00407865">
              <w:rPr>
                <w:sz w:val="18"/>
                <w:szCs w:val="18"/>
                <w:lang w:val="en-GB"/>
              </w:rPr>
              <w:t>1.61 (1.02–2.57)</w:t>
            </w:r>
          </w:p>
        </w:tc>
      </w:tr>
      <w:tr w:rsidR="00407865" w:rsidRPr="00407865" w14:paraId="07A31CF3"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62B12896" w14:textId="77777777" w:rsidR="00201171" w:rsidRPr="00407865" w:rsidRDefault="00201171" w:rsidP="00201171">
            <w:pPr>
              <w:pStyle w:val="NormalWeb"/>
              <w:jc w:val="left"/>
              <w:rPr>
                <w:sz w:val="18"/>
                <w:szCs w:val="18"/>
                <w:lang w:val="en-GB"/>
              </w:rPr>
            </w:pPr>
            <w:r w:rsidRPr="00407865">
              <w:rPr>
                <w:sz w:val="18"/>
                <w:szCs w:val="18"/>
                <w:lang w:val="en-GB"/>
              </w:rPr>
              <w:t>Mumps</w:t>
            </w:r>
          </w:p>
        </w:tc>
        <w:tc>
          <w:tcPr>
            <w:tcW w:w="1134" w:type="dxa"/>
            <w:hideMark/>
          </w:tcPr>
          <w:p w14:paraId="416EF9B4" w14:textId="77777777" w:rsidR="00201171" w:rsidRPr="00407865" w:rsidRDefault="00201171">
            <w:pPr>
              <w:pStyle w:val="NormalWeb"/>
              <w:rPr>
                <w:sz w:val="18"/>
                <w:szCs w:val="18"/>
                <w:lang w:val="en-GB"/>
              </w:rPr>
            </w:pPr>
            <w:r w:rsidRPr="00407865">
              <w:rPr>
                <w:sz w:val="18"/>
                <w:szCs w:val="18"/>
                <w:lang w:val="en-GB"/>
              </w:rPr>
              <w:t>1.34</w:t>
            </w:r>
          </w:p>
        </w:tc>
        <w:tc>
          <w:tcPr>
            <w:tcW w:w="1134" w:type="dxa"/>
            <w:hideMark/>
          </w:tcPr>
          <w:p w14:paraId="596E47DB" w14:textId="77777777" w:rsidR="00201171" w:rsidRPr="00407865" w:rsidRDefault="00201171">
            <w:pPr>
              <w:pStyle w:val="NormalWeb"/>
              <w:rPr>
                <w:sz w:val="18"/>
                <w:szCs w:val="18"/>
                <w:lang w:val="en-GB"/>
              </w:rPr>
            </w:pPr>
            <w:r w:rsidRPr="00407865">
              <w:rPr>
                <w:sz w:val="18"/>
                <w:szCs w:val="18"/>
                <w:lang w:val="en-GB"/>
              </w:rPr>
              <w:t>3.05</w:t>
            </w:r>
          </w:p>
        </w:tc>
        <w:tc>
          <w:tcPr>
            <w:tcW w:w="1562" w:type="dxa"/>
            <w:hideMark/>
          </w:tcPr>
          <w:p w14:paraId="76C771C0" w14:textId="77777777" w:rsidR="00201171" w:rsidRPr="00407865" w:rsidRDefault="00201171">
            <w:pPr>
              <w:pStyle w:val="NormalWeb"/>
              <w:rPr>
                <w:sz w:val="18"/>
                <w:szCs w:val="18"/>
                <w:lang w:val="en-GB"/>
              </w:rPr>
            </w:pPr>
            <w:r w:rsidRPr="00407865">
              <w:rPr>
                <w:sz w:val="18"/>
                <w:szCs w:val="18"/>
                <w:lang w:val="en-GB"/>
              </w:rPr>
              <w:t>2.28 (2.13–2.44)</w:t>
            </w:r>
          </w:p>
        </w:tc>
        <w:tc>
          <w:tcPr>
            <w:tcW w:w="1272" w:type="dxa"/>
            <w:hideMark/>
          </w:tcPr>
          <w:p w14:paraId="5C63C0BE" w14:textId="77777777" w:rsidR="00201171" w:rsidRPr="00407865" w:rsidRDefault="00201171">
            <w:pPr>
              <w:pStyle w:val="NormalWeb"/>
              <w:rPr>
                <w:sz w:val="18"/>
                <w:szCs w:val="18"/>
                <w:lang w:val="en-GB"/>
              </w:rPr>
            </w:pPr>
            <w:r w:rsidRPr="00407865">
              <w:rPr>
                <w:sz w:val="18"/>
                <w:szCs w:val="18"/>
                <w:lang w:val="en-GB"/>
              </w:rPr>
              <w:t>0.31</w:t>
            </w:r>
          </w:p>
        </w:tc>
        <w:tc>
          <w:tcPr>
            <w:tcW w:w="1419" w:type="dxa"/>
            <w:hideMark/>
          </w:tcPr>
          <w:p w14:paraId="79E62BBC" w14:textId="77777777" w:rsidR="00201171" w:rsidRPr="00407865" w:rsidRDefault="00201171">
            <w:pPr>
              <w:pStyle w:val="NormalWeb"/>
              <w:rPr>
                <w:sz w:val="18"/>
                <w:szCs w:val="18"/>
                <w:lang w:val="en-GB"/>
              </w:rPr>
            </w:pPr>
            <w:r w:rsidRPr="00407865">
              <w:rPr>
                <w:sz w:val="18"/>
                <w:szCs w:val="18"/>
                <w:lang w:val="en-GB"/>
              </w:rPr>
              <w:t>0.44</w:t>
            </w:r>
          </w:p>
        </w:tc>
        <w:tc>
          <w:tcPr>
            <w:tcW w:w="1594" w:type="dxa"/>
            <w:hideMark/>
          </w:tcPr>
          <w:p w14:paraId="0E28CF06" w14:textId="77777777" w:rsidR="00201171" w:rsidRPr="00407865" w:rsidRDefault="00201171">
            <w:pPr>
              <w:pStyle w:val="NormalWeb"/>
              <w:rPr>
                <w:sz w:val="18"/>
                <w:szCs w:val="18"/>
                <w:lang w:val="en-GB"/>
              </w:rPr>
            </w:pPr>
            <w:r w:rsidRPr="00407865">
              <w:rPr>
                <w:sz w:val="18"/>
                <w:szCs w:val="18"/>
                <w:lang w:val="en-GB"/>
              </w:rPr>
              <w:t>1.45 (1.23–1.71)</w:t>
            </w:r>
          </w:p>
        </w:tc>
        <w:tc>
          <w:tcPr>
            <w:tcW w:w="1239" w:type="dxa"/>
            <w:hideMark/>
          </w:tcPr>
          <w:p w14:paraId="4E9AD93E" w14:textId="77777777" w:rsidR="00201171" w:rsidRPr="00407865" w:rsidRDefault="00201171">
            <w:pPr>
              <w:pStyle w:val="NormalWeb"/>
              <w:rPr>
                <w:sz w:val="18"/>
                <w:szCs w:val="18"/>
                <w:lang w:val="en-GB"/>
              </w:rPr>
            </w:pPr>
            <w:r w:rsidRPr="00407865">
              <w:rPr>
                <w:sz w:val="18"/>
                <w:szCs w:val="18"/>
                <w:lang w:val="en-GB"/>
              </w:rPr>
              <w:t>&lt; 0.01</w:t>
            </w:r>
          </w:p>
        </w:tc>
        <w:tc>
          <w:tcPr>
            <w:tcW w:w="1419" w:type="dxa"/>
            <w:hideMark/>
          </w:tcPr>
          <w:p w14:paraId="258D04FA" w14:textId="77777777" w:rsidR="00201171" w:rsidRPr="00407865" w:rsidRDefault="00201171">
            <w:pPr>
              <w:pStyle w:val="NormalWeb"/>
              <w:rPr>
                <w:sz w:val="18"/>
                <w:szCs w:val="18"/>
                <w:lang w:val="en-GB"/>
              </w:rPr>
            </w:pPr>
            <w:r w:rsidRPr="00407865">
              <w:rPr>
                <w:sz w:val="18"/>
                <w:szCs w:val="18"/>
                <w:lang w:val="en-GB"/>
              </w:rPr>
              <w:t>&lt; 0.01</w:t>
            </w:r>
          </w:p>
        </w:tc>
        <w:tc>
          <w:tcPr>
            <w:tcW w:w="1659" w:type="dxa"/>
            <w:hideMark/>
          </w:tcPr>
          <w:p w14:paraId="2E04C26A" w14:textId="77777777" w:rsidR="00201171" w:rsidRPr="00407865" w:rsidRDefault="00201171">
            <w:pPr>
              <w:pStyle w:val="NormalWeb"/>
              <w:rPr>
                <w:sz w:val="18"/>
                <w:szCs w:val="18"/>
                <w:lang w:val="en-GB"/>
              </w:rPr>
            </w:pPr>
            <w:r w:rsidRPr="00407865">
              <w:rPr>
                <w:sz w:val="18"/>
                <w:szCs w:val="18"/>
                <w:lang w:val="en-GB"/>
              </w:rPr>
              <w:t>2.53 (0.13–149.13)</w:t>
            </w:r>
          </w:p>
        </w:tc>
      </w:tr>
      <w:tr w:rsidR="00407865" w:rsidRPr="00407865" w14:paraId="5770F966" w14:textId="77777777" w:rsidTr="00684D29">
        <w:trPr>
          <w:divId w:val="1276905115"/>
        </w:trPr>
        <w:tc>
          <w:tcPr>
            <w:tcW w:w="2552" w:type="dxa"/>
            <w:hideMark/>
          </w:tcPr>
          <w:p w14:paraId="179A51D9" w14:textId="77777777" w:rsidR="00201171" w:rsidRPr="00407865" w:rsidRDefault="00201171" w:rsidP="00201171">
            <w:pPr>
              <w:pStyle w:val="NormalWeb"/>
              <w:jc w:val="left"/>
              <w:rPr>
                <w:sz w:val="18"/>
                <w:szCs w:val="18"/>
                <w:lang w:val="en-GB"/>
              </w:rPr>
            </w:pPr>
            <w:r w:rsidRPr="00407865">
              <w:rPr>
                <w:sz w:val="18"/>
                <w:szCs w:val="18"/>
                <w:lang w:val="en-GB"/>
              </w:rPr>
              <w:t>Pertussis</w:t>
            </w:r>
          </w:p>
        </w:tc>
        <w:tc>
          <w:tcPr>
            <w:tcW w:w="1134" w:type="dxa"/>
            <w:hideMark/>
          </w:tcPr>
          <w:p w14:paraId="1642B4D2" w14:textId="77777777" w:rsidR="00201171" w:rsidRPr="00407865" w:rsidRDefault="00201171">
            <w:pPr>
              <w:pStyle w:val="NormalWeb"/>
              <w:rPr>
                <w:sz w:val="18"/>
                <w:szCs w:val="18"/>
                <w:lang w:val="en-GB"/>
              </w:rPr>
            </w:pPr>
            <w:r w:rsidRPr="00407865">
              <w:rPr>
                <w:sz w:val="18"/>
                <w:szCs w:val="18"/>
                <w:lang w:val="en-GB"/>
              </w:rPr>
              <w:t>75.96</w:t>
            </w:r>
          </w:p>
        </w:tc>
        <w:tc>
          <w:tcPr>
            <w:tcW w:w="1134" w:type="dxa"/>
            <w:hideMark/>
          </w:tcPr>
          <w:p w14:paraId="181F9E9A" w14:textId="77777777" w:rsidR="00201171" w:rsidRPr="00407865" w:rsidRDefault="00201171">
            <w:pPr>
              <w:pStyle w:val="NormalWeb"/>
              <w:rPr>
                <w:sz w:val="18"/>
                <w:szCs w:val="18"/>
                <w:lang w:val="en-GB"/>
              </w:rPr>
            </w:pPr>
            <w:r w:rsidRPr="00407865">
              <w:rPr>
                <w:sz w:val="18"/>
                <w:szCs w:val="18"/>
                <w:lang w:val="en-GB"/>
              </w:rPr>
              <w:t>60.91</w:t>
            </w:r>
          </w:p>
        </w:tc>
        <w:tc>
          <w:tcPr>
            <w:tcW w:w="1562" w:type="dxa"/>
            <w:hideMark/>
          </w:tcPr>
          <w:p w14:paraId="10144A46" w14:textId="77777777" w:rsidR="00201171" w:rsidRPr="00407865" w:rsidRDefault="00201171">
            <w:pPr>
              <w:pStyle w:val="NormalWeb"/>
              <w:rPr>
                <w:sz w:val="18"/>
                <w:szCs w:val="18"/>
                <w:lang w:val="en-GB"/>
              </w:rPr>
            </w:pPr>
            <w:r w:rsidRPr="00407865">
              <w:rPr>
                <w:sz w:val="18"/>
                <w:szCs w:val="18"/>
                <w:lang w:val="en-GB"/>
              </w:rPr>
              <w:t>0.80 (0.79–0.81)</w:t>
            </w:r>
          </w:p>
        </w:tc>
        <w:tc>
          <w:tcPr>
            <w:tcW w:w="1272" w:type="dxa"/>
            <w:hideMark/>
          </w:tcPr>
          <w:p w14:paraId="7572081D" w14:textId="77777777" w:rsidR="00201171" w:rsidRPr="00407865" w:rsidRDefault="00201171">
            <w:pPr>
              <w:pStyle w:val="NormalWeb"/>
              <w:rPr>
                <w:sz w:val="18"/>
                <w:szCs w:val="18"/>
                <w:lang w:val="en-GB"/>
              </w:rPr>
            </w:pPr>
            <w:r w:rsidRPr="00407865">
              <w:rPr>
                <w:sz w:val="18"/>
                <w:szCs w:val="18"/>
                <w:lang w:val="en-GB"/>
              </w:rPr>
              <w:t>2.15</w:t>
            </w:r>
          </w:p>
        </w:tc>
        <w:tc>
          <w:tcPr>
            <w:tcW w:w="1419" w:type="dxa"/>
            <w:hideMark/>
          </w:tcPr>
          <w:p w14:paraId="32AE3294" w14:textId="77777777" w:rsidR="00201171" w:rsidRPr="00407865" w:rsidRDefault="00201171">
            <w:pPr>
              <w:pStyle w:val="NormalWeb"/>
              <w:rPr>
                <w:sz w:val="18"/>
                <w:szCs w:val="18"/>
                <w:lang w:val="en-GB"/>
              </w:rPr>
            </w:pPr>
            <w:r w:rsidRPr="00407865">
              <w:rPr>
                <w:sz w:val="18"/>
                <w:szCs w:val="18"/>
                <w:lang w:val="en-GB"/>
              </w:rPr>
              <w:t>1.40</w:t>
            </w:r>
          </w:p>
        </w:tc>
        <w:tc>
          <w:tcPr>
            <w:tcW w:w="1594" w:type="dxa"/>
            <w:hideMark/>
          </w:tcPr>
          <w:p w14:paraId="5FD71CEC" w14:textId="77777777" w:rsidR="00201171" w:rsidRPr="00407865" w:rsidRDefault="00201171">
            <w:pPr>
              <w:pStyle w:val="NormalWeb"/>
              <w:rPr>
                <w:sz w:val="18"/>
                <w:szCs w:val="18"/>
                <w:lang w:val="en-GB"/>
              </w:rPr>
            </w:pPr>
            <w:r w:rsidRPr="00407865">
              <w:rPr>
                <w:sz w:val="18"/>
                <w:szCs w:val="18"/>
                <w:lang w:val="en-GB"/>
              </w:rPr>
              <w:t>0.66 (0.61–0.71)</w:t>
            </w:r>
          </w:p>
        </w:tc>
        <w:tc>
          <w:tcPr>
            <w:tcW w:w="1239" w:type="dxa"/>
            <w:hideMark/>
          </w:tcPr>
          <w:p w14:paraId="5A7D7CAC" w14:textId="77777777" w:rsidR="00201171" w:rsidRPr="00407865" w:rsidRDefault="00201171">
            <w:pPr>
              <w:pStyle w:val="NormalWeb"/>
              <w:rPr>
                <w:sz w:val="18"/>
                <w:szCs w:val="18"/>
                <w:lang w:val="en-GB"/>
              </w:rPr>
            </w:pPr>
            <w:r w:rsidRPr="00407865">
              <w:rPr>
                <w:sz w:val="18"/>
                <w:szCs w:val="18"/>
                <w:lang w:val="en-GB"/>
              </w:rPr>
              <w:t>0.01</w:t>
            </w:r>
          </w:p>
        </w:tc>
        <w:tc>
          <w:tcPr>
            <w:tcW w:w="1419" w:type="dxa"/>
            <w:hideMark/>
          </w:tcPr>
          <w:p w14:paraId="1B24C4C1" w14:textId="77777777" w:rsidR="00201171" w:rsidRPr="00407865" w:rsidRDefault="00201171">
            <w:pPr>
              <w:pStyle w:val="NormalWeb"/>
              <w:rPr>
                <w:sz w:val="18"/>
                <w:szCs w:val="18"/>
                <w:lang w:val="en-GB"/>
              </w:rPr>
            </w:pPr>
            <w:r w:rsidRPr="00407865">
              <w:rPr>
                <w:sz w:val="18"/>
                <w:szCs w:val="18"/>
                <w:lang w:val="en-GB"/>
              </w:rPr>
              <w:t>&lt; 0.01</w:t>
            </w:r>
          </w:p>
        </w:tc>
        <w:tc>
          <w:tcPr>
            <w:tcW w:w="1659" w:type="dxa"/>
            <w:hideMark/>
          </w:tcPr>
          <w:p w14:paraId="6C9CD3A9" w14:textId="77777777" w:rsidR="00201171" w:rsidRPr="00407865" w:rsidRDefault="00201171">
            <w:pPr>
              <w:pStyle w:val="NormalWeb"/>
              <w:rPr>
                <w:sz w:val="18"/>
                <w:szCs w:val="18"/>
                <w:lang w:val="en-GB"/>
              </w:rPr>
            </w:pPr>
            <w:r w:rsidRPr="00407865">
              <w:rPr>
                <w:sz w:val="18"/>
                <w:szCs w:val="18"/>
                <w:lang w:val="en-GB"/>
              </w:rPr>
              <w:t>0.53 (0.15–1.61)</w:t>
            </w:r>
          </w:p>
        </w:tc>
      </w:tr>
      <w:tr w:rsidR="00407865" w:rsidRPr="00407865" w14:paraId="31B87278"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241C9366" w14:textId="77777777" w:rsidR="00201171" w:rsidRPr="00407865" w:rsidRDefault="00201171" w:rsidP="00201171">
            <w:pPr>
              <w:pStyle w:val="NormalWeb"/>
              <w:jc w:val="left"/>
              <w:rPr>
                <w:sz w:val="18"/>
                <w:szCs w:val="18"/>
                <w:lang w:val="en-GB"/>
              </w:rPr>
            </w:pPr>
            <w:r w:rsidRPr="00407865">
              <w:rPr>
                <w:sz w:val="18"/>
                <w:szCs w:val="18"/>
                <w:lang w:val="en-GB"/>
              </w:rPr>
              <w:t xml:space="preserve">Pneumococcal </w:t>
            </w:r>
            <w:proofErr w:type="spellStart"/>
            <w:r w:rsidRPr="00407865">
              <w:rPr>
                <w:sz w:val="18"/>
                <w:szCs w:val="18"/>
                <w:lang w:val="en-GB"/>
              </w:rPr>
              <w:t>disease</w:t>
            </w:r>
            <w:r w:rsidRPr="00407865">
              <w:rPr>
                <w:sz w:val="18"/>
                <w:szCs w:val="18"/>
                <w:vertAlign w:val="superscript"/>
                <w:lang w:val="en-GB"/>
              </w:rPr>
              <w:t>e</w:t>
            </w:r>
            <w:proofErr w:type="spellEnd"/>
          </w:p>
        </w:tc>
        <w:tc>
          <w:tcPr>
            <w:tcW w:w="1134" w:type="dxa"/>
            <w:hideMark/>
          </w:tcPr>
          <w:p w14:paraId="774F859F" w14:textId="77777777" w:rsidR="00201171" w:rsidRPr="00407865" w:rsidRDefault="00201171">
            <w:pPr>
              <w:pStyle w:val="NormalWeb"/>
              <w:rPr>
                <w:sz w:val="18"/>
                <w:szCs w:val="18"/>
                <w:lang w:val="en-GB"/>
              </w:rPr>
            </w:pPr>
            <w:r w:rsidRPr="00407865">
              <w:rPr>
                <w:sz w:val="18"/>
                <w:szCs w:val="18"/>
                <w:lang w:val="en-GB"/>
              </w:rPr>
              <w:t>6.91</w:t>
            </w:r>
          </w:p>
        </w:tc>
        <w:tc>
          <w:tcPr>
            <w:tcW w:w="1134" w:type="dxa"/>
            <w:hideMark/>
          </w:tcPr>
          <w:p w14:paraId="40C60F3C" w14:textId="77777777" w:rsidR="00201171" w:rsidRPr="00407865" w:rsidRDefault="00201171">
            <w:pPr>
              <w:pStyle w:val="NormalWeb"/>
              <w:rPr>
                <w:sz w:val="18"/>
                <w:szCs w:val="18"/>
                <w:lang w:val="en-GB"/>
              </w:rPr>
            </w:pPr>
            <w:r w:rsidRPr="00407865">
              <w:rPr>
                <w:sz w:val="18"/>
                <w:szCs w:val="18"/>
                <w:lang w:val="en-GB"/>
              </w:rPr>
              <w:t>7.78</w:t>
            </w:r>
          </w:p>
        </w:tc>
        <w:tc>
          <w:tcPr>
            <w:tcW w:w="1562" w:type="dxa"/>
            <w:hideMark/>
          </w:tcPr>
          <w:p w14:paraId="09434EFC" w14:textId="77777777" w:rsidR="00201171" w:rsidRPr="00407865" w:rsidRDefault="00201171">
            <w:pPr>
              <w:pStyle w:val="NormalWeb"/>
              <w:rPr>
                <w:sz w:val="18"/>
                <w:szCs w:val="18"/>
                <w:lang w:val="en-GB"/>
              </w:rPr>
            </w:pPr>
            <w:r w:rsidRPr="00407865">
              <w:rPr>
                <w:sz w:val="18"/>
                <w:szCs w:val="18"/>
                <w:lang w:val="en-GB"/>
              </w:rPr>
              <w:t>1.13 (1.09–1.17)</w:t>
            </w:r>
          </w:p>
        </w:tc>
        <w:tc>
          <w:tcPr>
            <w:tcW w:w="1272" w:type="dxa"/>
            <w:hideMark/>
          </w:tcPr>
          <w:p w14:paraId="7639D962" w14:textId="77777777" w:rsidR="00201171" w:rsidRPr="00407865" w:rsidRDefault="00201171">
            <w:pPr>
              <w:pStyle w:val="NormalWeb"/>
              <w:rPr>
                <w:sz w:val="18"/>
                <w:szCs w:val="18"/>
                <w:lang w:val="en-GB"/>
              </w:rPr>
            </w:pPr>
            <w:r w:rsidRPr="00407865">
              <w:rPr>
                <w:sz w:val="18"/>
                <w:szCs w:val="18"/>
                <w:lang w:val="en-GB"/>
              </w:rPr>
              <w:t>1.74</w:t>
            </w:r>
          </w:p>
        </w:tc>
        <w:tc>
          <w:tcPr>
            <w:tcW w:w="1419" w:type="dxa"/>
            <w:hideMark/>
          </w:tcPr>
          <w:p w14:paraId="24557B84" w14:textId="77777777" w:rsidR="00201171" w:rsidRPr="00407865" w:rsidRDefault="00201171">
            <w:pPr>
              <w:pStyle w:val="NormalWeb"/>
              <w:rPr>
                <w:sz w:val="18"/>
                <w:szCs w:val="18"/>
                <w:lang w:val="en-GB"/>
              </w:rPr>
            </w:pPr>
            <w:r w:rsidRPr="00407865">
              <w:rPr>
                <w:sz w:val="18"/>
                <w:szCs w:val="18"/>
                <w:lang w:val="en-GB"/>
              </w:rPr>
              <w:t>2.23</w:t>
            </w:r>
          </w:p>
        </w:tc>
        <w:tc>
          <w:tcPr>
            <w:tcW w:w="1594" w:type="dxa"/>
            <w:hideMark/>
          </w:tcPr>
          <w:p w14:paraId="7E70349E" w14:textId="77777777" w:rsidR="00201171" w:rsidRPr="00407865" w:rsidRDefault="00201171">
            <w:pPr>
              <w:pStyle w:val="NormalWeb"/>
              <w:rPr>
                <w:sz w:val="18"/>
                <w:szCs w:val="18"/>
                <w:lang w:val="en-GB"/>
              </w:rPr>
            </w:pPr>
            <w:r w:rsidRPr="00407865">
              <w:rPr>
                <w:sz w:val="18"/>
                <w:szCs w:val="18"/>
                <w:lang w:val="en-GB"/>
              </w:rPr>
              <w:t>1.29 (1.23–1.35)</w:t>
            </w:r>
          </w:p>
        </w:tc>
        <w:tc>
          <w:tcPr>
            <w:tcW w:w="1239" w:type="dxa"/>
            <w:hideMark/>
          </w:tcPr>
          <w:p w14:paraId="319F7E0C" w14:textId="77777777" w:rsidR="00201171" w:rsidRPr="00407865" w:rsidRDefault="00201171">
            <w:pPr>
              <w:pStyle w:val="NormalWeb"/>
              <w:rPr>
                <w:sz w:val="18"/>
                <w:szCs w:val="18"/>
                <w:lang w:val="en-GB"/>
              </w:rPr>
            </w:pPr>
            <w:r w:rsidRPr="00407865">
              <w:rPr>
                <w:sz w:val="18"/>
                <w:szCs w:val="18"/>
                <w:lang w:val="en-GB"/>
              </w:rPr>
              <w:t>0.09</w:t>
            </w:r>
          </w:p>
        </w:tc>
        <w:tc>
          <w:tcPr>
            <w:tcW w:w="1419" w:type="dxa"/>
            <w:hideMark/>
          </w:tcPr>
          <w:p w14:paraId="4EB35485" w14:textId="77777777" w:rsidR="00201171" w:rsidRPr="00407865" w:rsidRDefault="00201171">
            <w:pPr>
              <w:pStyle w:val="NormalWeb"/>
              <w:rPr>
                <w:sz w:val="18"/>
                <w:szCs w:val="18"/>
                <w:lang w:val="en-GB"/>
              </w:rPr>
            </w:pPr>
            <w:r w:rsidRPr="00407865">
              <w:rPr>
                <w:sz w:val="18"/>
                <w:szCs w:val="18"/>
                <w:lang w:val="en-GB"/>
              </w:rPr>
              <w:t>0.11</w:t>
            </w:r>
          </w:p>
        </w:tc>
        <w:tc>
          <w:tcPr>
            <w:tcW w:w="1659" w:type="dxa"/>
            <w:hideMark/>
          </w:tcPr>
          <w:p w14:paraId="50BE5B11" w14:textId="77777777" w:rsidR="00201171" w:rsidRPr="00407865" w:rsidRDefault="00201171">
            <w:pPr>
              <w:pStyle w:val="NormalWeb"/>
              <w:rPr>
                <w:sz w:val="18"/>
                <w:szCs w:val="18"/>
                <w:lang w:val="en-GB"/>
              </w:rPr>
            </w:pPr>
            <w:r w:rsidRPr="00407865">
              <w:rPr>
                <w:sz w:val="18"/>
                <w:szCs w:val="18"/>
                <w:lang w:val="en-GB"/>
              </w:rPr>
              <w:t>1.18 (0.86–1.61)</w:t>
            </w:r>
          </w:p>
        </w:tc>
      </w:tr>
      <w:tr w:rsidR="00407865" w:rsidRPr="00407865" w14:paraId="77DD7C23" w14:textId="77777777" w:rsidTr="00684D29">
        <w:trPr>
          <w:divId w:val="1276905115"/>
        </w:trPr>
        <w:tc>
          <w:tcPr>
            <w:tcW w:w="2552" w:type="dxa"/>
            <w:hideMark/>
          </w:tcPr>
          <w:p w14:paraId="0C0C3087" w14:textId="77777777" w:rsidR="00201171" w:rsidRPr="00407865" w:rsidRDefault="00201171" w:rsidP="00201171">
            <w:pPr>
              <w:pStyle w:val="NormalWeb"/>
              <w:jc w:val="left"/>
              <w:rPr>
                <w:sz w:val="18"/>
                <w:szCs w:val="18"/>
                <w:lang w:val="en-GB"/>
              </w:rPr>
            </w:pPr>
            <w:r w:rsidRPr="00407865">
              <w:rPr>
                <w:sz w:val="18"/>
                <w:szCs w:val="18"/>
                <w:lang w:val="en-GB"/>
              </w:rPr>
              <w:t>Q fever</w:t>
            </w:r>
          </w:p>
        </w:tc>
        <w:tc>
          <w:tcPr>
            <w:tcW w:w="1134" w:type="dxa"/>
            <w:hideMark/>
          </w:tcPr>
          <w:p w14:paraId="4AAE50BB" w14:textId="77777777" w:rsidR="00201171" w:rsidRPr="00407865" w:rsidRDefault="00201171">
            <w:pPr>
              <w:pStyle w:val="NormalWeb"/>
              <w:rPr>
                <w:sz w:val="18"/>
                <w:szCs w:val="18"/>
                <w:lang w:val="en-GB"/>
              </w:rPr>
            </w:pPr>
            <w:r w:rsidRPr="00407865">
              <w:rPr>
                <w:sz w:val="18"/>
                <w:szCs w:val="18"/>
                <w:lang w:val="en-GB"/>
              </w:rPr>
              <w:t>2.08</w:t>
            </w:r>
          </w:p>
        </w:tc>
        <w:tc>
          <w:tcPr>
            <w:tcW w:w="1134" w:type="dxa"/>
            <w:hideMark/>
          </w:tcPr>
          <w:p w14:paraId="1C5BFDC9" w14:textId="77777777" w:rsidR="00201171" w:rsidRPr="00407865" w:rsidRDefault="00201171">
            <w:pPr>
              <w:pStyle w:val="NormalWeb"/>
              <w:rPr>
                <w:sz w:val="18"/>
                <w:szCs w:val="18"/>
                <w:lang w:val="en-GB"/>
              </w:rPr>
            </w:pPr>
            <w:r w:rsidRPr="00407865">
              <w:rPr>
                <w:sz w:val="18"/>
                <w:szCs w:val="18"/>
                <w:lang w:val="en-GB"/>
              </w:rPr>
              <w:t>2.10</w:t>
            </w:r>
          </w:p>
        </w:tc>
        <w:tc>
          <w:tcPr>
            <w:tcW w:w="1562" w:type="dxa"/>
            <w:hideMark/>
          </w:tcPr>
          <w:p w14:paraId="1023D86C" w14:textId="77777777" w:rsidR="00201171" w:rsidRPr="00407865" w:rsidRDefault="00201171">
            <w:pPr>
              <w:pStyle w:val="NormalWeb"/>
              <w:rPr>
                <w:sz w:val="18"/>
                <w:szCs w:val="18"/>
                <w:lang w:val="en-GB"/>
              </w:rPr>
            </w:pPr>
            <w:r w:rsidRPr="00407865">
              <w:rPr>
                <w:sz w:val="18"/>
                <w:szCs w:val="18"/>
                <w:lang w:val="en-GB"/>
              </w:rPr>
              <w:t>1.01 (0.95–1.08)</w:t>
            </w:r>
          </w:p>
        </w:tc>
        <w:tc>
          <w:tcPr>
            <w:tcW w:w="1272" w:type="dxa"/>
            <w:hideMark/>
          </w:tcPr>
          <w:p w14:paraId="4A3256E3" w14:textId="77777777" w:rsidR="00201171" w:rsidRPr="00407865" w:rsidRDefault="00201171">
            <w:pPr>
              <w:pStyle w:val="NormalWeb"/>
              <w:rPr>
                <w:sz w:val="18"/>
                <w:szCs w:val="18"/>
                <w:lang w:val="en-GB"/>
              </w:rPr>
            </w:pPr>
            <w:r w:rsidRPr="00407865">
              <w:rPr>
                <w:sz w:val="18"/>
                <w:szCs w:val="18"/>
                <w:lang w:val="en-GB"/>
              </w:rPr>
              <w:t>0.66</w:t>
            </w:r>
          </w:p>
        </w:tc>
        <w:tc>
          <w:tcPr>
            <w:tcW w:w="1419" w:type="dxa"/>
            <w:hideMark/>
          </w:tcPr>
          <w:p w14:paraId="083C3063" w14:textId="77777777" w:rsidR="00201171" w:rsidRPr="00407865" w:rsidRDefault="00201171">
            <w:pPr>
              <w:pStyle w:val="NormalWeb"/>
              <w:rPr>
                <w:sz w:val="18"/>
                <w:szCs w:val="18"/>
                <w:lang w:val="en-GB"/>
              </w:rPr>
            </w:pPr>
            <w:r w:rsidRPr="00407865">
              <w:rPr>
                <w:sz w:val="18"/>
                <w:szCs w:val="18"/>
                <w:lang w:val="en-GB"/>
              </w:rPr>
              <w:t>0.74</w:t>
            </w:r>
          </w:p>
        </w:tc>
        <w:tc>
          <w:tcPr>
            <w:tcW w:w="1594" w:type="dxa"/>
            <w:hideMark/>
          </w:tcPr>
          <w:p w14:paraId="08190B5A" w14:textId="77777777" w:rsidR="00201171" w:rsidRPr="00407865" w:rsidRDefault="00201171">
            <w:pPr>
              <w:pStyle w:val="NormalWeb"/>
              <w:rPr>
                <w:sz w:val="18"/>
                <w:szCs w:val="18"/>
                <w:lang w:val="en-GB"/>
              </w:rPr>
            </w:pPr>
            <w:r w:rsidRPr="00407865">
              <w:rPr>
                <w:sz w:val="18"/>
                <w:szCs w:val="18"/>
                <w:lang w:val="en-GB"/>
              </w:rPr>
              <w:t>1.12 (1.00–1.26)</w:t>
            </w:r>
          </w:p>
        </w:tc>
        <w:tc>
          <w:tcPr>
            <w:tcW w:w="1239" w:type="dxa"/>
            <w:hideMark/>
          </w:tcPr>
          <w:p w14:paraId="43D536D0" w14:textId="77777777" w:rsidR="00201171" w:rsidRPr="00407865" w:rsidRDefault="00201171">
            <w:pPr>
              <w:pStyle w:val="NormalWeb"/>
              <w:rPr>
                <w:sz w:val="18"/>
                <w:szCs w:val="18"/>
                <w:lang w:val="en-GB"/>
              </w:rPr>
            </w:pPr>
            <w:r w:rsidRPr="00407865">
              <w:rPr>
                <w:sz w:val="18"/>
                <w:szCs w:val="18"/>
                <w:lang w:val="en-GB"/>
              </w:rPr>
              <w:t>0.01</w:t>
            </w:r>
          </w:p>
        </w:tc>
        <w:tc>
          <w:tcPr>
            <w:tcW w:w="1419" w:type="dxa"/>
            <w:hideMark/>
          </w:tcPr>
          <w:p w14:paraId="65A4AF77" w14:textId="77777777" w:rsidR="00201171" w:rsidRPr="00407865" w:rsidRDefault="00201171">
            <w:pPr>
              <w:pStyle w:val="NormalWeb"/>
              <w:rPr>
                <w:sz w:val="18"/>
                <w:szCs w:val="18"/>
                <w:lang w:val="en-GB"/>
              </w:rPr>
            </w:pPr>
            <w:r w:rsidRPr="00407865">
              <w:rPr>
                <w:sz w:val="18"/>
                <w:szCs w:val="18"/>
                <w:lang w:val="en-GB"/>
              </w:rPr>
              <w:t>&lt; 0.01</w:t>
            </w:r>
          </w:p>
        </w:tc>
        <w:tc>
          <w:tcPr>
            <w:tcW w:w="1659" w:type="dxa"/>
            <w:hideMark/>
          </w:tcPr>
          <w:p w14:paraId="79EC4344" w14:textId="77777777" w:rsidR="00201171" w:rsidRPr="00407865" w:rsidRDefault="00201171">
            <w:pPr>
              <w:pStyle w:val="NormalWeb"/>
              <w:rPr>
                <w:sz w:val="18"/>
                <w:szCs w:val="18"/>
                <w:lang w:val="en-GB"/>
              </w:rPr>
            </w:pPr>
            <w:r w:rsidRPr="00407865">
              <w:rPr>
                <w:sz w:val="18"/>
                <w:szCs w:val="18"/>
                <w:lang w:val="en-GB"/>
              </w:rPr>
              <w:t>0.76 (0.12–3.90)</w:t>
            </w:r>
          </w:p>
        </w:tc>
      </w:tr>
      <w:tr w:rsidR="00407865" w:rsidRPr="00407865" w14:paraId="57289FEA"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06F05569" w14:textId="77777777" w:rsidR="00201171" w:rsidRPr="00407865" w:rsidRDefault="00201171" w:rsidP="00201171">
            <w:pPr>
              <w:pStyle w:val="NormalWeb"/>
              <w:jc w:val="left"/>
              <w:rPr>
                <w:sz w:val="18"/>
                <w:szCs w:val="18"/>
                <w:lang w:val="en-GB"/>
              </w:rPr>
            </w:pPr>
            <w:r w:rsidRPr="00407865">
              <w:rPr>
                <w:sz w:val="18"/>
                <w:szCs w:val="18"/>
                <w:lang w:val="en-GB"/>
              </w:rPr>
              <w:t>Rotavirus</w:t>
            </w:r>
          </w:p>
        </w:tc>
        <w:tc>
          <w:tcPr>
            <w:tcW w:w="1134" w:type="dxa"/>
            <w:hideMark/>
          </w:tcPr>
          <w:p w14:paraId="4D095903" w14:textId="77777777" w:rsidR="00201171" w:rsidRPr="00407865" w:rsidRDefault="00201171">
            <w:pPr>
              <w:pStyle w:val="NormalWeb"/>
              <w:rPr>
                <w:sz w:val="18"/>
                <w:szCs w:val="18"/>
                <w:lang w:val="en-GB"/>
              </w:rPr>
            </w:pPr>
            <w:proofErr w:type="spellStart"/>
            <w:r w:rsidRPr="00407865">
              <w:rPr>
                <w:sz w:val="18"/>
                <w:szCs w:val="18"/>
                <w:lang w:val="en-GB"/>
              </w:rPr>
              <w:t>na</w:t>
            </w:r>
            <w:r w:rsidRPr="00407865">
              <w:rPr>
                <w:sz w:val="18"/>
                <w:szCs w:val="18"/>
                <w:vertAlign w:val="superscript"/>
                <w:lang w:val="en-GB"/>
              </w:rPr>
              <w:t>f</w:t>
            </w:r>
            <w:proofErr w:type="spellEnd"/>
          </w:p>
        </w:tc>
        <w:tc>
          <w:tcPr>
            <w:tcW w:w="1134" w:type="dxa"/>
            <w:hideMark/>
          </w:tcPr>
          <w:p w14:paraId="7AA8A6F2" w14:textId="77777777" w:rsidR="00201171" w:rsidRPr="00407865" w:rsidRDefault="00201171">
            <w:pPr>
              <w:pStyle w:val="NormalWeb"/>
              <w:rPr>
                <w:sz w:val="18"/>
                <w:szCs w:val="18"/>
                <w:lang w:val="en-GB"/>
              </w:rPr>
            </w:pPr>
            <w:r w:rsidRPr="00407865">
              <w:rPr>
                <w:sz w:val="18"/>
                <w:szCs w:val="18"/>
                <w:lang w:val="en-GB"/>
              </w:rPr>
              <w:t>11.63</w:t>
            </w:r>
            <w:r w:rsidRPr="006B7061">
              <w:rPr>
                <w:sz w:val="18"/>
                <w:szCs w:val="18"/>
                <w:vertAlign w:val="superscript"/>
                <w:lang w:val="en-GB"/>
              </w:rPr>
              <w:t>g</w:t>
            </w:r>
          </w:p>
        </w:tc>
        <w:tc>
          <w:tcPr>
            <w:tcW w:w="1562" w:type="dxa"/>
            <w:hideMark/>
          </w:tcPr>
          <w:p w14:paraId="33199078" w14:textId="77777777" w:rsidR="00201171" w:rsidRPr="00407865" w:rsidRDefault="00201171">
            <w:pPr>
              <w:pStyle w:val="NormalWeb"/>
              <w:rPr>
                <w:sz w:val="18"/>
                <w:szCs w:val="18"/>
                <w:lang w:val="en-GB"/>
              </w:rPr>
            </w:pPr>
            <w:r w:rsidRPr="00407865">
              <w:rPr>
                <w:sz w:val="18"/>
                <w:szCs w:val="18"/>
                <w:lang w:val="en-GB"/>
              </w:rPr>
              <w:t>–</w:t>
            </w:r>
          </w:p>
        </w:tc>
        <w:tc>
          <w:tcPr>
            <w:tcW w:w="1272" w:type="dxa"/>
            <w:hideMark/>
          </w:tcPr>
          <w:p w14:paraId="76C81D7D" w14:textId="77777777" w:rsidR="00201171" w:rsidRPr="00407865" w:rsidRDefault="00201171">
            <w:pPr>
              <w:pStyle w:val="NormalWeb"/>
              <w:rPr>
                <w:sz w:val="18"/>
                <w:szCs w:val="18"/>
                <w:lang w:val="en-GB"/>
              </w:rPr>
            </w:pPr>
            <w:r w:rsidRPr="00407865">
              <w:rPr>
                <w:sz w:val="18"/>
                <w:szCs w:val="18"/>
                <w:lang w:val="en-GB"/>
              </w:rPr>
              <w:t>3.83</w:t>
            </w:r>
          </w:p>
        </w:tc>
        <w:tc>
          <w:tcPr>
            <w:tcW w:w="1419" w:type="dxa"/>
            <w:hideMark/>
          </w:tcPr>
          <w:p w14:paraId="762032B4" w14:textId="77777777" w:rsidR="00201171" w:rsidRPr="00407865" w:rsidRDefault="00201171">
            <w:pPr>
              <w:pStyle w:val="NormalWeb"/>
              <w:rPr>
                <w:sz w:val="18"/>
                <w:szCs w:val="18"/>
                <w:lang w:val="en-GB"/>
              </w:rPr>
            </w:pPr>
            <w:r w:rsidRPr="00407865">
              <w:rPr>
                <w:sz w:val="18"/>
                <w:szCs w:val="18"/>
                <w:lang w:val="en-GB"/>
              </w:rPr>
              <w:t>3.03</w:t>
            </w:r>
          </w:p>
        </w:tc>
        <w:tc>
          <w:tcPr>
            <w:tcW w:w="1594" w:type="dxa"/>
            <w:hideMark/>
          </w:tcPr>
          <w:p w14:paraId="4C460B9E" w14:textId="77777777" w:rsidR="00201171" w:rsidRPr="00407865" w:rsidRDefault="00201171">
            <w:pPr>
              <w:pStyle w:val="NormalWeb"/>
              <w:rPr>
                <w:sz w:val="18"/>
                <w:szCs w:val="18"/>
                <w:lang w:val="en-GB"/>
              </w:rPr>
            </w:pPr>
            <w:r w:rsidRPr="00407865">
              <w:rPr>
                <w:sz w:val="18"/>
                <w:szCs w:val="18"/>
                <w:lang w:val="en-GB"/>
              </w:rPr>
              <w:t>0.79 (0.75–0.84)</w:t>
            </w:r>
          </w:p>
        </w:tc>
        <w:tc>
          <w:tcPr>
            <w:tcW w:w="1239" w:type="dxa"/>
            <w:hideMark/>
          </w:tcPr>
          <w:p w14:paraId="3638795A" w14:textId="77777777" w:rsidR="00201171" w:rsidRPr="00407865" w:rsidRDefault="00201171">
            <w:pPr>
              <w:pStyle w:val="NormalWeb"/>
              <w:rPr>
                <w:sz w:val="18"/>
                <w:szCs w:val="18"/>
                <w:lang w:val="en-GB"/>
              </w:rPr>
            </w:pPr>
            <w:r w:rsidRPr="00407865">
              <w:rPr>
                <w:sz w:val="18"/>
                <w:szCs w:val="18"/>
                <w:lang w:val="en-GB"/>
              </w:rPr>
              <w:t>&lt; 0.01</w:t>
            </w:r>
          </w:p>
        </w:tc>
        <w:tc>
          <w:tcPr>
            <w:tcW w:w="1419" w:type="dxa"/>
            <w:hideMark/>
          </w:tcPr>
          <w:p w14:paraId="2F943A14" w14:textId="77777777" w:rsidR="00201171" w:rsidRPr="00407865" w:rsidRDefault="00201171">
            <w:pPr>
              <w:pStyle w:val="NormalWeb"/>
              <w:rPr>
                <w:sz w:val="18"/>
                <w:szCs w:val="18"/>
                <w:lang w:val="en-GB"/>
              </w:rPr>
            </w:pPr>
            <w:r w:rsidRPr="00407865">
              <w:rPr>
                <w:sz w:val="18"/>
                <w:szCs w:val="18"/>
                <w:lang w:val="en-GB"/>
              </w:rPr>
              <w:t>&lt; 0.01</w:t>
            </w:r>
          </w:p>
        </w:tc>
        <w:tc>
          <w:tcPr>
            <w:tcW w:w="1659" w:type="dxa"/>
            <w:hideMark/>
          </w:tcPr>
          <w:p w14:paraId="6484D693" w14:textId="77777777" w:rsidR="00201171" w:rsidRPr="00407865" w:rsidRDefault="00201171">
            <w:pPr>
              <w:pStyle w:val="NormalWeb"/>
              <w:rPr>
                <w:sz w:val="18"/>
                <w:szCs w:val="18"/>
                <w:lang w:val="en-GB"/>
              </w:rPr>
            </w:pPr>
            <w:r w:rsidRPr="00407865">
              <w:rPr>
                <w:sz w:val="18"/>
                <w:szCs w:val="18"/>
                <w:lang w:val="en-GB"/>
              </w:rPr>
              <w:t>1.26 (0.09–17.44)</w:t>
            </w:r>
          </w:p>
        </w:tc>
      </w:tr>
      <w:tr w:rsidR="00407865" w:rsidRPr="00407865" w14:paraId="431DAD2B" w14:textId="77777777" w:rsidTr="00684D29">
        <w:trPr>
          <w:divId w:val="1276905115"/>
        </w:trPr>
        <w:tc>
          <w:tcPr>
            <w:tcW w:w="2552" w:type="dxa"/>
            <w:hideMark/>
          </w:tcPr>
          <w:p w14:paraId="4C8BBE08" w14:textId="77777777" w:rsidR="00201171" w:rsidRPr="00407865" w:rsidRDefault="00201171" w:rsidP="00201171">
            <w:pPr>
              <w:pStyle w:val="NormalWeb"/>
              <w:jc w:val="left"/>
              <w:rPr>
                <w:sz w:val="18"/>
                <w:szCs w:val="18"/>
                <w:lang w:val="en-GB"/>
              </w:rPr>
            </w:pPr>
            <w:r w:rsidRPr="00407865">
              <w:rPr>
                <w:sz w:val="18"/>
                <w:szCs w:val="18"/>
                <w:lang w:val="en-GB"/>
              </w:rPr>
              <w:t>Rubella</w:t>
            </w:r>
          </w:p>
        </w:tc>
        <w:tc>
          <w:tcPr>
            <w:tcW w:w="1134" w:type="dxa"/>
            <w:hideMark/>
          </w:tcPr>
          <w:p w14:paraId="28061392" w14:textId="77777777" w:rsidR="00201171" w:rsidRPr="00407865" w:rsidRDefault="00201171">
            <w:pPr>
              <w:pStyle w:val="NormalWeb"/>
              <w:rPr>
                <w:sz w:val="18"/>
                <w:szCs w:val="18"/>
                <w:lang w:val="en-GB"/>
              </w:rPr>
            </w:pPr>
            <w:r w:rsidRPr="00407865">
              <w:rPr>
                <w:sz w:val="18"/>
                <w:szCs w:val="18"/>
                <w:lang w:val="en-GB"/>
              </w:rPr>
              <w:t>0.10</w:t>
            </w:r>
          </w:p>
        </w:tc>
        <w:tc>
          <w:tcPr>
            <w:tcW w:w="1134" w:type="dxa"/>
            <w:hideMark/>
          </w:tcPr>
          <w:p w14:paraId="0C2999A4" w14:textId="77777777" w:rsidR="00201171" w:rsidRPr="00407865" w:rsidRDefault="00201171">
            <w:pPr>
              <w:pStyle w:val="NormalWeb"/>
              <w:rPr>
                <w:sz w:val="18"/>
                <w:szCs w:val="18"/>
                <w:lang w:val="en-GB"/>
              </w:rPr>
            </w:pPr>
            <w:r w:rsidRPr="00407865">
              <w:rPr>
                <w:sz w:val="18"/>
                <w:szCs w:val="18"/>
                <w:lang w:val="en-GB"/>
              </w:rPr>
              <w:t>0.05</w:t>
            </w:r>
          </w:p>
        </w:tc>
        <w:tc>
          <w:tcPr>
            <w:tcW w:w="1562" w:type="dxa"/>
            <w:hideMark/>
          </w:tcPr>
          <w:p w14:paraId="32F7D4A3" w14:textId="77777777" w:rsidR="00201171" w:rsidRPr="00407865" w:rsidRDefault="00201171">
            <w:pPr>
              <w:pStyle w:val="NormalWeb"/>
              <w:rPr>
                <w:sz w:val="18"/>
                <w:szCs w:val="18"/>
                <w:lang w:val="en-GB"/>
              </w:rPr>
            </w:pPr>
            <w:r w:rsidRPr="00407865">
              <w:rPr>
                <w:sz w:val="18"/>
                <w:szCs w:val="18"/>
                <w:lang w:val="en-GB"/>
              </w:rPr>
              <w:t>0.49 (0.32–0.73)</w:t>
            </w:r>
          </w:p>
        </w:tc>
        <w:tc>
          <w:tcPr>
            <w:tcW w:w="1272" w:type="dxa"/>
            <w:hideMark/>
          </w:tcPr>
          <w:p w14:paraId="68A5438F" w14:textId="77777777" w:rsidR="00201171" w:rsidRPr="00407865" w:rsidRDefault="00201171">
            <w:pPr>
              <w:pStyle w:val="NormalWeb"/>
              <w:rPr>
                <w:sz w:val="18"/>
                <w:szCs w:val="18"/>
                <w:lang w:val="en-GB"/>
              </w:rPr>
            </w:pPr>
            <w:r w:rsidRPr="00407865">
              <w:rPr>
                <w:sz w:val="18"/>
                <w:szCs w:val="18"/>
                <w:lang w:val="en-GB"/>
              </w:rPr>
              <w:t>0.01</w:t>
            </w:r>
          </w:p>
        </w:tc>
        <w:tc>
          <w:tcPr>
            <w:tcW w:w="1419" w:type="dxa"/>
            <w:hideMark/>
          </w:tcPr>
          <w:p w14:paraId="271DB6B1" w14:textId="77777777" w:rsidR="00201171" w:rsidRPr="00407865" w:rsidRDefault="00201171">
            <w:pPr>
              <w:pStyle w:val="NormalWeb"/>
              <w:rPr>
                <w:sz w:val="18"/>
                <w:szCs w:val="18"/>
                <w:lang w:val="en-GB"/>
              </w:rPr>
            </w:pPr>
            <w:r w:rsidRPr="00407865">
              <w:rPr>
                <w:sz w:val="18"/>
                <w:szCs w:val="18"/>
                <w:lang w:val="en-GB"/>
              </w:rPr>
              <w:t>&lt; 0.01</w:t>
            </w:r>
          </w:p>
        </w:tc>
        <w:tc>
          <w:tcPr>
            <w:tcW w:w="1594" w:type="dxa"/>
            <w:hideMark/>
          </w:tcPr>
          <w:p w14:paraId="39F673CD" w14:textId="77777777" w:rsidR="00201171" w:rsidRPr="00407865" w:rsidRDefault="00201171">
            <w:pPr>
              <w:pStyle w:val="NormalWeb"/>
              <w:rPr>
                <w:sz w:val="18"/>
                <w:szCs w:val="18"/>
                <w:lang w:val="en-GB"/>
              </w:rPr>
            </w:pPr>
            <w:r w:rsidRPr="00407865">
              <w:rPr>
                <w:sz w:val="18"/>
                <w:szCs w:val="18"/>
                <w:lang w:val="en-GB"/>
              </w:rPr>
              <w:t>0.63 (0.19–1.82)</w:t>
            </w:r>
          </w:p>
        </w:tc>
        <w:tc>
          <w:tcPr>
            <w:tcW w:w="1239" w:type="dxa"/>
            <w:hideMark/>
          </w:tcPr>
          <w:p w14:paraId="3EC54E99" w14:textId="77777777" w:rsidR="00201171" w:rsidRPr="00407865" w:rsidRDefault="00201171">
            <w:pPr>
              <w:pStyle w:val="NormalWeb"/>
              <w:rPr>
                <w:sz w:val="18"/>
                <w:szCs w:val="18"/>
                <w:lang w:val="en-GB"/>
              </w:rPr>
            </w:pPr>
            <w:r w:rsidRPr="00407865">
              <w:rPr>
                <w:sz w:val="18"/>
                <w:szCs w:val="18"/>
                <w:lang w:val="en-GB"/>
              </w:rPr>
              <w:t>&lt; 0.01</w:t>
            </w:r>
          </w:p>
        </w:tc>
        <w:tc>
          <w:tcPr>
            <w:tcW w:w="1419" w:type="dxa"/>
            <w:hideMark/>
          </w:tcPr>
          <w:p w14:paraId="3265163B" w14:textId="77777777" w:rsidR="00201171" w:rsidRPr="00407865" w:rsidRDefault="00201171">
            <w:pPr>
              <w:pStyle w:val="NormalWeb"/>
              <w:rPr>
                <w:sz w:val="18"/>
                <w:szCs w:val="18"/>
                <w:lang w:val="en-GB"/>
              </w:rPr>
            </w:pPr>
            <w:r w:rsidRPr="00407865">
              <w:rPr>
                <w:sz w:val="18"/>
                <w:szCs w:val="18"/>
                <w:lang w:val="en-GB"/>
              </w:rPr>
              <w:t>0.01</w:t>
            </w:r>
          </w:p>
        </w:tc>
        <w:tc>
          <w:tcPr>
            <w:tcW w:w="1659" w:type="dxa"/>
            <w:hideMark/>
          </w:tcPr>
          <w:p w14:paraId="6B129652" w14:textId="77777777" w:rsidR="00201171" w:rsidRPr="00407865" w:rsidRDefault="00201171">
            <w:pPr>
              <w:pStyle w:val="NormalWeb"/>
              <w:rPr>
                <w:sz w:val="18"/>
                <w:szCs w:val="18"/>
                <w:lang w:val="en-GB"/>
              </w:rPr>
            </w:pPr>
            <w:r w:rsidRPr="00407865">
              <w:rPr>
                <w:sz w:val="18"/>
                <w:szCs w:val="18"/>
                <w:lang w:val="en-GB"/>
              </w:rPr>
              <w:t>7.58 (0.92–348.81)</w:t>
            </w:r>
          </w:p>
        </w:tc>
      </w:tr>
      <w:tr w:rsidR="00407865" w:rsidRPr="00407865" w14:paraId="26A18679"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64891B51" w14:textId="77777777" w:rsidR="00201171" w:rsidRPr="00407865" w:rsidRDefault="00201171" w:rsidP="00201171">
            <w:pPr>
              <w:pStyle w:val="NormalWeb"/>
              <w:jc w:val="left"/>
              <w:rPr>
                <w:sz w:val="18"/>
                <w:szCs w:val="18"/>
                <w:lang w:val="en-GB"/>
              </w:rPr>
            </w:pPr>
            <w:r w:rsidRPr="00407865">
              <w:rPr>
                <w:sz w:val="18"/>
                <w:szCs w:val="18"/>
                <w:lang w:val="en-GB"/>
              </w:rPr>
              <w:t>Tetanus</w:t>
            </w:r>
          </w:p>
        </w:tc>
        <w:tc>
          <w:tcPr>
            <w:tcW w:w="1134" w:type="dxa"/>
            <w:hideMark/>
          </w:tcPr>
          <w:p w14:paraId="7AE9E450" w14:textId="77777777" w:rsidR="00201171" w:rsidRPr="00407865" w:rsidRDefault="00201171">
            <w:pPr>
              <w:pStyle w:val="NormalWeb"/>
              <w:rPr>
                <w:sz w:val="18"/>
                <w:szCs w:val="18"/>
                <w:lang w:val="en-GB"/>
              </w:rPr>
            </w:pPr>
            <w:r w:rsidRPr="00407865">
              <w:rPr>
                <w:sz w:val="18"/>
                <w:szCs w:val="18"/>
                <w:lang w:val="en-GB"/>
              </w:rPr>
              <w:t>0.02</w:t>
            </w:r>
          </w:p>
        </w:tc>
        <w:tc>
          <w:tcPr>
            <w:tcW w:w="1134" w:type="dxa"/>
            <w:hideMark/>
          </w:tcPr>
          <w:p w14:paraId="79E8D4DC" w14:textId="77777777" w:rsidR="00201171" w:rsidRPr="00407865" w:rsidRDefault="00201171">
            <w:pPr>
              <w:pStyle w:val="NormalWeb"/>
              <w:rPr>
                <w:sz w:val="18"/>
                <w:szCs w:val="18"/>
                <w:lang w:val="en-GB"/>
              </w:rPr>
            </w:pPr>
            <w:r w:rsidRPr="00407865">
              <w:rPr>
                <w:sz w:val="18"/>
                <w:szCs w:val="18"/>
                <w:lang w:val="en-GB"/>
              </w:rPr>
              <w:t>0.02</w:t>
            </w:r>
          </w:p>
        </w:tc>
        <w:tc>
          <w:tcPr>
            <w:tcW w:w="1562" w:type="dxa"/>
            <w:hideMark/>
          </w:tcPr>
          <w:p w14:paraId="743AE93D" w14:textId="77777777" w:rsidR="00201171" w:rsidRPr="00407865" w:rsidRDefault="00201171">
            <w:pPr>
              <w:pStyle w:val="NormalWeb"/>
              <w:rPr>
                <w:sz w:val="18"/>
                <w:szCs w:val="18"/>
                <w:lang w:val="en-GB"/>
              </w:rPr>
            </w:pPr>
            <w:r w:rsidRPr="00407865">
              <w:rPr>
                <w:sz w:val="18"/>
                <w:szCs w:val="18"/>
                <w:lang w:val="en-GB"/>
              </w:rPr>
              <w:t>1.11 (0.50–2.42)</w:t>
            </w:r>
          </w:p>
        </w:tc>
        <w:tc>
          <w:tcPr>
            <w:tcW w:w="1272" w:type="dxa"/>
            <w:hideMark/>
          </w:tcPr>
          <w:p w14:paraId="1312C9F7" w14:textId="77777777" w:rsidR="00201171" w:rsidRPr="00407865" w:rsidRDefault="00201171">
            <w:pPr>
              <w:pStyle w:val="NormalWeb"/>
              <w:rPr>
                <w:sz w:val="18"/>
                <w:szCs w:val="18"/>
                <w:lang w:val="en-GB"/>
              </w:rPr>
            </w:pPr>
            <w:r w:rsidRPr="00407865">
              <w:rPr>
                <w:sz w:val="18"/>
                <w:szCs w:val="18"/>
                <w:lang w:val="en-GB"/>
              </w:rPr>
              <w:t>0.05</w:t>
            </w:r>
          </w:p>
        </w:tc>
        <w:tc>
          <w:tcPr>
            <w:tcW w:w="1419" w:type="dxa"/>
            <w:hideMark/>
          </w:tcPr>
          <w:p w14:paraId="52DAC57F" w14:textId="77777777" w:rsidR="00201171" w:rsidRPr="00407865" w:rsidRDefault="00201171">
            <w:pPr>
              <w:pStyle w:val="NormalWeb"/>
              <w:rPr>
                <w:sz w:val="18"/>
                <w:szCs w:val="18"/>
                <w:lang w:val="en-GB"/>
              </w:rPr>
            </w:pPr>
            <w:r w:rsidRPr="00407865">
              <w:rPr>
                <w:sz w:val="18"/>
                <w:szCs w:val="18"/>
                <w:lang w:val="en-GB"/>
              </w:rPr>
              <w:t>0.05</w:t>
            </w:r>
          </w:p>
        </w:tc>
        <w:tc>
          <w:tcPr>
            <w:tcW w:w="1594" w:type="dxa"/>
            <w:hideMark/>
          </w:tcPr>
          <w:p w14:paraId="2DD77EE4" w14:textId="77777777" w:rsidR="00201171" w:rsidRPr="00407865" w:rsidRDefault="00201171">
            <w:pPr>
              <w:pStyle w:val="NormalWeb"/>
              <w:rPr>
                <w:sz w:val="18"/>
                <w:szCs w:val="18"/>
                <w:lang w:val="en-GB"/>
              </w:rPr>
            </w:pPr>
            <w:r w:rsidRPr="00407865">
              <w:rPr>
                <w:sz w:val="18"/>
                <w:szCs w:val="18"/>
                <w:lang w:val="en-GB"/>
              </w:rPr>
              <w:t>1.10 (0.70–1.72)</w:t>
            </w:r>
          </w:p>
        </w:tc>
        <w:tc>
          <w:tcPr>
            <w:tcW w:w="1239" w:type="dxa"/>
            <w:hideMark/>
          </w:tcPr>
          <w:p w14:paraId="3F2BBDEE" w14:textId="77777777" w:rsidR="00201171" w:rsidRPr="00407865" w:rsidRDefault="00201171">
            <w:pPr>
              <w:pStyle w:val="NormalWeb"/>
              <w:rPr>
                <w:sz w:val="18"/>
                <w:szCs w:val="18"/>
                <w:lang w:val="en-GB"/>
              </w:rPr>
            </w:pPr>
            <w:r w:rsidRPr="00407865">
              <w:rPr>
                <w:sz w:val="18"/>
                <w:szCs w:val="18"/>
                <w:lang w:val="en-GB"/>
              </w:rPr>
              <w:t>&lt; 0.01</w:t>
            </w:r>
          </w:p>
        </w:tc>
        <w:tc>
          <w:tcPr>
            <w:tcW w:w="1419" w:type="dxa"/>
            <w:hideMark/>
          </w:tcPr>
          <w:p w14:paraId="0C2229C8" w14:textId="77777777" w:rsidR="00201171" w:rsidRPr="00407865" w:rsidRDefault="00201171">
            <w:pPr>
              <w:pStyle w:val="NormalWeb"/>
              <w:rPr>
                <w:sz w:val="18"/>
                <w:szCs w:val="18"/>
                <w:lang w:val="en-GB"/>
              </w:rPr>
            </w:pPr>
            <w:r w:rsidRPr="00407865">
              <w:rPr>
                <w:sz w:val="18"/>
                <w:szCs w:val="18"/>
                <w:lang w:val="en-GB"/>
              </w:rPr>
              <w:t>0.01</w:t>
            </w:r>
          </w:p>
        </w:tc>
        <w:tc>
          <w:tcPr>
            <w:tcW w:w="1659" w:type="dxa"/>
            <w:hideMark/>
          </w:tcPr>
          <w:p w14:paraId="15A99ABA" w14:textId="77777777" w:rsidR="00201171" w:rsidRPr="00407865" w:rsidRDefault="00201171">
            <w:pPr>
              <w:pStyle w:val="NormalWeb"/>
              <w:rPr>
                <w:sz w:val="18"/>
                <w:szCs w:val="18"/>
                <w:lang w:val="en-GB"/>
              </w:rPr>
            </w:pPr>
            <w:r w:rsidRPr="00407865">
              <w:rPr>
                <w:sz w:val="18"/>
                <w:szCs w:val="18"/>
                <w:lang w:val="en-GB"/>
              </w:rPr>
              <w:t>2.53 (0.36–27.94)</w:t>
            </w:r>
          </w:p>
        </w:tc>
      </w:tr>
      <w:tr w:rsidR="00407865" w:rsidRPr="00407865" w14:paraId="7097FDC2" w14:textId="77777777" w:rsidTr="00684D29">
        <w:trPr>
          <w:divId w:val="1276905115"/>
        </w:trPr>
        <w:tc>
          <w:tcPr>
            <w:tcW w:w="2552" w:type="dxa"/>
            <w:hideMark/>
          </w:tcPr>
          <w:p w14:paraId="1DB08C94" w14:textId="77777777" w:rsidR="00201171" w:rsidRPr="00407865" w:rsidRDefault="00201171" w:rsidP="00201171">
            <w:pPr>
              <w:pStyle w:val="NormalWeb"/>
              <w:jc w:val="left"/>
              <w:rPr>
                <w:sz w:val="18"/>
                <w:szCs w:val="18"/>
                <w:lang w:val="en-GB"/>
              </w:rPr>
            </w:pPr>
            <w:r w:rsidRPr="00407865">
              <w:rPr>
                <w:sz w:val="18"/>
                <w:szCs w:val="18"/>
                <w:lang w:val="en-GB"/>
              </w:rPr>
              <w:t>Varicella</w:t>
            </w:r>
          </w:p>
        </w:tc>
        <w:tc>
          <w:tcPr>
            <w:tcW w:w="1134" w:type="dxa"/>
            <w:hideMark/>
          </w:tcPr>
          <w:p w14:paraId="190DBB39" w14:textId="77777777" w:rsidR="00201171" w:rsidRPr="00407865" w:rsidRDefault="00201171">
            <w:pPr>
              <w:pStyle w:val="NormalWeb"/>
              <w:rPr>
                <w:sz w:val="18"/>
                <w:szCs w:val="18"/>
                <w:lang w:val="en-GB"/>
              </w:rPr>
            </w:pPr>
            <w:proofErr w:type="spellStart"/>
            <w:r w:rsidRPr="00407865">
              <w:rPr>
                <w:sz w:val="18"/>
                <w:szCs w:val="18"/>
                <w:lang w:val="en-GB"/>
              </w:rPr>
              <w:t>na</w:t>
            </w:r>
            <w:r w:rsidRPr="00407865">
              <w:rPr>
                <w:sz w:val="18"/>
                <w:szCs w:val="18"/>
                <w:vertAlign w:val="superscript"/>
                <w:lang w:val="en-GB"/>
              </w:rPr>
              <w:t>f</w:t>
            </w:r>
            <w:proofErr w:type="spellEnd"/>
          </w:p>
        </w:tc>
        <w:tc>
          <w:tcPr>
            <w:tcW w:w="1134" w:type="dxa"/>
            <w:hideMark/>
          </w:tcPr>
          <w:p w14:paraId="3ED428B0" w14:textId="77777777" w:rsidR="00201171" w:rsidRPr="00407865" w:rsidRDefault="00201171">
            <w:pPr>
              <w:pStyle w:val="NormalWeb"/>
              <w:rPr>
                <w:sz w:val="18"/>
                <w:szCs w:val="18"/>
                <w:lang w:val="en-GB"/>
              </w:rPr>
            </w:pPr>
            <w:proofErr w:type="spellStart"/>
            <w:r w:rsidRPr="00407865">
              <w:rPr>
                <w:sz w:val="18"/>
                <w:szCs w:val="18"/>
                <w:lang w:val="en-GB"/>
              </w:rPr>
              <w:t>na</w:t>
            </w:r>
            <w:r w:rsidRPr="00407865">
              <w:rPr>
                <w:sz w:val="18"/>
                <w:szCs w:val="18"/>
                <w:vertAlign w:val="superscript"/>
                <w:lang w:val="en-GB"/>
              </w:rPr>
              <w:t>f</w:t>
            </w:r>
            <w:proofErr w:type="spellEnd"/>
          </w:p>
        </w:tc>
        <w:tc>
          <w:tcPr>
            <w:tcW w:w="1562" w:type="dxa"/>
            <w:hideMark/>
          </w:tcPr>
          <w:p w14:paraId="6C29BD81" w14:textId="77777777" w:rsidR="00201171" w:rsidRPr="00407865" w:rsidRDefault="00201171">
            <w:pPr>
              <w:pStyle w:val="NormalWeb"/>
              <w:rPr>
                <w:sz w:val="18"/>
                <w:szCs w:val="18"/>
                <w:lang w:val="en-GB"/>
              </w:rPr>
            </w:pPr>
            <w:r w:rsidRPr="00407865">
              <w:rPr>
                <w:sz w:val="18"/>
                <w:szCs w:val="18"/>
                <w:lang w:val="en-GB"/>
              </w:rPr>
              <w:t>–</w:t>
            </w:r>
          </w:p>
        </w:tc>
        <w:tc>
          <w:tcPr>
            <w:tcW w:w="1272" w:type="dxa"/>
            <w:hideMark/>
          </w:tcPr>
          <w:p w14:paraId="1857E857" w14:textId="77777777" w:rsidR="00201171" w:rsidRPr="00407865" w:rsidRDefault="00201171">
            <w:pPr>
              <w:pStyle w:val="NormalWeb"/>
              <w:rPr>
                <w:sz w:val="18"/>
                <w:szCs w:val="18"/>
                <w:lang w:val="en-GB"/>
              </w:rPr>
            </w:pPr>
            <w:r w:rsidRPr="00407865">
              <w:rPr>
                <w:sz w:val="18"/>
                <w:szCs w:val="18"/>
                <w:lang w:val="en-GB"/>
              </w:rPr>
              <w:t>1.82</w:t>
            </w:r>
          </w:p>
        </w:tc>
        <w:tc>
          <w:tcPr>
            <w:tcW w:w="1419" w:type="dxa"/>
            <w:hideMark/>
          </w:tcPr>
          <w:p w14:paraId="7F79096C" w14:textId="77777777" w:rsidR="00201171" w:rsidRPr="00407865" w:rsidRDefault="00201171">
            <w:pPr>
              <w:pStyle w:val="NormalWeb"/>
              <w:rPr>
                <w:sz w:val="18"/>
                <w:szCs w:val="18"/>
                <w:lang w:val="en-GB"/>
              </w:rPr>
            </w:pPr>
            <w:r w:rsidRPr="00407865">
              <w:rPr>
                <w:sz w:val="18"/>
                <w:szCs w:val="18"/>
                <w:lang w:val="en-GB"/>
              </w:rPr>
              <w:t>1.82</w:t>
            </w:r>
          </w:p>
        </w:tc>
        <w:tc>
          <w:tcPr>
            <w:tcW w:w="1594" w:type="dxa"/>
            <w:hideMark/>
          </w:tcPr>
          <w:p w14:paraId="616B80CC" w14:textId="77777777" w:rsidR="00201171" w:rsidRPr="00407865" w:rsidRDefault="00201171">
            <w:pPr>
              <w:pStyle w:val="NormalWeb"/>
              <w:rPr>
                <w:sz w:val="18"/>
                <w:szCs w:val="18"/>
                <w:lang w:val="en-GB"/>
              </w:rPr>
            </w:pPr>
            <w:r w:rsidRPr="00407865">
              <w:rPr>
                <w:sz w:val="18"/>
                <w:szCs w:val="18"/>
                <w:lang w:val="en-GB"/>
              </w:rPr>
              <w:t>1.00 (0.93–1.07)</w:t>
            </w:r>
          </w:p>
        </w:tc>
        <w:tc>
          <w:tcPr>
            <w:tcW w:w="1239" w:type="dxa"/>
            <w:hideMark/>
          </w:tcPr>
          <w:p w14:paraId="74390905" w14:textId="77777777" w:rsidR="00201171" w:rsidRPr="00407865" w:rsidRDefault="00201171">
            <w:pPr>
              <w:pStyle w:val="NormalWeb"/>
              <w:rPr>
                <w:sz w:val="18"/>
                <w:szCs w:val="18"/>
                <w:lang w:val="en-GB"/>
              </w:rPr>
            </w:pPr>
            <w:r w:rsidRPr="00407865">
              <w:rPr>
                <w:sz w:val="18"/>
                <w:szCs w:val="18"/>
                <w:lang w:val="en-GB"/>
              </w:rPr>
              <w:t>0.02</w:t>
            </w:r>
          </w:p>
        </w:tc>
        <w:tc>
          <w:tcPr>
            <w:tcW w:w="1419" w:type="dxa"/>
            <w:hideMark/>
          </w:tcPr>
          <w:p w14:paraId="4B1BE8C5" w14:textId="77777777" w:rsidR="00201171" w:rsidRPr="00407865" w:rsidRDefault="00201171">
            <w:pPr>
              <w:pStyle w:val="NormalWeb"/>
              <w:rPr>
                <w:sz w:val="18"/>
                <w:szCs w:val="18"/>
                <w:lang w:val="en-GB"/>
              </w:rPr>
            </w:pPr>
            <w:r w:rsidRPr="00407865">
              <w:rPr>
                <w:sz w:val="18"/>
                <w:szCs w:val="18"/>
                <w:lang w:val="en-GB"/>
              </w:rPr>
              <w:t>0.02</w:t>
            </w:r>
          </w:p>
        </w:tc>
        <w:tc>
          <w:tcPr>
            <w:tcW w:w="1659" w:type="dxa"/>
            <w:hideMark/>
          </w:tcPr>
          <w:p w14:paraId="08BDB366" w14:textId="77777777" w:rsidR="00201171" w:rsidRPr="00407865" w:rsidRDefault="00201171">
            <w:pPr>
              <w:pStyle w:val="NormalWeb"/>
              <w:rPr>
                <w:sz w:val="18"/>
                <w:szCs w:val="18"/>
                <w:lang w:val="en-GB"/>
              </w:rPr>
            </w:pPr>
            <w:r w:rsidRPr="00407865">
              <w:rPr>
                <w:sz w:val="18"/>
                <w:szCs w:val="18"/>
                <w:lang w:val="en-GB"/>
              </w:rPr>
              <w:t>0.77 (0.37–1.56)</w:t>
            </w:r>
          </w:p>
        </w:tc>
      </w:tr>
      <w:tr w:rsidR="00407865" w:rsidRPr="00407865" w14:paraId="6745050D" w14:textId="77777777" w:rsidTr="00684D29">
        <w:trPr>
          <w:cnfStyle w:val="000000010000" w:firstRow="0" w:lastRow="0" w:firstColumn="0" w:lastColumn="0" w:oddVBand="0" w:evenVBand="0" w:oddHBand="0" w:evenHBand="1" w:firstRowFirstColumn="0" w:firstRowLastColumn="0" w:lastRowFirstColumn="0" w:lastRowLastColumn="0"/>
          <w:divId w:val="1276905115"/>
        </w:trPr>
        <w:tc>
          <w:tcPr>
            <w:tcW w:w="2552" w:type="dxa"/>
            <w:hideMark/>
          </w:tcPr>
          <w:p w14:paraId="11EEF40A" w14:textId="77777777" w:rsidR="00201171" w:rsidRPr="00407865" w:rsidRDefault="00201171" w:rsidP="00201171">
            <w:pPr>
              <w:pStyle w:val="NormalWeb"/>
              <w:jc w:val="left"/>
              <w:rPr>
                <w:sz w:val="18"/>
                <w:szCs w:val="18"/>
                <w:lang w:val="en-GB"/>
              </w:rPr>
            </w:pPr>
            <w:r w:rsidRPr="00407865">
              <w:rPr>
                <w:sz w:val="18"/>
                <w:szCs w:val="18"/>
                <w:lang w:val="en-GB"/>
              </w:rPr>
              <w:t>Zoster</w:t>
            </w:r>
          </w:p>
        </w:tc>
        <w:tc>
          <w:tcPr>
            <w:tcW w:w="1134" w:type="dxa"/>
            <w:hideMark/>
          </w:tcPr>
          <w:p w14:paraId="1714E127" w14:textId="77777777" w:rsidR="00201171" w:rsidRPr="00407865" w:rsidRDefault="00201171">
            <w:pPr>
              <w:pStyle w:val="NormalWeb"/>
              <w:rPr>
                <w:sz w:val="18"/>
                <w:szCs w:val="18"/>
                <w:lang w:val="en-GB"/>
              </w:rPr>
            </w:pPr>
            <w:proofErr w:type="spellStart"/>
            <w:r w:rsidRPr="00407865">
              <w:rPr>
                <w:sz w:val="18"/>
                <w:szCs w:val="18"/>
                <w:lang w:val="en-GB"/>
              </w:rPr>
              <w:t>na</w:t>
            </w:r>
            <w:r w:rsidRPr="00407865">
              <w:rPr>
                <w:sz w:val="18"/>
                <w:szCs w:val="18"/>
                <w:vertAlign w:val="superscript"/>
                <w:lang w:val="en-GB"/>
              </w:rPr>
              <w:t>f</w:t>
            </w:r>
            <w:proofErr w:type="spellEnd"/>
          </w:p>
        </w:tc>
        <w:tc>
          <w:tcPr>
            <w:tcW w:w="1134" w:type="dxa"/>
            <w:hideMark/>
          </w:tcPr>
          <w:p w14:paraId="170E4D84" w14:textId="77777777" w:rsidR="00201171" w:rsidRPr="00407865" w:rsidRDefault="00201171">
            <w:pPr>
              <w:pStyle w:val="NormalWeb"/>
              <w:rPr>
                <w:sz w:val="18"/>
                <w:szCs w:val="18"/>
                <w:lang w:val="en-GB"/>
              </w:rPr>
            </w:pPr>
            <w:proofErr w:type="spellStart"/>
            <w:r w:rsidRPr="00407865">
              <w:rPr>
                <w:sz w:val="18"/>
                <w:szCs w:val="18"/>
                <w:lang w:val="en-GB"/>
              </w:rPr>
              <w:t>na</w:t>
            </w:r>
            <w:r w:rsidRPr="00407865">
              <w:rPr>
                <w:sz w:val="18"/>
                <w:szCs w:val="18"/>
                <w:vertAlign w:val="superscript"/>
                <w:lang w:val="en-GB"/>
              </w:rPr>
              <w:t>f</w:t>
            </w:r>
            <w:proofErr w:type="spellEnd"/>
          </w:p>
        </w:tc>
        <w:tc>
          <w:tcPr>
            <w:tcW w:w="1562" w:type="dxa"/>
            <w:hideMark/>
          </w:tcPr>
          <w:p w14:paraId="1AC08B36" w14:textId="77777777" w:rsidR="00201171" w:rsidRPr="00407865" w:rsidRDefault="00201171">
            <w:pPr>
              <w:pStyle w:val="NormalWeb"/>
              <w:rPr>
                <w:sz w:val="18"/>
                <w:szCs w:val="18"/>
                <w:lang w:val="en-GB"/>
              </w:rPr>
            </w:pPr>
            <w:r w:rsidRPr="00407865">
              <w:rPr>
                <w:sz w:val="18"/>
                <w:szCs w:val="18"/>
                <w:lang w:val="en-GB"/>
              </w:rPr>
              <w:t>–</w:t>
            </w:r>
          </w:p>
        </w:tc>
        <w:tc>
          <w:tcPr>
            <w:tcW w:w="1272" w:type="dxa"/>
            <w:hideMark/>
          </w:tcPr>
          <w:p w14:paraId="67A94A51" w14:textId="77777777" w:rsidR="00201171" w:rsidRPr="00407865" w:rsidRDefault="00201171">
            <w:pPr>
              <w:pStyle w:val="NormalWeb"/>
              <w:rPr>
                <w:sz w:val="18"/>
                <w:szCs w:val="18"/>
                <w:lang w:val="en-GB"/>
              </w:rPr>
            </w:pPr>
            <w:r w:rsidRPr="00407865">
              <w:rPr>
                <w:sz w:val="18"/>
                <w:szCs w:val="18"/>
                <w:lang w:val="en-GB"/>
              </w:rPr>
              <w:t>11.21</w:t>
            </w:r>
          </w:p>
        </w:tc>
        <w:tc>
          <w:tcPr>
            <w:tcW w:w="1419" w:type="dxa"/>
            <w:hideMark/>
          </w:tcPr>
          <w:p w14:paraId="6494EC00" w14:textId="77777777" w:rsidR="00201171" w:rsidRPr="00407865" w:rsidRDefault="00201171">
            <w:pPr>
              <w:pStyle w:val="NormalWeb"/>
              <w:rPr>
                <w:sz w:val="18"/>
                <w:szCs w:val="18"/>
                <w:lang w:val="en-GB"/>
              </w:rPr>
            </w:pPr>
            <w:r w:rsidRPr="00407865">
              <w:rPr>
                <w:sz w:val="18"/>
                <w:szCs w:val="18"/>
                <w:lang w:val="en-GB"/>
              </w:rPr>
              <w:t>13.14</w:t>
            </w:r>
          </w:p>
        </w:tc>
        <w:tc>
          <w:tcPr>
            <w:tcW w:w="1594" w:type="dxa"/>
            <w:hideMark/>
          </w:tcPr>
          <w:p w14:paraId="402EAF64" w14:textId="77777777" w:rsidR="00201171" w:rsidRPr="00407865" w:rsidRDefault="00201171">
            <w:pPr>
              <w:pStyle w:val="NormalWeb"/>
              <w:rPr>
                <w:sz w:val="18"/>
                <w:szCs w:val="18"/>
                <w:lang w:val="en-GB"/>
              </w:rPr>
            </w:pPr>
            <w:r w:rsidRPr="00407865">
              <w:rPr>
                <w:sz w:val="18"/>
                <w:szCs w:val="18"/>
                <w:lang w:val="en-GB"/>
              </w:rPr>
              <w:t>1.17 (1.14–1.21)</w:t>
            </w:r>
          </w:p>
        </w:tc>
        <w:tc>
          <w:tcPr>
            <w:tcW w:w="1239" w:type="dxa"/>
            <w:hideMark/>
          </w:tcPr>
          <w:p w14:paraId="5A0B5EAD" w14:textId="77777777" w:rsidR="00201171" w:rsidRPr="00407865" w:rsidRDefault="00201171">
            <w:pPr>
              <w:pStyle w:val="NormalWeb"/>
              <w:rPr>
                <w:sz w:val="18"/>
                <w:szCs w:val="18"/>
                <w:lang w:val="en-GB"/>
              </w:rPr>
            </w:pPr>
            <w:r w:rsidRPr="00407865">
              <w:rPr>
                <w:sz w:val="18"/>
                <w:szCs w:val="18"/>
                <w:lang w:val="en-GB"/>
              </w:rPr>
              <w:t>0.12</w:t>
            </w:r>
          </w:p>
        </w:tc>
        <w:tc>
          <w:tcPr>
            <w:tcW w:w="1419" w:type="dxa"/>
            <w:hideMark/>
          </w:tcPr>
          <w:p w14:paraId="013BFA67" w14:textId="77777777" w:rsidR="00201171" w:rsidRPr="00407865" w:rsidRDefault="00201171">
            <w:pPr>
              <w:pStyle w:val="NormalWeb"/>
              <w:rPr>
                <w:sz w:val="18"/>
                <w:szCs w:val="18"/>
                <w:lang w:val="en-GB"/>
              </w:rPr>
            </w:pPr>
            <w:r w:rsidRPr="00407865">
              <w:rPr>
                <w:sz w:val="18"/>
                <w:szCs w:val="18"/>
                <w:lang w:val="en-GB"/>
              </w:rPr>
              <w:t>0.12</w:t>
            </w:r>
          </w:p>
        </w:tc>
        <w:tc>
          <w:tcPr>
            <w:tcW w:w="1659" w:type="dxa"/>
            <w:hideMark/>
          </w:tcPr>
          <w:p w14:paraId="7501F5F1" w14:textId="77777777" w:rsidR="00201171" w:rsidRPr="00407865" w:rsidRDefault="00201171">
            <w:pPr>
              <w:pStyle w:val="NormalWeb"/>
              <w:rPr>
                <w:sz w:val="18"/>
                <w:szCs w:val="18"/>
                <w:lang w:val="en-GB"/>
              </w:rPr>
            </w:pPr>
            <w:r w:rsidRPr="00407865">
              <w:rPr>
                <w:sz w:val="18"/>
                <w:szCs w:val="18"/>
                <w:lang w:val="en-GB"/>
              </w:rPr>
              <w:t>1.05 (0.78–1.39)</w:t>
            </w:r>
          </w:p>
        </w:tc>
      </w:tr>
    </w:tbl>
    <w:p w14:paraId="5DDFBBAE" w14:textId="77777777" w:rsidR="00201171" w:rsidRDefault="00201171" w:rsidP="00201171">
      <w:pPr>
        <w:pStyle w:val="CDIfootnotes"/>
        <w:divId w:val="1276905115"/>
        <w:rPr>
          <w:lang w:val="en-GB"/>
        </w:rPr>
      </w:pPr>
      <w:r>
        <w:rPr>
          <w:lang w:val="en-GB"/>
        </w:rPr>
        <w:t>a</w:t>
      </w:r>
      <w:r>
        <w:rPr>
          <w:lang w:val="en-GB"/>
        </w:rPr>
        <w:tab/>
        <w:t>Data from 2012–2015 are in the previous report.</w:t>
      </w:r>
      <w:r w:rsidRPr="006B7061">
        <w:rPr>
          <w:vertAlign w:val="superscript"/>
          <w:lang w:val="en-GB"/>
        </w:rPr>
        <w:t>12</w:t>
      </w:r>
    </w:p>
    <w:p w14:paraId="6B2FFAFE" w14:textId="77777777" w:rsidR="00201171" w:rsidRDefault="00201171" w:rsidP="00201171">
      <w:pPr>
        <w:pStyle w:val="CDIfootnotes"/>
        <w:divId w:val="1276905115"/>
        <w:rPr>
          <w:lang w:val="en-GB"/>
        </w:rPr>
      </w:pPr>
      <w:r>
        <w:rPr>
          <w:lang w:val="en-GB"/>
        </w:rPr>
        <w:t>b</w:t>
      </w:r>
      <w:r>
        <w:rPr>
          <w:lang w:val="en-GB"/>
        </w:rPr>
        <w:tab/>
        <w:t>Rate per 100,000 population.</w:t>
      </w:r>
    </w:p>
    <w:p w14:paraId="2ABCDAFC" w14:textId="77777777" w:rsidR="00201171" w:rsidRDefault="00201171" w:rsidP="00201171">
      <w:pPr>
        <w:pStyle w:val="CDIfootnotes"/>
        <w:divId w:val="1276905115"/>
        <w:rPr>
          <w:lang w:val="en-GB"/>
        </w:rPr>
      </w:pPr>
      <w:r>
        <w:rPr>
          <w:lang w:val="en-GB"/>
        </w:rPr>
        <w:t>c</w:t>
      </w:r>
      <w:r>
        <w:rPr>
          <w:lang w:val="en-GB"/>
        </w:rPr>
        <w:tab/>
        <w:t>Rate ratio = (average annual rate in 2016–2018) / (average annual rate in 2012–2015). Please note the following when interpreting rate ratios:</w:t>
      </w:r>
    </w:p>
    <w:p w14:paraId="2A29C100" w14:textId="77777777" w:rsidR="00201171" w:rsidRDefault="00201171" w:rsidP="00201171">
      <w:pPr>
        <w:pStyle w:val="CDIfootnotes"/>
        <w:divId w:val="1276905115"/>
        <w:rPr>
          <w:lang w:val="en-GB"/>
        </w:rPr>
      </w:pPr>
      <w:r>
        <w:rPr>
          <w:lang w:val="en-GB"/>
        </w:rPr>
        <w:tab/>
      </w:r>
      <w:r>
        <w:rPr>
          <w:lang w:val="en-GB"/>
        </w:rPr>
        <w:tab/>
        <w:t>Rate ratio &gt; 1: the average annual rate ratio was higher in the current reporting period (2016–2018) than in the previous reporting period (2012–2015)</w:t>
      </w:r>
    </w:p>
    <w:p w14:paraId="1EDDF378" w14:textId="77777777" w:rsidR="00201171" w:rsidRDefault="00201171" w:rsidP="00201171">
      <w:pPr>
        <w:pStyle w:val="CDIfootnotes"/>
        <w:divId w:val="1276905115"/>
        <w:rPr>
          <w:lang w:val="en-GB"/>
        </w:rPr>
      </w:pPr>
      <w:r>
        <w:rPr>
          <w:lang w:val="en-GB"/>
        </w:rPr>
        <w:tab/>
      </w:r>
      <w:r>
        <w:rPr>
          <w:lang w:val="en-GB"/>
        </w:rPr>
        <w:tab/>
        <w:t>Rate ratio &lt; 1: the average annual rate ratio was lower in the current reporting period than in the previous reporting period</w:t>
      </w:r>
    </w:p>
    <w:p w14:paraId="43D20D99" w14:textId="77777777" w:rsidR="00201171" w:rsidRDefault="00201171" w:rsidP="00201171">
      <w:pPr>
        <w:pStyle w:val="CDIfootnotes"/>
        <w:divId w:val="1276905115"/>
        <w:rPr>
          <w:lang w:val="en-GB"/>
        </w:rPr>
      </w:pPr>
      <w:r>
        <w:rPr>
          <w:lang w:val="en-GB"/>
        </w:rPr>
        <w:tab/>
      </w:r>
      <w:r>
        <w:rPr>
          <w:lang w:val="en-GB"/>
        </w:rPr>
        <w:tab/>
        <w:t>Rate ratio =1: the average annual rate ratio was the same in the current reporting period as in the previous reporting period</w:t>
      </w:r>
    </w:p>
    <w:p w14:paraId="6C60799A" w14:textId="77777777" w:rsidR="00201171" w:rsidRDefault="00201171" w:rsidP="00201171">
      <w:pPr>
        <w:pStyle w:val="CDIfootnotes"/>
        <w:divId w:val="1276905115"/>
        <w:rPr>
          <w:lang w:val="en-GB"/>
        </w:rPr>
      </w:pPr>
      <w:r>
        <w:rPr>
          <w:lang w:val="en-GB"/>
        </w:rPr>
        <w:tab/>
      </w:r>
      <w:r>
        <w:rPr>
          <w:lang w:val="en-GB"/>
        </w:rPr>
        <w:tab/>
        <w:t>A rate ratio with a 95% confidence interval (95% CI) that overlaps with 1 is considered not statistically significant.</w:t>
      </w:r>
    </w:p>
    <w:p w14:paraId="4C25ECAD" w14:textId="77777777" w:rsidR="00201171" w:rsidRDefault="00201171" w:rsidP="00201171">
      <w:pPr>
        <w:pStyle w:val="CDIfootnotes"/>
        <w:divId w:val="1276905115"/>
        <w:rPr>
          <w:lang w:val="en-GB"/>
        </w:rPr>
      </w:pPr>
      <w:r>
        <w:rPr>
          <w:lang w:val="en-GB"/>
        </w:rPr>
        <w:t>d</w:t>
      </w:r>
      <w:r>
        <w:rPr>
          <w:lang w:val="en-GB"/>
        </w:rPr>
        <w:tab/>
        <w:t>Minimum estimates as notifications, hospitalisations and deaths grossly underestimate influenza-related cases.</w:t>
      </w:r>
    </w:p>
    <w:p w14:paraId="65F579B1" w14:textId="77777777" w:rsidR="00201171" w:rsidRDefault="00201171" w:rsidP="00201171">
      <w:pPr>
        <w:pStyle w:val="CDIfootnotes"/>
        <w:divId w:val="1276905115"/>
        <w:rPr>
          <w:lang w:val="en-GB"/>
        </w:rPr>
      </w:pPr>
      <w:r>
        <w:rPr>
          <w:lang w:val="en-GB"/>
        </w:rPr>
        <w:t>e</w:t>
      </w:r>
      <w:r>
        <w:rPr>
          <w:lang w:val="en-GB"/>
        </w:rPr>
        <w:tab/>
        <w:t>Pneumococcal hospitalisations and deaths septicaemia and meningitis only.</w:t>
      </w:r>
    </w:p>
    <w:p w14:paraId="154A7B22" w14:textId="77777777" w:rsidR="00201171" w:rsidRDefault="00201171" w:rsidP="00201171">
      <w:pPr>
        <w:pStyle w:val="CDIfootnotes"/>
        <w:divId w:val="1276905115"/>
        <w:rPr>
          <w:lang w:val="en-GB"/>
        </w:rPr>
      </w:pPr>
      <w:r>
        <w:rPr>
          <w:lang w:val="en-GB"/>
        </w:rPr>
        <w:t>f</w:t>
      </w:r>
      <w:r>
        <w:rPr>
          <w:lang w:val="en-GB"/>
        </w:rPr>
        <w:tab/>
      </w:r>
      <w:proofErr w:type="spellStart"/>
      <w:r>
        <w:rPr>
          <w:lang w:val="en-GB"/>
        </w:rPr>
        <w:t>na</w:t>
      </w:r>
      <w:proofErr w:type="spellEnd"/>
      <w:r>
        <w:rPr>
          <w:lang w:val="en-GB"/>
        </w:rPr>
        <w:t>: not applicable, because data are unavailable for one or both periods.</w:t>
      </w:r>
    </w:p>
    <w:p w14:paraId="6562762E" w14:textId="77777777" w:rsidR="00201171" w:rsidRDefault="00201171" w:rsidP="00201171">
      <w:pPr>
        <w:pStyle w:val="CDIfootnotes"/>
        <w:divId w:val="1276905115"/>
        <w:rPr>
          <w:lang w:val="en-GB"/>
        </w:rPr>
      </w:pPr>
      <w:r>
        <w:rPr>
          <w:lang w:val="en-GB"/>
        </w:rPr>
        <w:t>g</w:t>
      </w:r>
      <w:r>
        <w:rPr>
          <w:lang w:val="en-GB"/>
        </w:rPr>
        <w:tab/>
        <w:t>Rotavirus notifications for the period 2016–2018 are reported for notifications where the month of diagnosis was between 1 July 2018 and 31 December 2018 only.</w:t>
      </w:r>
    </w:p>
    <w:p w14:paraId="0D5CB0B6" w14:textId="77777777" w:rsidR="00201171" w:rsidRDefault="00201171">
      <w:pPr>
        <w:pStyle w:val="NormalWeb"/>
        <w:divId w:val="1276905115"/>
        <w:rPr>
          <w:lang w:val="en-GB"/>
        </w:rPr>
      </w:pPr>
      <w:r>
        <w:rPr>
          <w:rStyle w:val="Strong"/>
          <w:lang w:val="en-GB"/>
        </w:rPr>
        <w:t>Table 3.10.1: Pneumococcal disease notifications, hospitalisations and deaths, Australia, 2016 to 2018,</w:t>
      </w:r>
      <w:r w:rsidRPr="000A0818">
        <w:rPr>
          <w:rStyle w:val="Strong"/>
          <w:vertAlign w:val="superscript"/>
          <w:lang w:val="en-GB"/>
        </w:rPr>
        <w:t>a</w:t>
      </w:r>
      <w:r>
        <w:rPr>
          <w:rStyle w:val="Strong"/>
          <w:lang w:val="en-GB"/>
        </w:rPr>
        <w:t xml:space="preserve"> by age group</w:t>
      </w:r>
      <w:r>
        <w:rPr>
          <w:lang w:val="en-GB"/>
        </w:rPr>
        <w:t xml:space="preserve"> </w:t>
      </w:r>
    </w:p>
    <w:tbl>
      <w:tblPr>
        <w:tblStyle w:val="CDI-StandardTable"/>
        <w:tblW w:w="0" w:type="auto"/>
        <w:tblLook w:val="04A0" w:firstRow="1" w:lastRow="0" w:firstColumn="1" w:lastColumn="0" w:noHBand="0" w:noVBand="1"/>
        <w:tblDescription w:val="Table 3.10.1 shows the numbers and rates by age group for pneumococcal disease notifications, hospitalisations and deaths, Australia, 2016 to 2018. The median length of stay of hospitalisations by age group is also provided. &#10;This version of this Table corrects the originally published version, in which  the reported statistics for pneumococcal disease hospitalisations were for hospitalisation where pneumococcal disease was noted as the principal cause of hospitalisation. For consistency with previous surveillance reports and with reporting on the length of stay for hospitalisations in this table, the hospitalisation statistics have now been corrected to report hospitalisation numbers where pneumococcal disease was coded as any cause of hospitalisation during the reporting period."/>
      </w:tblPr>
      <w:tblGrid>
        <w:gridCol w:w="1323"/>
        <w:gridCol w:w="538"/>
        <w:gridCol w:w="536"/>
        <w:gridCol w:w="1334"/>
        <w:gridCol w:w="1553"/>
        <w:gridCol w:w="1705"/>
        <w:gridCol w:w="1633"/>
        <w:gridCol w:w="2887"/>
        <w:gridCol w:w="2383"/>
        <w:gridCol w:w="570"/>
        <w:gridCol w:w="522"/>
      </w:tblGrid>
      <w:tr w:rsidR="00201171" w:rsidRPr="000A0818" w14:paraId="3F1FCB90" w14:textId="77777777" w:rsidTr="003478C0">
        <w:trPr>
          <w:cnfStyle w:val="100000000000" w:firstRow="1" w:lastRow="0" w:firstColumn="0" w:lastColumn="0" w:oddVBand="0" w:evenVBand="0" w:oddHBand="0" w:evenHBand="0" w:firstRowFirstColumn="0" w:firstRowLastColumn="0" w:lastRowFirstColumn="0" w:lastRowLastColumn="0"/>
          <w:divId w:val="1276905115"/>
          <w:tblHeader/>
        </w:trPr>
        <w:tc>
          <w:tcPr>
            <w:tcW w:w="0" w:type="auto"/>
            <w:vMerge w:val="restart"/>
            <w:hideMark/>
          </w:tcPr>
          <w:p w14:paraId="37F3DC1B" w14:textId="77777777" w:rsidR="00201171" w:rsidRPr="000A0818" w:rsidRDefault="00201171">
            <w:pPr>
              <w:pStyle w:val="NormalWeb"/>
              <w:rPr>
                <w:sz w:val="18"/>
                <w:szCs w:val="18"/>
                <w:lang w:val="en-GB"/>
              </w:rPr>
            </w:pPr>
            <w:r w:rsidRPr="000A0818">
              <w:rPr>
                <w:sz w:val="18"/>
                <w:szCs w:val="18"/>
                <w:lang w:val="en-GB"/>
              </w:rPr>
              <w:t>Age group (years)</w:t>
            </w:r>
          </w:p>
        </w:tc>
        <w:tc>
          <w:tcPr>
            <w:tcW w:w="0" w:type="auto"/>
            <w:gridSpan w:val="2"/>
            <w:vMerge w:val="restart"/>
            <w:hideMark/>
          </w:tcPr>
          <w:p w14:paraId="214FD52C" w14:textId="77777777" w:rsidR="00201171" w:rsidRPr="000A0818" w:rsidRDefault="00201171">
            <w:pPr>
              <w:pStyle w:val="NormalWeb"/>
              <w:rPr>
                <w:sz w:val="18"/>
                <w:szCs w:val="18"/>
                <w:lang w:val="en-GB"/>
              </w:rPr>
            </w:pPr>
            <w:r w:rsidRPr="000A0818">
              <w:rPr>
                <w:sz w:val="18"/>
                <w:szCs w:val="18"/>
                <w:lang w:val="en-GB"/>
              </w:rPr>
              <w:t>Notifications</w:t>
            </w:r>
          </w:p>
        </w:tc>
        <w:tc>
          <w:tcPr>
            <w:tcW w:w="0" w:type="auto"/>
            <w:gridSpan w:val="4"/>
            <w:hideMark/>
          </w:tcPr>
          <w:p w14:paraId="0EB1B8E7" w14:textId="77777777" w:rsidR="00201171" w:rsidRPr="000A0818" w:rsidRDefault="00201171">
            <w:pPr>
              <w:pStyle w:val="NormalWeb"/>
              <w:rPr>
                <w:sz w:val="18"/>
                <w:szCs w:val="18"/>
                <w:lang w:val="en-GB"/>
              </w:rPr>
            </w:pPr>
            <w:r w:rsidRPr="000A0818">
              <w:rPr>
                <w:sz w:val="18"/>
                <w:szCs w:val="18"/>
                <w:lang w:val="en-GB"/>
              </w:rPr>
              <w:t>Hospitalisations</w:t>
            </w:r>
          </w:p>
        </w:tc>
        <w:tc>
          <w:tcPr>
            <w:tcW w:w="5269" w:type="dxa"/>
            <w:gridSpan w:val="2"/>
            <w:hideMark/>
          </w:tcPr>
          <w:p w14:paraId="530F2712" w14:textId="77777777" w:rsidR="00201171" w:rsidRPr="000A0818" w:rsidRDefault="00201171">
            <w:pPr>
              <w:pStyle w:val="NormalWeb"/>
              <w:rPr>
                <w:sz w:val="18"/>
                <w:szCs w:val="18"/>
                <w:lang w:val="en-GB"/>
              </w:rPr>
            </w:pPr>
            <w:proofErr w:type="spellStart"/>
            <w:r w:rsidRPr="000A0818">
              <w:rPr>
                <w:sz w:val="18"/>
                <w:szCs w:val="18"/>
                <w:lang w:val="en-GB"/>
              </w:rPr>
              <w:t>LOS</w:t>
            </w:r>
            <w:r w:rsidRPr="000A0818">
              <w:rPr>
                <w:sz w:val="18"/>
                <w:szCs w:val="18"/>
                <w:vertAlign w:val="superscript"/>
                <w:lang w:val="en-GB"/>
              </w:rPr>
              <w:t>b</w:t>
            </w:r>
            <w:proofErr w:type="spellEnd"/>
            <w:r w:rsidRPr="000A0818">
              <w:rPr>
                <w:sz w:val="18"/>
                <w:szCs w:val="18"/>
                <w:lang w:val="en-GB"/>
              </w:rPr>
              <w:t xml:space="preserve"> per admission</w:t>
            </w:r>
          </w:p>
        </w:tc>
        <w:tc>
          <w:tcPr>
            <w:tcW w:w="1092" w:type="dxa"/>
            <w:gridSpan w:val="2"/>
            <w:hideMark/>
          </w:tcPr>
          <w:p w14:paraId="075ABD60" w14:textId="77777777" w:rsidR="00201171" w:rsidRPr="000A0818" w:rsidRDefault="00201171">
            <w:pPr>
              <w:pStyle w:val="NormalWeb"/>
              <w:rPr>
                <w:sz w:val="18"/>
                <w:szCs w:val="18"/>
                <w:lang w:val="en-GB"/>
              </w:rPr>
            </w:pPr>
            <w:proofErr w:type="spellStart"/>
            <w:r w:rsidRPr="000A0818">
              <w:rPr>
                <w:sz w:val="18"/>
                <w:szCs w:val="18"/>
                <w:lang w:val="en-GB"/>
              </w:rPr>
              <w:t>Deaths</w:t>
            </w:r>
            <w:r w:rsidRPr="000A0818">
              <w:rPr>
                <w:sz w:val="18"/>
                <w:szCs w:val="18"/>
                <w:vertAlign w:val="superscript"/>
                <w:lang w:val="en-GB"/>
              </w:rPr>
              <w:t>c</w:t>
            </w:r>
            <w:proofErr w:type="spellEnd"/>
          </w:p>
        </w:tc>
      </w:tr>
      <w:tr w:rsidR="000A0818" w:rsidRPr="000A0818" w14:paraId="4C6CE0C0" w14:textId="77777777" w:rsidTr="003478C0">
        <w:trPr>
          <w:cnfStyle w:val="100000000000" w:firstRow="1" w:lastRow="0" w:firstColumn="0" w:lastColumn="0" w:oddVBand="0" w:evenVBand="0" w:oddHBand="0" w:evenHBand="0" w:firstRowFirstColumn="0" w:firstRowLastColumn="0" w:lastRowFirstColumn="0" w:lastRowLastColumn="0"/>
          <w:divId w:val="1276905115"/>
          <w:tblHeader/>
        </w:trPr>
        <w:tc>
          <w:tcPr>
            <w:tcW w:w="0" w:type="auto"/>
            <w:vMerge/>
            <w:hideMark/>
          </w:tcPr>
          <w:p w14:paraId="41D13C4A" w14:textId="77777777" w:rsidR="00201171" w:rsidRPr="000A0818" w:rsidRDefault="00201171">
            <w:pPr>
              <w:rPr>
                <w:sz w:val="18"/>
                <w:szCs w:val="18"/>
                <w:lang w:val="en-GB"/>
              </w:rPr>
            </w:pPr>
          </w:p>
        </w:tc>
        <w:tc>
          <w:tcPr>
            <w:tcW w:w="0" w:type="auto"/>
            <w:gridSpan w:val="2"/>
            <w:vMerge/>
            <w:hideMark/>
          </w:tcPr>
          <w:p w14:paraId="1302A8B8" w14:textId="77777777" w:rsidR="00201171" w:rsidRPr="000A0818" w:rsidRDefault="00201171">
            <w:pPr>
              <w:rPr>
                <w:sz w:val="18"/>
                <w:szCs w:val="18"/>
                <w:lang w:val="en-GB"/>
              </w:rPr>
            </w:pPr>
          </w:p>
        </w:tc>
        <w:tc>
          <w:tcPr>
            <w:tcW w:w="0" w:type="auto"/>
            <w:gridSpan w:val="2"/>
            <w:hideMark/>
          </w:tcPr>
          <w:p w14:paraId="680F5968" w14:textId="77777777" w:rsidR="00201171" w:rsidRPr="000A0818" w:rsidRDefault="00201171">
            <w:pPr>
              <w:pStyle w:val="NormalWeb"/>
              <w:rPr>
                <w:sz w:val="18"/>
                <w:szCs w:val="18"/>
                <w:lang w:val="en-GB"/>
              </w:rPr>
            </w:pPr>
            <w:r w:rsidRPr="000A0818">
              <w:rPr>
                <w:sz w:val="18"/>
                <w:szCs w:val="18"/>
                <w:lang w:val="en-GB"/>
              </w:rPr>
              <w:t>Pneumococcal meningitis or septicaemia</w:t>
            </w:r>
          </w:p>
        </w:tc>
        <w:tc>
          <w:tcPr>
            <w:tcW w:w="0" w:type="auto"/>
            <w:gridSpan w:val="2"/>
            <w:hideMark/>
          </w:tcPr>
          <w:p w14:paraId="208ECD14" w14:textId="464F79A9" w:rsidR="00201171" w:rsidRPr="000A0818" w:rsidRDefault="00201171" w:rsidP="000A0818">
            <w:pPr>
              <w:pStyle w:val="NormalWeb"/>
              <w:rPr>
                <w:sz w:val="18"/>
                <w:szCs w:val="18"/>
                <w:lang w:val="en-GB"/>
              </w:rPr>
            </w:pPr>
            <w:r w:rsidRPr="000A0818">
              <w:rPr>
                <w:sz w:val="18"/>
                <w:szCs w:val="18"/>
                <w:lang w:val="en-GB"/>
              </w:rPr>
              <w:t>Pneumococcal</w:t>
            </w:r>
            <w:r w:rsidR="000A0818">
              <w:rPr>
                <w:sz w:val="18"/>
                <w:szCs w:val="18"/>
                <w:lang w:val="en-GB"/>
              </w:rPr>
              <w:br/>
            </w:r>
            <w:r w:rsidRPr="000A0818">
              <w:rPr>
                <w:sz w:val="18"/>
                <w:szCs w:val="18"/>
                <w:lang w:val="en-GB"/>
              </w:rPr>
              <w:t>pneumonia (without meningitis or septicaemia)</w:t>
            </w:r>
          </w:p>
        </w:tc>
        <w:tc>
          <w:tcPr>
            <w:tcW w:w="0" w:type="auto"/>
            <w:hideMark/>
          </w:tcPr>
          <w:p w14:paraId="215E3137" w14:textId="77777777" w:rsidR="00201171" w:rsidRPr="000A0818" w:rsidRDefault="00201171">
            <w:pPr>
              <w:pStyle w:val="NormalWeb"/>
              <w:rPr>
                <w:sz w:val="18"/>
                <w:szCs w:val="18"/>
                <w:lang w:val="en-GB"/>
              </w:rPr>
            </w:pPr>
            <w:r w:rsidRPr="000A0818">
              <w:rPr>
                <w:sz w:val="18"/>
                <w:szCs w:val="18"/>
                <w:lang w:val="en-GB"/>
              </w:rPr>
              <w:t>Pneumococcal meningitis or septicaemia</w:t>
            </w:r>
          </w:p>
        </w:tc>
        <w:tc>
          <w:tcPr>
            <w:tcW w:w="2383" w:type="dxa"/>
            <w:hideMark/>
          </w:tcPr>
          <w:p w14:paraId="59E65D12" w14:textId="47B10840" w:rsidR="00201171" w:rsidRPr="000A0818" w:rsidRDefault="00201171" w:rsidP="000A0818">
            <w:pPr>
              <w:pStyle w:val="NormalWeb"/>
              <w:rPr>
                <w:sz w:val="18"/>
                <w:szCs w:val="18"/>
                <w:lang w:val="en-GB"/>
              </w:rPr>
            </w:pPr>
            <w:r w:rsidRPr="000A0818">
              <w:rPr>
                <w:sz w:val="18"/>
                <w:szCs w:val="18"/>
                <w:lang w:val="en-GB"/>
              </w:rPr>
              <w:t xml:space="preserve">Pneumococcal pneumonia </w:t>
            </w:r>
            <w:r w:rsidR="000A0818">
              <w:rPr>
                <w:sz w:val="18"/>
                <w:szCs w:val="18"/>
                <w:lang w:val="en-GB"/>
              </w:rPr>
              <w:br/>
            </w:r>
            <w:r w:rsidRPr="000A0818">
              <w:rPr>
                <w:sz w:val="18"/>
                <w:szCs w:val="18"/>
                <w:lang w:val="en-GB"/>
              </w:rPr>
              <w:t>(without meningitis or septicaemia)</w:t>
            </w:r>
          </w:p>
        </w:tc>
        <w:tc>
          <w:tcPr>
            <w:tcW w:w="1092" w:type="dxa"/>
            <w:gridSpan w:val="2"/>
            <w:hideMark/>
          </w:tcPr>
          <w:p w14:paraId="758D651C" w14:textId="77777777" w:rsidR="00201171" w:rsidRPr="000A0818" w:rsidRDefault="00201171">
            <w:pPr>
              <w:rPr>
                <w:sz w:val="18"/>
                <w:szCs w:val="18"/>
                <w:lang w:val="en-GB"/>
              </w:rPr>
            </w:pPr>
          </w:p>
        </w:tc>
      </w:tr>
      <w:tr w:rsidR="000A0818" w:rsidRPr="000A0818" w14:paraId="7856F245" w14:textId="77777777" w:rsidTr="003478C0">
        <w:trPr>
          <w:cnfStyle w:val="100000000000" w:firstRow="1" w:lastRow="0" w:firstColumn="0" w:lastColumn="0" w:oddVBand="0" w:evenVBand="0" w:oddHBand="0" w:evenHBand="0" w:firstRowFirstColumn="0" w:firstRowLastColumn="0" w:lastRowFirstColumn="0" w:lastRowLastColumn="0"/>
          <w:divId w:val="1276905115"/>
          <w:tblHeader/>
        </w:trPr>
        <w:tc>
          <w:tcPr>
            <w:tcW w:w="0" w:type="auto"/>
            <w:vMerge/>
            <w:hideMark/>
          </w:tcPr>
          <w:p w14:paraId="07F71014" w14:textId="77777777" w:rsidR="00201171" w:rsidRPr="000A0818" w:rsidRDefault="00201171">
            <w:pPr>
              <w:rPr>
                <w:sz w:val="18"/>
                <w:szCs w:val="18"/>
                <w:lang w:val="en-GB"/>
              </w:rPr>
            </w:pPr>
          </w:p>
        </w:tc>
        <w:tc>
          <w:tcPr>
            <w:tcW w:w="0" w:type="auto"/>
            <w:hideMark/>
          </w:tcPr>
          <w:p w14:paraId="2C307914" w14:textId="77777777" w:rsidR="00201171" w:rsidRPr="000A0818" w:rsidRDefault="00201171">
            <w:pPr>
              <w:pStyle w:val="NormalWeb"/>
              <w:rPr>
                <w:sz w:val="18"/>
                <w:szCs w:val="18"/>
                <w:lang w:val="en-GB"/>
              </w:rPr>
            </w:pPr>
            <w:r w:rsidRPr="000A0818">
              <w:rPr>
                <w:sz w:val="18"/>
                <w:szCs w:val="18"/>
                <w:lang w:val="en-GB"/>
              </w:rPr>
              <w:t>n</w:t>
            </w:r>
          </w:p>
        </w:tc>
        <w:tc>
          <w:tcPr>
            <w:tcW w:w="0" w:type="auto"/>
            <w:hideMark/>
          </w:tcPr>
          <w:p w14:paraId="5AA1B561" w14:textId="77777777" w:rsidR="00201171" w:rsidRPr="000A0818" w:rsidRDefault="00201171">
            <w:pPr>
              <w:pStyle w:val="NormalWeb"/>
              <w:rPr>
                <w:sz w:val="18"/>
                <w:szCs w:val="18"/>
                <w:lang w:val="en-GB"/>
              </w:rPr>
            </w:pPr>
            <w:r w:rsidRPr="000A0818">
              <w:rPr>
                <w:sz w:val="18"/>
                <w:szCs w:val="18"/>
                <w:lang w:val="en-GB"/>
              </w:rPr>
              <w:t>Rate</w:t>
            </w:r>
            <w:r w:rsidRPr="000978B6">
              <w:rPr>
                <w:sz w:val="18"/>
                <w:szCs w:val="18"/>
                <w:vertAlign w:val="superscript"/>
                <w:lang w:val="en-GB"/>
              </w:rPr>
              <w:t>d</w:t>
            </w:r>
          </w:p>
        </w:tc>
        <w:tc>
          <w:tcPr>
            <w:tcW w:w="0" w:type="auto"/>
            <w:hideMark/>
          </w:tcPr>
          <w:p w14:paraId="08B81E29" w14:textId="77777777" w:rsidR="00201171" w:rsidRPr="000A0818" w:rsidRDefault="00201171">
            <w:pPr>
              <w:pStyle w:val="NormalWeb"/>
              <w:rPr>
                <w:sz w:val="18"/>
                <w:szCs w:val="18"/>
                <w:lang w:val="en-GB"/>
              </w:rPr>
            </w:pPr>
            <w:r w:rsidRPr="000A0818">
              <w:rPr>
                <w:sz w:val="18"/>
                <w:szCs w:val="18"/>
                <w:lang w:val="en-GB"/>
              </w:rPr>
              <w:t>n</w:t>
            </w:r>
            <w:r w:rsidRPr="00941CDB">
              <w:rPr>
                <w:sz w:val="18"/>
                <w:szCs w:val="18"/>
                <w:vertAlign w:val="superscript"/>
                <w:lang w:val="en-GB"/>
              </w:rPr>
              <w:t>e</w:t>
            </w:r>
          </w:p>
        </w:tc>
        <w:tc>
          <w:tcPr>
            <w:tcW w:w="0" w:type="auto"/>
            <w:hideMark/>
          </w:tcPr>
          <w:p w14:paraId="1A69CF28" w14:textId="77777777" w:rsidR="00201171" w:rsidRPr="000A0818" w:rsidRDefault="00201171">
            <w:pPr>
              <w:pStyle w:val="NormalWeb"/>
              <w:rPr>
                <w:sz w:val="18"/>
                <w:szCs w:val="18"/>
                <w:lang w:val="en-GB"/>
              </w:rPr>
            </w:pPr>
            <w:proofErr w:type="spellStart"/>
            <w:r w:rsidRPr="000A0818">
              <w:rPr>
                <w:sz w:val="18"/>
                <w:szCs w:val="18"/>
                <w:lang w:val="en-GB"/>
              </w:rPr>
              <w:t>Rate</w:t>
            </w:r>
            <w:r w:rsidRPr="000A0818">
              <w:rPr>
                <w:sz w:val="18"/>
                <w:szCs w:val="18"/>
                <w:vertAlign w:val="superscript"/>
                <w:lang w:val="en-GB"/>
              </w:rPr>
              <w:t>d,e</w:t>
            </w:r>
            <w:proofErr w:type="spellEnd"/>
          </w:p>
        </w:tc>
        <w:tc>
          <w:tcPr>
            <w:tcW w:w="0" w:type="auto"/>
            <w:hideMark/>
          </w:tcPr>
          <w:p w14:paraId="683CF736" w14:textId="77777777" w:rsidR="00201171" w:rsidRPr="000A0818" w:rsidRDefault="00201171">
            <w:pPr>
              <w:pStyle w:val="NormalWeb"/>
              <w:rPr>
                <w:sz w:val="18"/>
                <w:szCs w:val="18"/>
                <w:lang w:val="en-GB"/>
              </w:rPr>
            </w:pPr>
            <w:proofErr w:type="spellStart"/>
            <w:r w:rsidRPr="000A0818">
              <w:rPr>
                <w:sz w:val="18"/>
                <w:szCs w:val="18"/>
                <w:lang w:val="en-GB"/>
              </w:rPr>
              <w:t>n</w:t>
            </w:r>
            <w:r w:rsidRPr="000A0818">
              <w:rPr>
                <w:sz w:val="18"/>
                <w:szCs w:val="18"/>
                <w:vertAlign w:val="superscript"/>
                <w:lang w:val="en-GB"/>
              </w:rPr>
              <w:t>f</w:t>
            </w:r>
            <w:proofErr w:type="spellEnd"/>
          </w:p>
        </w:tc>
        <w:tc>
          <w:tcPr>
            <w:tcW w:w="0" w:type="auto"/>
            <w:hideMark/>
          </w:tcPr>
          <w:p w14:paraId="05E4CFFA" w14:textId="77777777" w:rsidR="00201171" w:rsidRPr="000A0818" w:rsidRDefault="00201171">
            <w:pPr>
              <w:pStyle w:val="NormalWeb"/>
              <w:rPr>
                <w:sz w:val="18"/>
                <w:szCs w:val="18"/>
                <w:lang w:val="en-GB"/>
              </w:rPr>
            </w:pPr>
            <w:proofErr w:type="spellStart"/>
            <w:r w:rsidRPr="000A0818">
              <w:rPr>
                <w:sz w:val="18"/>
                <w:szCs w:val="18"/>
                <w:lang w:val="en-GB"/>
              </w:rPr>
              <w:t>Rate</w:t>
            </w:r>
            <w:r w:rsidRPr="000A0818">
              <w:rPr>
                <w:sz w:val="18"/>
                <w:szCs w:val="18"/>
                <w:vertAlign w:val="superscript"/>
                <w:lang w:val="en-GB"/>
              </w:rPr>
              <w:t>d,f</w:t>
            </w:r>
            <w:proofErr w:type="spellEnd"/>
          </w:p>
        </w:tc>
        <w:tc>
          <w:tcPr>
            <w:tcW w:w="5269" w:type="dxa"/>
            <w:gridSpan w:val="2"/>
            <w:hideMark/>
          </w:tcPr>
          <w:p w14:paraId="360B58E0" w14:textId="77777777" w:rsidR="00201171" w:rsidRPr="000A0818" w:rsidRDefault="00201171">
            <w:pPr>
              <w:pStyle w:val="NormalWeb"/>
              <w:rPr>
                <w:sz w:val="18"/>
                <w:szCs w:val="18"/>
                <w:lang w:val="en-GB"/>
              </w:rPr>
            </w:pPr>
            <w:r w:rsidRPr="000A0818">
              <w:rPr>
                <w:sz w:val="18"/>
                <w:szCs w:val="18"/>
                <w:lang w:val="en-GB"/>
              </w:rPr>
              <w:t>Median days</w:t>
            </w:r>
          </w:p>
        </w:tc>
        <w:tc>
          <w:tcPr>
            <w:tcW w:w="570" w:type="dxa"/>
            <w:hideMark/>
          </w:tcPr>
          <w:p w14:paraId="6C5D65E9" w14:textId="77777777" w:rsidR="00201171" w:rsidRPr="000A0818" w:rsidRDefault="00201171">
            <w:pPr>
              <w:pStyle w:val="NormalWeb"/>
              <w:rPr>
                <w:sz w:val="18"/>
                <w:szCs w:val="18"/>
                <w:lang w:val="en-GB"/>
              </w:rPr>
            </w:pPr>
            <w:r w:rsidRPr="000A0818">
              <w:rPr>
                <w:sz w:val="18"/>
                <w:szCs w:val="18"/>
                <w:lang w:val="en-GB"/>
              </w:rPr>
              <w:t>n</w:t>
            </w:r>
          </w:p>
        </w:tc>
        <w:tc>
          <w:tcPr>
            <w:tcW w:w="0" w:type="auto"/>
            <w:hideMark/>
          </w:tcPr>
          <w:p w14:paraId="561B81FF" w14:textId="77777777" w:rsidR="00201171" w:rsidRPr="000A0818" w:rsidRDefault="00201171">
            <w:pPr>
              <w:pStyle w:val="NormalWeb"/>
              <w:rPr>
                <w:sz w:val="18"/>
                <w:szCs w:val="18"/>
                <w:lang w:val="en-GB"/>
              </w:rPr>
            </w:pPr>
            <w:r w:rsidRPr="000A0818">
              <w:rPr>
                <w:sz w:val="18"/>
                <w:szCs w:val="18"/>
                <w:lang w:val="en-GB"/>
              </w:rPr>
              <w:t>Rate</w:t>
            </w:r>
            <w:r w:rsidRPr="000A0818">
              <w:rPr>
                <w:sz w:val="18"/>
                <w:szCs w:val="18"/>
                <w:vertAlign w:val="superscript"/>
                <w:lang w:val="en-GB"/>
              </w:rPr>
              <w:t>d</w:t>
            </w:r>
          </w:p>
        </w:tc>
      </w:tr>
      <w:tr w:rsidR="000A0818" w:rsidRPr="000A0818" w14:paraId="4E839593" w14:textId="77777777" w:rsidTr="003478C0">
        <w:trPr>
          <w:divId w:val="1276905115"/>
        </w:trPr>
        <w:tc>
          <w:tcPr>
            <w:tcW w:w="0" w:type="auto"/>
            <w:hideMark/>
          </w:tcPr>
          <w:p w14:paraId="3A992AB7" w14:textId="77777777" w:rsidR="00201171" w:rsidRPr="000A0818" w:rsidRDefault="00201171">
            <w:pPr>
              <w:pStyle w:val="NormalWeb"/>
              <w:rPr>
                <w:sz w:val="18"/>
                <w:szCs w:val="18"/>
                <w:lang w:val="en-GB"/>
              </w:rPr>
            </w:pPr>
            <w:r w:rsidRPr="000A0818">
              <w:rPr>
                <w:sz w:val="18"/>
                <w:szCs w:val="18"/>
                <w:lang w:val="en-GB"/>
              </w:rPr>
              <w:t>&lt; 1</w:t>
            </w:r>
          </w:p>
        </w:tc>
        <w:tc>
          <w:tcPr>
            <w:tcW w:w="0" w:type="auto"/>
            <w:hideMark/>
          </w:tcPr>
          <w:p w14:paraId="21088CD1" w14:textId="77777777" w:rsidR="00201171" w:rsidRPr="000A0818" w:rsidRDefault="00201171">
            <w:pPr>
              <w:pStyle w:val="NormalWeb"/>
              <w:rPr>
                <w:sz w:val="18"/>
                <w:szCs w:val="18"/>
                <w:lang w:val="en-GB"/>
              </w:rPr>
            </w:pPr>
            <w:r w:rsidRPr="000A0818">
              <w:rPr>
                <w:sz w:val="18"/>
                <w:szCs w:val="18"/>
                <w:lang w:val="en-GB"/>
              </w:rPr>
              <w:t>222</w:t>
            </w:r>
          </w:p>
        </w:tc>
        <w:tc>
          <w:tcPr>
            <w:tcW w:w="0" w:type="auto"/>
            <w:hideMark/>
          </w:tcPr>
          <w:p w14:paraId="600EFBB3" w14:textId="77777777" w:rsidR="00201171" w:rsidRPr="000A0818" w:rsidRDefault="00201171">
            <w:pPr>
              <w:pStyle w:val="NormalWeb"/>
              <w:rPr>
                <w:sz w:val="18"/>
                <w:szCs w:val="18"/>
                <w:lang w:val="en-GB"/>
              </w:rPr>
            </w:pPr>
            <w:r w:rsidRPr="000A0818">
              <w:rPr>
                <w:sz w:val="18"/>
                <w:szCs w:val="18"/>
                <w:lang w:val="en-GB"/>
              </w:rPr>
              <w:t>23.89</w:t>
            </w:r>
          </w:p>
        </w:tc>
        <w:tc>
          <w:tcPr>
            <w:tcW w:w="0" w:type="auto"/>
            <w:hideMark/>
          </w:tcPr>
          <w:p w14:paraId="39DAF0B2" w14:textId="77777777" w:rsidR="00201171" w:rsidRPr="000A0818" w:rsidRDefault="00201171">
            <w:pPr>
              <w:pStyle w:val="NormalWeb"/>
              <w:rPr>
                <w:sz w:val="18"/>
                <w:szCs w:val="18"/>
                <w:lang w:val="en-GB"/>
              </w:rPr>
            </w:pPr>
            <w:r w:rsidRPr="000A0818">
              <w:rPr>
                <w:sz w:val="18"/>
                <w:szCs w:val="18"/>
                <w:lang w:val="en-GB"/>
              </w:rPr>
              <w:t>114</w:t>
            </w:r>
          </w:p>
        </w:tc>
        <w:tc>
          <w:tcPr>
            <w:tcW w:w="0" w:type="auto"/>
            <w:hideMark/>
          </w:tcPr>
          <w:p w14:paraId="1F50C15F" w14:textId="77777777" w:rsidR="00201171" w:rsidRPr="000A0818" w:rsidRDefault="00201171">
            <w:pPr>
              <w:pStyle w:val="NormalWeb"/>
              <w:rPr>
                <w:sz w:val="18"/>
                <w:szCs w:val="18"/>
                <w:lang w:val="en-GB"/>
              </w:rPr>
            </w:pPr>
            <w:r w:rsidRPr="000A0818">
              <w:rPr>
                <w:sz w:val="18"/>
                <w:szCs w:val="18"/>
                <w:lang w:val="en-GB"/>
              </w:rPr>
              <w:t>12.27</w:t>
            </w:r>
          </w:p>
        </w:tc>
        <w:tc>
          <w:tcPr>
            <w:tcW w:w="0" w:type="auto"/>
            <w:hideMark/>
          </w:tcPr>
          <w:p w14:paraId="781711C8" w14:textId="77777777" w:rsidR="00201171" w:rsidRPr="000A0818" w:rsidRDefault="00201171">
            <w:pPr>
              <w:pStyle w:val="NormalWeb"/>
              <w:rPr>
                <w:sz w:val="18"/>
                <w:szCs w:val="18"/>
                <w:lang w:val="en-GB"/>
              </w:rPr>
            </w:pPr>
            <w:r w:rsidRPr="000A0818">
              <w:rPr>
                <w:sz w:val="18"/>
                <w:szCs w:val="18"/>
                <w:lang w:val="en-GB"/>
              </w:rPr>
              <w:t>62</w:t>
            </w:r>
          </w:p>
        </w:tc>
        <w:tc>
          <w:tcPr>
            <w:tcW w:w="0" w:type="auto"/>
            <w:hideMark/>
          </w:tcPr>
          <w:p w14:paraId="28120F4F" w14:textId="77777777" w:rsidR="00201171" w:rsidRPr="000A0818" w:rsidRDefault="00201171">
            <w:pPr>
              <w:pStyle w:val="NormalWeb"/>
              <w:rPr>
                <w:sz w:val="18"/>
                <w:szCs w:val="18"/>
                <w:lang w:val="en-GB"/>
              </w:rPr>
            </w:pPr>
            <w:r w:rsidRPr="000A0818">
              <w:rPr>
                <w:sz w:val="18"/>
                <w:szCs w:val="18"/>
                <w:lang w:val="en-GB"/>
              </w:rPr>
              <w:t>6.67</w:t>
            </w:r>
          </w:p>
        </w:tc>
        <w:tc>
          <w:tcPr>
            <w:tcW w:w="0" w:type="auto"/>
            <w:hideMark/>
          </w:tcPr>
          <w:p w14:paraId="57E201AB" w14:textId="77777777" w:rsidR="00201171" w:rsidRPr="000A0818" w:rsidRDefault="00201171">
            <w:pPr>
              <w:pStyle w:val="NormalWeb"/>
              <w:rPr>
                <w:sz w:val="18"/>
                <w:szCs w:val="18"/>
                <w:lang w:val="en-GB"/>
              </w:rPr>
            </w:pPr>
            <w:r w:rsidRPr="000A0818">
              <w:rPr>
                <w:sz w:val="18"/>
                <w:szCs w:val="18"/>
                <w:lang w:val="en-GB"/>
              </w:rPr>
              <w:t>6</w:t>
            </w:r>
          </w:p>
        </w:tc>
        <w:tc>
          <w:tcPr>
            <w:tcW w:w="2383" w:type="dxa"/>
            <w:hideMark/>
          </w:tcPr>
          <w:p w14:paraId="1466F143" w14:textId="77777777" w:rsidR="00201171" w:rsidRPr="000A0818" w:rsidRDefault="00201171">
            <w:pPr>
              <w:pStyle w:val="NormalWeb"/>
              <w:rPr>
                <w:sz w:val="18"/>
                <w:szCs w:val="18"/>
                <w:lang w:val="en-GB"/>
              </w:rPr>
            </w:pPr>
            <w:r w:rsidRPr="000A0818">
              <w:rPr>
                <w:sz w:val="18"/>
                <w:szCs w:val="18"/>
                <w:lang w:val="en-GB"/>
              </w:rPr>
              <w:t>6</w:t>
            </w:r>
          </w:p>
        </w:tc>
        <w:tc>
          <w:tcPr>
            <w:tcW w:w="570" w:type="dxa"/>
            <w:hideMark/>
          </w:tcPr>
          <w:p w14:paraId="4C425FA5" w14:textId="77777777" w:rsidR="00201171" w:rsidRPr="000A0818" w:rsidRDefault="00201171">
            <w:pPr>
              <w:pStyle w:val="NormalWeb"/>
              <w:rPr>
                <w:sz w:val="18"/>
                <w:szCs w:val="18"/>
                <w:lang w:val="en-GB"/>
              </w:rPr>
            </w:pPr>
            <w:r w:rsidRPr="000A0818">
              <w:rPr>
                <w:sz w:val="18"/>
                <w:szCs w:val="18"/>
                <w:lang w:val="en-GB"/>
              </w:rPr>
              <w:t>1–5</w:t>
            </w:r>
          </w:p>
        </w:tc>
        <w:tc>
          <w:tcPr>
            <w:tcW w:w="0" w:type="auto"/>
            <w:hideMark/>
          </w:tcPr>
          <w:p w14:paraId="295C21A6" w14:textId="77777777" w:rsidR="00201171" w:rsidRPr="000A0818" w:rsidRDefault="00201171">
            <w:pPr>
              <w:pStyle w:val="NormalWeb"/>
              <w:rPr>
                <w:sz w:val="18"/>
                <w:szCs w:val="18"/>
                <w:lang w:val="en-GB"/>
              </w:rPr>
            </w:pPr>
            <w:r w:rsidRPr="000A0818">
              <w:rPr>
                <w:sz w:val="18"/>
                <w:szCs w:val="18"/>
                <w:lang w:val="en-GB"/>
              </w:rPr>
              <w:t>0.22</w:t>
            </w:r>
          </w:p>
        </w:tc>
      </w:tr>
      <w:tr w:rsidR="000A0818" w:rsidRPr="000A0818" w14:paraId="1CEF530E" w14:textId="77777777" w:rsidTr="003478C0">
        <w:trPr>
          <w:cnfStyle w:val="000000010000" w:firstRow="0" w:lastRow="0" w:firstColumn="0" w:lastColumn="0" w:oddVBand="0" w:evenVBand="0" w:oddHBand="0" w:evenHBand="1" w:firstRowFirstColumn="0" w:firstRowLastColumn="0" w:lastRowFirstColumn="0" w:lastRowLastColumn="0"/>
          <w:divId w:val="1276905115"/>
        </w:trPr>
        <w:tc>
          <w:tcPr>
            <w:tcW w:w="0" w:type="auto"/>
            <w:hideMark/>
          </w:tcPr>
          <w:p w14:paraId="290E120E" w14:textId="77777777" w:rsidR="00201171" w:rsidRPr="000A0818" w:rsidRDefault="00201171">
            <w:pPr>
              <w:pStyle w:val="NormalWeb"/>
              <w:rPr>
                <w:sz w:val="18"/>
                <w:szCs w:val="18"/>
                <w:lang w:val="en-GB"/>
              </w:rPr>
            </w:pPr>
            <w:r w:rsidRPr="000A0818">
              <w:rPr>
                <w:sz w:val="18"/>
                <w:szCs w:val="18"/>
                <w:lang w:val="en-GB"/>
              </w:rPr>
              <w:t>1–4</w:t>
            </w:r>
          </w:p>
        </w:tc>
        <w:tc>
          <w:tcPr>
            <w:tcW w:w="0" w:type="auto"/>
            <w:hideMark/>
          </w:tcPr>
          <w:p w14:paraId="1BD75AE9" w14:textId="77777777" w:rsidR="00201171" w:rsidRPr="000A0818" w:rsidRDefault="00201171">
            <w:pPr>
              <w:pStyle w:val="NormalWeb"/>
              <w:rPr>
                <w:sz w:val="18"/>
                <w:szCs w:val="18"/>
                <w:lang w:val="en-GB"/>
              </w:rPr>
            </w:pPr>
            <w:r w:rsidRPr="000A0818">
              <w:rPr>
                <w:sz w:val="18"/>
                <w:szCs w:val="18"/>
                <w:lang w:val="en-GB"/>
              </w:rPr>
              <w:t>618</w:t>
            </w:r>
          </w:p>
        </w:tc>
        <w:tc>
          <w:tcPr>
            <w:tcW w:w="0" w:type="auto"/>
            <w:hideMark/>
          </w:tcPr>
          <w:p w14:paraId="2FC75C7C" w14:textId="77777777" w:rsidR="00201171" w:rsidRPr="000A0818" w:rsidRDefault="00201171">
            <w:pPr>
              <w:pStyle w:val="NormalWeb"/>
              <w:rPr>
                <w:sz w:val="18"/>
                <w:szCs w:val="18"/>
                <w:lang w:val="en-GB"/>
              </w:rPr>
            </w:pPr>
            <w:r w:rsidRPr="000A0818">
              <w:rPr>
                <w:sz w:val="18"/>
                <w:szCs w:val="18"/>
                <w:lang w:val="en-GB"/>
              </w:rPr>
              <w:t>16.28</w:t>
            </w:r>
          </w:p>
        </w:tc>
        <w:tc>
          <w:tcPr>
            <w:tcW w:w="0" w:type="auto"/>
            <w:hideMark/>
          </w:tcPr>
          <w:p w14:paraId="0E33D199" w14:textId="77777777" w:rsidR="00201171" w:rsidRPr="000A0818" w:rsidRDefault="00201171">
            <w:pPr>
              <w:pStyle w:val="NormalWeb"/>
              <w:rPr>
                <w:sz w:val="18"/>
                <w:szCs w:val="18"/>
                <w:lang w:val="en-GB"/>
              </w:rPr>
            </w:pPr>
            <w:r w:rsidRPr="000A0818">
              <w:rPr>
                <w:sz w:val="18"/>
                <w:szCs w:val="18"/>
                <w:lang w:val="en-GB"/>
              </w:rPr>
              <w:t>144</w:t>
            </w:r>
          </w:p>
        </w:tc>
        <w:tc>
          <w:tcPr>
            <w:tcW w:w="0" w:type="auto"/>
            <w:hideMark/>
          </w:tcPr>
          <w:p w14:paraId="74FC982C" w14:textId="77777777" w:rsidR="00201171" w:rsidRPr="000A0818" w:rsidRDefault="00201171">
            <w:pPr>
              <w:pStyle w:val="NormalWeb"/>
              <w:rPr>
                <w:sz w:val="18"/>
                <w:szCs w:val="18"/>
                <w:lang w:val="en-GB"/>
              </w:rPr>
            </w:pPr>
            <w:r w:rsidRPr="000A0818">
              <w:rPr>
                <w:sz w:val="18"/>
                <w:szCs w:val="18"/>
                <w:lang w:val="en-GB"/>
              </w:rPr>
              <w:t>3.79</w:t>
            </w:r>
          </w:p>
        </w:tc>
        <w:tc>
          <w:tcPr>
            <w:tcW w:w="0" w:type="auto"/>
            <w:hideMark/>
          </w:tcPr>
          <w:p w14:paraId="1966B5AA" w14:textId="77777777" w:rsidR="00201171" w:rsidRPr="000A0818" w:rsidRDefault="00201171">
            <w:pPr>
              <w:pStyle w:val="NormalWeb"/>
              <w:rPr>
                <w:sz w:val="18"/>
                <w:szCs w:val="18"/>
                <w:lang w:val="en-GB"/>
              </w:rPr>
            </w:pPr>
            <w:r w:rsidRPr="000A0818">
              <w:rPr>
                <w:sz w:val="18"/>
                <w:szCs w:val="18"/>
                <w:lang w:val="en-GB"/>
              </w:rPr>
              <w:t>386</w:t>
            </w:r>
          </w:p>
        </w:tc>
        <w:tc>
          <w:tcPr>
            <w:tcW w:w="0" w:type="auto"/>
            <w:hideMark/>
          </w:tcPr>
          <w:p w14:paraId="145400F8" w14:textId="77777777" w:rsidR="00201171" w:rsidRPr="000A0818" w:rsidRDefault="00201171">
            <w:pPr>
              <w:pStyle w:val="NormalWeb"/>
              <w:rPr>
                <w:sz w:val="18"/>
                <w:szCs w:val="18"/>
                <w:lang w:val="en-GB"/>
              </w:rPr>
            </w:pPr>
            <w:r w:rsidRPr="000A0818">
              <w:rPr>
                <w:sz w:val="18"/>
                <w:szCs w:val="18"/>
                <w:lang w:val="en-GB"/>
              </w:rPr>
              <w:t>10.17</w:t>
            </w:r>
          </w:p>
        </w:tc>
        <w:tc>
          <w:tcPr>
            <w:tcW w:w="0" w:type="auto"/>
            <w:hideMark/>
          </w:tcPr>
          <w:p w14:paraId="75B5E522" w14:textId="77777777" w:rsidR="00201171" w:rsidRPr="000A0818" w:rsidRDefault="00201171">
            <w:pPr>
              <w:pStyle w:val="NormalWeb"/>
              <w:rPr>
                <w:sz w:val="18"/>
                <w:szCs w:val="18"/>
                <w:lang w:val="en-GB"/>
              </w:rPr>
            </w:pPr>
            <w:r w:rsidRPr="000A0818">
              <w:rPr>
                <w:sz w:val="18"/>
                <w:szCs w:val="18"/>
                <w:lang w:val="en-GB"/>
              </w:rPr>
              <w:t>6</w:t>
            </w:r>
          </w:p>
        </w:tc>
        <w:tc>
          <w:tcPr>
            <w:tcW w:w="2383" w:type="dxa"/>
            <w:hideMark/>
          </w:tcPr>
          <w:p w14:paraId="5E244EA6" w14:textId="77777777" w:rsidR="00201171" w:rsidRPr="000A0818" w:rsidRDefault="00201171">
            <w:pPr>
              <w:pStyle w:val="NormalWeb"/>
              <w:rPr>
                <w:sz w:val="18"/>
                <w:szCs w:val="18"/>
                <w:lang w:val="en-GB"/>
              </w:rPr>
            </w:pPr>
            <w:r w:rsidRPr="000A0818">
              <w:rPr>
                <w:sz w:val="18"/>
                <w:szCs w:val="18"/>
                <w:lang w:val="en-GB"/>
              </w:rPr>
              <w:t>6</w:t>
            </w:r>
          </w:p>
        </w:tc>
        <w:tc>
          <w:tcPr>
            <w:tcW w:w="570" w:type="dxa"/>
            <w:hideMark/>
          </w:tcPr>
          <w:p w14:paraId="31EA158A" w14:textId="77777777" w:rsidR="00201171" w:rsidRPr="000A0818" w:rsidRDefault="00201171">
            <w:pPr>
              <w:pStyle w:val="NormalWeb"/>
              <w:rPr>
                <w:sz w:val="18"/>
                <w:szCs w:val="18"/>
                <w:lang w:val="en-GB"/>
              </w:rPr>
            </w:pPr>
            <w:r w:rsidRPr="000A0818">
              <w:rPr>
                <w:sz w:val="18"/>
                <w:szCs w:val="18"/>
                <w:lang w:val="en-GB"/>
              </w:rPr>
              <w:t>1–5</w:t>
            </w:r>
          </w:p>
        </w:tc>
        <w:tc>
          <w:tcPr>
            <w:tcW w:w="0" w:type="auto"/>
            <w:hideMark/>
          </w:tcPr>
          <w:p w14:paraId="7C4923CC" w14:textId="77777777" w:rsidR="00201171" w:rsidRPr="000A0818" w:rsidRDefault="00201171">
            <w:pPr>
              <w:pStyle w:val="NormalWeb"/>
              <w:rPr>
                <w:sz w:val="18"/>
                <w:szCs w:val="18"/>
                <w:lang w:val="en-GB"/>
              </w:rPr>
            </w:pPr>
            <w:r w:rsidRPr="000A0818">
              <w:rPr>
                <w:sz w:val="18"/>
                <w:szCs w:val="18"/>
                <w:lang w:val="en-GB"/>
              </w:rPr>
              <w:t>0.08</w:t>
            </w:r>
          </w:p>
        </w:tc>
      </w:tr>
      <w:tr w:rsidR="000A0818" w:rsidRPr="000A0818" w14:paraId="41F86C30" w14:textId="77777777" w:rsidTr="003478C0">
        <w:trPr>
          <w:divId w:val="1276905115"/>
        </w:trPr>
        <w:tc>
          <w:tcPr>
            <w:tcW w:w="0" w:type="auto"/>
            <w:hideMark/>
          </w:tcPr>
          <w:p w14:paraId="24520300" w14:textId="77777777" w:rsidR="00201171" w:rsidRPr="000A0818" w:rsidRDefault="00201171">
            <w:pPr>
              <w:pStyle w:val="NormalWeb"/>
              <w:rPr>
                <w:sz w:val="18"/>
                <w:szCs w:val="18"/>
                <w:lang w:val="en-GB"/>
              </w:rPr>
            </w:pPr>
            <w:r w:rsidRPr="000A0818">
              <w:rPr>
                <w:sz w:val="18"/>
                <w:szCs w:val="18"/>
                <w:lang w:val="en-GB"/>
              </w:rPr>
              <w:t>5–14</w:t>
            </w:r>
          </w:p>
        </w:tc>
        <w:tc>
          <w:tcPr>
            <w:tcW w:w="0" w:type="auto"/>
            <w:hideMark/>
          </w:tcPr>
          <w:p w14:paraId="7949D257" w14:textId="77777777" w:rsidR="00201171" w:rsidRPr="000A0818" w:rsidRDefault="00201171">
            <w:pPr>
              <w:pStyle w:val="NormalWeb"/>
              <w:rPr>
                <w:sz w:val="18"/>
                <w:szCs w:val="18"/>
                <w:lang w:val="en-GB"/>
              </w:rPr>
            </w:pPr>
            <w:r w:rsidRPr="000A0818">
              <w:rPr>
                <w:sz w:val="18"/>
                <w:szCs w:val="18"/>
                <w:lang w:val="en-GB"/>
              </w:rPr>
              <w:t>241</w:t>
            </w:r>
          </w:p>
        </w:tc>
        <w:tc>
          <w:tcPr>
            <w:tcW w:w="0" w:type="auto"/>
            <w:hideMark/>
          </w:tcPr>
          <w:p w14:paraId="20174E6A" w14:textId="77777777" w:rsidR="00201171" w:rsidRPr="000A0818" w:rsidRDefault="00201171">
            <w:pPr>
              <w:pStyle w:val="NormalWeb"/>
              <w:rPr>
                <w:sz w:val="18"/>
                <w:szCs w:val="18"/>
                <w:lang w:val="en-GB"/>
              </w:rPr>
            </w:pPr>
            <w:r w:rsidRPr="000A0818">
              <w:rPr>
                <w:sz w:val="18"/>
                <w:szCs w:val="18"/>
                <w:lang w:val="en-GB"/>
              </w:rPr>
              <w:t>2.63</w:t>
            </w:r>
          </w:p>
        </w:tc>
        <w:tc>
          <w:tcPr>
            <w:tcW w:w="0" w:type="auto"/>
            <w:hideMark/>
          </w:tcPr>
          <w:p w14:paraId="39280742" w14:textId="77777777" w:rsidR="00201171" w:rsidRPr="000A0818" w:rsidRDefault="00201171">
            <w:pPr>
              <w:pStyle w:val="NormalWeb"/>
              <w:rPr>
                <w:sz w:val="18"/>
                <w:szCs w:val="18"/>
                <w:lang w:val="en-GB"/>
              </w:rPr>
            </w:pPr>
            <w:r w:rsidRPr="000A0818">
              <w:rPr>
                <w:sz w:val="18"/>
                <w:szCs w:val="18"/>
                <w:lang w:val="en-GB"/>
              </w:rPr>
              <w:t>85</w:t>
            </w:r>
          </w:p>
        </w:tc>
        <w:tc>
          <w:tcPr>
            <w:tcW w:w="0" w:type="auto"/>
            <w:hideMark/>
          </w:tcPr>
          <w:p w14:paraId="4FAB4525" w14:textId="77777777" w:rsidR="00201171" w:rsidRPr="000A0818" w:rsidRDefault="00201171">
            <w:pPr>
              <w:pStyle w:val="NormalWeb"/>
              <w:rPr>
                <w:sz w:val="18"/>
                <w:szCs w:val="18"/>
                <w:lang w:val="en-GB"/>
              </w:rPr>
            </w:pPr>
            <w:r w:rsidRPr="000A0818">
              <w:rPr>
                <w:sz w:val="18"/>
                <w:szCs w:val="18"/>
                <w:lang w:val="en-GB"/>
              </w:rPr>
              <w:t>0.93</w:t>
            </w:r>
          </w:p>
        </w:tc>
        <w:tc>
          <w:tcPr>
            <w:tcW w:w="0" w:type="auto"/>
            <w:hideMark/>
          </w:tcPr>
          <w:p w14:paraId="788871EE" w14:textId="77777777" w:rsidR="00201171" w:rsidRPr="000A0818" w:rsidRDefault="00201171">
            <w:pPr>
              <w:pStyle w:val="NormalWeb"/>
              <w:rPr>
                <w:sz w:val="18"/>
                <w:szCs w:val="18"/>
                <w:lang w:val="en-GB"/>
              </w:rPr>
            </w:pPr>
            <w:r w:rsidRPr="000A0818">
              <w:rPr>
                <w:sz w:val="18"/>
                <w:szCs w:val="18"/>
                <w:lang w:val="en-GB"/>
              </w:rPr>
              <w:t>194</w:t>
            </w:r>
          </w:p>
        </w:tc>
        <w:tc>
          <w:tcPr>
            <w:tcW w:w="0" w:type="auto"/>
            <w:hideMark/>
          </w:tcPr>
          <w:p w14:paraId="2587C155" w14:textId="77777777" w:rsidR="00201171" w:rsidRPr="000A0818" w:rsidRDefault="00201171">
            <w:pPr>
              <w:pStyle w:val="NormalWeb"/>
              <w:rPr>
                <w:sz w:val="18"/>
                <w:szCs w:val="18"/>
                <w:lang w:val="en-GB"/>
              </w:rPr>
            </w:pPr>
            <w:r w:rsidRPr="000A0818">
              <w:rPr>
                <w:sz w:val="18"/>
                <w:szCs w:val="18"/>
                <w:lang w:val="en-GB"/>
              </w:rPr>
              <w:t>2.11</w:t>
            </w:r>
          </w:p>
        </w:tc>
        <w:tc>
          <w:tcPr>
            <w:tcW w:w="0" w:type="auto"/>
            <w:hideMark/>
          </w:tcPr>
          <w:p w14:paraId="641095BF" w14:textId="77777777" w:rsidR="00201171" w:rsidRPr="000A0818" w:rsidRDefault="00201171">
            <w:pPr>
              <w:pStyle w:val="NormalWeb"/>
              <w:rPr>
                <w:sz w:val="18"/>
                <w:szCs w:val="18"/>
                <w:lang w:val="en-GB"/>
              </w:rPr>
            </w:pPr>
            <w:r w:rsidRPr="000A0818">
              <w:rPr>
                <w:sz w:val="18"/>
                <w:szCs w:val="18"/>
                <w:lang w:val="en-GB"/>
              </w:rPr>
              <w:t>5</w:t>
            </w:r>
          </w:p>
        </w:tc>
        <w:tc>
          <w:tcPr>
            <w:tcW w:w="2383" w:type="dxa"/>
            <w:hideMark/>
          </w:tcPr>
          <w:p w14:paraId="6B4D9F3E" w14:textId="77777777" w:rsidR="00201171" w:rsidRPr="000A0818" w:rsidRDefault="00201171">
            <w:pPr>
              <w:pStyle w:val="NormalWeb"/>
              <w:rPr>
                <w:sz w:val="18"/>
                <w:szCs w:val="18"/>
                <w:lang w:val="en-GB"/>
              </w:rPr>
            </w:pPr>
            <w:r w:rsidRPr="000A0818">
              <w:rPr>
                <w:sz w:val="18"/>
                <w:szCs w:val="18"/>
                <w:lang w:val="en-GB"/>
              </w:rPr>
              <w:t>7</w:t>
            </w:r>
          </w:p>
        </w:tc>
        <w:tc>
          <w:tcPr>
            <w:tcW w:w="570" w:type="dxa"/>
            <w:hideMark/>
          </w:tcPr>
          <w:p w14:paraId="1BE30C14" w14:textId="77777777" w:rsidR="00201171" w:rsidRPr="000A0818" w:rsidRDefault="00201171">
            <w:pPr>
              <w:pStyle w:val="NormalWeb"/>
              <w:rPr>
                <w:sz w:val="18"/>
                <w:szCs w:val="18"/>
                <w:lang w:val="en-GB"/>
              </w:rPr>
            </w:pPr>
            <w:r w:rsidRPr="000A0818">
              <w:rPr>
                <w:sz w:val="18"/>
                <w:szCs w:val="18"/>
                <w:lang w:val="en-GB"/>
              </w:rPr>
              <w:t>1–5</w:t>
            </w:r>
          </w:p>
        </w:tc>
        <w:tc>
          <w:tcPr>
            <w:tcW w:w="0" w:type="auto"/>
            <w:hideMark/>
          </w:tcPr>
          <w:p w14:paraId="70532D29" w14:textId="77777777" w:rsidR="00201171" w:rsidRPr="000A0818" w:rsidRDefault="00201171">
            <w:pPr>
              <w:pStyle w:val="NormalWeb"/>
              <w:rPr>
                <w:sz w:val="18"/>
                <w:szCs w:val="18"/>
                <w:lang w:val="en-GB"/>
              </w:rPr>
            </w:pPr>
            <w:r w:rsidRPr="000A0818">
              <w:rPr>
                <w:sz w:val="18"/>
                <w:szCs w:val="18"/>
                <w:lang w:val="en-GB"/>
              </w:rPr>
              <w:t>0.01</w:t>
            </w:r>
          </w:p>
        </w:tc>
      </w:tr>
      <w:tr w:rsidR="000A0818" w:rsidRPr="000A0818" w14:paraId="5E2B5B93" w14:textId="77777777" w:rsidTr="003478C0">
        <w:trPr>
          <w:cnfStyle w:val="000000010000" w:firstRow="0" w:lastRow="0" w:firstColumn="0" w:lastColumn="0" w:oddVBand="0" w:evenVBand="0" w:oddHBand="0" w:evenHBand="1" w:firstRowFirstColumn="0" w:firstRowLastColumn="0" w:lastRowFirstColumn="0" w:lastRowLastColumn="0"/>
          <w:divId w:val="1276905115"/>
        </w:trPr>
        <w:tc>
          <w:tcPr>
            <w:tcW w:w="0" w:type="auto"/>
            <w:hideMark/>
          </w:tcPr>
          <w:p w14:paraId="725B55A9" w14:textId="77777777" w:rsidR="00201171" w:rsidRPr="000A0818" w:rsidRDefault="00201171">
            <w:pPr>
              <w:pStyle w:val="NormalWeb"/>
              <w:rPr>
                <w:sz w:val="18"/>
                <w:szCs w:val="18"/>
                <w:lang w:val="en-GB"/>
              </w:rPr>
            </w:pPr>
            <w:r w:rsidRPr="000A0818">
              <w:rPr>
                <w:sz w:val="18"/>
                <w:szCs w:val="18"/>
                <w:lang w:val="en-GB"/>
              </w:rPr>
              <w:t>15–24</w:t>
            </w:r>
          </w:p>
        </w:tc>
        <w:tc>
          <w:tcPr>
            <w:tcW w:w="0" w:type="auto"/>
            <w:hideMark/>
          </w:tcPr>
          <w:p w14:paraId="34F227A3" w14:textId="77777777" w:rsidR="00201171" w:rsidRPr="000A0818" w:rsidRDefault="00201171">
            <w:pPr>
              <w:pStyle w:val="NormalWeb"/>
              <w:rPr>
                <w:sz w:val="18"/>
                <w:szCs w:val="18"/>
                <w:lang w:val="en-GB"/>
              </w:rPr>
            </w:pPr>
            <w:r w:rsidRPr="000A0818">
              <w:rPr>
                <w:sz w:val="18"/>
                <w:szCs w:val="18"/>
                <w:lang w:val="en-GB"/>
              </w:rPr>
              <w:t>149</w:t>
            </w:r>
          </w:p>
        </w:tc>
        <w:tc>
          <w:tcPr>
            <w:tcW w:w="0" w:type="auto"/>
            <w:hideMark/>
          </w:tcPr>
          <w:p w14:paraId="48E759C7" w14:textId="77777777" w:rsidR="00201171" w:rsidRPr="000A0818" w:rsidRDefault="00201171">
            <w:pPr>
              <w:pStyle w:val="NormalWeb"/>
              <w:rPr>
                <w:sz w:val="18"/>
                <w:szCs w:val="18"/>
                <w:lang w:val="en-GB"/>
              </w:rPr>
            </w:pPr>
            <w:r w:rsidRPr="000A0818">
              <w:rPr>
                <w:sz w:val="18"/>
                <w:szCs w:val="18"/>
                <w:lang w:val="en-GB"/>
              </w:rPr>
              <w:t>1.55</w:t>
            </w:r>
          </w:p>
        </w:tc>
        <w:tc>
          <w:tcPr>
            <w:tcW w:w="0" w:type="auto"/>
            <w:hideMark/>
          </w:tcPr>
          <w:p w14:paraId="6E6BFEA8" w14:textId="77777777" w:rsidR="00201171" w:rsidRPr="000A0818" w:rsidRDefault="00201171">
            <w:pPr>
              <w:pStyle w:val="NormalWeb"/>
              <w:rPr>
                <w:sz w:val="18"/>
                <w:szCs w:val="18"/>
                <w:lang w:val="en-GB"/>
              </w:rPr>
            </w:pPr>
            <w:r w:rsidRPr="000A0818">
              <w:rPr>
                <w:sz w:val="18"/>
                <w:szCs w:val="18"/>
                <w:lang w:val="en-GB"/>
              </w:rPr>
              <w:t>74</w:t>
            </w:r>
          </w:p>
        </w:tc>
        <w:tc>
          <w:tcPr>
            <w:tcW w:w="0" w:type="auto"/>
            <w:hideMark/>
          </w:tcPr>
          <w:p w14:paraId="40156B4B" w14:textId="77777777" w:rsidR="00201171" w:rsidRPr="000A0818" w:rsidRDefault="00201171">
            <w:pPr>
              <w:pStyle w:val="NormalWeb"/>
              <w:rPr>
                <w:sz w:val="18"/>
                <w:szCs w:val="18"/>
                <w:lang w:val="en-GB"/>
              </w:rPr>
            </w:pPr>
            <w:r w:rsidRPr="000A0818">
              <w:rPr>
                <w:sz w:val="18"/>
                <w:szCs w:val="18"/>
                <w:lang w:val="en-GB"/>
              </w:rPr>
              <w:t>0.77</w:t>
            </w:r>
          </w:p>
        </w:tc>
        <w:tc>
          <w:tcPr>
            <w:tcW w:w="0" w:type="auto"/>
            <w:hideMark/>
          </w:tcPr>
          <w:p w14:paraId="10C1E441" w14:textId="77777777" w:rsidR="00201171" w:rsidRPr="000A0818" w:rsidRDefault="00201171">
            <w:pPr>
              <w:pStyle w:val="NormalWeb"/>
              <w:rPr>
                <w:sz w:val="18"/>
                <w:szCs w:val="18"/>
                <w:lang w:val="en-GB"/>
              </w:rPr>
            </w:pPr>
            <w:r w:rsidRPr="000A0818">
              <w:rPr>
                <w:sz w:val="18"/>
                <w:szCs w:val="18"/>
                <w:lang w:val="en-GB"/>
              </w:rPr>
              <w:t>228</w:t>
            </w:r>
          </w:p>
        </w:tc>
        <w:tc>
          <w:tcPr>
            <w:tcW w:w="0" w:type="auto"/>
            <w:hideMark/>
          </w:tcPr>
          <w:p w14:paraId="795E5A71" w14:textId="77777777" w:rsidR="00201171" w:rsidRPr="000A0818" w:rsidRDefault="00201171">
            <w:pPr>
              <w:pStyle w:val="NormalWeb"/>
              <w:rPr>
                <w:sz w:val="18"/>
                <w:szCs w:val="18"/>
                <w:lang w:val="en-GB"/>
              </w:rPr>
            </w:pPr>
            <w:r w:rsidRPr="000A0818">
              <w:rPr>
                <w:sz w:val="18"/>
                <w:szCs w:val="18"/>
                <w:lang w:val="en-GB"/>
              </w:rPr>
              <w:t>2.37</w:t>
            </w:r>
          </w:p>
        </w:tc>
        <w:tc>
          <w:tcPr>
            <w:tcW w:w="0" w:type="auto"/>
            <w:hideMark/>
          </w:tcPr>
          <w:p w14:paraId="33C0902C" w14:textId="77777777" w:rsidR="00201171" w:rsidRPr="000A0818" w:rsidRDefault="00201171">
            <w:pPr>
              <w:pStyle w:val="NormalWeb"/>
              <w:rPr>
                <w:sz w:val="18"/>
                <w:szCs w:val="18"/>
                <w:lang w:val="en-GB"/>
              </w:rPr>
            </w:pPr>
            <w:r w:rsidRPr="000A0818">
              <w:rPr>
                <w:sz w:val="18"/>
                <w:szCs w:val="18"/>
                <w:lang w:val="en-GB"/>
              </w:rPr>
              <w:t>5</w:t>
            </w:r>
          </w:p>
        </w:tc>
        <w:tc>
          <w:tcPr>
            <w:tcW w:w="2383" w:type="dxa"/>
            <w:hideMark/>
          </w:tcPr>
          <w:p w14:paraId="7D67A9D8" w14:textId="77777777" w:rsidR="00201171" w:rsidRPr="000A0818" w:rsidRDefault="00201171">
            <w:pPr>
              <w:pStyle w:val="NormalWeb"/>
              <w:rPr>
                <w:sz w:val="18"/>
                <w:szCs w:val="18"/>
                <w:lang w:val="en-GB"/>
              </w:rPr>
            </w:pPr>
            <w:r w:rsidRPr="000A0818">
              <w:rPr>
                <w:sz w:val="18"/>
                <w:szCs w:val="18"/>
                <w:lang w:val="en-GB"/>
              </w:rPr>
              <w:t>3</w:t>
            </w:r>
          </w:p>
        </w:tc>
        <w:tc>
          <w:tcPr>
            <w:tcW w:w="570" w:type="dxa"/>
            <w:hideMark/>
          </w:tcPr>
          <w:p w14:paraId="0CEBB6B6" w14:textId="77777777" w:rsidR="00201171" w:rsidRPr="000A0818" w:rsidRDefault="00201171">
            <w:pPr>
              <w:pStyle w:val="NormalWeb"/>
              <w:rPr>
                <w:sz w:val="18"/>
                <w:szCs w:val="18"/>
                <w:lang w:val="en-GB"/>
              </w:rPr>
            </w:pPr>
            <w:r w:rsidRPr="000A0818">
              <w:rPr>
                <w:sz w:val="18"/>
                <w:szCs w:val="18"/>
                <w:lang w:val="en-GB"/>
              </w:rPr>
              <w:t>1–5</w:t>
            </w:r>
          </w:p>
        </w:tc>
        <w:tc>
          <w:tcPr>
            <w:tcW w:w="0" w:type="auto"/>
            <w:hideMark/>
          </w:tcPr>
          <w:p w14:paraId="49CD25AE" w14:textId="77777777" w:rsidR="00201171" w:rsidRPr="000A0818" w:rsidRDefault="00201171">
            <w:pPr>
              <w:pStyle w:val="NormalWeb"/>
              <w:rPr>
                <w:sz w:val="18"/>
                <w:szCs w:val="18"/>
                <w:lang w:val="en-GB"/>
              </w:rPr>
            </w:pPr>
            <w:r w:rsidRPr="000A0818">
              <w:rPr>
                <w:sz w:val="18"/>
                <w:szCs w:val="18"/>
                <w:lang w:val="en-GB"/>
              </w:rPr>
              <w:t>0.02</w:t>
            </w:r>
          </w:p>
        </w:tc>
      </w:tr>
      <w:tr w:rsidR="000A0818" w:rsidRPr="000A0818" w14:paraId="1BBFA2EC" w14:textId="77777777" w:rsidTr="003478C0">
        <w:trPr>
          <w:divId w:val="1276905115"/>
        </w:trPr>
        <w:tc>
          <w:tcPr>
            <w:tcW w:w="0" w:type="auto"/>
            <w:hideMark/>
          </w:tcPr>
          <w:p w14:paraId="40650EAA" w14:textId="77777777" w:rsidR="00201171" w:rsidRPr="000A0818" w:rsidRDefault="00201171">
            <w:pPr>
              <w:pStyle w:val="NormalWeb"/>
              <w:rPr>
                <w:sz w:val="18"/>
                <w:szCs w:val="18"/>
                <w:lang w:val="en-GB"/>
              </w:rPr>
            </w:pPr>
            <w:r w:rsidRPr="000A0818">
              <w:rPr>
                <w:sz w:val="18"/>
                <w:szCs w:val="18"/>
                <w:lang w:val="en-GB"/>
              </w:rPr>
              <w:t>25–49</w:t>
            </w:r>
          </w:p>
        </w:tc>
        <w:tc>
          <w:tcPr>
            <w:tcW w:w="0" w:type="auto"/>
            <w:hideMark/>
          </w:tcPr>
          <w:p w14:paraId="7FF057AF" w14:textId="77777777" w:rsidR="00201171" w:rsidRPr="000A0818" w:rsidRDefault="00201171">
            <w:pPr>
              <w:pStyle w:val="NormalWeb"/>
              <w:rPr>
                <w:sz w:val="18"/>
                <w:szCs w:val="18"/>
                <w:lang w:val="en-GB"/>
              </w:rPr>
            </w:pPr>
            <w:r w:rsidRPr="000A0818">
              <w:rPr>
                <w:sz w:val="18"/>
                <w:szCs w:val="18"/>
                <w:lang w:val="en-GB"/>
              </w:rPr>
              <w:t>1,025</w:t>
            </w:r>
          </w:p>
        </w:tc>
        <w:tc>
          <w:tcPr>
            <w:tcW w:w="0" w:type="auto"/>
            <w:hideMark/>
          </w:tcPr>
          <w:p w14:paraId="4260E32A" w14:textId="77777777" w:rsidR="00201171" w:rsidRPr="000A0818" w:rsidRDefault="00201171">
            <w:pPr>
              <w:pStyle w:val="NormalWeb"/>
              <w:rPr>
                <w:sz w:val="18"/>
                <w:szCs w:val="18"/>
                <w:lang w:val="en-GB"/>
              </w:rPr>
            </w:pPr>
            <w:r w:rsidRPr="000A0818">
              <w:rPr>
                <w:sz w:val="18"/>
                <w:szCs w:val="18"/>
                <w:lang w:val="en-GB"/>
              </w:rPr>
              <w:t>3.98</w:t>
            </w:r>
          </w:p>
        </w:tc>
        <w:tc>
          <w:tcPr>
            <w:tcW w:w="0" w:type="auto"/>
            <w:hideMark/>
          </w:tcPr>
          <w:p w14:paraId="19F78F36" w14:textId="77777777" w:rsidR="00201171" w:rsidRPr="000A0818" w:rsidRDefault="00201171">
            <w:pPr>
              <w:pStyle w:val="NormalWeb"/>
              <w:rPr>
                <w:sz w:val="18"/>
                <w:szCs w:val="18"/>
                <w:lang w:val="en-GB"/>
              </w:rPr>
            </w:pPr>
            <w:r w:rsidRPr="000A0818">
              <w:rPr>
                <w:sz w:val="18"/>
                <w:szCs w:val="18"/>
                <w:lang w:val="en-GB"/>
              </w:rPr>
              <w:t>572</w:t>
            </w:r>
          </w:p>
        </w:tc>
        <w:tc>
          <w:tcPr>
            <w:tcW w:w="0" w:type="auto"/>
            <w:hideMark/>
          </w:tcPr>
          <w:p w14:paraId="493DD2FF" w14:textId="77777777" w:rsidR="00201171" w:rsidRPr="000A0818" w:rsidRDefault="00201171">
            <w:pPr>
              <w:pStyle w:val="NormalWeb"/>
              <w:rPr>
                <w:sz w:val="18"/>
                <w:szCs w:val="18"/>
                <w:lang w:val="en-GB"/>
              </w:rPr>
            </w:pPr>
            <w:r w:rsidRPr="000A0818">
              <w:rPr>
                <w:sz w:val="18"/>
                <w:szCs w:val="18"/>
                <w:lang w:val="en-GB"/>
              </w:rPr>
              <w:t>2.22</w:t>
            </w:r>
          </w:p>
        </w:tc>
        <w:tc>
          <w:tcPr>
            <w:tcW w:w="0" w:type="auto"/>
            <w:hideMark/>
          </w:tcPr>
          <w:p w14:paraId="63D46C4F" w14:textId="77777777" w:rsidR="00201171" w:rsidRPr="000A0818" w:rsidRDefault="00201171">
            <w:pPr>
              <w:pStyle w:val="NormalWeb"/>
              <w:rPr>
                <w:sz w:val="18"/>
                <w:szCs w:val="18"/>
                <w:lang w:val="en-GB"/>
              </w:rPr>
            </w:pPr>
            <w:r w:rsidRPr="000A0818">
              <w:rPr>
                <w:sz w:val="18"/>
                <w:szCs w:val="18"/>
                <w:lang w:val="en-GB"/>
              </w:rPr>
              <w:t>1,955</w:t>
            </w:r>
          </w:p>
        </w:tc>
        <w:tc>
          <w:tcPr>
            <w:tcW w:w="0" w:type="auto"/>
            <w:hideMark/>
          </w:tcPr>
          <w:p w14:paraId="674BED36" w14:textId="77777777" w:rsidR="00201171" w:rsidRPr="000A0818" w:rsidRDefault="00201171">
            <w:pPr>
              <w:pStyle w:val="NormalWeb"/>
              <w:rPr>
                <w:sz w:val="18"/>
                <w:szCs w:val="18"/>
                <w:lang w:val="en-GB"/>
              </w:rPr>
            </w:pPr>
            <w:r w:rsidRPr="000A0818">
              <w:rPr>
                <w:sz w:val="18"/>
                <w:szCs w:val="18"/>
                <w:lang w:val="en-GB"/>
              </w:rPr>
              <w:t>7.59</w:t>
            </w:r>
          </w:p>
        </w:tc>
        <w:tc>
          <w:tcPr>
            <w:tcW w:w="0" w:type="auto"/>
            <w:hideMark/>
          </w:tcPr>
          <w:p w14:paraId="66D81AA4" w14:textId="77777777" w:rsidR="00201171" w:rsidRPr="000A0818" w:rsidRDefault="00201171">
            <w:pPr>
              <w:pStyle w:val="NormalWeb"/>
              <w:rPr>
                <w:sz w:val="18"/>
                <w:szCs w:val="18"/>
                <w:lang w:val="en-GB"/>
              </w:rPr>
            </w:pPr>
            <w:r w:rsidRPr="000A0818">
              <w:rPr>
                <w:sz w:val="18"/>
                <w:szCs w:val="18"/>
                <w:lang w:val="en-GB"/>
              </w:rPr>
              <w:t>6</w:t>
            </w:r>
          </w:p>
        </w:tc>
        <w:tc>
          <w:tcPr>
            <w:tcW w:w="2383" w:type="dxa"/>
            <w:hideMark/>
          </w:tcPr>
          <w:p w14:paraId="0B82E03F" w14:textId="77777777" w:rsidR="00201171" w:rsidRPr="000A0818" w:rsidRDefault="00201171">
            <w:pPr>
              <w:pStyle w:val="NormalWeb"/>
              <w:rPr>
                <w:sz w:val="18"/>
                <w:szCs w:val="18"/>
                <w:lang w:val="en-GB"/>
              </w:rPr>
            </w:pPr>
            <w:r w:rsidRPr="000A0818">
              <w:rPr>
                <w:sz w:val="18"/>
                <w:szCs w:val="18"/>
                <w:lang w:val="en-GB"/>
              </w:rPr>
              <w:t>4</w:t>
            </w:r>
          </w:p>
        </w:tc>
        <w:tc>
          <w:tcPr>
            <w:tcW w:w="570" w:type="dxa"/>
            <w:hideMark/>
          </w:tcPr>
          <w:p w14:paraId="36E17C1F" w14:textId="77777777" w:rsidR="00201171" w:rsidRPr="000A0818" w:rsidRDefault="00201171">
            <w:pPr>
              <w:pStyle w:val="NormalWeb"/>
              <w:rPr>
                <w:sz w:val="18"/>
                <w:szCs w:val="18"/>
                <w:lang w:val="en-GB"/>
              </w:rPr>
            </w:pPr>
            <w:r w:rsidRPr="000A0818">
              <w:rPr>
                <w:sz w:val="18"/>
                <w:szCs w:val="18"/>
                <w:lang w:val="en-GB"/>
              </w:rPr>
              <w:t>22</w:t>
            </w:r>
          </w:p>
        </w:tc>
        <w:tc>
          <w:tcPr>
            <w:tcW w:w="0" w:type="auto"/>
            <w:hideMark/>
          </w:tcPr>
          <w:p w14:paraId="036383B0" w14:textId="77777777" w:rsidR="00201171" w:rsidRPr="000A0818" w:rsidRDefault="00201171">
            <w:pPr>
              <w:pStyle w:val="NormalWeb"/>
              <w:rPr>
                <w:sz w:val="18"/>
                <w:szCs w:val="18"/>
                <w:lang w:val="en-GB"/>
              </w:rPr>
            </w:pPr>
            <w:r w:rsidRPr="000A0818">
              <w:rPr>
                <w:sz w:val="18"/>
                <w:szCs w:val="18"/>
                <w:lang w:val="en-GB"/>
              </w:rPr>
              <w:t>0.09</w:t>
            </w:r>
          </w:p>
        </w:tc>
      </w:tr>
      <w:tr w:rsidR="000A0818" w:rsidRPr="000A0818" w14:paraId="395F885D" w14:textId="77777777" w:rsidTr="003478C0">
        <w:trPr>
          <w:cnfStyle w:val="000000010000" w:firstRow="0" w:lastRow="0" w:firstColumn="0" w:lastColumn="0" w:oddVBand="0" w:evenVBand="0" w:oddHBand="0" w:evenHBand="1" w:firstRowFirstColumn="0" w:firstRowLastColumn="0" w:lastRowFirstColumn="0" w:lastRowLastColumn="0"/>
          <w:divId w:val="1276905115"/>
        </w:trPr>
        <w:tc>
          <w:tcPr>
            <w:tcW w:w="0" w:type="auto"/>
            <w:hideMark/>
          </w:tcPr>
          <w:p w14:paraId="21DA031D" w14:textId="77777777" w:rsidR="00201171" w:rsidRPr="000A0818" w:rsidRDefault="00201171">
            <w:pPr>
              <w:pStyle w:val="NormalWeb"/>
              <w:rPr>
                <w:sz w:val="18"/>
                <w:szCs w:val="18"/>
                <w:lang w:val="en-GB"/>
              </w:rPr>
            </w:pPr>
            <w:r w:rsidRPr="000A0818">
              <w:rPr>
                <w:sz w:val="18"/>
                <w:szCs w:val="18"/>
                <w:lang w:val="en-GB"/>
              </w:rPr>
              <w:t>50–64</w:t>
            </w:r>
          </w:p>
        </w:tc>
        <w:tc>
          <w:tcPr>
            <w:tcW w:w="0" w:type="auto"/>
            <w:hideMark/>
          </w:tcPr>
          <w:p w14:paraId="43B63F09" w14:textId="77777777" w:rsidR="00201171" w:rsidRPr="000A0818" w:rsidRDefault="00201171">
            <w:pPr>
              <w:pStyle w:val="NormalWeb"/>
              <w:rPr>
                <w:sz w:val="18"/>
                <w:szCs w:val="18"/>
                <w:lang w:val="en-GB"/>
              </w:rPr>
            </w:pPr>
            <w:r w:rsidRPr="000A0818">
              <w:rPr>
                <w:sz w:val="18"/>
                <w:szCs w:val="18"/>
                <w:lang w:val="en-GB"/>
              </w:rPr>
              <w:t>1,299</w:t>
            </w:r>
          </w:p>
        </w:tc>
        <w:tc>
          <w:tcPr>
            <w:tcW w:w="0" w:type="auto"/>
            <w:hideMark/>
          </w:tcPr>
          <w:p w14:paraId="419D0B65" w14:textId="77777777" w:rsidR="00201171" w:rsidRPr="000A0818" w:rsidRDefault="00201171">
            <w:pPr>
              <w:pStyle w:val="NormalWeb"/>
              <w:rPr>
                <w:sz w:val="18"/>
                <w:szCs w:val="18"/>
                <w:lang w:val="en-GB"/>
              </w:rPr>
            </w:pPr>
            <w:r w:rsidRPr="000A0818">
              <w:rPr>
                <w:sz w:val="18"/>
                <w:szCs w:val="18"/>
                <w:lang w:val="en-GB"/>
              </w:rPr>
              <w:t>9.90</w:t>
            </w:r>
          </w:p>
        </w:tc>
        <w:tc>
          <w:tcPr>
            <w:tcW w:w="0" w:type="auto"/>
            <w:hideMark/>
          </w:tcPr>
          <w:p w14:paraId="40CAF456" w14:textId="77777777" w:rsidR="00201171" w:rsidRPr="000A0818" w:rsidRDefault="00201171">
            <w:pPr>
              <w:pStyle w:val="NormalWeb"/>
              <w:rPr>
                <w:sz w:val="18"/>
                <w:szCs w:val="18"/>
                <w:lang w:val="en-GB"/>
              </w:rPr>
            </w:pPr>
            <w:r w:rsidRPr="000A0818">
              <w:rPr>
                <w:sz w:val="18"/>
                <w:szCs w:val="18"/>
                <w:lang w:val="en-GB"/>
              </w:rPr>
              <w:t>763</w:t>
            </w:r>
          </w:p>
        </w:tc>
        <w:tc>
          <w:tcPr>
            <w:tcW w:w="0" w:type="auto"/>
            <w:hideMark/>
          </w:tcPr>
          <w:p w14:paraId="450C6E7E" w14:textId="77777777" w:rsidR="00201171" w:rsidRPr="000A0818" w:rsidRDefault="00201171">
            <w:pPr>
              <w:pStyle w:val="NormalWeb"/>
              <w:rPr>
                <w:sz w:val="18"/>
                <w:szCs w:val="18"/>
                <w:lang w:val="en-GB"/>
              </w:rPr>
            </w:pPr>
            <w:r w:rsidRPr="000A0818">
              <w:rPr>
                <w:sz w:val="18"/>
                <w:szCs w:val="18"/>
                <w:lang w:val="en-GB"/>
              </w:rPr>
              <w:t>5.82</w:t>
            </w:r>
          </w:p>
        </w:tc>
        <w:tc>
          <w:tcPr>
            <w:tcW w:w="0" w:type="auto"/>
            <w:hideMark/>
          </w:tcPr>
          <w:p w14:paraId="08F7BD28" w14:textId="77777777" w:rsidR="00201171" w:rsidRPr="000A0818" w:rsidRDefault="00201171">
            <w:pPr>
              <w:pStyle w:val="NormalWeb"/>
              <w:rPr>
                <w:sz w:val="18"/>
                <w:szCs w:val="18"/>
                <w:lang w:val="en-GB"/>
              </w:rPr>
            </w:pPr>
            <w:r w:rsidRPr="000A0818">
              <w:rPr>
                <w:sz w:val="18"/>
                <w:szCs w:val="18"/>
                <w:lang w:val="en-GB"/>
              </w:rPr>
              <w:t>2,459</w:t>
            </w:r>
          </w:p>
        </w:tc>
        <w:tc>
          <w:tcPr>
            <w:tcW w:w="0" w:type="auto"/>
            <w:hideMark/>
          </w:tcPr>
          <w:p w14:paraId="232051CB" w14:textId="77777777" w:rsidR="00201171" w:rsidRPr="000A0818" w:rsidRDefault="00201171">
            <w:pPr>
              <w:pStyle w:val="NormalWeb"/>
              <w:rPr>
                <w:sz w:val="18"/>
                <w:szCs w:val="18"/>
                <w:lang w:val="en-GB"/>
              </w:rPr>
            </w:pPr>
            <w:r w:rsidRPr="000A0818">
              <w:rPr>
                <w:sz w:val="18"/>
                <w:szCs w:val="18"/>
                <w:lang w:val="en-GB"/>
              </w:rPr>
              <w:t>18.74</w:t>
            </w:r>
          </w:p>
        </w:tc>
        <w:tc>
          <w:tcPr>
            <w:tcW w:w="0" w:type="auto"/>
            <w:hideMark/>
          </w:tcPr>
          <w:p w14:paraId="29EE9D4F" w14:textId="77777777" w:rsidR="00201171" w:rsidRPr="000A0818" w:rsidRDefault="00201171">
            <w:pPr>
              <w:pStyle w:val="NormalWeb"/>
              <w:rPr>
                <w:sz w:val="18"/>
                <w:szCs w:val="18"/>
                <w:lang w:val="en-GB"/>
              </w:rPr>
            </w:pPr>
            <w:r w:rsidRPr="000A0818">
              <w:rPr>
                <w:sz w:val="18"/>
                <w:szCs w:val="18"/>
                <w:lang w:val="en-GB"/>
              </w:rPr>
              <w:t>8</w:t>
            </w:r>
          </w:p>
        </w:tc>
        <w:tc>
          <w:tcPr>
            <w:tcW w:w="2383" w:type="dxa"/>
            <w:hideMark/>
          </w:tcPr>
          <w:p w14:paraId="42159AE5" w14:textId="77777777" w:rsidR="00201171" w:rsidRPr="000A0818" w:rsidRDefault="00201171">
            <w:pPr>
              <w:pStyle w:val="NormalWeb"/>
              <w:rPr>
                <w:sz w:val="18"/>
                <w:szCs w:val="18"/>
                <w:lang w:val="en-GB"/>
              </w:rPr>
            </w:pPr>
            <w:r w:rsidRPr="000A0818">
              <w:rPr>
                <w:sz w:val="18"/>
                <w:szCs w:val="18"/>
                <w:lang w:val="en-GB"/>
              </w:rPr>
              <w:t>5</w:t>
            </w:r>
          </w:p>
        </w:tc>
        <w:tc>
          <w:tcPr>
            <w:tcW w:w="570" w:type="dxa"/>
            <w:hideMark/>
          </w:tcPr>
          <w:p w14:paraId="51E409B3" w14:textId="77777777" w:rsidR="00201171" w:rsidRPr="000A0818" w:rsidRDefault="00201171">
            <w:pPr>
              <w:pStyle w:val="NormalWeb"/>
              <w:rPr>
                <w:sz w:val="18"/>
                <w:szCs w:val="18"/>
                <w:lang w:val="en-GB"/>
              </w:rPr>
            </w:pPr>
            <w:r w:rsidRPr="000A0818">
              <w:rPr>
                <w:sz w:val="18"/>
                <w:szCs w:val="18"/>
                <w:lang w:val="en-GB"/>
              </w:rPr>
              <w:t>40</w:t>
            </w:r>
          </w:p>
        </w:tc>
        <w:tc>
          <w:tcPr>
            <w:tcW w:w="0" w:type="auto"/>
            <w:hideMark/>
          </w:tcPr>
          <w:p w14:paraId="3454EEF2" w14:textId="77777777" w:rsidR="00201171" w:rsidRPr="000A0818" w:rsidRDefault="00201171">
            <w:pPr>
              <w:pStyle w:val="NormalWeb"/>
              <w:rPr>
                <w:sz w:val="18"/>
                <w:szCs w:val="18"/>
                <w:lang w:val="en-GB"/>
              </w:rPr>
            </w:pPr>
            <w:r w:rsidRPr="000A0818">
              <w:rPr>
                <w:sz w:val="18"/>
                <w:szCs w:val="18"/>
                <w:lang w:val="en-GB"/>
              </w:rPr>
              <w:t>0.30</w:t>
            </w:r>
          </w:p>
        </w:tc>
      </w:tr>
      <w:tr w:rsidR="000A0818" w:rsidRPr="000A0818" w14:paraId="4C18F46D" w14:textId="77777777" w:rsidTr="003478C0">
        <w:trPr>
          <w:divId w:val="1276905115"/>
        </w:trPr>
        <w:tc>
          <w:tcPr>
            <w:tcW w:w="0" w:type="auto"/>
            <w:hideMark/>
          </w:tcPr>
          <w:p w14:paraId="20FF3872" w14:textId="77777777" w:rsidR="00201171" w:rsidRPr="000A0818" w:rsidRDefault="00201171">
            <w:pPr>
              <w:pStyle w:val="NormalWeb"/>
              <w:rPr>
                <w:sz w:val="18"/>
                <w:szCs w:val="18"/>
                <w:lang w:val="en-GB"/>
              </w:rPr>
            </w:pPr>
            <w:r w:rsidRPr="000A0818">
              <w:rPr>
                <w:sz w:val="18"/>
                <w:szCs w:val="18"/>
                <w:lang w:val="en-GB"/>
              </w:rPr>
              <w:t>≥ 65</w:t>
            </w:r>
          </w:p>
        </w:tc>
        <w:tc>
          <w:tcPr>
            <w:tcW w:w="0" w:type="auto"/>
            <w:hideMark/>
          </w:tcPr>
          <w:p w14:paraId="7A252D06" w14:textId="77777777" w:rsidR="00201171" w:rsidRPr="000A0818" w:rsidRDefault="00201171">
            <w:pPr>
              <w:pStyle w:val="NormalWeb"/>
              <w:rPr>
                <w:sz w:val="18"/>
                <w:szCs w:val="18"/>
                <w:lang w:val="en-GB"/>
              </w:rPr>
            </w:pPr>
            <w:r w:rsidRPr="000A0818">
              <w:rPr>
                <w:sz w:val="18"/>
                <w:szCs w:val="18"/>
                <w:lang w:val="en-GB"/>
              </w:rPr>
              <w:t>2,188</w:t>
            </w:r>
          </w:p>
        </w:tc>
        <w:tc>
          <w:tcPr>
            <w:tcW w:w="0" w:type="auto"/>
            <w:hideMark/>
          </w:tcPr>
          <w:p w14:paraId="7F3D478C" w14:textId="77777777" w:rsidR="00201171" w:rsidRPr="000A0818" w:rsidRDefault="00201171">
            <w:pPr>
              <w:pStyle w:val="NormalWeb"/>
              <w:rPr>
                <w:sz w:val="18"/>
                <w:szCs w:val="18"/>
                <w:lang w:val="en-GB"/>
              </w:rPr>
            </w:pPr>
            <w:r w:rsidRPr="000A0818">
              <w:rPr>
                <w:sz w:val="18"/>
                <w:szCs w:val="18"/>
                <w:lang w:val="en-GB"/>
              </w:rPr>
              <w:t>19.23</w:t>
            </w:r>
          </w:p>
        </w:tc>
        <w:tc>
          <w:tcPr>
            <w:tcW w:w="0" w:type="auto"/>
            <w:hideMark/>
          </w:tcPr>
          <w:p w14:paraId="6CEEB62D" w14:textId="77777777" w:rsidR="00201171" w:rsidRPr="000A0818" w:rsidRDefault="00201171">
            <w:pPr>
              <w:pStyle w:val="NormalWeb"/>
              <w:rPr>
                <w:sz w:val="18"/>
                <w:szCs w:val="18"/>
                <w:lang w:val="en-GB"/>
              </w:rPr>
            </w:pPr>
            <w:r w:rsidRPr="000A0818">
              <w:rPr>
                <w:sz w:val="18"/>
                <w:szCs w:val="18"/>
                <w:lang w:val="en-GB"/>
              </w:rPr>
              <w:t>1,329</w:t>
            </w:r>
          </w:p>
        </w:tc>
        <w:tc>
          <w:tcPr>
            <w:tcW w:w="0" w:type="auto"/>
            <w:hideMark/>
          </w:tcPr>
          <w:p w14:paraId="1CCFC0FB" w14:textId="77777777" w:rsidR="00201171" w:rsidRPr="000A0818" w:rsidRDefault="00201171">
            <w:pPr>
              <w:pStyle w:val="NormalWeb"/>
              <w:rPr>
                <w:sz w:val="18"/>
                <w:szCs w:val="18"/>
                <w:lang w:val="en-GB"/>
              </w:rPr>
            </w:pPr>
            <w:r w:rsidRPr="000A0818">
              <w:rPr>
                <w:sz w:val="18"/>
                <w:szCs w:val="18"/>
                <w:lang w:val="en-GB"/>
              </w:rPr>
              <w:t>11.68</w:t>
            </w:r>
          </w:p>
        </w:tc>
        <w:tc>
          <w:tcPr>
            <w:tcW w:w="0" w:type="auto"/>
            <w:hideMark/>
          </w:tcPr>
          <w:p w14:paraId="692B0E8F" w14:textId="77777777" w:rsidR="00201171" w:rsidRPr="000A0818" w:rsidRDefault="00201171">
            <w:pPr>
              <w:pStyle w:val="NormalWeb"/>
              <w:rPr>
                <w:sz w:val="18"/>
                <w:szCs w:val="18"/>
                <w:lang w:val="en-GB"/>
              </w:rPr>
            </w:pPr>
            <w:r w:rsidRPr="000A0818">
              <w:rPr>
                <w:sz w:val="18"/>
                <w:szCs w:val="18"/>
                <w:lang w:val="en-GB"/>
              </w:rPr>
              <w:t>4,932</w:t>
            </w:r>
          </w:p>
        </w:tc>
        <w:tc>
          <w:tcPr>
            <w:tcW w:w="0" w:type="auto"/>
            <w:hideMark/>
          </w:tcPr>
          <w:p w14:paraId="33DA78B0" w14:textId="77777777" w:rsidR="00201171" w:rsidRPr="000A0818" w:rsidRDefault="00201171">
            <w:pPr>
              <w:pStyle w:val="NormalWeb"/>
              <w:rPr>
                <w:sz w:val="18"/>
                <w:szCs w:val="18"/>
                <w:lang w:val="en-GB"/>
              </w:rPr>
            </w:pPr>
            <w:r w:rsidRPr="000A0818">
              <w:rPr>
                <w:sz w:val="18"/>
                <w:szCs w:val="18"/>
                <w:lang w:val="en-GB"/>
              </w:rPr>
              <w:t>43.35</w:t>
            </w:r>
          </w:p>
        </w:tc>
        <w:tc>
          <w:tcPr>
            <w:tcW w:w="0" w:type="auto"/>
            <w:hideMark/>
          </w:tcPr>
          <w:p w14:paraId="5F54D1A0" w14:textId="77777777" w:rsidR="00201171" w:rsidRPr="000A0818" w:rsidRDefault="00201171">
            <w:pPr>
              <w:pStyle w:val="NormalWeb"/>
              <w:rPr>
                <w:sz w:val="18"/>
                <w:szCs w:val="18"/>
                <w:lang w:val="en-GB"/>
              </w:rPr>
            </w:pPr>
            <w:r w:rsidRPr="000A0818">
              <w:rPr>
                <w:sz w:val="18"/>
                <w:szCs w:val="18"/>
                <w:lang w:val="en-GB"/>
              </w:rPr>
              <w:t>8</w:t>
            </w:r>
          </w:p>
        </w:tc>
        <w:tc>
          <w:tcPr>
            <w:tcW w:w="2383" w:type="dxa"/>
            <w:hideMark/>
          </w:tcPr>
          <w:p w14:paraId="53FAD139" w14:textId="77777777" w:rsidR="00201171" w:rsidRPr="000A0818" w:rsidRDefault="00201171">
            <w:pPr>
              <w:pStyle w:val="NormalWeb"/>
              <w:rPr>
                <w:sz w:val="18"/>
                <w:szCs w:val="18"/>
                <w:lang w:val="en-GB"/>
              </w:rPr>
            </w:pPr>
            <w:r w:rsidRPr="000A0818">
              <w:rPr>
                <w:sz w:val="18"/>
                <w:szCs w:val="18"/>
                <w:lang w:val="en-GB"/>
              </w:rPr>
              <w:t>6</w:t>
            </w:r>
          </w:p>
        </w:tc>
        <w:tc>
          <w:tcPr>
            <w:tcW w:w="570" w:type="dxa"/>
            <w:hideMark/>
          </w:tcPr>
          <w:p w14:paraId="58395956" w14:textId="77777777" w:rsidR="00201171" w:rsidRPr="000A0818" w:rsidRDefault="00201171">
            <w:pPr>
              <w:pStyle w:val="NormalWeb"/>
              <w:rPr>
                <w:sz w:val="18"/>
                <w:szCs w:val="18"/>
                <w:lang w:val="en-GB"/>
              </w:rPr>
            </w:pPr>
            <w:r w:rsidRPr="000A0818">
              <w:rPr>
                <w:sz w:val="18"/>
                <w:szCs w:val="18"/>
                <w:lang w:val="en-GB"/>
              </w:rPr>
              <w:t>89</w:t>
            </w:r>
          </w:p>
        </w:tc>
        <w:tc>
          <w:tcPr>
            <w:tcW w:w="0" w:type="auto"/>
            <w:hideMark/>
          </w:tcPr>
          <w:p w14:paraId="2B252C15" w14:textId="77777777" w:rsidR="00201171" w:rsidRPr="000A0818" w:rsidRDefault="00201171">
            <w:pPr>
              <w:pStyle w:val="NormalWeb"/>
              <w:rPr>
                <w:sz w:val="18"/>
                <w:szCs w:val="18"/>
                <w:lang w:val="en-GB"/>
              </w:rPr>
            </w:pPr>
            <w:r w:rsidRPr="000A0818">
              <w:rPr>
                <w:sz w:val="18"/>
                <w:szCs w:val="18"/>
                <w:lang w:val="en-GB"/>
              </w:rPr>
              <w:t>0.78</w:t>
            </w:r>
          </w:p>
        </w:tc>
      </w:tr>
      <w:tr w:rsidR="00631E00" w:rsidRPr="00631E00" w14:paraId="108AF32D" w14:textId="77777777" w:rsidTr="00631E00">
        <w:trPr>
          <w:cnfStyle w:val="000000010000" w:firstRow="0" w:lastRow="0" w:firstColumn="0" w:lastColumn="0" w:oddVBand="0" w:evenVBand="0" w:oddHBand="0" w:evenHBand="1" w:firstRowFirstColumn="0" w:firstRowLastColumn="0" w:lastRowFirstColumn="0" w:lastRowLastColumn="0"/>
          <w:divId w:val="1276905115"/>
        </w:trPr>
        <w:tc>
          <w:tcPr>
            <w:tcW w:w="0" w:type="auto"/>
            <w:shd w:val="clear" w:color="auto" w:fill="F7ECDD"/>
            <w:hideMark/>
          </w:tcPr>
          <w:p w14:paraId="7465C86B" w14:textId="77777777" w:rsidR="00201171" w:rsidRPr="00631E00" w:rsidRDefault="00201171">
            <w:pPr>
              <w:pStyle w:val="NormalWeb"/>
              <w:rPr>
                <w:b/>
                <w:bCs/>
                <w:sz w:val="18"/>
                <w:szCs w:val="18"/>
                <w:lang w:val="en-GB"/>
              </w:rPr>
            </w:pPr>
            <w:r w:rsidRPr="00631E00">
              <w:rPr>
                <w:b/>
                <w:bCs/>
                <w:sz w:val="18"/>
                <w:szCs w:val="18"/>
                <w:lang w:val="en-GB"/>
              </w:rPr>
              <w:t>All ages</w:t>
            </w:r>
          </w:p>
        </w:tc>
        <w:tc>
          <w:tcPr>
            <w:tcW w:w="0" w:type="auto"/>
            <w:shd w:val="clear" w:color="auto" w:fill="F7ECDD"/>
            <w:hideMark/>
          </w:tcPr>
          <w:p w14:paraId="7FC6B45E" w14:textId="77777777" w:rsidR="00201171" w:rsidRPr="00631E00" w:rsidRDefault="00201171">
            <w:pPr>
              <w:pStyle w:val="NormalWeb"/>
              <w:rPr>
                <w:b/>
                <w:bCs/>
                <w:sz w:val="18"/>
                <w:szCs w:val="18"/>
                <w:lang w:val="en-GB"/>
              </w:rPr>
            </w:pPr>
            <w:r w:rsidRPr="00631E00">
              <w:rPr>
                <w:b/>
                <w:bCs/>
                <w:sz w:val="18"/>
                <w:szCs w:val="18"/>
                <w:lang w:val="en-GB"/>
              </w:rPr>
              <w:t>5,742</w:t>
            </w:r>
          </w:p>
        </w:tc>
        <w:tc>
          <w:tcPr>
            <w:tcW w:w="0" w:type="auto"/>
            <w:shd w:val="clear" w:color="auto" w:fill="F7ECDD"/>
            <w:hideMark/>
          </w:tcPr>
          <w:p w14:paraId="050271F6" w14:textId="77777777" w:rsidR="00201171" w:rsidRPr="00631E00" w:rsidRDefault="00201171">
            <w:pPr>
              <w:pStyle w:val="NormalWeb"/>
              <w:rPr>
                <w:b/>
                <w:bCs/>
                <w:sz w:val="18"/>
                <w:szCs w:val="18"/>
                <w:lang w:val="en-GB"/>
              </w:rPr>
            </w:pPr>
            <w:r w:rsidRPr="00631E00">
              <w:rPr>
                <w:b/>
                <w:bCs/>
                <w:sz w:val="18"/>
                <w:szCs w:val="18"/>
                <w:lang w:val="en-GB"/>
              </w:rPr>
              <w:t>7.78</w:t>
            </w:r>
          </w:p>
        </w:tc>
        <w:tc>
          <w:tcPr>
            <w:tcW w:w="0" w:type="auto"/>
            <w:shd w:val="clear" w:color="auto" w:fill="F7ECDD"/>
            <w:hideMark/>
          </w:tcPr>
          <w:p w14:paraId="49DAAEED" w14:textId="77777777" w:rsidR="00201171" w:rsidRPr="00631E00" w:rsidRDefault="00201171">
            <w:pPr>
              <w:pStyle w:val="NormalWeb"/>
              <w:rPr>
                <w:b/>
                <w:bCs/>
                <w:sz w:val="18"/>
                <w:szCs w:val="18"/>
                <w:lang w:val="en-GB"/>
              </w:rPr>
            </w:pPr>
            <w:r w:rsidRPr="00631E00">
              <w:rPr>
                <w:b/>
                <w:bCs/>
                <w:sz w:val="18"/>
                <w:szCs w:val="18"/>
                <w:lang w:val="en-GB"/>
              </w:rPr>
              <w:t>3,081</w:t>
            </w:r>
          </w:p>
        </w:tc>
        <w:tc>
          <w:tcPr>
            <w:tcW w:w="0" w:type="auto"/>
            <w:shd w:val="clear" w:color="auto" w:fill="F7ECDD"/>
            <w:hideMark/>
          </w:tcPr>
          <w:p w14:paraId="65759BA7" w14:textId="77777777" w:rsidR="00201171" w:rsidRPr="00631E00" w:rsidRDefault="00201171">
            <w:pPr>
              <w:pStyle w:val="NormalWeb"/>
              <w:rPr>
                <w:b/>
                <w:bCs/>
                <w:sz w:val="18"/>
                <w:szCs w:val="18"/>
                <w:lang w:val="en-GB"/>
              </w:rPr>
            </w:pPr>
            <w:r w:rsidRPr="00631E00">
              <w:rPr>
                <w:b/>
                <w:bCs/>
                <w:sz w:val="18"/>
                <w:szCs w:val="18"/>
                <w:lang w:val="en-GB"/>
              </w:rPr>
              <w:t>4.18</w:t>
            </w:r>
          </w:p>
        </w:tc>
        <w:tc>
          <w:tcPr>
            <w:tcW w:w="0" w:type="auto"/>
            <w:shd w:val="clear" w:color="auto" w:fill="F7ECDD"/>
            <w:hideMark/>
          </w:tcPr>
          <w:p w14:paraId="6BE14289" w14:textId="77777777" w:rsidR="00201171" w:rsidRPr="00631E00" w:rsidRDefault="00201171">
            <w:pPr>
              <w:pStyle w:val="NormalWeb"/>
              <w:rPr>
                <w:b/>
                <w:bCs/>
                <w:sz w:val="18"/>
                <w:szCs w:val="18"/>
                <w:lang w:val="en-GB"/>
              </w:rPr>
            </w:pPr>
            <w:r w:rsidRPr="00631E00">
              <w:rPr>
                <w:b/>
                <w:bCs/>
                <w:sz w:val="18"/>
                <w:szCs w:val="18"/>
                <w:lang w:val="en-GB"/>
              </w:rPr>
              <w:t>10,216</w:t>
            </w:r>
          </w:p>
        </w:tc>
        <w:tc>
          <w:tcPr>
            <w:tcW w:w="0" w:type="auto"/>
            <w:shd w:val="clear" w:color="auto" w:fill="F7ECDD"/>
            <w:hideMark/>
          </w:tcPr>
          <w:p w14:paraId="3BC27F0D" w14:textId="77777777" w:rsidR="00201171" w:rsidRPr="00631E00" w:rsidRDefault="00201171">
            <w:pPr>
              <w:pStyle w:val="NormalWeb"/>
              <w:rPr>
                <w:b/>
                <w:bCs/>
                <w:sz w:val="18"/>
                <w:szCs w:val="18"/>
                <w:lang w:val="en-GB"/>
              </w:rPr>
            </w:pPr>
            <w:r w:rsidRPr="00631E00">
              <w:rPr>
                <w:b/>
                <w:bCs/>
                <w:sz w:val="18"/>
                <w:szCs w:val="18"/>
                <w:lang w:val="en-GB"/>
              </w:rPr>
              <w:t>13.85</w:t>
            </w:r>
          </w:p>
        </w:tc>
        <w:tc>
          <w:tcPr>
            <w:tcW w:w="0" w:type="auto"/>
            <w:shd w:val="clear" w:color="auto" w:fill="F7ECDD"/>
            <w:hideMark/>
          </w:tcPr>
          <w:p w14:paraId="2F90E42D" w14:textId="77777777" w:rsidR="00201171" w:rsidRPr="00631E00" w:rsidRDefault="00201171">
            <w:pPr>
              <w:pStyle w:val="NormalWeb"/>
              <w:rPr>
                <w:b/>
                <w:bCs/>
                <w:sz w:val="18"/>
                <w:szCs w:val="18"/>
                <w:lang w:val="en-GB"/>
              </w:rPr>
            </w:pPr>
            <w:r w:rsidRPr="00631E00">
              <w:rPr>
                <w:b/>
                <w:bCs/>
                <w:sz w:val="18"/>
                <w:szCs w:val="18"/>
                <w:lang w:val="en-GB"/>
              </w:rPr>
              <w:t>7</w:t>
            </w:r>
          </w:p>
        </w:tc>
        <w:tc>
          <w:tcPr>
            <w:tcW w:w="2383" w:type="dxa"/>
            <w:shd w:val="clear" w:color="auto" w:fill="F7ECDD"/>
            <w:hideMark/>
          </w:tcPr>
          <w:p w14:paraId="648E4CA4" w14:textId="77777777" w:rsidR="00201171" w:rsidRPr="00631E00" w:rsidRDefault="00201171">
            <w:pPr>
              <w:pStyle w:val="NormalWeb"/>
              <w:rPr>
                <w:b/>
                <w:bCs/>
                <w:sz w:val="18"/>
                <w:szCs w:val="18"/>
                <w:lang w:val="en-GB"/>
              </w:rPr>
            </w:pPr>
            <w:r w:rsidRPr="00631E00">
              <w:rPr>
                <w:b/>
                <w:bCs/>
                <w:sz w:val="18"/>
                <w:szCs w:val="18"/>
                <w:lang w:val="en-GB"/>
              </w:rPr>
              <w:t>5</w:t>
            </w:r>
          </w:p>
        </w:tc>
        <w:tc>
          <w:tcPr>
            <w:tcW w:w="570" w:type="dxa"/>
            <w:shd w:val="clear" w:color="auto" w:fill="F7ECDD"/>
            <w:hideMark/>
          </w:tcPr>
          <w:p w14:paraId="421F158E" w14:textId="77777777" w:rsidR="00201171" w:rsidRPr="00631E00" w:rsidRDefault="00201171">
            <w:pPr>
              <w:pStyle w:val="NormalWeb"/>
              <w:rPr>
                <w:b/>
                <w:bCs/>
                <w:sz w:val="18"/>
                <w:szCs w:val="18"/>
                <w:lang w:val="en-GB"/>
              </w:rPr>
            </w:pPr>
            <w:r w:rsidRPr="00631E00">
              <w:rPr>
                <w:b/>
                <w:bCs/>
                <w:sz w:val="18"/>
                <w:szCs w:val="18"/>
                <w:lang w:val="en-GB"/>
              </w:rPr>
              <w:t>159</w:t>
            </w:r>
          </w:p>
        </w:tc>
        <w:tc>
          <w:tcPr>
            <w:tcW w:w="0" w:type="auto"/>
            <w:shd w:val="clear" w:color="auto" w:fill="F7ECDD"/>
            <w:hideMark/>
          </w:tcPr>
          <w:p w14:paraId="3D8ACA98" w14:textId="77777777" w:rsidR="00201171" w:rsidRPr="00631E00" w:rsidRDefault="00201171">
            <w:pPr>
              <w:pStyle w:val="NormalWeb"/>
              <w:rPr>
                <w:b/>
                <w:bCs/>
                <w:sz w:val="18"/>
                <w:szCs w:val="18"/>
                <w:lang w:val="en-GB"/>
              </w:rPr>
            </w:pPr>
            <w:r w:rsidRPr="00631E00">
              <w:rPr>
                <w:b/>
                <w:bCs/>
                <w:sz w:val="18"/>
                <w:szCs w:val="18"/>
                <w:lang w:val="en-GB"/>
              </w:rPr>
              <w:t>0.22</w:t>
            </w:r>
          </w:p>
        </w:tc>
      </w:tr>
    </w:tbl>
    <w:p w14:paraId="3D9FC38A" w14:textId="1A464170" w:rsidR="00201171" w:rsidRDefault="00201171" w:rsidP="001901BA">
      <w:pPr>
        <w:pStyle w:val="CDIfootnotes"/>
        <w:divId w:val="1276905115"/>
        <w:rPr>
          <w:lang w:val="en-GB"/>
        </w:rPr>
      </w:pPr>
      <w:r>
        <w:rPr>
          <w:lang w:val="en-GB"/>
        </w:rPr>
        <w:t>a</w:t>
      </w:r>
      <w:r>
        <w:rPr>
          <w:lang w:val="en-GB"/>
        </w:rPr>
        <w:tab/>
        <w:t>Notifications where the month of diagnosis was between 1 January 2016 and 31 December 2018; hospitalisations where the month of admission was between 1 January 2016 and 31 December</w:t>
      </w:r>
      <w:r w:rsidR="00A0548B">
        <w:rPr>
          <w:lang w:val="en-GB"/>
        </w:rPr>
        <w:t> </w:t>
      </w:r>
      <w:r>
        <w:rPr>
          <w:lang w:val="en-GB"/>
        </w:rPr>
        <w:t>2018.</w:t>
      </w:r>
    </w:p>
    <w:p w14:paraId="351D55D5" w14:textId="77777777" w:rsidR="00201171" w:rsidRDefault="00201171" w:rsidP="001901BA">
      <w:pPr>
        <w:pStyle w:val="CDIfootnotes"/>
        <w:divId w:val="1276905115"/>
        <w:rPr>
          <w:lang w:val="en-GB"/>
        </w:rPr>
      </w:pPr>
      <w:r>
        <w:rPr>
          <w:lang w:val="en-GB"/>
        </w:rPr>
        <w:t>b</w:t>
      </w:r>
      <w:r>
        <w:rPr>
          <w:lang w:val="en-GB"/>
        </w:rPr>
        <w:tab/>
        <w:t>LOS: length of stay in hospital.</w:t>
      </w:r>
    </w:p>
    <w:p w14:paraId="417297E8" w14:textId="77777777" w:rsidR="00201171" w:rsidRDefault="00201171" w:rsidP="001901BA">
      <w:pPr>
        <w:pStyle w:val="CDIfootnotes"/>
        <w:divId w:val="1276905115"/>
        <w:rPr>
          <w:lang w:val="en-GB"/>
        </w:rPr>
      </w:pPr>
      <w:r>
        <w:rPr>
          <w:lang w:val="en-GB"/>
        </w:rPr>
        <w:t>c</w:t>
      </w:r>
      <w:r>
        <w:rPr>
          <w:lang w:val="en-GB"/>
        </w:rPr>
        <w:tab/>
        <w:t>Deaths sourced from the Causes of Death database from the Australian Coordinating Registry. Deaths include underlying and associated causes of deaths.</w:t>
      </w:r>
    </w:p>
    <w:p w14:paraId="643A7CB7" w14:textId="77777777" w:rsidR="00201171" w:rsidRDefault="00201171" w:rsidP="001901BA">
      <w:pPr>
        <w:pStyle w:val="CDIfootnotes"/>
        <w:divId w:val="1276905115"/>
        <w:rPr>
          <w:lang w:val="en-GB"/>
        </w:rPr>
      </w:pPr>
      <w:r>
        <w:rPr>
          <w:lang w:val="en-GB"/>
        </w:rPr>
        <w:t>d</w:t>
      </w:r>
      <w:r>
        <w:rPr>
          <w:lang w:val="en-GB"/>
        </w:rPr>
        <w:tab/>
        <w:t>Average annual age-specific rate per 100,000 population.</w:t>
      </w:r>
    </w:p>
    <w:p w14:paraId="32CF65BA" w14:textId="77777777" w:rsidR="00201171" w:rsidRDefault="00201171" w:rsidP="001901BA">
      <w:pPr>
        <w:pStyle w:val="CDIfootnotes"/>
        <w:divId w:val="1276905115"/>
        <w:rPr>
          <w:lang w:val="en-GB"/>
        </w:rPr>
      </w:pPr>
      <w:r>
        <w:rPr>
          <w:lang w:val="en-GB"/>
        </w:rPr>
        <w:t xml:space="preserve">e </w:t>
      </w:r>
      <w:r>
        <w:rPr>
          <w:lang w:val="en-GB"/>
        </w:rPr>
        <w:tab/>
        <w:t>Pneumococcal meningitis or septicaemia (proxy for invasive pneumococcal disease).</w:t>
      </w:r>
    </w:p>
    <w:p w14:paraId="597E63F7" w14:textId="77777777" w:rsidR="00201171" w:rsidRDefault="00201171" w:rsidP="001901BA">
      <w:pPr>
        <w:pStyle w:val="CDIfootnotes"/>
        <w:divId w:val="1276905115"/>
        <w:rPr>
          <w:lang w:val="en-GB"/>
        </w:rPr>
      </w:pPr>
      <w:r>
        <w:rPr>
          <w:lang w:val="en-GB"/>
        </w:rPr>
        <w:t>f</w:t>
      </w:r>
      <w:r>
        <w:rPr>
          <w:lang w:val="en-GB"/>
        </w:rPr>
        <w:tab/>
        <w:t>Pneumococcal pneumonia.</w:t>
      </w:r>
    </w:p>
    <w:p w14:paraId="2AE09191" w14:textId="77777777" w:rsidR="008B5348" w:rsidRDefault="008B5348" w:rsidP="00B50D8D">
      <w:pPr>
        <w:rPr>
          <w:rStyle w:val="A10"/>
        </w:rPr>
      </w:pPr>
      <w:r>
        <w:rPr>
          <w:rStyle w:val="A10"/>
        </w:rPr>
        <w:br w:type="page"/>
      </w:r>
    </w:p>
    <w:p w14:paraId="3BA5A688" w14:textId="2B205D0A" w:rsidR="008B5348" w:rsidRDefault="008B5348">
      <w:pPr>
        <w:rPr>
          <w:rStyle w:val="A10"/>
        </w:rPr>
        <w:sectPr w:rsidR="008B5348" w:rsidSect="00201171">
          <w:pgSz w:w="16838" w:h="11906" w:orient="landscape"/>
          <w:pgMar w:top="720" w:right="720" w:bottom="720" w:left="1134" w:header="709" w:footer="284" w:gutter="0"/>
          <w:cols w:space="708"/>
          <w:titlePg/>
          <w:docGrid w:linePitch="360"/>
        </w:sectPr>
      </w:pPr>
    </w:p>
    <w:p w14:paraId="5CF290F6"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60B01A3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EEB6D13" w14:textId="77777777" w:rsidR="000A5F42" w:rsidRPr="000606CC" w:rsidRDefault="000A5F42" w:rsidP="000A5F42">
      <w:pPr>
        <w:pStyle w:val="NoSpacing"/>
        <w:rPr>
          <w:rStyle w:val="URI"/>
          <w:rFonts w:cstheme="minorHAnsi"/>
          <w:sz w:val="20"/>
          <w:szCs w:val="18"/>
        </w:rPr>
      </w:pPr>
    </w:p>
    <w:p w14:paraId="08C466B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71A55B23" w14:textId="77777777" w:rsidR="000A5F42" w:rsidRPr="000606CC" w:rsidRDefault="000A5F42" w:rsidP="000A5F42">
      <w:pPr>
        <w:pStyle w:val="NoSpacing"/>
        <w:rPr>
          <w:rStyle w:val="Strong"/>
          <w:rFonts w:cstheme="minorHAnsi"/>
          <w:sz w:val="20"/>
          <w:szCs w:val="18"/>
        </w:rPr>
      </w:pPr>
    </w:p>
    <w:p w14:paraId="6FA633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5619EF6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C01539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9F0FBF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4CFFBF7F" w14:textId="77777777" w:rsidR="000A5F42" w:rsidRPr="000606CC" w:rsidRDefault="000A5F42" w:rsidP="000A5F42">
      <w:pPr>
        <w:pStyle w:val="NoSpacing"/>
        <w:rPr>
          <w:rStyle w:val="Strong"/>
          <w:rFonts w:cstheme="minorHAnsi"/>
          <w:sz w:val="20"/>
          <w:szCs w:val="18"/>
        </w:rPr>
      </w:pPr>
    </w:p>
    <w:p w14:paraId="0A6259E2" w14:textId="2E61219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A1EF868" w14:textId="77777777" w:rsidR="000A5F42" w:rsidRPr="000606CC" w:rsidRDefault="000A5F42" w:rsidP="000A5F42">
      <w:pPr>
        <w:pStyle w:val="NoSpacing"/>
        <w:rPr>
          <w:rStyle w:val="Strong"/>
          <w:rFonts w:cstheme="minorHAnsi"/>
          <w:sz w:val="20"/>
          <w:szCs w:val="18"/>
        </w:rPr>
      </w:pPr>
    </w:p>
    <w:p w14:paraId="112CAEA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A354D0D" w14:textId="77777777" w:rsidR="000A5F42" w:rsidRPr="000606CC" w:rsidRDefault="000A5F42" w:rsidP="000A5F42">
      <w:pPr>
        <w:pStyle w:val="NoSpacing"/>
        <w:rPr>
          <w:rStyle w:val="Strong"/>
          <w:rFonts w:cstheme="minorHAnsi"/>
          <w:sz w:val="20"/>
          <w:szCs w:val="18"/>
        </w:rPr>
      </w:pPr>
    </w:p>
    <w:p w14:paraId="69D9ECBF" w14:textId="07E2E4A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85C537F" w14:textId="77777777" w:rsidR="000A5F42" w:rsidRPr="000606CC" w:rsidRDefault="000A5F42" w:rsidP="000A5F42">
      <w:pPr>
        <w:pStyle w:val="NoSpacing"/>
        <w:rPr>
          <w:rStyle w:val="Strong"/>
          <w:rFonts w:cstheme="minorHAnsi"/>
          <w:sz w:val="20"/>
          <w:szCs w:val="18"/>
        </w:rPr>
      </w:pPr>
    </w:p>
    <w:p w14:paraId="38FC0F7F" w14:textId="23CAEB21"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8EB453E" w14:textId="332D39F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34CC27A7" w14:textId="77777777" w:rsidR="000A5F42" w:rsidRPr="000606CC" w:rsidRDefault="000A5F42" w:rsidP="000A5F42">
      <w:pPr>
        <w:pStyle w:val="NoSpacing"/>
        <w:pBdr>
          <w:bottom w:val="single" w:sz="6" w:space="1" w:color="auto"/>
        </w:pBdr>
        <w:rPr>
          <w:rStyle w:val="Strong"/>
          <w:rFonts w:cstheme="minorHAnsi"/>
          <w:sz w:val="12"/>
          <w:szCs w:val="18"/>
        </w:rPr>
      </w:pPr>
    </w:p>
    <w:p w14:paraId="1719FA20" w14:textId="77777777" w:rsidR="000A5F42" w:rsidRPr="000606CC" w:rsidRDefault="000A5F42" w:rsidP="000A5F42">
      <w:pPr>
        <w:pStyle w:val="NoSpacing"/>
        <w:rPr>
          <w:rFonts w:cstheme="minorHAnsi"/>
          <w:sz w:val="20"/>
          <w:szCs w:val="18"/>
        </w:rPr>
      </w:pPr>
    </w:p>
    <w:p w14:paraId="5A9D69E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3F4994F" w14:textId="77777777" w:rsidR="000A5F42" w:rsidRPr="000606CC" w:rsidRDefault="000A5F42" w:rsidP="000A5F42">
      <w:pPr>
        <w:pStyle w:val="NoSpacing"/>
        <w:rPr>
          <w:rFonts w:cstheme="minorHAnsi"/>
          <w:sz w:val="20"/>
          <w:szCs w:val="18"/>
        </w:rPr>
      </w:pPr>
    </w:p>
    <w:p w14:paraId="39AA561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6B5D43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3B2BE0">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89B7211" w14:textId="7396A09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E73A41C" w14:textId="77777777" w:rsidR="000A5F42" w:rsidRPr="000606CC" w:rsidRDefault="000A5F42" w:rsidP="000A5F42">
      <w:pPr>
        <w:pStyle w:val="NoSpacing"/>
        <w:rPr>
          <w:rFonts w:cstheme="minorHAnsi"/>
          <w:sz w:val="20"/>
          <w:szCs w:val="18"/>
        </w:rPr>
      </w:pPr>
    </w:p>
    <w:p w14:paraId="556B86E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9237017" w14:textId="6C6690C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F8FD4D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4BE5BFB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7F9519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2BC9DF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9060EAF" w14:textId="77777777" w:rsidR="000A5F42" w:rsidRPr="000606CC" w:rsidRDefault="000A5F42" w:rsidP="000A5F42">
      <w:pPr>
        <w:pStyle w:val="NoSpacing"/>
        <w:rPr>
          <w:rStyle w:val="Strong"/>
          <w:rFonts w:cstheme="minorHAnsi"/>
          <w:sz w:val="20"/>
          <w:szCs w:val="18"/>
        </w:rPr>
      </w:pPr>
    </w:p>
    <w:p w14:paraId="586E419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8D80F69" w14:textId="77777777" w:rsidR="000A5F42" w:rsidRPr="000606CC" w:rsidRDefault="000A5F42" w:rsidP="000A5F42">
      <w:pPr>
        <w:pStyle w:val="NoSpacing"/>
        <w:rPr>
          <w:rStyle w:val="Strong"/>
          <w:rFonts w:cstheme="minorHAnsi"/>
          <w:sz w:val="20"/>
          <w:szCs w:val="18"/>
        </w:rPr>
      </w:pPr>
    </w:p>
    <w:p w14:paraId="33D3EDC9" w14:textId="56BDBF7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4560C2A" w14:textId="77777777" w:rsidR="000A5F42" w:rsidRPr="000606CC" w:rsidRDefault="000A5F42" w:rsidP="000A5F42">
      <w:pPr>
        <w:pStyle w:val="NoSpacing"/>
        <w:rPr>
          <w:rStyle w:val="URI"/>
          <w:rFonts w:cstheme="minorHAnsi"/>
          <w:sz w:val="20"/>
          <w:szCs w:val="18"/>
        </w:rPr>
      </w:pPr>
    </w:p>
    <w:p w14:paraId="541D806C" w14:textId="54CA2D7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9212" w14:textId="77777777" w:rsidR="00C067F4" w:rsidRDefault="00C067F4" w:rsidP="00E54DBA">
      <w:r>
        <w:separator/>
      </w:r>
    </w:p>
    <w:p w14:paraId="466E9E78" w14:textId="77777777" w:rsidR="00C067F4" w:rsidRDefault="00C067F4"/>
    <w:p w14:paraId="1CC24AF2" w14:textId="77777777" w:rsidR="00C067F4" w:rsidRDefault="00C067F4" w:rsidP="008714B0"/>
  </w:endnote>
  <w:endnote w:type="continuationSeparator" w:id="0">
    <w:p w14:paraId="7DF6C964" w14:textId="77777777" w:rsidR="00C067F4" w:rsidRDefault="00C067F4" w:rsidP="00E54DBA">
      <w:r>
        <w:continuationSeparator/>
      </w:r>
    </w:p>
    <w:p w14:paraId="7F98F6BD" w14:textId="77777777" w:rsidR="00C067F4" w:rsidRDefault="00C067F4"/>
    <w:p w14:paraId="2A3EA2C7" w14:textId="77777777" w:rsidR="00C067F4" w:rsidRDefault="00C067F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444D" w14:textId="77777777" w:rsidR="00EF3F16" w:rsidRDefault="00EF3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1A18" w14:textId="553EBFC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164D5">
      <w:rPr>
        <w:b/>
        <w:i/>
        <w:sz w:val="18"/>
      </w:rPr>
      <w:t>Commun</w:t>
    </w:r>
    <w:proofErr w:type="spellEnd"/>
    <w:r w:rsidR="00CE342B" w:rsidRPr="00A164D5">
      <w:rPr>
        <w:b/>
        <w:i/>
        <w:sz w:val="18"/>
      </w:rPr>
      <w:t xml:space="preserve"> Dis </w:t>
    </w:r>
    <w:proofErr w:type="spellStart"/>
    <w:r w:rsidR="00CE342B" w:rsidRPr="00A164D5">
      <w:rPr>
        <w:b/>
        <w:i/>
        <w:sz w:val="18"/>
      </w:rPr>
      <w:t>Intell</w:t>
    </w:r>
    <w:proofErr w:type="spellEnd"/>
    <w:r w:rsidR="00CE342B" w:rsidRPr="00A164D5">
      <w:rPr>
        <w:b/>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B2BE0">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B2BE0">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F3F16">
      <w:rPr>
        <w:sz w:val="18"/>
      </w:rPr>
      <w:t>https://doi.org/10.33321/cdi.2023.47.40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F3E50">
      <w:rPr>
        <w:sz w:val="18"/>
      </w:rPr>
      <w:t>27/7/2023</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495F" w14:textId="3241AF4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164D5">
      <w:rPr>
        <w:b/>
        <w:i/>
        <w:sz w:val="18"/>
      </w:rPr>
      <w:t>Commun</w:t>
    </w:r>
    <w:proofErr w:type="spellEnd"/>
    <w:r w:rsidR="00A164D5" w:rsidRPr="00A164D5">
      <w:rPr>
        <w:b/>
        <w:i/>
        <w:sz w:val="18"/>
      </w:rPr>
      <w:t xml:space="preserve"> Dis </w:t>
    </w:r>
    <w:proofErr w:type="spellStart"/>
    <w:r w:rsidR="00A164D5" w:rsidRPr="00A164D5">
      <w:rPr>
        <w:b/>
        <w:i/>
        <w:sz w:val="18"/>
      </w:rPr>
      <w:t>Intell</w:t>
    </w:r>
    <w:proofErr w:type="spellEnd"/>
    <w:r w:rsidR="00A164D5" w:rsidRPr="00A164D5">
      <w:rPr>
        <w:b/>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B2BE0">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B2BE0">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F3F16">
      <w:rPr>
        <w:sz w:val="18"/>
      </w:rPr>
      <w:t>https://doi.org/10.33321/cdi.2023.47.40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F3E50">
      <w:rPr>
        <w:sz w:val="18"/>
      </w:rPr>
      <w:t>27/7/2023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5DB0" w14:textId="77777777" w:rsidR="00C067F4" w:rsidRPr="00B91FB5" w:rsidRDefault="00C067F4" w:rsidP="00B91FB5">
      <w:pPr>
        <w:spacing w:after="0" w:line="240" w:lineRule="auto"/>
        <w:rPr>
          <w:sz w:val="18"/>
          <w:szCs w:val="18"/>
        </w:rPr>
      </w:pPr>
      <w:r w:rsidRPr="00B91FB5">
        <w:rPr>
          <w:sz w:val="18"/>
          <w:szCs w:val="18"/>
        </w:rPr>
        <w:separator/>
      </w:r>
    </w:p>
  </w:footnote>
  <w:footnote w:type="continuationSeparator" w:id="0">
    <w:p w14:paraId="0023B403" w14:textId="77777777" w:rsidR="00C067F4" w:rsidRDefault="00C067F4" w:rsidP="00E54DBA">
      <w:r>
        <w:continuationSeparator/>
      </w:r>
    </w:p>
  </w:footnote>
  <w:footnote w:type="continuationNotice" w:id="1">
    <w:p w14:paraId="24D8E11A" w14:textId="77777777" w:rsidR="00C067F4" w:rsidRPr="00224EFF" w:rsidRDefault="00C067F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5064" w14:textId="77777777" w:rsidR="00EF3F16" w:rsidRDefault="00EF3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A8D9" w14:textId="670D41E7" w:rsidR="00257484" w:rsidRPr="00A153B6" w:rsidRDefault="0000000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Content>
        <w:r w:rsidR="00C0528F">
          <w:t>Erratum</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44A2" w14:textId="77777777" w:rsidR="00EF3F16" w:rsidRDefault="00EF3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2C41"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41B22A3D" wp14:editId="6B0B3236">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3925361">
    <w:abstractNumId w:val="1"/>
  </w:num>
  <w:num w:numId="2" w16cid:durableId="493495095">
    <w:abstractNumId w:val="2"/>
  </w:num>
  <w:num w:numId="3" w16cid:durableId="269552340">
    <w:abstractNumId w:val="3"/>
  </w:num>
  <w:num w:numId="4" w16cid:durableId="255602095">
    <w:abstractNumId w:val="0"/>
  </w:num>
  <w:num w:numId="5" w16cid:durableId="191116616">
    <w:abstractNumId w:val="4"/>
  </w:num>
  <w:num w:numId="6" w16cid:durableId="1326932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E0"/>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978B6"/>
    <w:rsid w:val="000A0818"/>
    <w:rsid w:val="000A5F42"/>
    <w:rsid w:val="000D4B4D"/>
    <w:rsid w:val="000F3E50"/>
    <w:rsid w:val="00113D58"/>
    <w:rsid w:val="001200CB"/>
    <w:rsid w:val="001378A3"/>
    <w:rsid w:val="00155582"/>
    <w:rsid w:val="00161590"/>
    <w:rsid w:val="00171CC0"/>
    <w:rsid w:val="001723AC"/>
    <w:rsid w:val="00175494"/>
    <w:rsid w:val="00175629"/>
    <w:rsid w:val="001830EC"/>
    <w:rsid w:val="00183534"/>
    <w:rsid w:val="0018758E"/>
    <w:rsid w:val="001901BA"/>
    <w:rsid w:val="001A4A96"/>
    <w:rsid w:val="001A5D05"/>
    <w:rsid w:val="001A796C"/>
    <w:rsid w:val="001B2614"/>
    <w:rsid w:val="001B37B8"/>
    <w:rsid w:val="001B552F"/>
    <w:rsid w:val="001C0893"/>
    <w:rsid w:val="001C1303"/>
    <w:rsid w:val="001C70B2"/>
    <w:rsid w:val="001D37C7"/>
    <w:rsid w:val="001D6888"/>
    <w:rsid w:val="001E4E1D"/>
    <w:rsid w:val="00201171"/>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478C0"/>
    <w:rsid w:val="003601C0"/>
    <w:rsid w:val="003635F5"/>
    <w:rsid w:val="00372A88"/>
    <w:rsid w:val="0038134A"/>
    <w:rsid w:val="00381A0F"/>
    <w:rsid w:val="003A1B3A"/>
    <w:rsid w:val="003A40F5"/>
    <w:rsid w:val="003B2BE0"/>
    <w:rsid w:val="003B5B8C"/>
    <w:rsid w:val="003C7841"/>
    <w:rsid w:val="003D79B1"/>
    <w:rsid w:val="003E74EE"/>
    <w:rsid w:val="003F0552"/>
    <w:rsid w:val="003F3BC2"/>
    <w:rsid w:val="003F725B"/>
    <w:rsid w:val="00401ED1"/>
    <w:rsid w:val="0040224C"/>
    <w:rsid w:val="00407865"/>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1E00"/>
    <w:rsid w:val="006324FF"/>
    <w:rsid w:val="006351D6"/>
    <w:rsid w:val="00636E0D"/>
    <w:rsid w:val="0064142F"/>
    <w:rsid w:val="00643CB4"/>
    <w:rsid w:val="00656427"/>
    <w:rsid w:val="00660255"/>
    <w:rsid w:val="00663EA5"/>
    <w:rsid w:val="00684D29"/>
    <w:rsid w:val="006971F3"/>
    <w:rsid w:val="006B7061"/>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1CDB"/>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0548B"/>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1093"/>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528F"/>
    <w:rsid w:val="00C067F4"/>
    <w:rsid w:val="00C07606"/>
    <w:rsid w:val="00C12542"/>
    <w:rsid w:val="00C130EE"/>
    <w:rsid w:val="00C24725"/>
    <w:rsid w:val="00C30BA9"/>
    <w:rsid w:val="00C3541E"/>
    <w:rsid w:val="00C36A8F"/>
    <w:rsid w:val="00C42834"/>
    <w:rsid w:val="00C42FFA"/>
    <w:rsid w:val="00C46DB3"/>
    <w:rsid w:val="00C507D8"/>
    <w:rsid w:val="00C51F5A"/>
    <w:rsid w:val="00C57018"/>
    <w:rsid w:val="00C62EAC"/>
    <w:rsid w:val="00C63F9F"/>
    <w:rsid w:val="00C75336"/>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45C2"/>
    <w:rsid w:val="00ED442D"/>
    <w:rsid w:val="00ED70C2"/>
    <w:rsid w:val="00EE18FF"/>
    <w:rsid w:val="00EE3E29"/>
    <w:rsid w:val="00EE489F"/>
    <w:rsid w:val="00EF3F16"/>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D6956"/>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DB125"/>
  <w15:docId w15:val="{F273DF55-DCA8-491B-A19A-14201E07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157111804">
      <w:bodyDiv w:val="1"/>
      <w:marLeft w:val="0"/>
      <w:marRight w:val="0"/>
      <w:marTop w:val="0"/>
      <w:marBottom w:val="0"/>
      <w:divBdr>
        <w:top w:val="none" w:sz="0" w:space="0" w:color="auto"/>
        <w:left w:val="none" w:sz="0" w:space="0" w:color="auto"/>
        <w:bottom w:val="none" w:sz="0" w:space="0" w:color="auto"/>
        <w:right w:val="none" w:sz="0" w:space="0" w:color="auto"/>
      </w:divBdr>
    </w:div>
    <w:div w:id="12769051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na" TargetMode="Externa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eader" Target="header3.xml"/><Relationship Id="rId22" Type="http://schemas.openxmlformats.org/officeDocument/2006/relationships/hyperlink" Target="mailto:copyright@health.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5</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Communicable Diseases Intelligence - Summary of National Surveillance Data on Vaccine Preventable Diseases in Australia, 2016-2018 Final Report - Erratum to Commun Dis Intell (2018) 2022;46. (https://doi.org/10.33321/cdi.2022.46.28)</vt:lpstr>
    </vt:vector>
  </TitlesOfParts>
  <Company>Australian Government, Department of Health</Company>
  <LinksUpToDate>false</LinksUpToDate>
  <CharactersWithSpaces>9280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Summary of National Surveillance Data on Vaccine Preventable Diseases in Australia, 2016-2018 Final Report - Erratum to Commun Dis Intell (2018) 2022;46. (https://doi.org/10.33321/cdi.2022.46.28)</dc:title>
  <dc:subject>Two tables within this report, as originally published, contained errors which are notified and corrected here. In Table 1, an incorrect rate ratio was reported for pneumococcal disease hospitlisations. In Table 3.10.1, the reported statistics for pneumococcal disease hospitalisations were for hospitalisation where pneumococcal disease was noted as the principal cause of hospitalisation. For consistency with previous surveillance reports and with reporting on the length of stay for hospitalisations in this table, the hospitalisation statistics have now been corrected to report hospitalisation numbers where pneumococcal disease was coded as any cause of hospitalisation during the reporting period. The corrected versions of these two tables are now shown overleaf.</dc:subject>
  <dc:creator>Cyra Patel; Aditi Dey; Han Wang; Peter McIntyre; Kristine Macartney; Frank Beard</dc:creator>
  <dc:description>© Commonwealth of Australia CC BY-NC-ND ISSN: 2209-6051 (Online)</dc:description>
  <cp:lastModifiedBy>YOUSEFI, Kasra</cp:lastModifiedBy>
  <cp:revision>3</cp:revision>
  <cp:lastPrinted>2018-05-10T02:19:00Z</cp:lastPrinted>
  <dcterms:created xsi:type="dcterms:W3CDTF">2023-07-20T05:21:00Z</dcterms:created>
  <dcterms:modified xsi:type="dcterms:W3CDTF">2023-07-27T03:56:00Z</dcterms:modified>
  <cp:category>Erratum</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27/7/2023</vt:lpwstr>
  </property>
  <property fmtid="{D5CDD505-2E9C-101B-9397-08002B2CF9AE}" pid="5" name="DOI">
    <vt:lpwstr>https://doi.org/10.33321/cdi.2023.47.40</vt:lpwstr>
  </property>
</Properties>
</file>