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6B40"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B82243">
          <w:t>2023</w:t>
        </w:r>
      </w:fldSimple>
      <w:r w:rsidRPr="00B50D8D">
        <w:t xml:space="preserve">, Volume </w:t>
      </w:r>
      <w:r w:rsidR="00DA7236">
        <w:fldChar w:fldCharType="begin"/>
      </w:r>
      <w:r w:rsidR="00DA7236">
        <w:instrText xml:space="preserve"> DOCPROPERTY  Vol  \* MERGEFORMAT </w:instrText>
      </w:r>
      <w:r w:rsidR="00DA7236">
        <w:fldChar w:fldCharType="separate"/>
      </w:r>
      <w:proofErr w:type="gramStart"/>
      <w:r w:rsidR="00B82243">
        <w:t>47</w:t>
      </w:r>
      <w:proofErr w:type="gramEnd"/>
      <w:r w:rsidR="00DA7236">
        <w:fldChar w:fldCharType="end"/>
      </w:r>
    </w:p>
    <w:p w14:paraId="53494DC4" w14:textId="1FF5F9E4" w:rsidR="00B50D8D" w:rsidRPr="00B50D8D" w:rsidRDefault="00DA7236" w:rsidP="00B50D8D">
      <w:pPr>
        <w:pStyle w:val="CDIfootnotes"/>
      </w:pPr>
      <w:fldSimple w:instr=" DOCPROPERTY  DOI  \* MERGEFORMAT ">
        <w:r>
          <w:t>https://doi.org/10.33321/cdi.2023.47.39</w:t>
        </w:r>
      </w:fldSimple>
    </w:p>
    <w:p w14:paraId="3E393809" w14:textId="694A9A85" w:rsidR="00B50D8D" w:rsidRPr="00B50D8D" w:rsidRDefault="00B50D8D" w:rsidP="00B50D8D">
      <w:pPr>
        <w:pStyle w:val="CDIfootnotes"/>
      </w:pPr>
      <w:r w:rsidRPr="00B50D8D">
        <w:t xml:space="preserve">Publication date: </w:t>
      </w:r>
      <w:fldSimple w:instr=" DOCPROPERTY  ePubDate  \* MERGEFORMAT ">
        <w:r w:rsidR="00DA7236">
          <w:t>27/7/2023</w:t>
        </w:r>
      </w:fldSimple>
    </w:p>
    <w:p w14:paraId="34279753" w14:textId="2834B35C" w:rsidR="00B50D8D" w:rsidRPr="00B50D8D" w:rsidRDefault="00F818A0" w:rsidP="00B50D8D">
      <w:pPr>
        <w:pStyle w:val="CDIfootnotes"/>
      </w:pPr>
      <w:hyperlink r:id="rId9" w:history="1">
        <w:r w:rsidR="00B50D8D" w:rsidRPr="00B50D8D">
          <w:rPr>
            <w:rStyle w:val="Hyperlink"/>
          </w:rPr>
          <w:t>http://health.gov.au/cdi</w:t>
        </w:r>
      </w:hyperlink>
      <w:r w:rsidR="00B50D8D" w:rsidRPr="00B50D8D">
        <w:t xml:space="preserve"> </w:t>
      </w:r>
    </w:p>
    <w:p w14:paraId="3BF43485" w14:textId="77777777" w:rsidR="00B86960" w:rsidRDefault="00B86960" w:rsidP="00B86960">
      <w:pPr>
        <w:pStyle w:val="Title"/>
        <w:divId w:val="248467387"/>
        <w:rPr>
          <w:rFonts w:eastAsia="Times New Roman"/>
          <w:sz w:val="48"/>
          <w:szCs w:val="48"/>
        </w:rPr>
      </w:pPr>
      <w:r>
        <w:rPr>
          <w:rFonts w:eastAsia="Times New Roman"/>
        </w:rPr>
        <w:t xml:space="preserve">Socio-environmental and clinical features of invasive group A streptococcal disease in the Northern Territory of Australia </w:t>
      </w:r>
    </w:p>
    <w:p w14:paraId="228FB24D" w14:textId="77777777" w:rsidR="00B86960" w:rsidRDefault="00B86960" w:rsidP="00B86960">
      <w:pPr>
        <w:divId w:val="248467387"/>
      </w:pPr>
      <w:r>
        <w:t xml:space="preserve">Johanna M </w:t>
      </w:r>
      <w:proofErr w:type="spellStart"/>
      <w:r>
        <w:t>Birrell</w:t>
      </w:r>
      <w:proofErr w:type="spellEnd"/>
      <w:r>
        <w:t xml:space="preserve">, Rowena Boyd, Bart J Currie, Asanga </w:t>
      </w:r>
      <w:proofErr w:type="spellStart"/>
      <w:r>
        <w:t>Abeyaratne</w:t>
      </w:r>
      <w:proofErr w:type="spellEnd"/>
      <w:r>
        <w:t xml:space="preserve">, </w:t>
      </w:r>
      <w:proofErr w:type="spellStart"/>
      <w:r>
        <w:t>Sandawana</w:t>
      </w:r>
      <w:proofErr w:type="spellEnd"/>
      <w:r>
        <w:t xml:space="preserve"> William </w:t>
      </w:r>
      <w:proofErr w:type="spellStart"/>
      <w:r>
        <w:t>Majoni</w:t>
      </w:r>
      <w:proofErr w:type="spellEnd"/>
      <w:r>
        <w:t xml:space="preserve">, Vicki L Krause </w:t>
      </w:r>
    </w:p>
    <w:p w14:paraId="7DB80198" w14:textId="77777777" w:rsidR="00B86960" w:rsidRPr="00B86960" w:rsidRDefault="00B86960" w:rsidP="00B86960">
      <w:pPr>
        <w:pStyle w:val="Heading1"/>
        <w:divId w:val="248467387"/>
      </w:pPr>
      <w:r w:rsidRPr="00B86960">
        <w:t xml:space="preserve">Abstract </w:t>
      </w:r>
    </w:p>
    <w:p w14:paraId="17222B51" w14:textId="77777777" w:rsidR="00B86960" w:rsidRPr="00B86960" w:rsidRDefault="00B86960" w:rsidP="00B86960">
      <w:pPr>
        <w:pStyle w:val="Heading2"/>
        <w:divId w:val="248467387"/>
      </w:pPr>
      <w:r w:rsidRPr="00B86960">
        <w:t xml:space="preserve">Objective </w:t>
      </w:r>
    </w:p>
    <w:p w14:paraId="14E48916" w14:textId="77777777" w:rsidR="00B86960" w:rsidRDefault="00B86960" w:rsidP="00B86960">
      <w:pPr>
        <w:divId w:val="248467387"/>
      </w:pPr>
      <w:r>
        <w:t>To describe the socio-environmental profile and clinical features of invasive group A streptococcal (</w:t>
      </w:r>
      <w:proofErr w:type="spellStart"/>
      <w:r>
        <w:t>iGAS</w:t>
      </w:r>
      <w:proofErr w:type="spellEnd"/>
      <w:r>
        <w:t xml:space="preserve">) infections in the Northern Territory (NT) of Australia over 10 years. </w:t>
      </w:r>
    </w:p>
    <w:p w14:paraId="1E6BCF7C" w14:textId="77777777" w:rsidR="00B86960" w:rsidRPr="00B86960" w:rsidRDefault="00B86960" w:rsidP="00B86960">
      <w:pPr>
        <w:pStyle w:val="Heading2"/>
        <w:divId w:val="248467387"/>
      </w:pPr>
      <w:r w:rsidRPr="00B86960">
        <w:t xml:space="preserve">Methods </w:t>
      </w:r>
    </w:p>
    <w:p w14:paraId="29038E42" w14:textId="77777777" w:rsidR="00B86960" w:rsidRDefault="00B86960" w:rsidP="00B86960">
      <w:pPr>
        <w:divId w:val="248467387"/>
      </w:pPr>
      <w:r>
        <w:t xml:space="preserve">Cases of </w:t>
      </w:r>
      <w:proofErr w:type="spellStart"/>
      <w:r>
        <w:t>iGAS</w:t>
      </w:r>
      <w:proofErr w:type="spellEnd"/>
      <w:r>
        <w:t xml:space="preserve"> disease diagnosed between 1 May 2011 and 30 April 2021 were retrospectively </w:t>
      </w:r>
      <w:proofErr w:type="gramStart"/>
      <w:r>
        <w:t>identified</w:t>
      </w:r>
      <w:proofErr w:type="gramEnd"/>
      <w:r>
        <w:t xml:space="preserve"> from the NT Notifiable Diseases System and electronic health records accessed. Remoteness of residence, socio-economic index, </w:t>
      </w:r>
      <w:proofErr w:type="gramStart"/>
      <w:r>
        <w:t>seasonality</w:t>
      </w:r>
      <w:proofErr w:type="gramEnd"/>
      <w:r>
        <w:t xml:space="preserve"> and clinical characteristics were recorded. </w:t>
      </w:r>
    </w:p>
    <w:p w14:paraId="08753506" w14:textId="77777777" w:rsidR="00B86960" w:rsidRPr="00B86960" w:rsidRDefault="00B86960" w:rsidP="00B86960">
      <w:pPr>
        <w:pStyle w:val="Heading2"/>
        <w:divId w:val="248467387"/>
      </w:pPr>
      <w:r w:rsidRPr="00B86960">
        <w:t xml:space="preserve">Results </w:t>
      </w:r>
    </w:p>
    <w:p w14:paraId="137FDFC1" w14:textId="77777777" w:rsidR="00B86960" w:rsidRDefault="00B86960" w:rsidP="00B86960">
      <w:pPr>
        <w:divId w:val="248467387"/>
      </w:pPr>
      <w:r>
        <w:t xml:space="preserve">There were 692 cases of </w:t>
      </w:r>
      <w:proofErr w:type="spellStart"/>
      <w:r>
        <w:t>iGAS</w:t>
      </w:r>
      <w:proofErr w:type="spellEnd"/>
      <w:r>
        <w:t xml:space="preserve"> disease </w:t>
      </w:r>
      <w:proofErr w:type="gramStart"/>
      <w:r>
        <w:t>identified</w:t>
      </w:r>
      <w:proofErr w:type="gramEnd"/>
      <w:r>
        <w:t xml:space="preserve"> in the NT during the period 1 May 2011 – 30 April 2021. The age-standardised incidence of </w:t>
      </w:r>
      <w:proofErr w:type="spellStart"/>
      <w:r>
        <w:t>iGAS</w:t>
      </w:r>
      <w:proofErr w:type="spellEnd"/>
      <w:r>
        <w:t xml:space="preserve"> disease was significantly higher in people living in very remote (57.1 cases per 100,000 population, 95% confidence interval [95% CI]: 48.6–65.5) and remote areas (40.9 cases per 100,000 population, 95% CI: 34.7–47.2) than in outer regional areas of the NT (15.7 cases per 100,000 population, 95% CI: 13.4–17.9). People with socio-economic disadvantage </w:t>
      </w:r>
      <w:proofErr w:type="gramStart"/>
      <w:r>
        <w:t>were also disproportionately affected</w:t>
      </w:r>
      <w:proofErr w:type="gramEnd"/>
      <w:r>
        <w:t xml:space="preserve">, with an incidence of 52.6 cases per 100,000 population (95% CI: 46.2–58.9) in decile 1–3 populations, compared to 8.9 cases per 100,000 population (95% CI: 6.9–10.9) for decile 7–10. </w:t>
      </w:r>
    </w:p>
    <w:p w14:paraId="2BB7A7E9" w14:textId="77777777" w:rsidR="00B86960" w:rsidRDefault="00B86960" w:rsidP="00B86960">
      <w:pPr>
        <w:divId w:val="248467387"/>
      </w:pPr>
      <w:r>
        <w:t xml:space="preserve">For cases with recorded severity data, 135 of 378 (36%) met </w:t>
      </w:r>
      <w:proofErr w:type="gramStart"/>
      <w:r>
        <w:t>locally-defined</w:t>
      </w:r>
      <w:proofErr w:type="gramEnd"/>
      <w:r>
        <w:t xml:space="preserve"> criteria for severe </w:t>
      </w:r>
      <w:proofErr w:type="spellStart"/>
      <w:r>
        <w:t>iGAS</w:t>
      </w:r>
      <w:proofErr w:type="spellEnd"/>
      <w:r>
        <w:t xml:space="preserve"> disease. Recurrent </w:t>
      </w:r>
      <w:proofErr w:type="spellStart"/>
      <w:r>
        <w:t>iGAS</w:t>
      </w:r>
      <w:proofErr w:type="spellEnd"/>
      <w:r>
        <w:t xml:space="preserve"> disease was commonly </w:t>
      </w:r>
      <w:proofErr w:type="gramStart"/>
      <w:r>
        <w:t>observed</w:t>
      </w:r>
      <w:proofErr w:type="gramEnd"/>
      <w:r>
        <w:t xml:space="preserve"> in the dialysis cohort, affecting 17 of the 106 patients during the study period (16% recurrence rate) and causing two deaths. Five </w:t>
      </w:r>
      <w:proofErr w:type="gramStart"/>
      <w:r>
        <w:t>molecularly-confirmed</w:t>
      </w:r>
      <w:proofErr w:type="gramEnd"/>
      <w:r>
        <w:t xml:space="preserve"> clusters of </w:t>
      </w:r>
      <w:proofErr w:type="spellStart"/>
      <w:r>
        <w:t>iGAS</w:t>
      </w:r>
      <w:proofErr w:type="spellEnd"/>
      <w:r>
        <w:t xml:space="preserve"> disease were identified from the study period. </w:t>
      </w:r>
    </w:p>
    <w:p w14:paraId="3FB16358" w14:textId="77777777" w:rsidR="00B86960" w:rsidRPr="00B86960" w:rsidRDefault="00B86960" w:rsidP="00B86960">
      <w:pPr>
        <w:pStyle w:val="Heading2"/>
        <w:divId w:val="248467387"/>
      </w:pPr>
      <w:r w:rsidRPr="00B86960">
        <w:t xml:space="preserve">Conclusions </w:t>
      </w:r>
    </w:p>
    <w:p w14:paraId="133D0EAC" w14:textId="77777777" w:rsidR="00B86960" w:rsidRDefault="00B86960" w:rsidP="00B86960">
      <w:pPr>
        <w:divId w:val="248467387"/>
      </w:pPr>
      <w:proofErr w:type="spellStart"/>
      <w:r>
        <w:t>iGAS</w:t>
      </w:r>
      <w:proofErr w:type="spellEnd"/>
      <w:r>
        <w:t xml:space="preserve"> disease is unevenly affecting people in the NT. Those living in areas of socio-economic disadvantage, those in remote and very remote communities, and those receiving dialysis were most affected. It is important that primordial, </w:t>
      </w:r>
      <w:proofErr w:type="gramStart"/>
      <w:r>
        <w:t>primary</w:t>
      </w:r>
      <w:proofErr w:type="gramEnd"/>
      <w:r>
        <w:t xml:space="preserve"> and secondary prevention measures be directed towards supporting these disadvantaged population groups. </w:t>
      </w:r>
    </w:p>
    <w:p w14:paraId="28689EF3" w14:textId="77777777" w:rsidR="00B86960" w:rsidRDefault="00B86960" w:rsidP="00B86960">
      <w:pPr>
        <w:divId w:val="248467387"/>
      </w:pPr>
      <w:r>
        <w:t>Keywords:</w:t>
      </w:r>
      <w:r>
        <w:rPr>
          <w:rStyle w:val="Strong"/>
        </w:rPr>
        <w:t xml:space="preserve"> </w:t>
      </w:r>
      <w:r>
        <w:t xml:space="preserve">streptococcus; epidemiology; public health; rural health; dialysis </w:t>
      </w:r>
    </w:p>
    <w:p w14:paraId="332A416C" w14:textId="77777777" w:rsidR="007B49AB" w:rsidRDefault="007B49AB">
      <w:pPr>
        <w:rPr>
          <w:rFonts w:asciiTheme="majorHAnsi" w:eastAsiaTheme="majorEastAsia" w:hAnsiTheme="majorHAnsi" w:cstheme="majorBidi"/>
          <w:b/>
          <w:bCs/>
          <w:sz w:val="32"/>
          <w:szCs w:val="28"/>
        </w:rPr>
      </w:pPr>
      <w:r>
        <w:br w:type="page"/>
      </w:r>
    </w:p>
    <w:p w14:paraId="50A6882C" w14:textId="56A92CD8" w:rsidR="00B86960" w:rsidRPr="00B86960" w:rsidRDefault="00B86960" w:rsidP="00B86960">
      <w:pPr>
        <w:pStyle w:val="Heading1"/>
        <w:divId w:val="248467387"/>
      </w:pPr>
      <w:r w:rsidRPr="00B86960">
        <w:lastRenderedPageBreak/>
        <w:t xml:space="preserve">Introduction </w:t>
      </w:r>
    </w:p>
    <w:p w14:paraId="1FC2ED28" w14:textId="77777777" w:rsidR="00B86960" w:rsidRDefault="00B86960" w:rsidP="00B86960">
      <w:pPr>
        <w:divId w:val="248467387"/>
      </w:pPr>
      <w:r>
        <w:t>Group A streptococcal (GAS) infections are a major cause of morbidity and mortality in the Northern Territory (NT) of Australia, through both direct infection and post-streptococcal immunologic complications (acute rheumatic fever, rheumatic heart disease, glomerulonephritis). Invasive group A streptococcal (</w:t>
      </w:r>
      <w:proofErr w:type="spellStart"/>
      <w:r>
        <w:t>iGAS</w:t>
      </w:r>
      <w:proofErr w:type="spellEnd"/>
      <w:r>
        <w:t xml:space="preserve">) disease can be associated with severe clinical syndromes including sepsis, necrotising </w:t>
      </w:r>
      <w:proofErr w:type="gramStart"/>
      <w:r>
        <w:t>fasciitis</w:t>
      </w:r>
      <w:proofErr w:type="gramEnd"/>
      <w:r>
        <w:t xml:space="preserve"> and toxic shock syndrome. GAS is the third most common organism causing bacteraemia in the Top End of the NT.</w:t>
      </w:r>
      <w:r>
        <w:rPr>
          <w:vertAlign w:val="superscript"/>
        </w:rPr>
        <w:t>1</w:t>
      </w:r>
      <w:r>
        <w:t xml:space="preserve"> </w:t>
      </w:r>
    </w:p>
    <w:p w14:paraId="1410E3F6" w14:textId="77777777" w:rsidR="00B86960" w:rsidRDefault="00B86960" w:rsidP="00B86960">
      <w:pPr>
        <w:divId w:val="248467387"/>
      </w:pPr>
      <w:proofErr w:type="spellStart"/>
      <w:r>
        <w:t>iGAS</w:t>
      </w:r>
      <w:proofErr w:type="spellEnd"/>
      <w:r>
        <w:t xml:space="preserve"> disease has been notifiable in the NT since 2011</w:t>
      </w:r>
      <w:r>
        <w:rPr>
          <w:vertAlign w:val="superscript"/>
        </w:rPr>
        <w:t>2</w:t>
      </w:r>
      <w:r>
        <w:t xml:space="preserve"> and nationally in Australia since July 2021.</w:t>
      </w:r>
      <w:r>
        <w:rPr>
          <w:vertAlign w:val="superscript"/>
        </w:rPr>
        <w:t>3</w:t>
      </w:r>
      <w:r>
        <w:t xml:space="preserve"> The incidence of </w:t>
      </w:r>
      <w:proofErr w:type="spellStart"/>
      <w:r>
        <w:t>iGAS</w:t>
      </w:r>
      <w:proofErr w:type="spellEnd"/>
      <w:r>
        <w:t xml:space="preserve"> disease in Australia in 2017-18 was estimated at 8.3 cases per 100,000 population.</w:t>
      </w:r>
      <w:r>
        <w:rPr>
          <w:vertAlign w:val="superscript"/>
        </w:rPr>
        <w:t>4</w:t>
      </w:r>
      <w:r>
        <w:t xml:space="preserve"> It has long been recognised that </w:t>
      </w:r>
      <w:proofErr w:type="spellStart"/>
      <w:r>
        <w:t>iGAS</w:t>
      </w:r>
      <w:proofErr w:type="spellEnd"/>
      <w:r>
        <w:t xml:space="preserve"> disease occurs at higher rates in the NT than elsewhere in Australia.</w:t>
      </w:r>
      <w:r>
        <w:rPr>
          <w:vertAlign w:val="superscript"/>
        </w:rPr>
        <w:t>5–7</w:t>
      </w:r>
      <w:r>
        <w:t xml:space="preserve"> From 1 May 2011 to 30 April 2021, the incidence of </w:t>
      </w:r>
      <w:proofErr w:type="spellStart"/>
      <w:r>
        <w:t>iGAS</w:t>
      </w:r>
      <w:proofErr w:type="spellEnd"/>
      <w:r>
        <w:t xml:space="preserve"> disease in the NT was 34.3 cases per 100,000 (95% confidence interval [95% CI]: 31.4–37.1) in the overall population, and 106 cases per 100,000 (95% CI: 95.0–117) in the Indigenous Australian population.</w:t>
      </w:r>
      <w:r>
        <w:rPr>
          <w:vertAlign w:val="superscript"/>
        </w:rPr>
        <w:t>8</w:t>
      </w:r>
      <w:r>
        <w:t xml:space="preserve"> There is known to be a very high burden of </w:t>
      </w:r>
      <w:proofErr w:type="spellStart"/>
      <w:r>
        <w:t>iGAS</w:t>
      </w:r>
      <w:proofErr w:type="spellEnd"/>
      <w:r>
        <w:t xml:space="preserve"> disease in NT patients receiving haemodialysis, with an incidence of 1,643 cases per 100,000 population in this category (95% CI: 1,374–1,950) between 2011 and 2021.</w:t>
      </w:r>
      <w:r>
        <w:rPr>
          <w:vertAlign w:val="superscript"/>
        </w:rPr>
        <w:t xml:space="preserve">8 </w:t>
      </w:r>
    </w:p>
    <w:p w14:paraId="67061255" w14:textId="77777777" w:rsidR="00B86960" w:rsidRDefault="00B86960" w:rsidP="00B86960">
      <w:pPr>
        <w:divId w:val="248467387"/>
      </w:pPr>
      <w:r>
        <w:t xml:space="preserve">The aims of this study were: (1) to review the socio-environmental profile of </w:t>
      </w:r>
      <w:proofErr w:type="spellStart"/>
      <w:r>
        <w:t>iGAS</w:t>
      </w:r>
      <w:proofErr w:type="spellEnd"/>
      <w:r>
        <w:t xml:space="preserve"> disease in the NT; (2) to examine the clinical features and impact of </w:t>
      </w:r>
      <w:proofErr w:type="spellStart"/>
      <w:r>
        <w:t>iGAS</w:t>
      </w:r>
      <w:proofErr w:type="spellEnd"/>
      <w:r>
        <w:t xml:space="preserve"> disease in people receiving haemodialysis over the past ten years; and (3) to report </w:t>
      </w:r>
      <w:proofErr w:type="spellStart"/>
      <w:r>
        <w:t>iGAS</w:t>
      </w:r>
      <w:proofErr w:type="spellEnd"/>
      <w:r>
        <w:t xml:space="preserve"> disease clusters, to inform public health action and policy. </w:t>
      </w:r>
    </w:p>
    <w:p w14:paraId="6EFA2908" w14:textId="77777777" w:rsidR="00B86960" w:rsidRPr="00B86960" w:rsidRDefault="00B86960" w:rsidP="00B86960">
      <w:pPr>
        <w:pStyle w:val="Heading1"/>
        <w:divId w:val="248467387"/>
      </w:pPr>
      <w:r w:rsidRPr="00B86960">
        <w:t xml:space="preserve">Methods </w:t>
      </w:r>
    </w:p>
    <w:p w14:paraId="0E05162A" w14:textId="77777777" w:rsidR="00B86960" w:rsidRPr="007B49AB" w:rsidRDefault="00B86960" w:rsidP="007B49AB">
      <w:pPr>
        <w:pStyle w:val="Heading2"/>
        <w:divId w:val="248467387"/>
      </w:pPr>
      <w:r w:rsidRPr="007B49AB">
        <w:t xml:space="preserve">Setting </w:t>
      </w:r>
    </w:p>
    <w:p w14:paraId="742FFF47" w14:textId="77777777" w:rsidR="00B86960" w:rsidRDefault="00B86960" w:rsidP="00B86960">
      <w:pPr>
        <w:divId w:val="248467387"/>
      </w:pPr>
      <w:r>
        <w:t>This research was conducted in the NT, which had an estimated population of 249,200 people in 2021 and a geographical area of 1,348,094 km</w:t>
      </w:r>
      <w:r>
        <w:rPr>
          <w:vertAlign w:val="superscript"/>
        </w:rPr>
        <w:t>2</w:t>
      </w:r>
      <w:r>
        <w:t>.</w:t>
      </w:r>
      <w:r>
        <w:rPr>
          <w:vertAlign w:val="superscript"/>
        </w:rPr>
        <w:t>9</w:t>
      </w:r>
      <w:r>
        <w:t xml:space="preserve"> Approximately 30% of the population are Indigenous Australians.</w:t>
      </w:r>
      <w:r>
        <w:rPr>
          <w:vertAlign w:val="superscript"/>
        </w:rPr>
        <w:t>9</w:t>
      </w:r>
      <w:r>
        <w:t xml:space="preserve"> The NT has the highest dialysis rate of any state or territory in Australia, at 3,143 patients per million population in 2020, compared to 567 patients per million nationally.</w:t>
      </w:r>
      <w:r>
        <w:rPr>
          <w:vertAlign w:val="superscript"/>
        </w:rPr>
        <w:t>10</w:t>
      </w:r>
      <w:r>
        <w:t xml:space="preserve"> </w:t>
      </w:r>
    </w:p>
    <w:p w14:paraId="70614592" w14:textId="77777777" w:rsidR="00B86960" w:rsidRDefault="00B86960" w:rsidP="00B86960">
      <w:pPr>
        <w:divId w:val="248467387"/>
      </w:pPr>
      <w:r>
        <w:t xml:space="preserve">Central Australia </w:t>
      </w:r>
      <w:proofErr w:type="gramStart"/>
      <w:r>
        <w:t>was defined</w:t>
      </w:r>
      <w:proofErr w:type="gramEnd"/>
      <w:r>
        <w:t xml:space="preserve"> as the Statistical Area Level 3 (SA3) Census regions of Barkly and Alice Springs. The Top End included Greater Darwin (SA3 regions of Darwin City, Darwin Suburbs, Litchfield and Daly-Tiwi-West Arnhem), Katherine (Big Rivers) and East Arnhem (Figure 1).</w:t>
      </w:r>
      <w:r>
        <w:rPr>
          <w:vertAlign w:val="superscript"/>
        </w:rPr>
        <w:t>11</w:t>
      </w:r>
      <w:r>
        <w:t xml:space="preserve"> The Australian Statistical Geography Standard (ASGS) Remoteness Structure classifies urban Darwin as ‘outer regional’, greater Darwin and Alice Springs regions as ‘remote’, and all other areas of the Territory as ‘very remote’.</w:t>
      </w:r>
      <w:r>
        <w:rPr>
          <w:vertAlign w:val="superscript"/>
        </w:rPr>
        <w:t>12</w:t>
      </w:r>
      <w:r>
        <w:t xml:space="preserve"> The climate in Central Australia is predominantly arid, while the Top End is tropical. For this analysis, the wet season in the Top End </w:t>
      </w:r>
      <w:proofErr w:type="gramStart"/>
      <w:r>
        <w:t>was defined</w:t>
      </w:r>
      <w:proofErr w:type="gramEnd"/>
      <w:r>
        <w:t xml:space="preserve"> as November–April and the dry season as May–October. </w:t>
      </w:r>
    </w:p>
    <w:p w14:paraId="195C0CE0" w14:textId="77777777" w:rsidR="00C712D9" w:rsidRDefault="00C712D9">
      <w:pPr>
        <w:rPr>
          <w:rFonts w:asciiTheme="majorHAnsi" w:eastAsiaTheme="majorEastAsia" w:hAnsiTheme="majorHAnsi" w:cstheme="majorBidi"/>
          <w:b/>
          <w:bCs/>
          <w:sz w:val="26"/>
          <w:szCs w:val="26"/>
        </w:rPr>
      </w:pPr>
      <w:r>
        <w:br w:type="page"/>
      </w:r>
    </w:p>
    <w:p w14:paraId="7B66B66D" w14:textId="556219C3" w:rsidR="00C712D9" w:rsidRPr="00AB6091" w:rsidRDefault="00C712D9" w:rsidP="00C712D9">
      <w:pPr>
        <w:pStyle w:val="CDIFigures"/>
        <w:divId w:val="248467387"/>
      </w:pPr>
      <w:r w:rsidRPr="00AB6091">
        <w:rPr>
          <w:rStyle w:val="Strong"/>
          <w:b/>
          <w:bCs w:val="0"/>
        </w:rPr>
        <w:lastRenderedPageBreak/>
        <w:t>Figure 1: Map of the Statistical Area 3 regions11 (left) and 2016 Remoteness Areas12 (right) for the Northern</w:t>
      </w:r>
      <w:r>
        <w:rPr>
          <w:rStyle w:val="Strong"/>
          <w:b/>
          <w:bCs w:val="0"/>
        </w:rPr>
        <w:t> </w:t>
      </w:r>
      <w:r w:rsidRPr="00AB6091">
        <w:rPr>
          <w:rStyle w:val="Strong"/>
          <w:b/>
          <w:bCs w:val="0"/>
        </w:rPr>
        <w:t>Territory</w:t>
      </w:r>
    </w:p>
    <w:p w14:paraId="5206EAB3" w14:textId="43569DB4" w:rsidR="00C712D9" w:rsidRPr="00C712D9" w:rsidRDefault="00C712D9" w:rsidP="00C712D9">
      <w:pPr>
        <w:divId w:val="248467387"/>
        <w:rPr>
          <w:rStyle w:val="Strong"/>
          <w:rFonts w:eastAsia="Times New Roman"/>
          <w:b w:val="0"/>
          <w:bCs w:val="0"/>
          <w:lang w:val="en-GB"/>
        </w:rPr>
      </w:pPr>
      <w:r>
        <w:rPr>
          <w:rFonts w:eastAsia="Times New Roman"/>
          <w:noProof/>
          <w:lang w:val="en-GB"/>
        </w:rPr>
        <w:drawing>
          <wp:inline distT="0" distB="0" distL="0" distR="0" wp14:anchorId="6E66A9FE" wp14:editId="2D0FC791">
            <wp:extent cx="6659657" cy="3151937"/>
            <wp:effectExtent l="0" t="0" r="8255" b="0"/>
            <wp:docPr id="4" name="Picture 4" descr="Figure 1 shows a map of the Statistical Area 3 regions in the NT, which include Greater Darwin, East Arnhem, Katherine, Barkly and Alice Springs. It also shows a map of the remoteness areas of the NT; urban Darwin is classified as Outer Regional, Greater Darwin and urban Alice Springs as Remote, and the remainder of the NT as Very Rem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a map of the Statistical Area 3 regions in the NT, which include Greater Darwin, East Arnhem, Katherine, Barkly and Alice Springs. It also shows a map of the remoteness areas of the NT; urban Darwin is classified as Outer Regional, Greater Darwin and urban Alice Springs as Remote, and the remainder of the NT as Very Remot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99270" cy="3170686"/>
                    </a:xfrm>
                    <a:prstGeom prst="rect">
                      <a:avLst/>
                    </a:prstGeom>
                  </pic:spPr>
                </pic:pic>
              </a:graphicData>
            </a:graphic>
          </wp:inline>
        </w:drawing>
      </w:r>
    </w:p>
    <w:p w14:paraId="5EB6D8C4" w14:textId="0FA072AD" w:rsidR="00B86960" w:rsidRPr="00B86960" w:rsidRDefault="00B86960" w:rsidP="00B86960">
      <w:pPr>
        <w:pStyle w:val="Heading2"/>
        <w:divId w:val="248467387"/>
      </w:pPr>
      <w:proofErr w:type="gramStart"/>
      <w:r w:rsidRPr="00B86960">
        <w:t>Selection</w:t>
      </w:r>
      <w:proofErr w:type="gramEnd"/>
      <w:r w:rsidRPr="00B86960">
        <w:t xml:space="preserve"> of cases </w:t>
      </w:r>
    </w:p>
    <w:p w14:paraId="27A6B23E" w14:textId="77777777" w:rsidR="00B86960" w:rsidRDefault="00B86960" w:rsidP="00B86960">
      <w:pPr>
        <w:divId w:val="248467387"/>
      </w:pPr>
      <w:r>
        <w:t xml:space="preserve">Cases of </w:t>
      </w:r>
      <w:proofErr w:type="spellStart"/>
      <w:r>
        <w:t>iGAS</w:t>
      </w:r>
      <w:proofErr w:type="spellEnd"/>
      <w:r>
        <w:t xml:space="preserve"> disease diagnosed between 1 May 2011 and 30 April 2021 were </w:t>
      </w:r>
      <w:proofErr w:type="gramStart"/>
      <w:r>
        <w:t>identified</w:t>
      </w:r>
      <w:proofErr w:type="gramEnd"/>
      <w:r>
        <w:t xml:space="preserve"> from the NT Notifiable Diseases System (NTNDS). The confirmed case definition required isolation of GAS from a normally sterile site by culture or nucleic acid testing (NAT). The probable case definition (added October 2016) </w:t>
      </w:r>
      <w:proofErr w:type="gramStart"/>
      <w:r>
        <w:t>required</w:t>
      </w:r>
      <w:proofErr w:type="gramEnd"/>
      <w:r>
        <w:t xml:space="preserve"> isolation of GAS by culture or NAT from the site of necrotising fasciitis.</w:t>
      </w:r>
      <w:r>
        <w:rPr>
          <w:vertAlign w:val="superscript"/>
        </w:rPr>
        <w:t>13</w:t>
      </w:r>
      <w:r>
        <w:t xml:space="preserve"> All GAS isolates for an individual within a 30-day period were treated as a single case. The analysis allowed multiple infections in an individual if episodes </w:t>
      </w:r>
      <w:proofErr w:type="gramStart"/>
      <w:r>
        <w:t>were separated</w:t>
      </w:r>
      <w:proofErr w:type="gramEnd"/>
      <w:r>
        <w:t xml:space="preserve"> by more than 30 days. </w:t>
      </w:r>
    </w:p>
    <w:p w14:paraId="4110C299" w14:textId="77777777" w:rsidR="00B86960" w:rsidRPr="00B86960" w:rsidRDefault="00B86960" w:rsidP="00B86960">
      <w:pPr>
        <w:pStyle w:val="Heading2"/>
        <w:divId w:val="248467387"/>
      </w:pPr>
      <w:r w:rsidRPr="00B86960">
        <w:t xml:space="preserve">Patient characteristics and outcome measures </w:t>
      </w:r>
    </w:p>
    <w:p w14:paraId="3B064BC3" w14:textId="799A7C03" w:rsidR="00B86960" w:rsidRDefault="00B86960" w:rsidP="00B86960">
      <w:pPr>
        <w:divId w:val="248467387"/>
      </w:pPr>
      <w:r>
        <w:t xml:space="preserve">Age, </w:t>
      </w:r>
      <w:r w:rsidR="00186198">
        <w:t>sex</w:t>
      </w:r>
      <w:r>
        <w:t>, Indigenous status, region-of-residence, remoteness-of-residence (using the Australian Statistical Geography Standard (ASGS) remoteness structure),</w:t>
      </w:r>
      <w:r>
        <w:rPr>
          <w:vertAlign w:val="superscript"/>
        </w:rPr>
        <w:t>12</w:t>
      </w:r>
      <w:r>
        <w:t xml:space="preserve"> Socio-economic Indexes for Areas (SEIFA) index of relative social disadvantage (IRSD),</w:t>
      </w:r>
      <w:r>
        <w:rPr>
          <w:vertAlign w:val="superscript"/>
        </w:rPr>
        <w:t>14</w:t>
      </w:r>
      <w:r>
        <w:t xml:space="preserve"> severity, laboratory specimen type and date, hospital admission and discharge dates, and all-cause mortality data (at 7 and 30 days after diagnosis) were extracted from the NTNDS and electronic health records (EHR). Statistical Area 2 (SA2) data (defined by usual place of residence) </w:t>
      </w:r>
      <w:proofErr w:type="gramStart"/>
      <w:r>
        <w:t>were used</w:t>
      </w:r>
      <w:proofErr w:type="gramEnd"/>
      <w:r>
        <w:t xml:space="preserve"> for remoteness and IRSD calculations. Population data </w:t>
      </w:r>
      <w:proofErr w:type="gramStart"/>
      <w:r>
        <w:t>were retrieved</w:t>
      </w:r>
      <w:proofErr w:type="gramEnd"/>
      <w:r>
        <w:t xml:space="preserve"> from the Population and Digital Health Unit</w:t>
      </w:r>
      <w:r>
        <w:rPr>
          <w:vertAlign w:val="superscript"/>
        </w:rPr>
        <w:t>15</w:t>
      </w:r>
      <w:r>
        <w:t xml:space="preserve"> and Australian Bureau of Statistics.</w:t>
      </w:r>
      <w:r>
        <w:rPr>
          <w:vertAlign w:val="superscript"/>
        </w:rPr>
        <w:t>12,14</w:t>
      </w:r>
      <w:r>
        <w:t xml:space="preserve"> Age-standardisation was performed using 2001 Australian Census data as the reference population. Cases with a residential address outside the NT </w:t>
      </w:r>
      <w:proofErr w:type="gramStart"/>
      <w:r>
        <w:t>were excluded</w:t>
      </w:r>
      <w:proofErr w:type="gramEnd"/>
      <w:r>
        <w:t xml:space="preserve"> from analyses associated with geographical factors. </w:t>
      </w:r>
    </w:p>
    <w:p w14:paraId="7B954C0E" w14:textId="77777777" w:rsidR="00B86960" w:rsidRDefault="00B86960" w:rsidP="00B86960">
      <w:pPr>
        <w:divId w:val="248467387"/>
      </w:pPr>
      <w:r>
        <w:t xml:space="preserve">Dialysis status at the time of diagnosis </w:t>
      </w:r>
      <w:proofErr w:type="gramStart"/>
      <w:r>
        <w:t>was assessed</w:t>
      </w:r>
      <w:proofErr w:type="gramEnd"/>
      <w:r>
        <w:t xml:space="preserve"> using EHR. For dialysis recipients, data on site of infection, dialysis type (peritoneal or haemodialysis) and vascular access, co-morbidities (diabetes mellitus, heart disease, chronic liver disease, cigarette smoking, active malignancy; as recorded as free text in patient notes), length of hospital stay, number and type of surgeries (from operating theatre notes), intensive care unit (ICU) admission and </w:t>
      </w:r>
      <w:proofErr w:type="spellStart"/>
      <w:r>
        <w:t>iGAS</w:t>
      </w:r>
      <w:proofErr w:type="spellEnd"/>
      <w:r>
        <w:t xml:space="preserve"> disease severity were also collected from EHR. </w:t>
      </w:r>
    </w:p>
    <w:p w14:paraId="2993BB95" w14:textId="77777777" w:rsidR="00B86960" w:rsidRDefault="00B86960" w:rsidP="00B86960">
      <w:pPr>
        <w:divId w:val="248467387"/>
      </w:pPr>
      <w:r>
        <w:t xml:space="preserve">Severe </w:t>
      </w:r>
      <w:proofErr w:type="spellStart"/>
      <w:r>
        <w:t>iGAS</w:t>
      </w:r>
      <w:proofErr w:type="spellEnd"/>
      <w:r>
        <w:t xml:space="preserve"> disease is defined in the NT guidelines as </w:t>
      </w:r>
      <w:proofErr w:type="spellStart"/>
      <w:r>
        <w:t>iGAS</w:t>
      </w:r>
      <w:proofErr w:type="spellEnd"/>
      <w:r>
        <w:t xml:space="preserve"> cases presenting with pneumonia, meningitis, post-partum sepsis, necrotising fasciitis, toxic shock syndrome or any other manifestation requiring ICU admission or causing death.</w:t>
      </w:r>
      <w:r>
        <w:rPr>
          <w:vertAlign w:val="superscript"/>
        </w:rPr>
        <w:t>16</w:t>
      </w:r>
      <w:r>
        <w:t xml:space="preserve"> A cluster was defined as two or more </w:t>
      </w:r>
      <w:proofErr w:type="gramStart"/>
      <w:r>
        <w:t>epidemiologically-linked</w:t>
      </w:r>
      <w:proofErr w:type="gramEnd"/>
      <w:r>
        <w:t xml:space="preserve"> cases of </w:t>
      </w:r>
      <w:proofErr w:type="spellStart"/>
      <w:r>
        <w:t>iGAS</w:t>
      </w:r>
      <w:proofErr w:type="spellEnd"/>
      <w:r>
        <w:t xml:space="preserve"> disease which were </w:t>
      </w:r>
      <w:r>
        <w:lastRenderedPageBreak/>
        <w:t xml:space="preserve">identical on molecular typing. Molecular typing </w:t>
      </w:r>
      <w:proofErr w:type="gramStart"/>
      <w:r>
        <w:t>was undertaken</w:t>
      </w:r>
      <w:proofErr w:type="gramEnd"/>
      <w:r>
        <w:t xml:space="preserve"> for cases with suspected epidemiological link during public health response to a case notification. All-cause mortality data </w:t>
      </w:r>
      <w:proofErr w:type="gramStart"/>
      <w:r>
        <w:t>were stratified</w:t>
      </w:r>
      <w:proofErr w:type="gramEnd"/>
      <w:r>
        <w:t xml:space="preserve"> by Indigenous status, dialysis status, socio-economic status, and remoteness-of-residence. </w:t>
      </w:r>
    </w:p>
    <w:p w14:paraId="23901EC5" w14:textId="77777777" w:rsidR="00B86960" w:rsidRPr="00B86960" w:rsidRDefault="00B86960" w:rsidP="00B86960">
      <w:pPr>
        <w:pStyle w:val="Heading2"/>
        <w:divId w:val="248467387"/>
      </w:pPr>
      <w:r w:rsidRPr="00B86960">
        <w:t xml:space="preserve">Data analysis </w:t>
      </w:r>
    </w:p>
    <w:p w14:paraId="6AF924A9" w14:textId="77777777" w:rsidR="00B86960" w:rsidRDefault="00B86960" w:rsidP="00B86960">
      <w:pPr>
        <w:divId w:val="248467387"/>
      </w:pPr>
      <w:r>
        <w:t xml:space="preserve">Statistical analyses </w:t>
      </w:r>
      <w:proofErr w:type="gramStart"/>
      <w:r>
        <w:t>were performed</w:t>
      </w:r>
      <w:proofErr w:type="gramEnd"/>
      <w:r>
        <w:t xml:space="preserve"> using Microsoft Excel and Stata (Version 14.2). The 95% confidence intervals (95% CI) for proportions </w:t>
      </w:r>
      <w:proofErr w:type="gramStart"/>
      <w:r>
        <w:t>were derived</w:t>
      </w:r>
      <w:proofErr w:type="gramEnd"/>
      <w:r>
        <w:t xml:space="preserve"> via the Wilson score method, using an analytical tool from the Association of Public Health Observatories.</w:t>
      </w:r>
      <w:r>
        <w:rPr>
          <w:vertAlign w:val="superscript"/>
        </w:rPr>
        <w:t>17</w:t>
      </w:r>
      <w:r>
        <w:t xml:space="preserve"> Categorical data were compared using the chi-squared test with a significance level of 5%. The chi-squared test was used to compare 30-day mortality by Indigenous status and dialysis status (binary variables), and by remoteness-of-residence (three-category variable), as </w:t>
      </w:r>
      <w:proofErr w:type="gramStart"/>
      <w:r>
        <w:t>determined</w:t>
      </w:r>
      <w:proofErr w:type="gramEnd"/>
      <w:r>
        <w:t xml:space="preserve"> </w:t>
      </w:r>
      <w:r w:rsidRPr="00854861">
        <w:rPr>
          <w:rStyle w:val="Emphasis"/>
          <w:b w:val="0"/>
          <w:bCs w:val="0"/>
        </w:rPr>
        <w:t>a priori</w:t>
      </w:r>
      <w:r>
        <w:t xml:space="preserve">. Incidence rate ratios (IRRs) </w:t>
      </w:r>
      <w:proofErr w:type="gramStart"/>
      <w:r>
        <w:t>were derived</w:t>
      </w:r>
      <w:proofErr w:type="gramEnd"/>
      <w:r>
        <w:t xml:space="preserve"> using the Stata incidence-rate ratio calculator to compare incidence of </w:t>
      </w:r>
      <w:proofErr w:type="spellStart"/>
      <w:r>
        <w:t>iGAS</w:t>
      </w:r>
      <w:proofErr w:type="spellEnd"/>
      <w:r>
        <w:t xml:space="preserve"> disease by remoteness and socio-economic category. For remoteness, ‘outer regional’ incidence </w:t>
      </w:r>
      <w:proofErr w:type="gramStart"/>
      <w:r>
        <w:t>was individually compared</w:t>
      </w:r>
      <w:proofErr w:type="gramEnd"/>
      <w:r>
        <w:t xml:space="preserve"> to ‘remote’ and ‘very remote’ incidence. For socio-economic status, incidence of </w:t>
      </w:r>
      <w:proofErr w:type="spellStart"/>
      <w:r>
        <w:t>iGAS</w:t>
      </w:r>
      <w:proofErr w:type="spellEnd"/>
      <w:r>
        <w:t xml:space="preserve"> disease in the ‘least disadvantaged’ category (decile 7–10) </w:t>
      </w:r>
      <w:proofErr w:type="gramStart"/>
      <w:r>
        <w:t>was individually compared</w:t>
      </w:r>
      <w:proofErr w:type="gramEnd"/>
      <w:r>
        <w:t xml:space="preserve"> to the ‘moderately disadvantaged’ (decile 4–6) and ‘most disadvantaged’ (decile 1–3) categories. Seasonality </w:t>
      </w:r>
      <w:proofErr w:type="gramStart"/>
      <w:r>
        <w:t>was independently analysed</w:t>
      </w:r>
      <w:proofErr w:type="gramEnd"/>
      <w:r>
        <w:t xml:space="preserve"> for Central Australia and for the Top End using proportions and the Walter-Elwood test, incorporating monthly case numbers and population data.</w:t>
      </w:r>
      <w:r>
        <w:rPr>
          <w:vertAlign w:val="superscript"/>
        </w:rPr>
        <w:t xml:space="preserve">18,19 </w:t>
      </w:r>
    </w:p>
    <w:p w14:paraId="730050F7" w14:textId="77777777" w:rsidR="00B86960" w:rsidRPr="00B86960" w:rsidRDefault="00B86960" w:rsidP="00B86960">
      <w:pPr>
        <w:pStyle w:val="Heading1"/>
        <w:divId w:val="248467387"/>
      </w:pPr>
      <w:r w:rsidRPr="00B86960">
        <w:t xml:space="preserve">Ethics approval </w:t>
      </w:r>
    </w:p>
    <w:p w14:paraId="6E2F1162" w14:textId="77777777" w:rsidR="00B86960" w:rsidRDefault="00B86960" w:rsidP="00B86960">
      <w:pPr>
        <w:divId w:val="248467387"/>
      </w:pPr>
      <w:proofErr w:type="gramStart"/>
      <w:r>
        <w:t>The study was approved by the NT Health and Menzies School of Health Research Human Research Ethics Committee (2021-4125)</w:t>
      </w:r>
      <w:proofErr w:type="gramEnd"/>
      <w:r>
        <w:t xml:space="preserve">. </w:t>
      </w:r>
    </w:p>
    <w:p w14:paraId="1EBACDF8" w14:textId="77777777" w:rsidR="00B86960" w:rsidRPr="00B86960" w:rsidRDefault="00B86960" w:rsidP="00B86960">
      <w:pPr>
        <w:pStyle w:val="Heading1"/>
        <w:divId w:val="248467387"/>
      </w:pPr>
      <w:r w:rsidRPr="00B86960">
        <w:t xml:space="preserve">Results </w:t>
      </w:r>
    </w:p>
    <w:p w14:paraId="7F7C7630" w14:textId="77777777" w:rsidR="00B86960" w:rsidRDefault="00B86960" w:rsidP="00B86960">
      <w:pPr>
        <w:divId w:val="248467387"/>
      </w:pPr>
      <w:r>
        <w:t xml:space="preserve">There were 692 cases of </w:t>
      </w:r>
      <w:proofErr w:type="spellStart"/>
      <w:r>
        <w:t>iGAS</w:t>
      </w:r>
      <w:proofErr w:type="spellEnd"/>
      <w:r>
        <w:t xml:space="preserve"> disease </w:t>
      </w:r>
      <w:proofErr w:type="gramStart"/>
      <w:r>
        <w:t>identified</w:t>
      </w:r>
      <w:proofErr w:type="gramEnd"/>
      <w:r>
        <w:t xml:space="preserve"> in the NT from May 2011 to April 2021 (Table 1), in 614 patients. This included 686 confirmed and </w:t>
      </w:r>
      <w:proofErr w:type="gramStart"/>
      <w:r>
        <w:t>6</w:t>
      </w:r>
      <w:proofErr w:type="gramEnd"/>
      <w:r>
        <w:t xml:space="preserve"> probable cases. GAS </w:t>
      </w:r>
      <w:proofErr w:type="gramStart"/>
      <w:r>
        <w:t>was isolated</w:t>
      </w:r>
      <w:proofErr w:type="gramEnd"/>
      <w:r>
        <w:t xml:space="preserve"> from blood culture in 652 cases (94%). Other normally sterile specimen types included synovial fluid (n = 24), peritoneal fluid (n = 3), pleural fluid (n = 2), cerebrospinal fluid (n = 1), and placental tissue (n = 1). Of the probable cases, GAS </w:t>
      </w:r>
      <w:proofErr w:type="gramStart"/>
      <w:r>
        <w:t>was isolated</w:t>
      </w:r>
      <w:proofErr w:type="gramEnd"/>
      <w:r>
        <w:t xml:space="preserve"> from subcutaneous tissue (n = 4) and wound swab (n = 2).</w:t>
      </w:r>
    </w:p>
    <w:p w14:paraId="72848ECD" w14:textId="77777777" w:rsidR="001D29B0" w:rsidRDefault="001D29B0">
      <w:pPr>
        <w:rPr>
          <w:rFonts w:asciiTheme="majorHAnsi" w:eastAsiaTheme="majorEastAsia" w:hAnsiTheme="majorHAnsi" w:cstheme="majorBidi"/>
          <w:b/>
          <w:bCs/>
          <w:sz w:val="26"/>
          <w:szCs w:val="26"/>
        </w:rPr>
      </w:pPr>
      <w:r>
        <w:br w:type="page"/>
      </w:r>
    </w:p>
    <w:p w14:paraId="62673D71" w14:textId="77777777" w:rsidR="001D29B0" w:rsidRPr="00AB6091" w:rsidRDefault="001D29B0" w:rsidP="001D29B0">
      <w:pPr>
        <w:pStyle w:val="CDIFigures"/>
        <w:divId w:val="248467387"/>
      </w:pPr>
      <w:r w:rsidRPr="00AB6091">
        <w:rPr>
          <w:rStyle w:val="Strong"/>
          <w:b/>
          <w:bCs w:val="0"/>
        </w:rPr>
        <w:lastRenderedPageBreak/>
        <w:t>Table 1: Characteristics of invasive group A streptococcal disease cases in the Northern Territory, May 2011 to April 2021</w:t>
      </w:r>
    </w:p>
    <w:tbl>
      <w:tblPr>
        <w:tblStyle w:val="CDI-StandardTable"/>
        <w:tblW w:w="0" w:type="auto"/>
        <w:tblLook w:val="04A0" w:firstRow="1" w:lastRow="0" w:firstColumn="1" w:lastColumn="0" w:noHBand="0" w:noVBand="1"/>
        <w:tblDescription w:val="Table 1 provides a breakdown of iGAS cases by sex, age group, Indigenous status, region of occurrence, remoteness and socio-economic status"/>
      </w:tblPr>
      <w:tblGrid>
        <w:gridCol w:w="3480"/>
        <w:gridCol w:w="3480"/>
        <w:gridCol w:w="3480"/>
      </w:tblGrid>
      <w:tr w:rsidR="001D29B0" w:rsidRPr="00AB6091" w14:paraId="7A3DF644" w14:textId="77777777" w:rsidTr="001D29B0">
        <w:trPr>
          <w:cnfStyle w:val="100000000000" w:firstRow="1" w:lastRow="0" w:firstColumn="0" w:lastColumn="0" w:oddVBand="0" w:evenVBand="0" w:oddHBand="0" w:evenHBand="0" w:firstRowFirstColumn="0" w:firstRowLastColumn="0" w:lastRowFirstColumn="0" w:lastRowLastColumn="0"/>
          <w:divId w:val="248467387"/>
        </w:trPr>
        <w:tc>
          <w:tcPr>
            <w:tcW w:w="3480" w:type="dxa"/>
            <w:tcBorders>
              <w:right w:val="single" w:sz="2" w:space="0" w:color="F7ECDD"/>
            </w:tcBorders>
            <w:hideMark/>
          </w:tcPr>
          <w:p w14:paraId="2DACF257" w14:textId="77777777" w:rsidR="001D29B0" w:rsidRPr="00AB6091" w:rsidRDefault="001D29B0" w:rsidP="00EB0B3E">
            <w:pPr>
              <w:pStyle w:val="NormalWeb"/>
              <w:rPr>
                <w:sz w:val="18"/>
                <w:szCs w:val="18"/>
                <w:lang w:val="en-GB"/>
              </w:rPr>
            </w:pPr>
            <w:r w:rsidRPr="00AB6091">
              <w:rPr>
                <w:sz w:val="18"/>
                <w:szCs w:val="18"/>
                <w:lang w:val="en-GB"/>
              </w:rPr>
              <w:t>Characteristic</w:t>
            </w:r>
          </w:p>
        </w:tc>
        <w:tc>
          <w:tcPr>
            <w:tcW w:w="3480" w:type="dxa"/>
            <w:tcBorders>
              <w:left w:val="single" w:sz="2" w:space="0" w:color="F7ECDD"/>
              <w:right w:val="single" w:sz="2" w:space="0" w:color="F7ECDD"/>
            </w:tcBorders>
            <w:hideMark/>
          </w:tcPr>
          <w:p w14:paraId="5ED9C8B9" w14:textId="77777777" w:rsidR="001D29B0" w:rsidRPr="00AB6091" w:rsidRDefault="001D29B0" w:rsidP="00EB0B3E">
            <w:pPr>
              <w:pStyle w:val="NormalWeb"/>
              <w:rPr>
                <w:sz w:val="18"/>
                <w:szCs w:val="18"/>
                <w:lang w:val="en-GB"/>
              </w:rPr>
            </w:pPr>
            <w:r w:rsidRPr="00AB6091">
              <w:rPr>
                <w:sz w:val="18"/>
                <w:szCs w:val="18"/>
                <w:lang w:val="en-GB"/>
              </w:rPr>
              <w:t>Value</w:t>
            </w:r>
          </w:p>
        </w:tc>
        <w:tc>
          <w:tcPr>
            <w:tcW w:w="3480" w:type="dxa"/>
            <w:tcBorders>
              <w:left w:val="single" w:sz="2" w:space="0" w:color="F7ECDD"/>
            </w:tcBorders>
            <w:hideMark/>
          </w:tcPr>
          <w:p w14:paraId="63F6483B" w14:textId="77777777" w:rsidR="001D29B0" w:rsidRPr="00AB6091" w:rsidRDefault="001D29B0" w:rsidP="00EB0B3E">
            <w:pPr>
              <w:pStyle w:val="NormalWeb"/>
              <w:rPr>
                <w:sz w:val="18"/>
                <w:szCs w:val="18"/>
                <w:lang w:val="en-GB"/>
              </w:rPr>
            </w:pPr>
            <w:r w:rsidRPr="00903DCD">
              <w:rPr>
                <w:i/>
                <w:iCs/>
                <w:sz w:val="18"/>
                <w:szCs w:val="18"/>
                <w:lang w:val="en-GB"/>
              </w:rPr>
              <w:t>n</w:t>
            </w:r>
            <w:r w:rsidRPr="00AB6091">
              <w:rPr>
                <w:sz w:val="18"/>
                <w:szCs w:val="18"/>
                <w:lang w:val="en-GB"/>
              </w:rPr>
              <w:t xml:space="preserve"> (%)</w:t>
            </w:r>
          </w:p>
        </w:tc>
      </w:tr>
      <w:tr w:rsidR="001D29B0" w:rsidRPr="00AB6091" w14:paraId="1E69D88A" w14:textId="77777777" w:rsidTr="001D29B0">
        <w:trPr>
          <w:divId w:val="248467387"/>
        </w:trPr>
        <w:tc>
          <w:tcPr>
            <w:tcW w:w="3480" w:type="dxa"/>
            <w:tcBorders>
              <w:bottom w:val="single" w:sz="2" w:space="0" w:color="auto"/>
            </w:tcBorders>
            <w:shd w:val="clear" w:color="auto" w:fill="auto"/>
            <w:hideMark/>
          </w:tcPr>
          <w:p w14:paraId="361D920E" w14:textId="77777777" w:rsidR="001D29B0" w:rsidRPr="00AB6091" w:rsidRDefault="001D29B0" w:rsidP="00EB0B3E">
            <w:pPr>
              <w:pStyle w:val="NormalWeb"/>
              <w:rPr>
                <w:sz w:val="18"/>
                <w:szCs w:val="18"/>
                <w:lang w:val="en-GB"/>
              </w:rPr>
            </w:pPr>
            <w:r w:rsidRPr="00AB6091">
              <w:rPr>
                <w:sz w:val="18"/>
                <w:szCs w:val="18"/>
                <w:lang w:val="en-GB"/>
              </w:rPr>
              <w:t>Cases</w:t>
            </w:r>
          </w:p>
        </w:tc>
        <w:tc>
          <w:tcPr>
            <w:tcW w:w="3480" w:type="dxa"/>
            <w:tcBorders>
              <w:bottom w:val="single" w:sz="2" w:space="0" w:color="auto"/>
            </w:tcBorders>
            <w:shd w:val="clear" w:color="auto" w:fill="auto"/>
            <w:hideMark/>
          </w:tcPr>
          <w:p w14:paraId="2778E699" w14:textId="77777777" w:rsidR="001D29B0" w:rsidRPr="00AB6091" w:rsidRDefault="001D29B0" w:rsidP="00EB0B3E">
            <w:pPr>
              <w:rPr>
                <w:sz w:val="18"/>
                <w:szCs w:val="18"/>
                <w:lang w:val="en-GB"/>
              </w:rPr>
            </w:pPr>
          </w:p>
        </w:tc>
        <w:tc>
          <w:tcPr>
            <w:tcW w:w="3480" w:type="dxa"/>
            <w:tcBorders>
              <w:bottom w:val="single" w:sz="2" w:space="0" w:color="auto"/>
            </w:tcBorders>
            <w:shd w:val="clear" w:color="auto" w:fill="auto"/>
            <w:hideMark/>
          </w:tcPr>
          <w:p w14:paraId="6433484F" w14:textId="77777777" w:rsidR="001D29B0" w:rsidRPr="00AB6091" w:rsidRDefault="001D29B0" w:rsidP="00EB0B3E">
            <w:pPr>
              <w:pStyle w:val="NormalWeb"/>
              <w:rPr>
                <w:sz w:val="18"/>
                <w:szCs w:val="18"/>
                <w:lang w:val="en-GB"/>
              </w:rPr>
            </w:pPr>
            <w:r w:rsidRPr="00AB6091">
              <w:rPr>
                <w:sz w:val="18"/>
                <w:szCs w:val="18"/>
                <w:lang w:val="en-GB"/>
              </w:rPr>
              <w:t>692 (100)</w:t>
            </w:r>
          </w:p>
        </w:tc>
      </w:tr>
      <w:tr w:rsidR="001D29B0" w:rsidRPr="00AB6091" w14:paraId="511D9D5C"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val="restart"/>
            <w:tcBorders>
              <w:top w:val="single" w:sz="2" w:space="0" w:color="auto"/>
            </w:tcBorders>
            <w:shd w:val="clear" w:color="auto" w:fill="auto"/>
            <w:hideMark/>
          </w:tcPr>
          <w:p w14:paraId="5DA4F7CE" w14:textId="3900D0D1" w:rsidR="001D29B0" w:rsidRPr="00AB6091" w:rsidRDefault="00186198" w:rsidP="00EB0B3E">
            <w:pPr>
              <w:pStyle w:val="NormalWeb"/>
              <w:rPr>
                <w:sz w:val="18"/>
                <w:szCs w:val="18"/>
                <w:lang w:val="en-GB"/>
              </w:rPr>
            </w:pPr>
            <w:r>
              <w:rPr>
                <w:sz w:val="18"/>
                <w:szCs w:val="18"/>
                <w:lang w:val="en-GB"/>
              </w:rPr>
              <w:t>Sex</w:t>
            </w:r>
          </w:p>
        </w:tc>
        <w:tc>
          <w:tcPr>
            <w:tcW w:w="3480" w:type="dxa"/>
            <w:tcBorders>
              <w:top w:val="single" w:sz="2" w:space="0" w:color="auto"/>
            </w:tcBorders>
            <w:shd w:val="clear" w:color="auto" w:fill="auto"/>
            <w:hideMark/>
          </w:tcPr>
          <w:p w14:paraId="1CC3733A" w14:textId="77777777" w:rsidR="001D29B0" w:rsidRPr="00AB6091" w:rsidRDefault="001D29B0" w:rsidP="00EB0B3E">
            <w:pPr>
              <w:pStyle w:val="NormalWeb"/>
              <w:rPr>
                <w:sz w:val="18"/>
                <w:szCs w:val="18"/>
                <w:lang w:val="en-GB"/>
              </w:rPr>
            </w:pPr>
            <w:r w:rsidRPr="00AB6091">
              <w:rPr>
                <w:sz w:val="18"/>
                <w:szCs w:val="18"/>
                <w:lang w:val="en-GB"/>
              </w:rPr>
              <w:t>Female</w:t>
            </w:r>
          </w:p>
        </w:tc>
        <w:tc>
          <w:tcPr>
            <w:tcW w:w="3480" w:type="dxa"/>
            <w:tcBorders>
              <w:top w:val="single" w:sz="2" w:space="0" w:color="auto"/>
            </w:tcBorders>
            <w:shd w:val="clear" w:color="auto" w:fill="auto"/>
            <w:hideMark/>
          </w:tcPr>
          <w:p w14:paraId="1128464C" w14:textId="77777777" w:rsidR="001D29B0" w:rsidRPr="00AB6091" w:rsidRDefault="001D29B0" w:rsidP="00EB0B3E">
            <w:pPr>
              <w:pStyle w:val="NormalWeb"/>
              <w:rPr>
                <w:sz w:val="18"/>
                <w:szCs w:val="18"/>
                <w:lang w:val="en-GB"/>
              </w:rPr>
            </w:pPr>
            <w:r w:rsidRPr="00AB6091">
              <w:rPr>
                <w:sz w:val="18"/>
                <w:szCs w:val="18"/>
                <w:lang w:val="en-GB"/>
              </w:rPr>
              <w:t>380 (55)</w:t>
            </w:r>
          </w:p>
        </w:tc>
      </w:tr>
      <w:tr w:rsidR="001D29B0" w:rsidRPr="00AB6091" w14:paraId="5B4D4315" w14:textId="77777777" w:rsidTr="001D29B0">
        <w:trPr>
          <w:divId w:val="248467387"/>
        </w:trPr>
        <w:tc>
          <w:tcPr>
            <w:tcW w:w="3480" w:type="dxa"/>
            <w:vMerge/>
            <w:tcBorders>
              <w:bottom w:val="single" w:sz="2" w:space="0" w:color="auto"/>
            </w:tcBorders>
            <w:shd w:val="clear" w:color="auto" w:fill="auto"/>
            <w:hideMark/>
          </w:tcPr>
          <w:p w14:paraId="782AC4C2" w14:textId="77777777" w:rsidR="001D29B0" w:rsidRPr="00AB6091" w:rsidRDefault="001D29B0" w:rsidP="00EB0B3E">
            <w:pPr>
              <w:rPr>
                <w:sz w:val="18"/>
                <w:szCs w:val="18"/>
                <w:lang w:val="en-GB"/>
              </w:rPr>
            </w:pPr>
          </w:p>
        </w:tc>
        <w:tc>
          <w:tcPr>
            <w:tcW w:w="3480" w:type="dxa"/>
            <w:tcBorders>
              <w:bottom w:val="single" w:sz="2" w:space="0" w:color="auto"/>
            </w:tcBorders>
            <w:shd w:val="clear" w:color="auto" w:fill="auto"/>
            <w:hideMark/>
          </w:tcPr>
          <w:p w14:paraId="1BCB4DBA" w14:textId="77777777" w:rsidR="001D29B0" w:rsidRPr="00AB6091" w:rsidRDefault="001D29B0" w:rsidP="00EB0B3E">
            <w:pPr>
              <w:pStyle w:val="NormalWeb"/>
              <w:rPr>
                <w:sz w:val="18"/>
                <w:szCs w:val="18"/>
                <w:lang w:val="en-GB"/>
              </w:rPr>
            </w:pPr>
            <w:r w:rsidRPr="00AB6091">
              <w:rPr>
                <w:sz w:val="18"/>
                <w:szCs w:val="18"/>
                <w:lang w:val="en-GB"/>
              </w:rPr>
              <w:t>Male</w:t>
            </w:r>
          </w:p>
        </w:tc>
        <w:tc>
          <w:tcPr>
            <w:tcW w:w="3480" w:type="dxa"/>
            <w:tcBorders>
              <w:bottom w:val="single" w:sz="2" w:space="0" w:color="auto"/>
            </w:tcBorders>
            <w:shd w:val="clear" w:color="auto" w:fill="auto"/>
            <w:hideMark/>
          </w:tcPr>
          <w:p w14:paraId="617186CD" w14:textId="77777777" w:rsidR="001D29B0" w:rsidRPr="00AB6091" w:rsidRDefault="001D29B0" w:rsidP="00EB0B3E">
            <w:pPr>
              <w:pStyle w:val="NormalWeb"/>
              <w:rPr>
                <w:sz w:val="18"/>
                <w:szCs w:val="18"/>
                <w:lang w:val="en-GB"/>
              </w:rPr>
            </w:pPr>
            <w:r w:rsidRPr="00AB6091">
              <w:rPr>
                <w:sz w:val="18"/>
                <w:szCs w:val="18"/>
                <w:lang w:val="en-GB"/>
              </w:rPr>
              <w:t>312 (45)</w:t>
            </w:r>
          </w:p>
        </w:tc>
      </w:tr>
      <w:tr w:rsidR="001D29B0" w:rsidRPr="00AB6091" w14:paraId="668520A9"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val="restart"/>
            <w:tcBorders>
              <w:top w:val="single" w:sz="2" w:space="0" w:color="auto"/>
            </w:tcBorders>
            <w:shd w:val="clear" w:color="auto" w:fill="auto"/>
            <w:hideMark/>
          </w:tcPr>
          <w:p w14:paraId="3E1369F3" w14:textId="77777777" w:rsidR="001D29B0" w:rsidRPr="00AB6091" w:rsidRDefault="001D29B0" w:rsidP="00EB0B3E">
            <w:pPr>
              <w:pStyle w:val="NormalWeb"/>
              <w:rPr>
                <w:sz w:val="18"/>
                <w:szCs w:val="18"/>
                <w:lang w:val="en-GB"/>
              </w:rPr>
            </w:pPr>
            <w:r w:rsidRPr="00AB6091">
              <w:rPr>
                <w:sz w:val="18"/>
                <w:szCs w:val="18"/>
                <w:lang w:val="en-GB"/>
              </w:rPr>
              <w:t>Age group (years)</w:t>
            </w:r>
          </w:p>
        </w:tc>
        <w:tc>
          <w:tcPr>
            <w:tcW w:w="3480" w:type="dxa"/>
            <w:tcBorders>
              <w:top w:val="single" w:sz="2" w:space="0" w:color="auto"/>
            </w:tcBorders>
            <w:shd w:val="clear" w:color="auto" w:fill="auto"/>
            <w:hideMark/>
          </w:tcPr>
          <w:p w14:paraId="09D469A5" w14:textId="77777777" w:rsidR="001D29B0" w:rsidRPr="00AB6091" w:rsidRDefault="001D29B0" w:rsidP="00EB0B3E">
            <w:pPr>
              <w:pStyle w:val="NormalWeb"/>
              <w:rPr>
                <w:sz w:val="18"/>
                <w:szCs w:val="18"/>
                <w:lang w:val="en-GB"/>
              </w:rPr>
            </w:pPr>
            <w:r w:rsidRPr="00AB6091">
              <w:rPr>
                <w:sz w:val="18"/>
                <w:szCs w:val="18"/>
                <w:lang w:val="en-GB"/>
              </w:rPr>
              <w:t>0–4</w:t>
            </w:r>
          </w:p>
        </w:tc>
        <w:tc>
          <w:tcPr>
            <w:tcW w:w="3480" w:type="dxa"/>
            <w:tcBorders>
              <w:top w:val="single" w:sz="2" w:space="0" w:color="auto"/>
            </w:tcBorders>
            <w:shd w:val="clear" w:color="auto" w:fill="auto"/>
            <w:hideMark/>
          </w:tcPr>
          <w:p w14:paraId="34E594AA" w14:textId="77777777" w:rsidR="001D29B0" w:rsidRPr="00AB6091" w:rsidRDefault="001D29B0" w:rsidP="00EB0B3E">
            <w:pPr>
              <w:pStyle w:val="NormalWeb"/>
              <w:rPr>
                <w:sz w:val="18"/>
                <w:szCs w:val="18"/>
                <w:lang w:val="en-GB"/>
              </w:rPr>
            </w:pPr>
            <w:r w:rsidRPr="00AB6091">
              <w:rPr>
                <w:sz w:val="18"/>
                <w:szCs w:val="18"/>
                <w:lang w:val="en-GB"/>
              </w:rPr>
              <w:t>72 (10)</w:t>
            </w:r>
          </w:p>
        </w:tc>
      </w:tr>
      <w:tr w:rsidR="001D29B0" w:rsidRPr="00AB6091" w14:paraId="1920ED42" w14:textId="77777777" w:rsidTr="001D29B0">
        <w:trPr>
          <w:divId w:val="248467387"/>
        </w:trPr>
        <w:tc>
          <w:tcPr>
            <w:tcW w:w="3480" w:type="dxa"/>
            <w:vMerge/>
            <w:shd w:val="clear" w:color="auto" w:fill="auto"/>
            <w:hideMark/>
          </w:tcPr>
          <w:p w14:paraId="1C42EA9C" w14:textId="77777777" w:rsidR="001D29B0" w:rsidRPr="00AB6091" w:rsidRDefault="001D29B0" w:rsidP="00EB0B3E">
            <w:pPr>
              <w:rPr>
                <w:sz w:val="18"/>
                <w:szCs w:val="18"/>
                <w:lang w:val="en-GB"/>
              </w:rPr>
            </w:pPr>
          </w:p>
        </w:tc>
        <w:tc>
          <w:tcPr>
            <w:tcW w:w="3480" w:type="dxa"/>
            <w:shd w:val="clear" w:color="auto" w:fill="auto"/>
            <w:hideMark/>
          </w:tcPr>
          <w:p w14:paraId="4E2F15C6" w14:textId="77777777" w:rsidR="001D29B0" w:rsidRPr="00AB6091" w:rsidRDefault="001D29B0" w:rsidP="00EB0B3E">
            <w:pPr>
              <w:pStyle w:val="NormalWeb"/>
              <w:rPr>
                <w:sz w:val="18"/>
                <w:szCs w:val="18"/>
                <w:lang w:val="en-GB"/>
              </w:rPr>
            </w:pPr>
            <w:r w:rsidRPr="00AB6091">
              <w:rPr>
                <w:sz w:val="18"/>
                <w:szCs w:val="18"/>
                <w:lang w:val="en-GB"/>
              </w:rPr>
              <w:t>5–9</w:t>
            </w:r>
          </w:p>
        </w:tc>
        <w:tc>
          <w:tcPr>
            <w:tcW w:w="3480" w:type="dxa"/>
            <w:shd w:val="clear" w:color="auto" w:fill="auto"/>
            <w:hideMark/>
          </w:tcPr>
          <w:p w14:paraId="7F63221F" w14:textId="77777777" w:rsidR="001D29B0" w:rsidRPr="00AB6091" w:rsidRDefault="001D29B0" w:rsidP="00EB0B3E">
            <w:pPr>
              <w:pStyle w:val="NormalWeb"/>
              <w:rPr>
                <w:sz w:val="18"/>
                <w:szCs w:val="18"/>
                <w:lang w:val="en-GB"/>
              </w:rPr>
            </w:pPr>
            <w:r w:rsidRPr="00AB6091">
              <w:rPr>
                <w:sz w:val="18"/>
                <w:szCs w:val="18"/>
                <w:lang w:val="en-GB"/>
              </w:rPr>
              <w:t>10 (1)</w:t>
            </w:r>
          </w:p>
        </w:tc>
      </w:tr>
      <w:tr w:rsidR="001D29B0" w:rsidRPr="00AB6091" w14:paraId="72C1512E"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shd w:val="clear" w:color="auto" w:fill="auto"/>
            <w:hideMark/>
          </w:tcPr>
          <w:p w14:paraId="1F3AC955" w14:textId="77777777" w:rsidR="001D29B0" w:rsidRPr="00AB6091" w:rsidRDefault="001D29B0" w:rsidP="00EB0B3E">
            <w:pPr>
              <w:rPr>
                <w:sz w:val="18"/>
                <w:szCs w:val="18"/>
                <w:lang w:val="en-GB"/>
              </w:rPr>
            </w:pPr>
          </w:p>
        </w:tc>
        <w:tc>
          <w:tcPr>
            <w:tcW w:w="3480" w:type="dxa"/>
            <w:shd w:val="clear" w:color="auto" w:fill="auto"/>
            <w:hideMark/>
          </w:tcPr>
          <w:p w14:paraId="2D4A78E1" w14:textId="77777777" w:rsidR="001D29B0" w:rsidRPr="00AB6091" w:rsidRDefault="001D29B0" w:rsidP="00EB0B3E">
            <w:pPr>
              <w:pStyle w:val="NormalWeb"/>
              <w:rPr>
                <w:sz w:val="18"/>
                <w:szCs w:val="18"/>
                <w:lang w:val="en-GB"/>
              </w:rPr>
            </w:pPr>
            <w:r w:rsidRPr="00AB6091">
              <w:rPr>
                <w:sz w:val="18"/>
                <w:szCs w:val="18"/>
                <w:lang w:val="en-GB"/>
              </w:rPr>
              <w:t>10–19</w:t>
            </w:r>
          </w:p>
        </w:tc>
        <w:tc>
          <w:tcPr>
            <w:tcW w:w="3480" w:type="dxa"/>
            <w:shd w:val="clear" w:color="auto" w:fill="auto"/>
            <w:hideMark/>
          </w:tcPr>
          <w:p w14:paraId="1D0C0FA8" w14:textId="77777777" w:rsidR="001D29B0" w:rsidRPr="00AB6091" w:rsidRDefault="001D29B0" w:rsidP="00EB0B3E">
            <w:pPr>
              <w:pStyle w:val="NormalWeb"/>
              <w:rPr>
                <w:sz w:val="18"/>
                <w:szCs w:val="18"/>
                <w:lang w:val="en-GB"/>
              </w:rPr>
            </w:pPr>
            <w:r w:rsidRPr="00AB6091">
              <w:rPr>
                <w:sz w:val="18"/>
                <w:szCs w:val="18"/>
                <w:lang w:val="en-GB"/>
              </w:rPr>
              <w:t>22 (3)</w:t>
            </w:r>
          </w:p>
        </w:tc>
      </w:tr>
      <w:tr w:rsidR="001D29B0" w:rsidRPr="00AB6091" w14:paraId="1AD1FF28" w14:textId="77777777" w:rsidTr="001D29B0">
        <w:trPr>
          <w:divId w:val="248467387"/>
        </w:trPr>
        <w:tc>
          <w:tcPr>
            <w:tcW w:w="3480" w:type="dxa"/>
            <w:vMerge/>
            <w:shd w:val="clear" w:color="auto" w:fill="auto"/>
            <w:hideMark/>
          </w:tcPr>
          <w:p w14:paraId="7D5457E7" w14:textId="77777777" w:rsidR="001D29B0" w:rsidRPr="00AB6091" w:rsidRDefault="001D29B0" w:rsidP="00EB0B3E">
            <w:pPr>
              <w:rPr>
                <w:sz w:val="18"/>
                <w:szCs w:val="18"/>
                <w:lang w:val="en-GB"/>
              </w:rPr>
            </w:pPr>
          </w:p>
        </w:tc>
        <w:tc>
          <w:tcPr>
            <w:tcW w:w="3480" w:type="dxa"/>
            <w:shd w:val="clear" w:color="auto" w:fill="auto"/>
            <w:hideMark/>
          </w:tcPr>
          <w:p w14:paraId="27BD4569" w14:textId="77777777" w:rsidR="001D29B0" w:rsidRPr="00AB6091" w:rsidRDefault="001D29B0" w:rsidP="00EB0B3E">
            <w:pPr>
              <w:pStyle w:val="NormalWeb"/>
              <w:rPr>
                <w:sz w:val="18"/>
                <w:szCs w:val="18"/>
                <w:lang w:val="en-GB"/>
              </w:rPr>
            </w:pPr>
            <w:r w:rsidRPr="00AB6091">
              <w:rPr>
                <w:sz w:val="18"/>
                <w:szCs w:val="18"/>
                <w:lang w:val="en-GB"/>
              </w:rPr>
              <w:t>20–29</w:t>
            </w:r>
          </w:p>
        </w:tc>
        <w:tc>
          <w:tcPr>
            <w:tcW w:w="3480" w:type="dxa"/>
            <w:shd w:val="clear" w:color="auto" w:fill="auto"/>
            <w:hideMark/>
          </w:tcPr>
          <w:p w14:paraId="231C96CD" w14:textId="77777777" w:rsidR="001D29B0" w:rsidRPr="00AB6091" w:rsidRDefault="001D29B0" w:rsidP="00EB0B3E">
            <w:pPr>
              <w:pStyle w:val="NormalWeb"/>
              <w:rPr>
                <w:sz w:val="18"/>
                <w:szCs w:val="18"/>
                <w:lang w:val="en-GB"/>
              </w:rPr>
            </w:pPr>
            <w:r w:rsidRPr="00AB6091">
              <w:rPr>
                <w:sz w:val="18"/>
                <w:szCs w:val="18"/>
                <w:lang w:val="en-GB"/>
              </w:rPr>
              <w:t>34 (5)</w:t>
            </w:r>
          </w:p>
        </w:tc>
      </w:tr>
      <w:tr w:rsidR="001D29B0" w:rsidRPr="00AB6091" w14:paraId="4E832882"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shd w:val="clear" w:color="auto" w:fill="auto"/>
            <w:hideMark/>
          </w:tcPr>
          <w:p w14:paraId="05365C5B" w14:textId="77777777" w:rsidR="001D29B0" w:rsidRPr="00AB6091" w:rsidRDefault="001D29B0" w:rsidP="00EB0B3E">
            <w:pPr>
              <w:rPr>
                <w:sz w:val="18"/>
                <w:szCs w:val="18"/>
                <w:lang w:val="en-GB"/>
              </w:rPr>
            </w:pPr>
          </w:p>
        </w:tc>
        <w:tc>
          <w:tcPr>
            <w:tcW w:w="3480" w:type="dxa"/>
            <w:shd w:val="clear" w:color="auto" w:fill="auto"/>
            <w:hideMark/>
          </w:tcPr>
          <w:p w14:paraId="1181B2BA" w14:textId="77777777" w:rsidR="001D29B0" w:rsidRPr="00AB6091" w:rsidRDefault="001D29B0" w:rsidP="00EB0B3E">
            <w:pPr>
              <w:pStyle w:val="NormalWeb"/>
              <w:rPr>
                <w:sz w:val="18"/>
                <w:szCs w:val="18"/>
                <w:lang w:val="en-GB"/>
              </w:rPr>
            </w:pPr>
            <w:r w:rsidRPr="00AB6091">
              <w:rPr>
                <w:sz w:val="18"/>
                <w:szCs w:val="18"/>
                <w:lang w:val="en-GB"/>
              </w:rPr>
              <w:t>30–39</w:t>
            </w:r>
          </w:p>
        </w:tc>
        <w:tc>
          <w:tcPr>
            <w:tcW w:w="3480" w:type="dxa"/>
            <w:shd w:val="clear" w:color="auto" w:fill="auto"/>
            <w:hideMark/>
          </w:tcPr>
          <w:p w14:paraId="37B24EBB" w14:textId="77777777" w:rsidR="001D29B0" w:rsidRPr="00AB6091" w:rsidRDefault="001D29B0" w:rsidP="00EB0B3E">
            <w:pPr>
              <w:pStyle w:val="NormalWeb"/>
              <w:rPr>
                <w:sz w:val="18"/>
                <w:szCs w:val="18"/>
                <w:lang w:val="en-GB"/>
              </w:rPr>
            </w:pPr>
            <w:r w:rsidRPr="00AB6091">
              <w:rPr>
                <w:sz w:val="18"/>
                <w:szCs w:val="18"/>
                <w:lang w:val="en-GB"/>
              </w:rPr>
              <w:t>64 (9)</w:t>
            </w:r>
          </w:p>
        </w:tc>
      </w:tr>
      <w:tr w:rsidR="001D29B0" w:rsidRPr="00AB6091" w14:paraId="1AA0F709" w14:textId="77777777" w:rsidTr="001D29B0">
        <w:trPr>
          <w:divId w:val="248467387"/>
        </w:trPr>
        <w:tc>
          <w:tcPr>
            <w:tcW w:w="3480" w:type="dxa"/>
            <w:vMerge/>
            <w:shd w:val="clear" w:color="auto" w:fill="auto"/>
            <w:hideMark/>
          </w:tcPr>
          <w:p w14:paraId="18B5F57F" w14:textId="77777777" w:rsidR="001D29B0" w:rsidRPr="00AB6091" w:rsidRDefault="001D29B0" w:rsidP="00EB0B3E">
            <w:pPr>
              <w:rPr>
                <w:sz w:val="18"/>
                <w:szCs w:val="18"/>
                <w:lang w:val="en-GB"/>
              </w:rPr>
            </w:pPr>
          </w:p>
        </w:tc>
        <w:tc>
          <w:tcPr>
            <w:tcW w:w="3480" w:type="dxa"/>
            <w:shd w:val="clear" w:color="auto" w:fill="auto"/>
            <w:hideMark/>
          </w:tcPr>
          <w:p w14:paraId="1797BCB1" w14:textId="77777777" w:rsidR="001D29B0" w:rsidRPr="00AB6091" w:rsidRDefault="001D29B0" w:rsidP="00EB0B3E">
            <w:pPr>
              <w:pStyle w:val="NormalWeb"/>
              <w:rPr>
                <w:sz w:val="18"/>
                <w:szCs w:val="18"/>
                <w:lang w:val="en-GB"/>
              </w:rPr>
            </w:pPr>
            <w:r w:rsidRPr="00AB6091">
              <w:rPr>
                <w:sz w:val="18"/>
                <w:szCs w:val="18"/>
                <w:lang w:val="en-GB"/>
              </w:rPr>
              <w:t>40–49</w:t>
            </w:r>
          </w:p>
        </w:tc>
        <w:tc>
          <w:tcPr>
            <w:tcW w:w="3480" w:type="dxa"/>
            <w:shd w:val="clear" w:color="auto" w:fill="auto"/>
            <w:hideMark/>
          </w:tcPr>
          <w:p w14:paraId="332E8494" w14:textId="77777777" w:rsidR="001D29B0" w:rsidRPr="00AB6091" w:rsidRDefault="001D29B0" w:rsidP="00EB0B3E">
            <w:pPr>
              <w:pStyle w:val="NormalWeb"/>
              <w:rPr>
                <w:sz w:val="18"/>
                <w:szCs w:val="18"/>
                <w:lang w:val="en-GB"/>
              </w:rPr>
            </w:pPr>
            <w:r w:rsidRPr="00AB6091">
              <w:rPr>
                <w:sz w:val="18"/>
                <w:szCs w:val="18"/>
                <w:lang w:val="en-GB"/>
              </w:rPr>
              <w:t>134 (19)</w:t>
            </w:r>
          </w:p>
        </w:tc>
      </w:tr>
      <w:tr w:rsidR="001D29B0" w:rsidRPr="00AB6091" w14:paraId="5789C3BB"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shd w:val="clear" w:color="auto" w:fill="auto"/>
            <w:hideMark/>
          </w:tcPr>
          <w:p w14:paraId="2C31E2DF" w14:textId="77777777" w:rsidR="001D29B0" w:rsidRPr="00AB6091" w:rsidRDefault="001D29B0" w:rsidP="00EB0B3E">
            <w:pPr>
              <w:rPr>
                <w:sz w:val="18"/>
                <w:szCs w:val="18"/>
                <w:lang w:val="en-GB"/>
              </w:rPr>
            </w:pPr>
          </w:p>
        </w:tc>
        <w:tc>
          <w:tcPr>
            <w:tcW w:w="3480" w:type="dxa"/>
            <w:shd w:val="clear" w:color="auto" w:fill="auto"/>
            <w:hideMark/>
          </w:tcPr>
          <w:p w14:paraId="10D94D3F" w14:textId="77777777" w:rsidR="001D29B0" w:rsidRPr="00AB6091" w:rsidRDefault="001D29B0" w:rsidP="00EB0B3E">
            <w:pPr>
              <w:pStyle w:val="NormalWeb"/>
              <w:rPr>
                <w:sz w:val="18"/>
                <w:szCs w:val="18"/>
                <w:lang w:val="en-GB"/>
              </w:rPr>
            </w:pPr>
            <w:r w:rsidRPr="00AB6091">
              <w:rPr>
                <w:sz w:val="18"/>
                <w:szCs w:val="18"/>
                <w:lang w:val="en-GB"/>
              </w:rPr>
              <w:t>50–59</w:t>
            </w:r>
          </w:p>
        </w:tc>
        <w:tc>
          <w:tcPr>
            <w:tcW w:w="3480" w:type="dxa"/>
            <w:shd w:val="clear" w:color="auto" w:fill="auto"/>
            <w:hideMark/>
          </w:tcPr>
          <w:p w14:paraId="7B752141" w14:textId="77777777" w:rsidR="001D29B0" w:rsidRPr="00AB6091" w:rsidRDefault="001D29B0" w:rsidP="00EB0B3E">
            <w:pPr>
              <w:pStyle w:val="NormalWeb"/>
              <w:rPr>
                <w:sz w:val="18"/>
                <w:szCs w:val="18"/>
                <w:lang w:val="en-GB"/>
              </w:rPr>
            </w:pPr>
            <w:r w:rsidRPr="00AB6091">
              <w:rPr>
                <w:sz w:val="18"/>
                <w:szCs w:val="18"/>
                <w:lang w:val="en-GB"/>
              </w:rPr>
              <w:t>127 (18)</w:t>
            </w:r>
          </w:p>
        </w:tc>
      </w:tr>
      <w:tr w:rsidR="001D29B0" w:rsidRPr="00AB6091" w14:paraId="77ECA7B7" w14:textId="77777777" w:rsidTr="001D29B0">
        <w:trPr>
          <w:divId w:val="248467387"/>
        </w:trPr>
        <w:tc>
          <w:tcPr>
            <w:tcW w:w="3480" w:type="dxa"/>
            <w:vMerge/>
            <w:shd w:val="clear" w:color="auto" w:fill="auto"/>
            <w:hideMark/>
          </w:tcPr>
          <w:p w14:paraId="5B26C65B" w14:textId="77777777" w:rsidR="001D29B0" w:rsidRPr="00AB6091" w:rsidRDefault="001D29B0" w:rsidP="00EB0B3E">
            <w:pPr>
              <w:rPr>
                <w:sz w:val="18"/>
                <w:szCs w:val="18"/>
                <w:lang w:val="en-GB"/>
              </w:rPr>
            </w:pPr>
          </w:p>
        </w:tc>
        <w:tc>
          <w:tcPr>
            <w:tcW w:w="3480" w:type="dxa"/>
            <w:shd w:val="clear" w:color="auto" w:fill="auto"/>
            <w:hideMark/>
          </w:tcPr>
          <w:p w14:paraId="799480B3" w14:textId="77777777" w:rsidR="001D29B0" w:rsidRPr="00AB6091" w:rsidRDefault="001D29B0" w:rsidP="00EB0B3E">
            <w:pPr>
              <w:pStyle w:val="NormalWeb"/>
              <w:rPr>
                <w:sz w:val="18"/>
                <w:szCs w:val="18"/>
                <w:lang w:val="en-GB"/>
              </w:rPr>
            </w:pPr>
            <w:r w:rsidRPr="00AB6091">
              <w:rPr>
                <w:sz w:val="18"/>
                <w:szCs w:val="18"/>
                <w:lang w:val="en-GB"/>
              </w:rPr>
              <w:t>60–69</w:t>
            </w:r>
          </w:p>
        </w:tc>
        <w:tc>
          <w:tcPr>
            <w:tcW w:w="3480" w:type="dxa"/>
            <w:shd w:val="clear" w:color="auto" w:fill="auto"/>
            <w:hideMark/>
          </w:tcPr>
          <w:p w14:paraId="511A4598" w14:textId="77777777" w:rsidR="001D29B0" w:rsidRPr="00AB6091" w:rsidRDefault="001D29B0" w:rsidP="00EB0B3E">
            <w:pPr>
              <w:pStyle w:val="NormalWeb"/>
              <w:rPr>
                <w:sz w:val="18"/>
                <w:szCs w:val="18"/>
                <w:lang w:val="en-GB"/>
              </w:rPr>
            </w:pPr>
            <w:r w:rsidRPr="00AB6091">
              <w:rPr>
                <w:sz w:val="18"/>
                <w:szCs w:val="18"/>
                <w:lang w:val="en-GB"/>
              </w:rPr>
              <w:t>126 (18)</w:t>
            </w:r>
          </w:p>
        </w:tc>
      </w:tr>
      <w:tr w:rsidR="001D29B0" w:rsidRPr="00AB6091" w14:paraId="62E19D2C"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shd w:val="clear" w:color="auto" w:fill="auto"/>
            <w:hideMark/>
          </w:tcPr>
          <w:p w14:paraId="4CEB0CF8" w14:textId="77777777" w:rsidR="001D29B0" w:rsidRPr="00AB6091" w:rsidRDefault="001D29B0" w:rsidP="00EB0B3E">
            <w:pPr>
              <w:rPr>
                <w:sz w:val="18"/>
                <w:szCs w:val="18"/>
                <w:lang w:val="en-GB"/>
              </w:rPr>
            </w:pPr>
          </w:p>
        </w:tc>
        <w:tc>
          <w:tcPr>
            <w:tcW w:w="3480" w:type="dxa"/>
            <w:shd w:val="clear" w:color="auto" w:fill="auto"/>
            <w:hideMark/>
          </w:tcPr>
          <w:p w14:paraId="705D58BD" w14:textId="77777777" w:rsidR="001D29B0" w:rsidRPr="00AB6091" w:rsidRDefault="001D29B0" w:rsidP="00EB0B3E">
            <w:pPr>
              <w:pStyle w:val="NormalWeb"/>
              <w:rPr>
                <w:sz w:val="18"/>
                <w:szCs w:val="18"/>
                <w:lang w:val="en-GB"/>
              </w:rPr>
            </w:pPr>
            <w:r w:rsidRPr="00AB6091">
              <w:rPr>
                <w:sz w:val="18"/>
                <w:szCs w:val="18"/>
                <w:lang w:val="en-GB"/>
              </w:rPr>
              <w:t>70–79</w:t>
            </w:r>
          </w:p>
        </w:tc>
        <w:tc>
          <w:tcPr>
            <w:tcW w:w="3480" w:type="dxa"/>
            <w:shd w:val="clear" w:color="auto" w:fill="auto"/>
            <w:hideMark/>
          </w:tcPr>
          <w:p w14:paraId="482231E9" w14:textId="77777777" w:rsidR="001D29B0" w:rsidRPr="00AB6091" w:rsidRDefault="001D29B0" w:rsidP="00EB0B3E">
            <w:pPr>
              <w:pStyle w:val="NormalWeb"/>
              <w:rPr>
                <w:sz w:val="18"/>
                <w:szCs w:val="18"/>
                <w:lang w:val="en-GB"/>
              </w:rPr>
            </w:pPr>
            <w:r w:rsidRPr="00AB6091">
              <w:rPr>
                <w:sz w:val="18"/>
                <w:szCs w:val="18"/>
                <w:lang w:val="en-GB"/>
              </w:rPr>
              <w:t>66 (10)</w:t>
            </w:r>
          </w:p>
        </w:tc>
      </w:tr>
      <w:tr w:rsidR="001D29B0" w:rsidRPr="00AB6091" w14:paraId="3388367F" w14:textId="77777777" w:rsidTr="001D29B0">
        <w:trPr>
          <w:divId w:val="248467387"/>
        </w:trPr>
        <w:tc>
          <w:tcPr>
            <w:tcW w:w="3480" w:type="dxa"/>
            <w:vMerge/>
            <w:shd w:val="clear" w:color="auto" w:fill="auto"/>
            <w:hideMark/>
          </w:tcPr>
          <w:p w14:paraId="04577F8C" w14:textId="77777777" w:rsidR="001D29B0" w:rsidRPr="00AB6091" w:rsidRDefault="001D29B0" w:rsidP="00EB0B3E">
            <w:pPr>
              <w:rPr>
                <w:sz w:val="18"/>
                <w:szCs w:val="18"/>
                <w:lang w:val="en-GB"/>
              </w:rPr>
            </w:pPr>
          </w:p>
        </w:tc>
        <w:tc>
          <w:tcPr>
            <w:tcW w:w="3480" w:type="dxa"/>
            <w:shd w:val="clear" w:color="auto" w:fill="auto"/>
            <w:hideMark/>
          </w:tcPr>
          <w:p w14:paraId="2BC4DA2E" w14:textId="77777777" w:rsidR="001D29B0" w:rsidRPr="00AB6091" w:rsidRDefault="001D29B0" w:rsidP="00EB0B3E">
            <w:pPr>
              <w:pStyle w:val="NormalWeb"/>
              <w:rPr>
                <w:sz w:val="18"/>
                <w:szCs w:val="18"/>
                <w:lang w:val="en-GB"/>
              </w:rPr>
            </w:pPr>
            <w:r w:rsidRPr="00AB6091">
              <w:rPr>
                <w:sz w:val="18"/>
                <w:szCs w:val="18"/>
                <w:lang w:val="en-GB"/>
              </w:rPr>
              <w:t>80–89</w:t>
            </w:r>
          </w:p>
        </w:tc>
        <w:tc>
          <w:tcPr>
            <w:tcW w:w="3480" w:type="dxa"/>
            <w:shd w:val="clear" w:color="auto" w:fill="auto"/>
            <w:hideMark/>
          </w:tcPr>
          <w:p w14:paraId="39F2D2A7" w14:textId="77777777" w:rsidR="001D29B0" w:rsidRPr="00AB6091" w:rsidRDefault="001D29B0" w:rsidP="00EB0B3E">
            <w:pPr>
              <w:pStyle w:val="NormalWeb"/>
              <w:rPr>
                <w:sz w:val="18"/>
                <w:szCs w:val="18"/>
                <w:lang w:val="en-GB"/>
              </w:rPr>
            </w:pPr>
            <w:r w:rsidRPr="00AB6091">
              <w:rPr>
                <w:sz w:val="18"/>
                <w:szCs w:val="18"/>
                <w:lang w:val="en-GB"/>
              </w:rPr>
              <w:t>32 (5)</w:t>
            </w:r>
          </w:p>
        </w:tc>
      </w:tr>
      <w:tr w:rsidR="001D29B0" w:rsidRPr="00AB6091" w14:paraId="615FEBDF"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bottom w:val="single" w:sz="2" w:space="0" w:color="auto"/>
            </w:tcBorders>
            <w:shd w:val="clear" w:color="auto" w:fill="auto"/>
            <w:hideMark/>
          </w:tcPr>
          <w:p w14:paraId="0B9F7A36" w14:textId="77777777" w:rsidR="001D29B0" w:rsidRPr="00AB6091" w:rsidRDefault="001D29B0" w:rsidP="00EB0B3E">
            <w:pPr>
              <w:rPr>
                <w:sz w:val="18"/>
                <w:szCs w:val="18"/>
                <w:lang w:val="en-GB"/>
              </w:rPr>
            </w:pPr>
          </w:p>
        </w:tc>
        <w:tc>
          <w:tcPr>
            <w:tcW w:w="3480" w:type="dxa"/>
            <w:tcBorders>
              <w:bottom w:val="single" w:sz="2" w:space="0" w:color="auto"/>
            </w:tcBorders>
            <w:shd w:val="clear" w:color="auto" w:fill="auto"/>
            <w:hideMark/>
          </w:tcPr>
          <w:p w14:paraId="00201574" w14:textId="77777777" w:rsidR="001D29B0" w:rsidRPr="00AB6091" w:rsidRDefault="001D29B0" w:rsidP="00EB0B3E">
            <w:pPr>
              <w:pStyle w:val="NormalWeb"/>
              <w:rPr>
                <w:sz w:val="18"/>
                <w:szCs w:val="18"/>
                <w:lang w:val="en-GB"/>
              </w:rPr>
            </w:pPr>
            <w:r w:rsidRPr="00AB6091">
              <w:rPr>
                <w:sz w:val="18"/>
                <w:szCs w:val="18"/>
                <w:lang w:val="en-GB"/>
              </w:rPr>
              <w:t>≥ 90</w:t>
            </w:r>
          </w:p>
        </w:tc>
        <w:tc>
          <w:tcPr>
            <w:tcW w:w="3480" w:type="dxa"/>
            <w:tcBorders>
              <w:bottom w:val="single" w:sz="2" w:space="0" w:color="auto"/>
            </w:tcBorders>
            <w:shd w:val="clear" w:color="auto" w:fill="auto"/>
            <w:hideMark/>
          </w:tcPr>
          <w:p w14:paraId="69E3C094" w14:textId="77777777" w:rsidR="001D29B0" w:rsidRPr="00AB6091" w:rsidRDefault="001D29B0" w:rsidP="00EB0B3E">
            <w:pPr>
              <w:pStyle w:val="NormalWeb"/>
              <w:rPr>
                <w:sz w:val="18"/>
                <w:szCs w:val="18"/>
                <w:lang w:val="en-GB"/>
              </w:rPr>
            </w:pPr>
            <w:r w:rsidRPr="00AB6091">
              <w:rPr>
                <w:sz w:val="18"/>
                <w:szCs w:val="18"/>
                <w:lang w:val="en-GB"/>
              </w:rPr>
              <w:t>5 (1)</w:t>
            </w:r>
          </w:p>
        </w:tc>
      </w:tr>
      <w:tr w:rsidR="001D29B0" w:rsidRPr="00AB6091" w14:paraId="7308F6C3" w14:textId="77777777" w:rsidTr="001D29B0">
        <w:trPr>
          <w:divId w:val="248467387"/>
        </w:trPr>
        <w:tc>
          <w:tcPr>
            <w:tcW w:w="3480" w:type="dxa"/>
            <w:vMerge w:val="restart"/>
            <w:tcBorders>
              <w:top w:val="single" w:sz="2" w:space="0" w:color="auto"/>
            </w:tcBorders>
            <w:shd w:val="clear" w:color="auto" w:fill="auto"/>
            <w:hideMark/>
          </w:tcPr>
          <w:p w14:paraId="37E8A6C6" w14:textId="77777777" w:rsidR="001D29B0" w:rsidRPr="00AB6091" w:rsidRDefault="001D29B0" w:rsidP="00EB0B3E">
            <w:pPr>
              <w:pStyle w:val="NormalWeb"/>
              <w:rPr>
                <w:sz w:val="18"/>
                <w:szCs w:val="18"/>
                <w:lang w:val="en-GB"/>
              </w:rPr>
            </w:pPr>
            <w:r w:rsidRPr="00AB6091">
              <w:rPr>
                <w:sz w:val="18"/>
                <w:szCs w:val="18"/>
                <w:lang w:val="en-GB"/>
              </w:rPr>
              <w:t>Indigenous status</w:t>
            </w:r>
          </w:p>
        </w:tc>
        <w:tc>
          <w:tcPr>
            <w:tcW w:w="3480" w:type="dxa"/>
            <w:tcBorders>
              <w:top w:val="single" w:sz="2" w:space="0" w:color="auto"/>
            </w:tcBorders>
            <w:shd w:val="clear" w:color="auto" w:fill="auto"/>
            <w:hideMark/>
          </w:tcPr>
          <w:p w14:paraId="7352CED2" w14:textId="77777777" w:rsidR="001D29B0" w:rsidRPr="00AB6091" w:rsidRDefault="001D29B0" w:rsidP="00EB0B3E">
            <w:pPr>
              <w:pStyle w:val="NormalWeb"/>
              <w:rPr>
                <w:sz w:val="18"/>
                <w:szCs w:val="18"/>
                <w:lang w:val="en-GB"/>
              </w:rPr>
            </w:pPr>
            <w:r w:rsidRPr="00AB6091">
              <w:rPr>
                <w:sz w:val="18"/>
                <w:szCs w:val="18"/>
                <w:lang w:val="en-GB"/>
              </w:rPr>
              <w:t>Indigenous Australians</w:t>
            </w:r>
          </w:p>
        </w:tc>
        <w:tc>
          <w:tcPr>
            <w:tcW w:w="3480" w:type="dxa"/>
            <w:tcBorders>
              <w:top w:val="single" w:sz="2" w:space="0" w:color="auto"/>
            </w:tcBorders>
            <w:shd w:val="clear" w:color="auto" w:fill="auto"/>
            <w:hideMark/>
          </w:tcPr>
          <w:p w14:paraId="4AD546C6" w14:textId="77777777" w:rsidR="001D29B0" w:rsidRPr="00AB6091" w:rsidRDefault="001D29B0" w:rsidP="00EB0B3E">
            <w:pPr>
              <w:pStyle w:val="NormalWeb"/>
              <w:rPr>
                <w:sz w:val="18"/>
                <w:szCs w:val="18"/>
                <w:lang w:val="en-GB"/>
              </w:rPr>
            </w:pPr>
            <w:r w:rsidRPr="00AB6091">
              <w:rPr>
                <w:sz w:val="18"/>
                <w:szCs w:val="18"/>
                <w:lang w:val="en-GB"/>
              </w:rPr>
              <w:t>511 (74)</w:t>
            </w:r>
          </w:p>
        </w:tc>
      </w:tr>
      <w:tr w:rsidR="001D29B0" w:rsidRPr="00AB6091" w14:paraId="5D861012"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bottom w:val="single" w:sz="2" w:space="0" w:color="auto"/>
            </w:tcBorders>
            <w:shd w:val="clear" w:color="auto" w:fill="auto"/>
            <w:hideMark/>
          </w:tcPr>
          <w:p w14:paraId="39EF9911" w14:textId="77777777" w:rsidR="001D29B0" w:rsidRPr="00AB6091" w:rsidRDefault="001D29B0" w:rsidP="00EB0B3E">
            <w:pPr>
              <w:rPr>
                <w:sz w:val="18"/>
                <w:szCs w:val="18"/>
                <w:lang w:val="en-GB"/>
              </w:rPr>
            </w:pPr>
          </w:p>
        </w:tc>
        <w:tc>
          <w:tcPr>
            <w:tcW w:w="3480" w:type="dxa"/>
            <w:tcBorders>
              <w:bottom w:val="single" w:sz="2" w:space="0" w:color="auto"/>
            </w:tcBorders>
            <w:shd w:val="clear" w:color="auto" w:fill="auto"/>
            <w:hideMark/>
          </w:tcPr>
          <w:p w14:paraId="37CFEF54" w14:textId="77777777" w:rsidR="001D29B0" w:rsidRPr="00AB6091" w:rsidRDefault="001D29B0" w:rsidP="00EB0B3E">
            <w:pPr>
              <w:pStyle w:val="NormalWeb"/>
              <w:rPr>
                <w:sz w:val="18"/>
                <w:szCs w:val="18"/>
                <w:lang w:val="en-GB"/>
              </w:rPr>
            </w:pPr>
            <w:r w:rsidRPr="00AB6091">
              <w:rPr>
                <w:sz w:val="18"/>
                <w:szCs w:val="18"/>
                <w:lang w:val="en-GB"/>
              </w:rPr>
              <w:t>non-Indigenous Australians</w:t>
            </w:r>
          </w:p>
        </w:tc>
        <w:tc>
          <w:tcPr>
            <w:tcW w:w="3480" w:type="dxa"/>
            <w:tcBorders>
              <w:bottom w:val="single" w:sz="2" w:space="0" w:color="auto"/>
            </w:tcBorders>
            <w:shd w:val="clear" w:color="auto" w:fill="auto"/>
            <w:hideMark/>
          </w:tcPr>
          <w:p w14:paraId="3F1D2E4D" w14:textId="77777777" w:rsidR="001D29B0" w:rsidRPr="00AB6091" w:rsidRDefault="001D29B0" w:rsidP="00EB0B3E">
            <w:pPr>
              <w:pStyle w:val="NormalWeb"/>
              <w:rPr>
                <w:sz w:val="18"/>
                <w:szCs w:val="18"/>
                <w:lang w:val="en-GB"/>
              </w:rPr>
            </w:pPr>
            <w:r w:rsidRPr="00AB6091">
              <w:rPr>
                <w:sz w:val="18"/>
                <w:szCs w:val="18"/>
                <w:lang w:val="en-GB"/>
              </w:rPr>
              <w:t>181 (26)</w:t>
            </w:r>
          </w:p>
        </w:tc>
      </w:tr>
      <w:tr w:rsidR="001D29B0" w:rsidRPr="00AB6091" w14:paraId="3387936A" w14:textId="77777777" w:rsidTr="001D29B0">
        <w:trPr>
          <w:divId w:val="248467387"/>
        </w:trPr>
        <w:tc>
          <w:tcPr>
            <w:tcW w:w="3480" w:type="dxa"/>
            <w:vMerge w:val="restart"/>
            <w:tcBorders>
              <w:top w:val="single" w:sz="2" w:space="0" w:color="auto"/>
            </w:tcBorders>
            <w:shd w:val="clear" w:color="auto" w:fill="auto"/>
            <w:hideMark/>
          </w:tcPr>
          <w:p w14:paraId="7B23630B" w14:textId="77777777" w:rsidR="001D29B0" w:rsidRPr="00AB6091" w:rsidRDefault="001D29B0" w:rsidP="00EB0B3E">
            <w:pPr>
              <w:pStyle w:val="NormalWeb"/>
              <w:rPr>
                <w:sz w:val="18"/>
                <w:szCs w:val="18"/>
                <w:lang w:val="en-GB"/>
              </w:rPr>
            </w:pPr>
            <w:r w:rsidRPr="00AB6091">
              <w:rPr>
                <w:sz w:val="18"/>
                <w:szCs w:val="18"/>
                <w:lang w:val="en-GB"/>
              </w:rPr>
              <w:t>Region of occurrence</w:t>
            </w:r>
          </w:p>
        </w:tc>
        <w:tc>
          <w:tcPr>
            <w:tcW w:w="3480" w:type="dxa"/>
            <w:tcBorders>
              <w:top w:val="single" w:sz="2" w:space="0" w:color="auto"/>
            </w:tcBorders>
            <w:shd w:val="clear" w:color="auto" w:fill="auto"/>
            <w:hideMark/>
          </w:tcPr>
          <w:p w14:paraId="179B9B67" w14:textId="77777777" w:rsidR="001D29B0" w:rsidRPr="00AB6091" w:rsidRDefault="001D29B0" w:rsidP="00EB0B3E">
            <w:pPr>
              <w:pStyle w:val="NormalWeb"/>
              <w:rPr>
                <w:sz w:val="18"/>
                <w:szCs w:val="18"/>
                <w:lang w:val="en-GB"/>
              </w:rPr>
            </w:pPr>
            <w:r w:rsidRPr="00AB6091">
              <w:rPr>
                <w:sz w:val="18"/>
                <w:szCs w:val="18"/>
                <w:lang w:val="en-GB"/>
              </w:rPr>
              <w:t>Top End (tropical)</w:t>
            </w:r>
          </w:p>
        </w:tc>
        <w:tc>
          <w:tcPr>
            <w:tcW w:w="3480" w:type="dxa"/>
            <w:tcBorders>
              <w:top w:val="single" w:sz="2" w:space="0" w:color="auto"/>
            </w:tcBorders>
            <w:shd w:val="clear" w:color="auto" w:fill="auto"/>
            <w:hideMark/>
          </w:tcPr>
          <w:p w14:paraId="47A58261" w14:textId="77777777" w:rsidR="001D29B0" w:rsidRPr="00AB6091" w:rsidRDefault="001D29B0" w:rsidP="00EB0B3E">
            <w:pPr>
              <w:pStyle w:val="NormalWeb"/>
              <w:rPr>
                <w:sz w:val="18"/>
                <w:szCs w:val="18"/>
                <w:lang w:val="en-GB"/>
              </w:rPr>
            </w:pPr>
            <w:r w:rsidRPr="00AB6091">
              <w:rPr>
                <w:sz w:val="18"/>
                <w:szCs w:val="18"/>
                <w:lang w:val="en-GB"/>
              </w:rPr>
              <w:t>386 (56)</w:t>
            </w:r>
          </w:p>
        </w:tc>
      </w:tr>
      <w:tr w:rsidR="001D29B0" w:rsidRPr="00AB6091" w14:paraId="77B2117F"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bottom w:val="single" w:sz="2" w:space="0" w:color="auto"/>
            </w:tcBorders>
            <w:shd w:val="clear" w:color="auto" w:fill="auto"/>
            <w:hideMark/>
          </w:tcPr>
          <w:p w14:paraId="732F0A9E" w14:textId="77777777" w:rsidR="001D29B0" w:rsidRPr="00AB6091" w:rsidRDefault="001D29B0" w:rsidP="00EB0B3E">
            <w:pPr>
              <w:rPr>
                <w:sz w:val="18"/>
                <w:szCs w:val="18"/>
                <w:lang w:val="en-GB"/>
              </w:rPr>
            </w:pPr>
          </w:p>
        </w:tc>
        <w:tc>
          <w:tcPr>
            <w:tcW w:w="3480" w:type="dxa"/>
            <w:tcBorders>
              <w:bottom w:val="single" w:sz="2" w:space="0" w:color="auto"/>
            </w:tcBorders>
            <w:shd w:val="clear" w:color="auto" w:fill="auto"/>
            <w:hideMark/>
          </w:tcPr>
          <w:p w14:paraId="6EB749AE" w14:textId="77777777" w:rsidR="001D29B0" w:rsidRPr="00AB6091" w:rsidRDefault="001D29B0" w:rsidP="00EB0B3E">
            <w:pPr>
              <w:pStyle w:val="NormalWeb"/>
              <w:rPr>
                <w:sz w:val="18"/>
                <w:szCs w:val="18"/>
                <w:lang w:val="en-GB"/>
              </w:rPr>
            </w:pPr>
            <w:r w:rsidRPr="00AB6091">
              <w:rPr>
                <w:sz w:val="18"/>
                <w:szCs w:val="18"/>
                <w:lang w:val="en-GB"/>
              </w:rPr>
              <w:t>Central Australia (non-tropical)</w:t>
            </w:r>
          </w:p>
        </w:tc>
        <w:tc>
          <w:tcPr>
            <w:tcW w:w="3480" w:type="dxa"/>
            <w:tcBorders>
              <w:bottom w:val="single" w:sz="2" w:space="0" w:color="auto"/>
            </w:tcBorders>
            <w:shd w:val="clear" w:color="auto" w:fill="auto"/>
            <w:hideMark/>
          </w:tcPr>
          <w:p w14:paraId="089282D6" w14:textId="77777777" w:rsidR="001D29B0" w:rsidRPr="00AB6091" w:rsidRDefault="001D29B0" w:rsidP="00EB0B3E">
            <w:pPr>
              <w:pStyle w:val="NormalWeb"/>
              <w:rPr>
                <w:sz w:val="18"/>
                <w:szCs w:val="18"/>
                <w:lang w:val="en-GB"/>
              </w:rPr>
            </w:pPr>
            <w:r w:rsidRPr="00AB6091">
              <w:rPr>
                <w:sz w:val="18"/>
                <w:szCs w:val="18"/>
                <w:lang w:val="en-GB"/>
              </w:rPr>
              <w:t>306 (44)</w:t>
            </w:r>
          </w:p>
        </w:tc>
      </w:tr>
      <w:tr w:rsidR="001D29B0" w:rsidRPr="00AB6091" w14:paraId="672F4D3B" w14:textId="77777777" w:rsidTr="001D29B0">
        <w:trPr>
          <w:divId w:val="248467387"/>
        </w:trPr>
        <w:tc>
          <w:tcPr>
            <w:tcW w:w="3480" w:type="dxa"/>
            <w:vMerge w:val="restart"/>
            <w:tcBorders>
              <w:top w:val="single" w:sz="2" w:space="0" w:color="auto"/>
              <w:bottom w:val="single" w:sz="2" w:space="0" w:color="000000" w:themeColor="text1"/>
            </w:tcBorders>
            <w:shd w:val="clear" w:color="auto" w:fill="auto"/>
            <w:hideMark/>
          </w:tcPr>
          <w:p w14:paraId="05563977" w14:textId="77777777" w:rsidR="001D29B0" w:rsidRPr="00AB6091" w:rsidRDefault="001D29B0" w:rsidP="00EB0B3E">
            <w:pPr>
              <w:pStyle w:val="NormalWeb"/>
              <w:rPr>
                <w:sz w:val="18"/>
                <w:szCs w:val="18"/>
                <w:lang w:val="en-GB"/>
              </w:rPr>
            </w:pPr>
            <w:r w:rsidRPr="00AB6091">
              <w:rPr>
                <w:sz w:val="18"/>
                <w:szCs w:val="18"/>
                <w:lang w:val="en-GB"/>
              </w:rPr>
              <w:t>Remoteness of residence</w:t>
            </w:r>
            <w:r>
              <w:rPr>
                <w:sz w:val="18"/>
                <w:szCs w:val="18"/>
                <w:lang w:val="en-GB"/>
              </w:rPr>
              <w:t xml:space="preserve"> </w:t>
            </w:r>
            <w:r w:rsidRPr="009E3920">
              <w:rPr>
                <w:sz w:val="18"/>
                <w:szCs w:val="18"/>
                <w:vertAlign w:val="superscript"/>
                <w:lang w:val="en-GB"/>
              </w:rPr>
              <w:t>a</w:t>
            </w:r>
          </w:p>
        </w:tc>
        <w:tc>
          <w:tcPr>
            <w:tcW w:w="3480" w:type="dxa"/>
            <w:tcBorders>
              <w:top w:val="single" w:sz="2" w:space="0" w:color="auto"/>
            </w:tcBorders>
            <w:shd w:val="clear" w:color="auto" w:fill="auto"/>
            <w:hideMark/>
          </w:tcPr>
          <w:p w14:paraId="57E73550" w14:textId="77777777" w:rsidR="001D29B0" w:rsidRPr="00AB6091" w:rsidRDefault="001D29B0" w:rsidP="00EB0B3E">
            <w:pPr>
              <w:pStyle w:val="NormalWeb"/>
              <w:rPr>
                <w:sz w:val="18"/>
                <w:szCs w:val="18"/>
                <w:lang w:val="en-GB"/>
              </w:rPr>
            </w:pPr>
            <w:r w:rsidRPr="00AB6091">
              <w:rPr>
                <w:sz w:val="18"/>
                <w:szCs w:val="18"/>
                <w:lang w:val="en-GB"/>
              </w:rPr>
              <w:t>Major cities / inner regional</w:t>
            </w:r>
          </w:p>
        </w:tc>
        <w:tc>
          <w:tcPr>
            <w:tcW w:w="3480" w:type="dxa"/>
            <w:tcBorders>
              <w:top w:val="single" w:sz="2" w:space="0" w:color="auto"/>
            </w:tcBorders>
            <w:shd w:val="clear" w:color="auto" w:fill="auto"/>
            <w:hideMark/>
          </w:tcPr>
          <w:p w14:paraId="5BF528E9" w14:textId="77777777" w:rsidR="001D29B0" w:rsidRPr="00AB6091" w:rsidRDefault="001D29B0" w:rsidP="00EB0B3E">
            <w:pPr>
              <w:pStyle w:val="NormalWeb"/>
              <w:rPr>
                <w:sz w:val="18"/>
                <w:szCs w:val="18"/>
                <w:lang w:val="en-GB"/>
              </w:rPr>
            </w:pPr>
            <w:r w:rsidRPr="00AB6091">
              <w:rPr>
                <w:sz w:val="18"/>
                <w:szCs w:val="18"/>
                <w:lang w:val="en-GB"/>
              </w:rPr>
              <w:t>0 (0)</w:t>
            </w:r>
          </w:p>
        </w:tc>
      </w:tr>
      <w:tr w:rsidR="001D29B0" w:rsidRPr="00AB6091" w14:paraId="15800DA0"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bottom w:val="single" w:sz="2" w:space="0" w:color="000000" w:themeColor="text1"/>
            </w:tcBorders>
            <w:shd w:val="clear" w:color="auto" w:fill="auto"/>
            <w:hideMark/>
          </w:tcPr>
          <w:p w14:paraId="1CB2C16E" w14:textId="77777777" w:rsidR="001D29B0" w:rsidRPr="00AB6091" w:rsidRDefault="001D29B0" w:rsidP="00EB0B3E">
            <w:pPr>
              <w:rPr>
                <w:sz w:val="18"/>
                <w:szCs w:val="18"/>
                <w:lang w:val="en-GB"/>
              </w:rPr>
            </w:pPr>
          </w:p>
        </w:tc>
        <w:tc>
          <w:tcPr>
            <w:tcW w:w="3480" w:type="dxa"/>
            <w:shd w:val="clear" w:color="auto" w:fill="auto"/>
            <w:hideMark/>
          </w:tcPr>
          <w:p w14:paraId="10B34925" w14:textId="77777777" w:rsidR="001D29B0" w:rsidRPr="00AB6091" w:rsidRDefault="001D29B0" w:rsidP="00EB0B3E">
            <w:pPr>
              <w:pStyle w:val="NormalWeb"/>
              <w:rPr>
                <w:sz w:val="18"/>
                <w:szCs w:val="18"/>
                <w:lang w:val="en-GB"/>
              </w:rPr>
            </w:pPr>
            <w:r w:rsidRPr="00AB6091">
              <w:rPr>
                <w:sz w:val="18"/>
                <w:szCs w:val="18"/>
                <w:lang w:val="en-GB"/>
              </w:rPr>
              <w:t>Outer regional</w:t>
            </w:r>
          </w:p>
        </w:tc>
        <w:tc>
          <w:tcPr>
            <w:tcW w:w="3480" w:type="dxa"/>
            <w:shd w:val="clear" w:color="auto" w:fill="auto"/>
            <w:hideMark/>
          </w:tcPr>
          <w:p w14:paraId="4909BC0D" w14:textId="77777777" w:rsidR="001D29B0" w:rsidRPr="00AB6091" w:rsidRDefault="001D29B0" w:rsidP="00EB0B3E">
            <w:pPr>
              <w:pStyle w:val="NormalWeb"/>
              <w:rPr>
                <w:sz w:val="18"/>
                <w:szCs w:val="18"/>
                <w:lang w:val="en-GB"/>
              </w:rPr>
            </w:pPr>
            <w:r w:rsidRPr="00AB6091">
              <w:rPr>
                <w:sz w:val="18"/>
                <w:szCs w:val="18"/>
                <w:lang w:val="en-GB"/>
              </w:rPr>
              <w:t>211 (30)</w:t>
            </w:r>
          </w:p>
        </w:tc>
      </w:tr>
      <w:tr w:rsidR="001D29B0" w:rsidRPr="00AB6091" w14:paraId="4A125842" w14:textId="77777777" w:rsidTr="001D29B0">
        <w:trPr>
          <w:divId w:val="248467387"/>
        </w:trPr>
        <w:tc>
          <w:tcPr>
            <w:tcW w:w="3480" w:type="dxa"/>
            <w:vMerge/>
            <w:tcBorders>
              <w:bottom w:val="single" w:sz="2" w:space="0" w:color="000000" w:themeColor="text1"/>
            </w:tcBorders>
            <w:shd w:val="clear" w:color="auto" w:fill="auto"/>
            <w:hideMark/>
          </w:tcPr>
          <w:p w14:paraId="6C9770DD" w14:textId="77777777" w:rsidR="001D29B0" w:rsidRPr="00AB6091" w:rsidRDefault="001D29B0" w:rsidP="00EB0B3E">
            <w:pPr>
              <w:rPr>
                <w:sz w:val="18"/>
                <w:szCs w:val="18"/>
                <w:lang w:val="en-GB"/>
              </w:rPr>
            </w:pPr>
          </w:p>
        </w:tc>
        <w:tc>
          <w:tcPr>
            <w:tcW w:w="3480" w:type="dxa"/>
            <w:shd w:val="clear" w:color="auto" w:fill="auto"/>
            <w:hideMark/>
          </w:tcPr>
          <w:p w14:paraId="08D1C1E7" w14:textId="77777777" w:rsidR="001D29B0" w:rsidRPr="00AB6091" w:rsidRDefault="001D29B0" w:rsidP="00EB0B3E">
            <w:pPr>
              <w:pStyle w:val="NormalWeb"/>
              <w:rPr>
                <w:sz w:val="18"/>
                <w:szCs w:val="18"/>
                <w:lang w:val="en-GB"/>
              </w:rPr>
            </w:pPr>
            <w:r w:rsidRPr="00AB6091">
              <w:rPr>
                <w:sz w:val="18"/>
                <w:szCs w:val="18"/>
                <w:lang w:val="en-GB"/>
              </w:rPr>
              <w:t>Remote</w:t>
            </w:r>
          </w:p>
        </w:tc>
        <w:tc>
          <w:tcPr>
            <w:tcW w:w="3480" w:type="dxa"/>
            <w:shd w:val="clear" w:color="auto" w:fill="auto"/>
            <w:hideMark/>
          </w:tcPr>
          <w:p w14:paraId="720878E2" w14:textId="77777777" w:rsidR="001D29B0" w:rsidRPr="00AB6091" w:rsidRDefault="001D29B0" w:rsidP="00EB0B3E">
            <w:pPr>
              <w:pStyle w:val="NormalWeb"/>
              <w:rPr>
                <w:sz w:val="18"/>
                <w:szCs w:val="18"/>
                <w:lang w:val="en-GB"/>
              </w:rPr>
            </w:pPr>
            <w:r w:rsidRPr="00AB6091">
              <w:rPr>
                <w:sz w:val="18"/>
                <w:szCs w:val="18"/>
                <w:lang w:val="en-GB"/>
              </w:rPr>
              <w:t>196 (28)</w:t>
            </w:r>
          </w:p>
        </w:tc>
      </w:tr>
      <w:tr w:rsidR="001D29B0" w:rsidRPr="00AB6091" w14:paraId="6C678BD0"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bottom w:val="single" w:sz="2" w:space="0" w:color="000000" w:themeColor="text1"/>
            </w:tcBorders>
            <w:shd w:val="clear" w:color="auto" w:fill="auto"/>
            <w:hideMark/>
          </w:tcPr>
          <w:p w14:paraId="3CD0B405" w14:textId="77777777" w:rsidR="001D29B0" w:rsidRPr="00AB6091" w:rsidRDefault="001D29B0" w:rsidP="00EB0B3E">
            <w:pPr>
              <w:rPr>
                <w:sz w:val="18"/>
                <w:szCs w:val="18"/>
                <w:lang w:val="en-GB"/>
              </w:rPr>
            </w:pPr>
          </w:p>
        </w:tc>
        <w:tc>
          <w:tcPr>
            <w:tcW w:w="3480" w:type="dxa"/>
            <w:shd w:val="clear" w:color="auto" w:fill="auto"/>
            <w:hideMark/>
          </w:tcPr>
          <w:p w14:paraId="2D96E7B4" w14:textId="77777777" w:rsidR="001D29B0" w:rsidRPr="00AB6091" w:rsidRDefault="001D29B0" w:rsidP="00EB0B3E">
            <w:pPr>
              <w:pStyle w:val="NormalWeb"/>
              <w:rPr>
                <w:sz w:val="18"/>
                <w:szCs w:val="18"/>
                <w:lang w:val="en-GB"/>
              </w:rPr>
            </w:pPr>
            <w:r w:rsidRPr="00AB6091">
              <w:rPr>
                <w:sz w:val="18"/>
                <w:szCs w:val="18"/>
                <w:lang w:val="en-GB"/>
              </w:rPr>
              <w:t>Very remote</w:t>
            </w:r>
          </w:p>
        </w:tc>
        <w:tc>
          <w:tcPr>
            <w:tcW w:w="3480" w:type="dxa"/>
            <w:shd w:val="clear" w:color="auto" w:fill="auto"/>
            <w:hideMark/>
          </w:tcPr>
          <w:p w14:paraId="1143AD99" w14:textId="77777777" w:rsidR="001D29B0" w:rsidRPr="00AB6091" w:rsidRDefault="001D29B0" w:rsidP="00EB0B3E">
            <w:pPr>
              <w:pStyle w:val="NormalWeb"/>
              <w:rPr>
                <w:sz w:val="18"/>
                <w:szCs w:val="18"/>
                <w:lang w:val="en-GB"/>
              </w:rPr>
            </w:pPr>
            <w:r w:rsidRPr="00AB6091">
              <w:rPr>
                <w:sz w:val="18"/>
                <w:szCs w:val="18"/>
                <w:lang w:val="en-GB"/>
              </w:rPr>
              <w:t>251 (36)</w:t>
            </w:r>
          </w:p>
        </w:tc>
      </w:tr>
      <w:tr w:rsidR="001D29B0" w:rsidRPr="00AB6091" w14:paraId="0578CA4A" w14:textId="77777777" w:rsidTr="001D29B0">
        <w:trPr>
          <w:divId w:val="248467387"/>
        </w:trPr>
        <w:tc>
          <w:tcPr>
            <w:tcW w:w="3480" w:type="dxa"/>
            <w:vMerge/>
            <w:tcBorders>
              <w:bottom w:val="single" w:sz="2" w:space="0" w:color="000000" w:themeColor="text1"/>
            </w:tcBorders>
            <w:shd w:val="clear" w:color="auto" w:fill="auto"/>
            <w:hideMark/>
          </w:tcPr>
          <w:p w14:paraId="5B6BA478" w14:textId="77777777" w:rsidR="001D29B0" w:rsidRPr="00AB6091" w:rsidRDefault="001D29B0" w:rsidP="00EB0B3E">
            <w:pPr>
              <w:rPr>
                <w:sz w:val="18"/>
                <w:szCs w:val="18"/>
                <w:lang w:val="en-GB"/>
              </w:rPr>
            </w:pPr>
          </w:p>
        </w:tc>
        <w:tc>
          <w:tcPr>
            <w:tcW w:w="3480" w:type="dxa"/>
            <w:tcBorders>
              <w:bottom w:val="single" w:sz="2" w:space="0" w:color="0D0D0D" w:themeColor="text1" w:themeTint="F2"/>
            </w:tcBorders>
            <w:shd w:val="clear" w:color="auto" w:fill="auto"/>
            <w:hideMark/>
          </w:tcPr>
          <w:p w14:paraId="4B917DD0" w14:textId="77777777" w:rsidR="001D29B0" w:rsidRPr="00AB6091" w:rsidRDefault="001D29B0" w:rsidP="00EB0B3E">
            <w:pPr>
              <w:pStyle w:val="NormalWeb"/>
              <w:rPr>
                <w:sz w:val="18"/>
                <w:szCs w:val="18"/>
                <w:lang w:val="en-GB"/>
              </w:rPr>
            </w:pPr>
            <w:r w:rsidRPr="00AB6091">
              <w:rPr>
                <w:sz w:val="18"/>
                <w:szCs w:val="18"/>
                <w:lang w:val="en-GB"/>
              </w:rPr>
              <w:t>Interstate / unknown</w:t>
            </w:r>
          </w:p>
        </w:tc>
        <w:tc>
          <w:tcPr>
            <w:tcW w:w="3480" w:type="dxa"/>
            <w:tcBorders>
              <w:bottom w:val="single" w:sz="2" w:space="0" w:color="0D0D0D" w:themeColor="text1" w:themeTint="F2"/>
            </w:tcBorders>
            <w:shd w:val="clear" w:color="auto" w:fill="auto"/>
            <w:hideMark/>
          </w:tcPr>
          <w:p w14:paraId="279475D2" w14:textId="77777777" w:rsidR="001D29B0" w:rsidRPr="00AB6091" w:rsidRDefault="001D29B0" w:rsidP="00EB0B3E">
            <w:pPr>
              <w:pStyle w:val="NormalWeb"/>
              <w:rPr>
                <w:sz w:val="18"/>
                <w:szCs w:val="18"/>
                <w:lang w:val="en-GB"/>
              </w:rPr>
            </w:pPr>
            <w:r w:rsidRPr="00AB6091">
              <w:rPr>
                <w:sz w:val="18"/>
                <w:szCs w:val="18"/>
                <w:lang w:val="en-GB"/>
              </w:rPr>
              <w:t>34 (5)</w:t>
            </w:r>
          </w:p>
        </w:tc>
      </w:tr>
      <w:tr w:rsidR="001D29B0" w:rsidRPr="00AB6091" w14:paraId="3367AE19"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val="restart"/>
            <w:tcBorders>
              <w:top w:val="single" w:sz="2" w:space="0" w:color="000000" w:themeColor="text1"/>
              <w:bottom w:val="single" w:sz="2" w:space="0" w:color="000000" w:themeColor="text1"/>
            </w:tcBorders>
            <w:shd w:val="clear" w:color="auto" w:fill="auto"/>
            <w:hideMark/>
          </w:tcPr>
          <w:p w14:paraId="05F539ED" w14:textId="77777777" w:rsidR="001D29B0" w:rsidRPr="00AB6091" w:rsidRDefault="001D29B0" w:rsidP="00EB0B3E">
            <w:pPr>
              <w:pStyle w:val="NormalWeb"/>
              <w:rPr>
                <w:sz w:val="18"/>
                <w:szCs w:val="18"/>
                <w:lang w:val="en-GB"/>
              </w:rPr>
            </w:pPr>
            <w:r w:rsidRPr="00AB6091">
              <w:rPr>
                <w:sz w:val="18"/>
                <w:szCs w:val="18"/>
                <w:lang w:val="en-GB"/>
              </w:rPr>
              <w:t>Socio-economic status</w:t>
            </w:r>
            <w:r>
              <w:rPr>
                <w:sz w:val="18"/>
                <w:szCs w:val="18"/>
                <w:lang w:val="en-GB"/>
              </w:rPr>
              <w:t xml:space="preserve"> </w:t>
            </w:r>
            <w:r w:rsidRPr="009E3920">
              <w:rPr>
                <w:sz w:val="18"/>
                <w:szCs w:val="18"/>
                <w:vertAlign w:val="superscript"/>
                <w:lang w:val="en-GB"/>
              </w:rPr>
              <w:t>b</w:t>
            </w:r>
          </w:p>
        </w:tc>
        <w:tc>
          <w:tcPr>
            <w:tcW w:w="3480" w:type="dxa"/>
            <w:tcBorders>
              <w:top w:val="single" w:sz="2" w:space="0" w:color="0D0D0D" w:themeColor="text1" w:themeTint="F2"/>
            </w:tcBorders>
            <w:shd w:val="clear" w:color="auto" w:fill="auto"/>
            <w:hideMark/>
          </w:tcPr>
          <w:p w14:paraId="2BBBDFB0" w14:textId="77777777" w:rsidR="001D29B0" w:rsidRPr="00AB6091" w:rsidRDefault="001D29B0" w:rsidP="00EB0B3E">
            <w:pPr>
              <w:pStyle w:val="NormalWeb"/>
              <w:rPr>
                <w:sz w:val="18"/>
                <w:szCs w:val="18"/>
                <w:lang w:val="en-GB"/>
              </w:rPr>
            </w:pPr>
            <w:r w:rsidRPr="00AB6091">
              <w:rPr>
                <w:sz w:val="18"/>
                <w:szCs w:val="18"/>
                <w:lang w:val="en-GB"/>
              </w:rPr>
              <w:t>Most disadvantaged</w:t>
            </w:r>
          </w:p>
        </w:tc>
        <w:tc>
          <w:tcPr>
            <w:tcW w:w="3480" w:type="dxa"/>
            <w:tcBorders>
              <w:top w:val="single" w:sz="2" w:space="0" w:color="0D0D0D" w:themeColor="text1" w:themeTint="F2"/>
            </w:tcBorders>
            <w:shd w:val="clear" w:color="auto" w:fill="auto"/>
            <w:hideMark/>
          </w:tcPr>
          <w:p w14:paraId="61812B51" w14:textId="77777777" w:rsidR="001D29B0" w:rsidRPr="00AB6091" w:rsidRDefault="001D29B0" w:rsidP="00EB0B3E">
            <w:pPr>
              <w:pStyle w:val="NormalWeb"/>
              <w:rPr>
                <w:sz w:val="18"/>
                <w:szCs w:val="18"/>
                <w:lang w:val="en-GB"/>
              </w:rPr>
            </w:pPr>
            <w:r w:rsidRPr="00AB6091">
              <w:rPr>
                <w:sz w:val="18"/>
                <w:szCs w:val="18"/>
                <w:lang w:val="en-GB"/>
              </w:rPr>
              <w:t>212 (31)</w:t>
            </w:r>
          </w:p>
        </w:tc>
      </w:tr>
      <w:tr w:rsidR="001D29B0" w:rsidRPr="00AB6091" w14:paraId="7BD27808" w14:textId="77777777" w:rsidTr="001D29B0">
        <w:trPr>
          <w:divId w:val="248467387"/>
        </w:trPr>
        <w:tc>
          <w:tcPr>
            <w:tcW w:w="3480" w:type="dxa"/>
            <w:vMerge/>
            <w:tcBorders>
              <w:bottom w:val="single" w:sz="2" w:space="0" w:color="000000" w:themeColor="text1"/>
            </w:tcBorders>
            <w:shd w:val="clear" w:color="auto" w:fill="auto"/>
            <w:hideMark/>
          </w:tcPr>
          <w:p w14:paraId="2B8ECF99" w14:textId="77777777" w:rsidR="001D29B0" w:rsidRPr="00AB6091" w:rsidRDefault="001D29B0" w:rsidP="00EB0B3E">
            <w:pPr>
              <w:rPr>
                <w:sz w:val="18"/>
                <w:szCs w:val="18"/>
                <w:lang w:val="en-GB"/>
              </w:rPr>
            </w:pPr>
          </w:p>
        </w:tc>
        <w:tc>
          <w:tcPr>
            <w:tcW w:w="3480" w:type="dxa"/>
            <w:shd w:val="clear" w:color="auto" w:fill="auto"/>
            <w:hideMark/>
          </w:tcPr>
          <w:p w14:paraId="20BEE43F" w14:textId="77777777" w:rsidR="001D29B0" w:rsidRPr="00AB6091" w:rsidRDefault="001D29B0" w:rsidP="00EB0B3E">
            <w:pPr>
              <w:pStyle w:val="NormalWeb"/>
              <w:rPr>
                <w:sz w:val="18"/>
                <w:szCs w:val="18"/>
                <w:lang w:val="en-GB"/>
              </w:rPr>
            </w:pPr>
            <w:r w:rsidRPr="00AB6091">
              <w:rPr>
                <w:sz w:val="18"/>
                <w:szCs w:val="18"/>
                <w:lang w:val="en-GB"/>
              </w:rPr>
              <w:t>More disadvantaged</w:t>
            </w:r>
          </w:p>
        </w:tc>
        <w:tc>
          <w:tcPr>
            <w:tcW w:w="3480" w:type="dxa"/>
            <w:shd w:val="clear" w:color="auto" w:fill="auto"/>
            <w:hideMark/>
          </w:tcPr>
          <w:p w14:paraId="5646F930" w14:textId="77777777" w:rsidR="001D29B0" w:rsidRPr="00AB6091" w:rsidRDefault="001D29B0" w:rsidP="00EB0B3E">
            <w:pPr>
              <w:pStyle w:val="NormalWeb"/>
              <w:rPr>
                <w:sz w:val="18"/>
                <w:szCs w:val="18"/>
                <w:lang w:val="en-GB"/>
              </w:rPr>
            </w:pPr>
            <w:r w:rsidRPr="00AB6091">
              <w:rPr>
                <w:sz w:val="18"/>
                <w:szCs w:val="18"/>
                <w:lang w:val="en-GB"/>
              </w:rPr>
              <w:t>179 (26)</w:t>
            </w:r>
          </w:p>
        </w:tc>
      </w:tr>
      <w:tr w:rsidR="001D29B0" w:rsidRPr="00AB6091" w14:paraId="640F0F12"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top w:val="single" w:sz="2" w:space="0" w:color="auto"/>
              <w:bottom w:val="single" w:sz="2" w:space="0" w:color="000000" w:themeColor="text1"/>
            </w:tcBorders>
            <w:shd w:val="clear" w:color="auto" w:fill="auto"/>
            <w:hideMark/>
          </w:tcPr>
          <w:p w14:paraId="5453C3B1" w14:textId="77777777" w:rsidR="001D29B0" w:rsidRPr="00AB6091" w:rsidRDefault="001D29B0" w:rsidP="00EB0B3E">
            <w:pPr>
              <w:rPr>
                <w:sz w:val="18"/>
                <w:szCs w:val="18"/>
                <w:lang w:val="en-GB"/>
              </w:rPr>
            </w:pPr>
          </w:p>
        </w:tc>
        <w:tc>
          <w:tcPr>
            <w:tcW w:w="3480" w:type="dxa"/>
            <w:shd w:val="clear" w:color="auto" w:fill="auto"/>
            <w:hideMark/>
          </w:tcPr>
          <w:p w14:paraId="2C872FA6" w14:textId="77777777" w:rsidR="001D29B0" w:rsidRPr="00AB6091" w:rsidRDefault="001D29B0" w:rsidP="00EB0B3E">
            <w:pPr>
              <w:pStyle w:val="NormalWeb"/>
              <w:rPr>
                <w:sz w:val="18"/>
                <w:szCs w:val="18"/>
                <w:lang w:val="en-GB"/>
              </w:rPr>
            </w:pPr>
            <w:r w:rsidRPr="00AB6091">
              <w:rPr>
                <w:sz w:val="18"/>
                <w:szCs w:val="18"/>
                <w:lang w:val="en-GB"/>
              </w:rPr>
              <w:t>Moderately disadvantaged</w:t>
            </w:r>
          </w:p>
        </w:tc>
        <w:tc>
          <w:tcPr>
            <w:tcW w:w="3480" w:type="dxa"/>
            <w:shd w:val="clear" w:color="auto" w:fill="auto"/>
            <w:hideMark/>
          </w:tcPr>
          <w:p w14:paraId="593BBEAE" w14:textId="77777777" w:rsidR="001D29B0" w:rsidRPr="00AB6091" w:rsidRDefault="001D29B0" w:rsidP="00EB0B3E">
            <w:pPr>
              <w:pStyle w:val="NormalWeb"/>
              <w:rPr>
                <w:sz w:val="18"/>
                <w:szCs w:val="18"/>
                <w:lang w:val="en-GB"/>
              </w:rPr>
            </w:pPr>
            <w:r w:rsidRPr="00AB6091">
              <w:rPr>
                <w:sz w:val="18"/>
                <w:szCs w:val="18"/>
                <w:lang w:val="en-GB"/>
              </w:rPr>
              <w:t>179 (26)</w:t>
            </w:r>
          </w:p>
        </w:tc>
      </w:tr>
      <w:tr w:rsidR="001D29B0" w:rsidRPr="00AB6091" w14:paraId="236D9B51" w14:textId="77777777" w:rsidTr="001D29B0">
        <w:trPr>
          <w:divId w:val="248467387"/>
        </w:trPr>
        <w:tc>
          <w:tcPr>
            <w:tcW w:w="3480" w:type="dxa"/>
            <w:vMerge/>
            <w:tcBorders>
              <w:bottom w:val="single" w:sz="2" w:space="0" w:color="000000" w:themeColor="text1"/>
            </w:tcBorders>
            <w:shd w:val="clear" w:color="auto" w:fill="auto"/>
            <w:hideMark/>
          </w:tcPr>
          <w:p w14:paraId="30C21B07" w14:textId="77777777" w:rsidR="001D29B0" w:rsidRPr="00AB6091" w:rsidRDefault="001D29B0" w:rsidP="00EB0B3E">
            <w:pPr>
              <w:rPr>
                <w:sz w:val="18"/>
                <w:szCs w:val="18"/>
                <w:lang w:val="en-GB"/>
              </w:rPr>
            </w:pPr>
          </w:p>
        </w:tc>
        <w:tc>
          <w:tcPr>
            <w:tcW w:w="3480" w:type="dxa"/>
            <w:shd w:val="clear" w:color="auto" w:fill="auto"/>
            <w:hideMark/>
          </w:tcPr>
          <w:p w14:paraId="2193AE31" w14:textId="77777777" w:rsidR="001D29B0" w:rsidRPr="00AB6091" w:rsidRDefault="001D29B0" w:rsidP="00EB0B3E">
            <w:pPr>
              <w:pStyle w:val="NormalWeb"/>
              <w:rPr>
                <w:sz w:val="18"/>
                <w:szCs w:val="18"/>
                <w:lang w:val="en-GB"/>
              </w:rPr>
            </w:pPr>
            <w:r w:rsidRPr="00AB6091">
              <w:rPr>
                <w:sz w:val="18"/>
                <w:szCs w:val="18"/>
                <w:lang w:val="en-GB"/>
              </w:rPr>
              <w:t>Less disadvantaged</w:t>
            </w:r>
          </w:p>
        </w:tc>
        <w:tc>
          <w:tcPr>
            <w:tcW w:w="3480" w:type="dxa"/>
            <w:shd w:val="clear" w:color="auto" w:fill="auto"/>
            <w:hideMark/>
          </w:tcPr>
          <w:p w14:paraId="398E4EB0" w14:textId="77777777" w:rsidR="001D29B0" w:rsidRPr="00AB6091" w:rsidRDefault="001D29B0" w:rsidP="00EB0B3E">
            <w:pPr>
              <w:pStyle w:val="NormalWeb"/>
              <w:rPr>
                <w:sz w:val="18"/>
                <w:szCs w:val="18"/>
                <w:lang w:val="en-GB"/>
              </w:rPr>
            </w:pPr>
            <w:r w:rsidRPr="00AB6091">
              <w:rPr>
                <w:sz w:val="18"/>
                <w:szCs w:val="18"/>
                <w:lang w:val="en-GB"/>
              </w:rPr>
              <w:t>32 (5)</w:t>
            </w:r>
          </w:p>
        </w:tc>
      </w:tr>
      <w:tr w:rsidR="001D29B0" w:rsidRPr="00AB6091" w14:paraId="22C14FFD" w14:textId="77777777" w:rsidTr="001D29B0">
        <w:trPr>
          <w:cnfStyle w:val="000000010000" w:firstRow="0" w:lastRow="0" w:firstColumn="0" w:lastColumn="0" w:oddVBand="0" w:evenVBand="0" w:oddHBand="0" w:evenHBand="1" w:firstRowFirstColumn="0" w:firstRowLastColumn="0" w:lastRowFirstColumn="0" w:lastRowLastColumn="0"/>
          <w:divId w:val="248467387"/>
        </w:trPr>
        <w:tc>
          <w:tcPr>
            <w:tcW w:w="3480" w:type="dxa"/>
            <w:vMerge/>
            <w:tcBorders>
              <w:bottom w:val="single" w:sz="2" w:space="0" w:color="000000" w:themeColor="text1"/>
            </w:tcBorders>
            <w:shd w:val="clear" w:color="auto" w:fill="auto"/>
            <w:hideMark/>
          </w:tcPr>
          <w:p w14:paraId="3EEC430D" w14:textId="77777777" w:rsidR="001D29B0" w:rsidRPr="00AB6091" w:rsidRDefault="001D29B0" w:rsidP="00EB0B3E">
            <w:pPr>
              <w:rPr>
                <w:sz w:val="18"/>
                <w:szCs w:val="18"/>
                <w:lang w:val="en-GB"/>
              </w:rPr>
            </w:pPr>
          </w:p>
        </w:tc>
        <w:tc>
          <w:tcPr>
            <w:tcW w:w="3480" w:type="dxa"/>
            <w:shd w:val="clear" w:color="auto" w:fill="auto"/>
            <w:hideMark/>
          </w:tcPr>
          <w:p w14:paraId="08D50E49" w14:textId="77777777" w:rsidR="001D29B0" w:rsidRPr="00AB6091" w:rsidRDefault="001D29B0" w:rsidP="00EB0B3E">
            <w:pPr>
              <w:pStyle w:val="NormalWeb"/>
              <w:rPr>
                <w:sz w:val="18"/>
                <w:szCs w:val="18"/>
                <w:lang w:val="en-GB"/>
              </w:rPr>
            </w:pPr>
            <w:r w:rsidRPr="00AB6091">
              <w:rPr>
                <w:sz w:val="18"/>
                <w:szCs w:val="18"/>
                <w:lang w:val="en-GB"/>
              </w:rPr>
              <w:t>Least disadvantaged</w:t>
            </w:r>
          </w:p>
        </w:tc>
        <w:tc>
          <w:tcPr>
            <w:tcW w:w="3480" w:type="dxa"/>
            <w:shd w:val="clear" w:color="auto" w:fill="auto"/>
            <w:hideMark/>
          </w:tcPr>
          <w:p w14:paraId="7091C1B6" w14:textId="77777777" w:rsidR="001D29B0" w:rsidRPr="00AB6091" w:rsidRDefault="001D29B0" w:rsidP="00EB0B3E">
            <w:pPr>
              <w:pStyle w:val="NormalWeb"/>
              <w:rPr>
                <w:sz w:val="18"/>
                <w:szCs w:val="18"/>
                <w:lang w:val="en-GB"/>
              </w:rPr>
            </w:pPr>
            <w:r w:rsidRPr="00AB6091">
              <w:rPr>
                <w:sz w:val="18"/>
                <w:szCs w:val="18"/>
                <w:lang w:val="en-GB"/>
              </w:rPr>
              <w:t>56 (8)</w:t>
            </w:r>
          </w:p>
        </w:tc>
      </w:tr>
      <w:tr w:rsidR="001D29B0" w:rsidRPr="00AB6091" w14:paraId="679FA5B8" w14:textId="77777777" w:rsidTr="001D29B0">
        <w:trPr>
          <w:divId w:val="248467387"/>
        </w:trPr>
        <w:tc>
          <w:tcPr>
            <w:tcW w:w="3480" w:type="dxa"/>
            <w:vMerge/>
            <w:tcBorders>
              <w:bottom w:val="single" w:sz="2" w:space="0" w:color="000000" w:themeColor="text1"/>
            </w:tcBorders>
            <w:shd w:val="clear" w:color="auto" w:fill="auto"/>
            <w:hideMark/>
          </w:tcPr>
          <w:p w14:paraId="6D2673E6" w14:textId="77777777" w:rsidR="001D29B0" w:rsidRPr="00AB6091" w:rsidRDefault="001D29B0" w:rsidP="00EB0B3E">
            <w:pPr>
              <w:rPr>
                <w:sz w:val="18"/>
                <w:szCs w:val="18"/>
                <w:lang w:val="en-GB"/>
              </w:rPr>
            </w:pPr>
          </w:p>
        </w:tc>
        <w:tc>
          <w:tcPr>
            <w:tcW w:w="3480" w:type="dxa"/>
            <w:tcBorders>
              <w:bottom w:val="single" w:sz="2" w:space="0" w:color="auto"/>
            </w:tcBorders>
            <w:shd w:val="clear" w:color="auto" w:fill="auto"/>
            <w:hideMark/>
          </w:tcPr>
          <w:p w14:paraId="77393A55" w14:textId="77777777" w:rsidR="001D29B0" w:rsidRPr="00AB6091" w:rsidRDefault="001D29B0" w:rsidP="00EB0B3E">
            <w:pPr>
              <w:pStyle w:val="NormalWeb"/>
              <w:rPr>
                <w:sz w:val="18"/>
                <w:szCs w:val="18"/>
                <w:lang w:val="en-GB"/>
              </w:rPr>
            </w:pPr>
            <w:r w:rsidRPr="00AB6091">
              <w:rPr>
                <w:sz w:val="18"/>
                <w:szCs w:val="18"/>
                <w:lang w:val="en-GB"/>
              </w:rPr>
              <w:t>Interstate / unknown</w:t>
            </w:r>
          </w:p>
        </w:tc>
        <w:tc>
          <w:tcPr>
            <w:tcW w:w="3480" w:type="dxa"/>
            <w:tcBorders>
              <w:bottom w:val="single" w:sz="2" w:space="0" w:color="auto"/>
            </w:tcBorders>
            <w:shd w:val="clear" w:color="auto" w:fill="auto"/>
            <w:hideMark/>
          </w:tcPr>
          <w:p w14:paraId="697FD1C7" w14:textId="77777777" w:rsidR="001D29B0" w:rsidRPr="00AB6091" w:rsidRDefault="001D29B0" w:rsidP="00EB0B3E">
            <w:pPr>
              <w:pStyle w:val="NormalWeb"/>
              <w:rPr>
                <w:sz w:val="18"/>
                <w:szCs w:val="18"/>
                <w:lang w:val="en-GB"/>
              </w:rPr>
            </w:pPr>
            <w:r w:rsidRPr="00AB6091">
              <w:rPr>
                <w:sz w:val="18"/>
                <w:szCs w:val="18"/>
                <w:lang w:val="en-GB"/>
              </w:rPr>
              <w:t>34 (5)</w:t>
            </w:r>
          </w:p>
        </w:tc>
      </w:tr>
    </w:tbl>
    <w:p w14:paraId="72A5694B" w14:textId="77777777" w:rsidR="001D29B0" w:rsidRDefault="001D29B0" w:rsidP="001D29B0">
      <w:pPr>
        <w:pStyle w:val="CDIfootnotes"/>
        <w:divId w:val="248467387"/>
        <w:rPr>
          <w:lang w:val="en-GB"/>
        </w:rPr>
      </w:pPr>
      <w:proofErr w:type="gramStart"/>
      <w:r>
        <w:rPr>
          <w:lang w:val="en-GB"/>
        </w:rPr>
        <w:t>a</w:t>
      </w:r>
      <w:proofErr w:type="gramEnd"/>
      <w:r>
        <w:rPr>
          <w:lang w:val="en-GB"/>
        </w:rPr>
        <w:tab/>
        <w:t>Australian Statistical Geography Standard (ASGS) remoteness structure.</w:t>
      </w:r>
      <w:r w:rsidRPr="00186198">
        <w:rPr>
          <w:vertAlign w:val="superscript"/>
          <w:lang w:val="en-GB"/>
        </w:rPr>
        <w:t>12</w:t>
      </w:r>
    </w:p>
    <w:p w14:paraId="4EC56033" w14:textId="77777777" w:rsidR="001D29B0" w:rsidRDefault="001D29B0" w:rsidP="001D29B0">
      <w:pPr>
        <w:pStyle w:val="CDIfootnotes"/>
        <w:divId w:val="248467387"/>
        <w:rPr>
          <w:lang w:val="en-GB"/>
        </w:rPr>
      </w:pPr>
      <w:r>
        <w:rPr>
          <w:lang w:val="en-GB"/>
        </w:rPr>
        <w:t>b</w:t>
      </w:r>
      <w:r>
        <w:rPr>
          <w:lang w:val="en-GB"/>
        </w:rPr>
        <w:tab/>
        <w:t>Socio-economic Indexes for Areas (SEIFA) Index of Relative Social Disadvantage (IRSD) quintiles.</w:t>
      </w:r>
      <w:r w:rsidRPr="00AB6091">
        <w:rPr>
          <w:vertAlign w:val="superscript"/>
          <w:lang w:val="en-GB"/>
        </w:rPr>
        <w:t>14</w:t>
      </w:r>
    </w:p>
    <w:p w14:paraId="64CEFA22" w14:textId="6CE3997F" w:rsidR="00B86960" w:rsidRPr="00B86960" w:rsidRDefault="00B86960" w:rsidP="00B86960">
      <w:pPr>
        <w:pStyle w:val="Heading2"/>
        <w:divId w:val="248467387"/>
      </w:pPr>
      <w:r w:rsidRPr="00B86960">
        <w:t xml:space="preserve">Socio-environmental risk factors </w:t>
      </w:r>
    </w:p>
    <w:p w14:paraId="735EDD5D" w14:textId="1DA52FC6" w:rsidR="00B86960" w:rsidRDefault="00B86960" w:rsidP="00B86960">
      <w:pPr>
        <w:divId w:val="248467387"/>
      </w:pPr>
      <w:r>
        <w:t xml:space="preserve">Over half of patients (n = 380; 55%) were female and 511 cases (74%) occurred in Indigenous Australian people. Median age at diagnosis was 50 years (interquartile range (IQR): 37–63 years), and </w:t>
      </w:r>
      <w:proofErr w:type="gramStart"/>
      <w:r>
        <w:t>41</w:t>
      </w:r>
      <w:proofErr w:type="gramEnd"/>
      <w:r>
        <w:t xml:space="preserve"> cases (6%) </w:t>
      </w:r>
      <w:r w:rsidR="00186198">
        <w:t>were in</w:t>
      </w:r>
      <w:r>
        <w:t xml:space="preserve"> children under one year of age. 386 cases (56%) </w:t>
      </w:r>
      <w:proofErr w:type="gramStart"/>
      <w:r>
        <w:t>were diagnosed</w:t>
      </w:r>
      <w:proofErr w:type="gramEnd"/>
      <w:r>
        <w:t xml:space="preserve"> in the Top End and 306 (44%) in Central Australia. </w:t>
      </w:r>
    </w:p>
    <w:p w14:paraId="195F3206" w14:textId="1958CAB7" w:rsidR="00B86960" w:rsidRDefault="00B86960" w:rsidP="00B86960">
      <w:pPr>
        <w:divId w:val="248467387"/>
      </w:pPr>
      <w:r>
        <w:t xml:space="preserve">A total of 658 cases (95%) had an NT residential address and 407 of these patients (62%) were living in remote or very remote areas. As illustrated in Figure 2, the age-standardised incidence of </w:t>
      </w:r>
      <w:proofErr w:type="spellStart"/>
      <w:r>
        <w:t>iGAS</w:t>
      </w:r>
      <w:proofErr w:type="spellEnd"/>
      <w:r>
        <w:t xml:space="preserve"> disease was significantly higher among people living in very remote and remote areas than in those living in outer regional areas of the NT (IRR 3.7 </w:t>
      </w:r>
      <w:r>
        <w:lastRenderedPageBreak/>
        <w:t xml:space="preserve">for very remote vs outer regional location [95% CI: 2.0–6.6; </w:t>
      </w:r>
      <w:r w:rsidRPr="00854861">
        <w:rPr>
          <w:rStyle w:val="Emphasis"/>
          <w:b w:val="0"/>
          <w:bCs w:val="0"/>
        </w:rPr>
        <w:t>p</w:t>
      </w:r>
      <w:r>
        <w:t xml:space="preserve"> &lt; 0.001]; IRR 2.6 for remote vs outer regional location [95% CI: 1.4–4.9; </w:t>
      </w:r>
      <w:r w:rsidRPr="00854861">
        <w:rPr>
          <w:rStyle w:val="Emphasis"/>
          <w:b w:val="0"/>
          <w:bCs w:val="0"/>
        </w:rPr>
        <w:t>p</w:t>
      </w:r>
      <w:r>
        <w:t xml:space="preserve"> &lt; 0.001]).</w:t>
      </w:r>
    </w:p>
    <w:p w14:paraId="193CCE66" w14:textId="77777777" w:rsidR="001D29B0" w:rsidRPr="00AB6091" w:rsidRDefault="001D29B0" w:rsidP="001D29B0">
      <w:pPr>
        <w:pStyle w:val="CDIFigures"/>
        <w:divId w:val="248467387"/>
      </w:pPr>
      <w:r w:rsidRPr="00AB6091">
        <w:rPr>
          <w:rStyle w:val="Strong"/>
          <w:b/>
          <w:bCs w:val="0"/>
        </w:rPr>
        <w:t>Figure 2: Age-standardised incidence of invasive group A streptococcal disease by remoteness of residential location in the Northern Territory, May 2011 to April 2021</w:t>
      </w:r>
    </w:p>
    <w:p w14:paraId="4CC6EBB5" w14:textId="77777777" w:rsidR="001D29B0" w:rsidRDefault="001D29B0" w:rsidP="001D29B0">
      <w:pPr>
        <w:divId w:val="248467387"/>
        <w:rPr>
          <w:rFonts w:eastAsia="Times New Roman"/>
          <w:lang w:val="en-GB"/>
        </w:rPr>
      </w:pPr>
      <w:r>
        <w:rPr>
          <w:rFonts w:eastAsia="Times New Roman"/>
          <w:noProof/>
          <w:lang w:val="en-GB"/>
        </w:rPr>
        <w:drawing>
          <wp:inline distT="0" distB="0" distL="0" distR="0" wp14:anchorId="5F413CEB" wp14:editId="5167BE2C">
            <wp:extent cx="6625424" cy="4321216"/>
            <wp:effectExtent l="0" t="0" r="4445" b="3175"/>
            <wp:docPr id="2" name="Picture 2" descr="Figure 2 is a bar chart showing the incidence of iGAS disease in very remote vs remote vs outer regional areas of the NT, with 95% confidence intervals. The incidence was significantly higher in very remote than remote areas, and significantly higher in remote than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is a bar chart showing the incidence of iGAS disease in very remote vs remote vs outer regional areas of the NT, with 95% confidence intervals. The incidence was significantly higher in very remote than remote areas, and significantly higher in remote than outer regional are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6796" cy="4328633"/>
                    </a:xfrm>
                    <a:prstGeom prst="rect">
                      <a:avLst/>
                    </a:prstGeom>
                  </pic:spPr>
                </pic:pic>
              </a:graphicData>
            </a:graphic>
          </wp:inline>
        </w:drawing>
      </w:r>
    </w:p>
    <w:p w14:paraId="7E658F71" w14:textId="02304B6E" w:rsidR="001D29B0" w:rsidRDefault="001D29B0" w:rsidP="001D29B0">
      <w:pPr>
        <w:pStyle w:val="CDIfootnotes"/>
        <w:divId w:val="248467387"/>
      </w:pPr>
      <w:proofErr w:type="gramStart"/>
      <w:r w:rsidRPr="006755D0">
        <w:t>a</w:t>
      </w:r>
      <w:proofErr w:type="gramEnd"/>
      <w:r w:rsidRPr="006755D0">
        <w:tab/>
        <w:t>Australian Statistical Geography Standard (ASGS) remoteness structure.</w:t>
      </w:r>
    </w:p>
    <w:p w14:paraId="740EBFC2" w14:textId="77777777" w:rsidR="00B86960" w:rsidRDefault="00B86960" w:rsidP="00B86960">
      <w:pPr>
        <w:divId w:val="248467387"/>
      </w:pPr>
      <w:r>
        <w:t xml:space="preserve">Of the 658 resident cases, 570 (87%) were living in areas of at least moderate social disadvantage (decile 1–6). As shown in Figure 3, the incidence of </w:t>
      </w:r>
      <w:proofErr w:type="spellStart"/>
      <w:r>
        <w:t>iGAS</w:t>
      </w:r>
      <w:proofErr w:type="spellEnd"/>
      <w:r>
        <w:t xml:space="preserve"> disease was significantly higher in the groups with greater socio-economic disadvantage (IRR 5.9 for ‘most disadvantaged’ vs ‘least disadvantaged’ [95% CI: 2.9–13.6; </w:t>
      </w:r>
      <w:r w:rsidRPr="00854861">
        <w:rPr>
          <w:rStyle w:val="Emphasis"/>
          <w:b w:val="0"/>
          <w:bCs w:val="0"/>
        </w:rPr>
        <w:t>p</w:t>
      </w:r>
      <w:r>
        <w:t xml:space="preserve"> &lt; 0.001]; IRR 4.2 for ‘moderately disadvantaged’ vs ‘least disadvantaged’ [95% CI: 2.0–9.9; </w:t>
      </w:r>
      <w:r w:rsidRPr="00854861">
        <w:rPr>
          <w:rStyle w:val="Emphasis"/>
          <w:b w:val="0"/>
          <w:bCs w:val="0"/>
        </w:rPr>
        <w:t>p</w:t>
      </w:r>
      <w:r>
        <w:t xml:space="preserve"> &lt; 0.001]). The proportion of cases in the lowest IRSD quintile was 33% in Central Australia (100 of 306 cases) and 29% in the Top End (112 of 386). </w:t>
      </w:r>
    </w:p>
    <w:p w14:paraId="74DF5C6D" w14:textId="77777777" w:rsidR="00B86960" w:rsidRDefault="00B86960" w:rsidP="00B86960">
      <w:pPr>
        <w:divId w:val="248467387"/>
      </w:pPr>
      <w:r>
        <w:t xml:space="preserve">Seasonality of </w:t>
      </w:r>
      <w:proofErr w:type="spellStart"/>
      <w:r>
        <w:t>iGAS</w:t>
      </w:r>
      <w:proofErr w:type="spellEnd"/>
      <w:r>
        <w:t xml:space="preserve"> disease was not </w:t>
      </w:r>
      <w:proofErr w:type="gramStart"/>
      <w:r>
        <w:t>evident</w:t>
      </w:r>
      <w:proofErr w:type="gramEnd"/>
      <w:r>
        <w:t xml:space="preserve"> in Central Australia: 155 of 306 cases (51%; 95% CI: 0.45–0.56) were diagnosed in summer months (November–April), and 151 of 306 (49%; 95% CI: 0.44–0.55) in winter (May–October). In the Top End region there was a statistically significant dry season predominance: 225 of 386 cases (58%; 95% CI: 0.53–0.63) </w:t>
      </w:r>
      <w:proofErr w:type="gramStart"/>
      <w:r>
        <w:t>were diagnosed</w:t>
      </w:r>
      <w:proofErr w:type="gramEnd"/>
      <w:r>
        <w:t xml:space="preserve"> in the dry season (May–October), and 161 of 386 (42%; 95% CI: 0.37–0.47) in the wet season (November–April) (</w:t>
      </w:r>
      <w:r w:rsidRPr="00854861">
        <w:rPr>
          <w:rStyle w:val="Emphasis"/>
          <w:b w:val="0"/>
          <w:bCs w:val="0"/>
        </w:rPr>
        <w:t>p</w:t>
      </w:r>
      <w:r>
        <w:t xml:space="preserve"> &lt; 0.001). </w:t>
      </w:r>
    </w:p>
    <w:p w14:paraId="4EE26A01" w14:textId="77777777" w:rsidR="0088439D" w:rsidRDefault="0088439D">
      <w:pPr>
        <w:rPr>
          <w:rFonts w:asciiTheme="majorHAnsi" w:eastAsiaTheme="majorEastAsia" w:hAnsiTheme="majorHAnsi" w:cstheme="majorBidi"/>
          <w:b/>
          <w:bCs/>
          <w:sz w:val="26"/>
          <w:szCs w:val="26"/>
        </w:rPr>
      </w:pPr>
      <w:r>
        <w:br w:type="page"/>
      </w:r>
    </w:p>
    <w:p w14:paraId="5F09814D" w14:textId="77777777" w:rsidR="0088439D" w:rsidRPr="006755D0" w:rsidRDefault="0088439D" w:rsidP="0088439D">
      <w:pPr>
        <w:pStyle w:val="CDIFigures"/>
        <w:divId w:val="248467387"/>
      </w:pPr>
      <w:r w:rsidRPr="006755D0">
        <w:rPr>
          <w:rStyle w:val="Strong"/>
          <w:b/>
          <w:bCs w:val="0"/>
        </w:rPr>
        <w:lastRenderedPageBreak/>
        <w:t>Figure 3: Age-standardised incidence of invasive group A streptococcal disease by socio-economic status (of residential location) in the Northern Territory, May 2011 to April 2021</w:t>
      </w:r>
    </w:p>
    <w:p w14:paraId="0AB2581E" w14:textId="77777777" w:rsidR="0088439D" w:rsidRDefault="0088439D" w:rsidP="0088439D">
      <w:pPr>
        <w:divId w:val="248467387"/>
        <w:rPr>
          <w:rFonts w:eastAsia="Times New Roman"/>
          <w:lang w:val="en-GB"/>
        </w:rPr>
      </w:pPr>
      <w:r>
        <w:rPr>
          <w:rFonts w:eastAsia="Times New Roman"/>
          <w:noProof/>
          <w:lang w:val="en-GB"/>
        </w:rPr>
        <w:drawing>
          <wp:inline distT="0" distB="0" distL="0" distR="0" wp14:anchorId="385DA42F" wp14:editId="13F7762E">
            <wp:extent cx="6625424" cy="4418051"/>
            <wp:effectExtent l="0" t="0" r="4445" b="1905"/>
            <wp:docPr id="3" name="Picture 3" descr="Figure 3 is a bar chart showing the incidence of iGAS disease in the most disadvantaged vs moderately disadvantaged vs least disadvantaged socioeconomic deciles, with 95% confidence intervals. The incidence was highest in the most disadvantaged population, followed by moderately disadvantaged and then least disadvantaged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is a bar chart showing the incidence of iGAS disease in the most disadvantaged vs moderately disadvantaged vs least disadvantaged socioeconomic deciles, with 95% confidence intervals. The incidence was highest in the most disadvantaged population, followed by moderately disadvantaged and then least disadvantaged population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0231" cy="4421256"/>
                    </a:xfrm>
                    <a:prstGeom prst="rect">
                      <a:avLst/>
                    </a:prstGeom>
                  </pic:spPr>
                </pic:pic>
              </a:graphicData>
            </a:graphic>
          </wp:inline>
        </w:drawing>
      </w:r>
    </w:p>
    <w:p w14:paraId="76EB3503" w14:textId="77777777" w:rsidR="0088439D" w:rsidRPr="006755D0" w:rsidRDefault="0088439D" w:rsidP="0088439D">
      <w:pPr>
        <w:pStyle w:val="CDIfootnotes"/>
        <w:divId w:val="248467387"/>
      </w:pPr>
      <w:r w:rsidRPr="006755D0">
        <w:t>a</w:t>
      </w:r>
      <w:r w:rsidRPr="006755D0">
        <w:tab/>
        <w:t>Socio-economic Indexes for Areas (SEIFA) Index of Relative Social Disadvantage (IRSD): most disadvantaged = deciles 1–3, moderately disadvantaged = 4–6, least disadvantaged = 7–10.</w:t>
      </w:r>
    </w:p>
    <w:p w14:paraId="37E9B19E" w14:textId="1EA584C0" w:rsidR="00B86960" w:rsidRPr="00B86960" w:rsidRDefault="00B86960" w:rsidP="00B86960">
      <w:pPr>
        <w:pStyle w:val="Heading2"/>
        <w:divId w:val="248467387"/>
      </w:pPr>
      <w:r w:rsidRPr="00B86960">
        <w:t xml:space="preserve">Disease clusters </w:t>
      </w:r>
    </w:p>
    <w:p w14:paraId="1B4FC328" w14:textId="77777777" w:rsidR="00B86960" w:rsidRDefault="00B86960" w:rsidP="00B86960">
      <w:pPr>
        <w:divId w:val="248467387"/>
      </w:pPr>
      <w:r>
        <w:t xml:space="preserve">Five molecularly-confirmed clusters of </w:t>
      </w:r>
      <w:proofErr w:type="spellStart"/>
      <w:r>
        <w:t>iGAS</w:t>
      </w:r>
      <w:proofErr w:type="spellEnd"/>
      <w:r>
        <w:t xml:space="preserve"> disease were identified from the May 2011 – April 2021 study period: (1) two cases within a household between twin infants (</w:t>
      </w:r>
      <w:proofErr w:type="spellStart"/>
      <w:r w:rsidRPr="00854861">
        <w:rPr>
          <w:rStyle w:val="Emphasis"/>
          <w:b w:val="0"/>
          <w:bCs w:val="0"/>
        </w:rPr>
        <w:t>emm</w:t>
      </w:r>
      <w:proofErr w:type="spellEnd"/>
      <w:r>
        <w:t xml:space="preserve"> type 207.1); (2) two in elderly patients in a residential hostel, one of whom died (multi-locus sequence type 392); (3) two in peri-partum women admitted to the same maternity ward (</w:t>
      </w:r>
      <w:proofErr w:type="spellStart"/>
      <w:r w:rsidRPr="00854861">
        <w:rPr>
          <w:rStyle w:val="Emphasis"/>
          <w:b w:val="0"/>
          <w:bCs w:val="0"/>
        </w:rPr>
        <w:t>emm</w:t>
      </w:r>
      <w:proofErr w:type="spellEnd"/>
      <w:r>
        <w:t xml:space="preserve"> type 28.5); (4) three in children attending a childcare facility (</w:t>
      </w:r>
      <w:proofErr w:type="spellStart"/>
      <w:r w:rsidRPr="00854861">
        <w:rPr>
          <w:rStyle w:val="Emphasis"/>
          <w:b w:val="0"/>
          <w:bCs w:val="0"/>
        </w:rPr>
        <w:t>emm</w:t>
      </w:r>
      <w:proofErr w:type="spellEnd"/>
      <w:r>
        <w:t xml:space="preserve"> type 4.0); and (5) two in patients attending the same haemodialysis unit (</w:t>
      </w:r>
      <w:proofErr w:type="spellStart"/>
      <w:r w:rsidRPr="00854861">
        <w:rPr>
          <w:rStyle w:val="Emphasis"/>
          <w:b w:val="0"/>
          <w:bCs w:val="0"/>
        </w:rPr>
        <w:t>emm</w:t>
      </w:r>
      <w:proofErr w:type="spellEnd"/>
      <w:r>
        <w:t xml:space="preserve"> type 114.6). </w:t>
      </w:r>
    </w:p>
    <w:p w14:paraId="5DFE9751" w14:textId="77777777" w:rsidR="00B86960" w:rsidRPr="00B86960" w:rsidRDefault="00B86960" w:rsidP="00B86960">
      <w:pPr>
        <w:pStyle w:val="Heading2"/>
        <w:divId w:val="248467387"/>
      </w:pPr>
      <w:r w:rsidRPr="00B86960">
        <w:t xml:space="preserve">Severity and all-cause mortality </w:t>
      </w:r>
    </w:p>
    <w:p w14:paraId="0AFFEAB3" w14:textId="77777777" w:rsidR="00B86960" w:rsidRDefault="00B86960" w:rsidP="00B86960">
      <w:pPr>
        <w:divId w:val="248467387"/>
      </w:pPr>
      <w:r>
        <w:t xml:space="preserve">Severity </w:t>
      </w:r>
      <w:proofErr w:type="gramStart"/>
      <w:r>
        <w:t>was recorded</w:t>
      </w:r>
      <w:proofErr w:type="gramEnd"/>
      <w:r>
        <w:t xml:space="preserve"> for 378 cases, of which 135 (36%) met the NT criteria for severe </w:t>
      </w:r>
      <w:proofErr w:type="spellStart"/>
      <w:r>
        <w:t>iGAS</w:t>
      </w:r>
      <w:proofErr w:type="spellEnd"/>
      <w:r>
        <w:t xml:space="preserve"> disease. For the total study cohort, the all-cause mortality rate at 7 days after diagnosis was 4% (n = 30) and at 30 days was 6% (n = 40). The 30-day mortality rate was equivalent in Indigenous Australians (6%, n = 30) and non-Indigenous Australians (6%, n = 10; </w:t>
      </w:r>
      <w:r w:rsidRPr="00854861">
        <w:rPr>
          <w:rStyle w:val="Emphasis"/>
          <w:b w:val="0"/>
          <w:bCs w:val="0"/>
        </w:rPr>
        <w:t>p</w:t>
      </w:r>
      <w:r>
        <w:t xml:space="preserve"> = 0.86), and was similar between dialysis (8%, n = 10) and non-dialysis patients (5%, n = 30; </w:t>
      </w:r>
      <w:r w:rsidRPr="00854861">
        <w:rPr>
          <w:rStyle w:val="Emphasis"/>
          <w:b w:val="0"/>
          <w:bCs w:val="0"/>
        </w:rPr>
        <w:t>p</w:t>
      </w:r>
      <w:r>
        <w:t xml:space="preserve"> = 0.34). When stratified by remoteness-of-residence, the 30-day mortality rate was similar across all areas: 8% (n = 16) in patients from outer-regional areas, 6% (n = 12) for remote areas, and 5% (n = 12) for very remote areas (</w:t>
      </w:r>
      <w:r w:rsidRPr="00854861">
        <w:rPr>
          <w:rStyle w:val="Emphasis"/>
          <w:b w:val="0"/>
          <w:bCs w:val="0"/>
        </w:rPr>
        <w:t>p</w:t>
      </w:r>
      <w:r>
        <w:t xml:space="preserve"> = 0.45). </w:t>
      </w:r>
    </w:p>
    <w:p w14:paraId="16DB9A90" w14:textId="10675F77" w:rsidR="00B86960" w:rsidRPr="00B86960" w:rsidRDefault="00B86960" w:rsidP="00B86960">
      <w:pPr>
        <w:pStyle w:val="Heading2"/>
        <w:divId w:val="248467387"/>
      </w:pPr>
      <w:r w:rsidRPr="00B86960">
        <w:t xml:space="preserve">Invasive group A </w:t>
      </w:r>
      <w:r w:rsidR="00186198">
        <w:t>s</w:t>
      </w:r>
      <w:r w:rsidRPr="00B86960">
        <w:t xml:space="preserve">treptococcal disease in people receiving dialysis </w:t>
      </w:r>
    </w:p>
    <w:p w14:paraId="01C54F5F" w14:textId="60BA84A8" w:rsidR="00B86960" w:rsidRDefault="00B86960" w:rsidP="00B86960">
      <w:pPr>
        <w:divId w:val="248467387"/>
      </w:pPr>
      <w:r>
        <w:t>The number of dialysis recipients in the NT increased from 468 in 2011 to 795 in 2021.</w:t>
      </w:r>
      <w:r>
        <w:rPr>
          <w:vertAlign w:val="superscript"/>
        </w:rPr>
        <w:t>10</w:t>
      </w:r>
      <w:r>
        <w:t xml:space="preserve"> There were 133 cases of </w:t>
      </w:r>
      <w:proofErr w:type="spellStart"/>
      <w:r>
        <w:t>iGAS</w:t>
      </w:r>
      <w:proofErr w:type="spellEnd"/>
      <w:r>
        <w:t xml:space="preserve"> disease recorded in people receiving dialysis between May 2011 and April 2021. Median age at diagnosis in the </w:t>
      </w:r>
      <w:r>
        <w:lastRenderedPageBreak/>
        <w:t xml:space="preserve">dialysis cohort was 53 years (IQR: 45–60 years) and </w:t>
      </w:r>
      <w:r w:rsidR="00186198">
        <w:t>more than three-quarters of cases were female</w:t>
      </w:r>
      <w:r>
        <w:t xml:space="preserve"> (n = 101/133, 76%). Table 2 outlines other patient characteristics and outcomes. The 133 cases </w:t>
      </w:r>
      <w:proofErr w:type="gramStart"/>
      <w:r>
        <w:t>comprised</w:t>
      </w:r>
      <w:proofErr w:type="gramEnd"/>
      <w:r>
        <w:t xml:space="preserve"> 106 patients, of whom 19/106 had multiple </w:t>
      </w:r>
      <w:proofErr w:type="spellStart"/>
      <w:r>
        <w:t>iGAS</w:t>
      </w:r>
      <w:proofErr w:type="spellEnd"/>
      <w:r>
        <w:t xml:space="preserve"> disease episodes separated by 30 or more days (an 18% recurrence rate) notified during the study period. Two of these </w:t>
      </w:r>
      <w:proofErr w:type="gramStart"/>
      <w:r>
        <w:t>19</w:t>
      </w:r>
      <w:proofErr w:type="gramEnd"/>
      <w:r>
        <w:t xml:space="preserve"> experienced chronic GAS osteomyelitis that accounted for multiple notifications, while true recurrence at different sites occurred in 17 patients (16%). Two of the </w:t>
      </w:r>
      <w:proofErr w:type="gramStart"/>
      <w:r>
        <w:t>19</w:t>
      </w:r>
      <w:proofErr w:type="gramEnd"/>
      <w:r>
        <w:t xml:space="preserve"> cases with multiple </w:t>
      </w:r>
      <w:proofErr w:type="spellStart"/>
      <w:r>
        <w:t>iGAS</w:t>
      </w:r>
      <w:proofErr w:type="spellEnd"/>
      <w:r>
        <w:t xml:space="preserve"> disease episodes died. No GAS typing was available for these recurrent cases. </w:t>
      </w:r>
    </w:p>
    <w:p w14:paraId="0982A6D0" w14:textId="77777777" w:rsidR="00B86960" w:rsidRDefault="00B86960" w:rsidP="00B86960">
      <w:pPr>
        <w:divId w:val="248467387"/>
      </w:pPr>
      <w:r>
        <w:t xml:space="preserve">Severity </w:t>
      </w:r>
      <w:proofErr w:type="gramStart"/>
      <w:r>
        <w:t>was recorded</w:t>
      </w:r>
      <w:proofErr w:type="gramEnd"/>
      <w:r>
        <w:t xml:space="preserve"> for 121 dialysis cases, with 60 (50%) experiencing severe </w:t>
      </w:r>
      <w:proofErr w:type="spellStart"/>
      <w:r>
        <w:t>iGAS</w:t>
      </w:r>
      <w:proofErr w:type="spellEnd"/>
      <w:r>
        <w:t xml:space="preserve"> disease. Admission to hospital was </w:t>
      </w:r>
      <w:proofErr w:type="gramStart"/>
      <w:r>
        <w:t>required</w:t>
      </w:r>
      <w:proofErr w:type="gramEnd"/>
      <w:r>
        <w:t xml:space="preserve"> for 127 of the 133 dialysis cases (95%), with median length of hospital stay of 10 days (IQR: 6–16 days). Admission to ICU occurred for </w:t>
      </w:r>
      <w:proofErr w:type="gramStart"/>
      <w:r>
        <w:t>33</w:t>
      </w:r>
      <w:proofErr w:type="gramEnd"/>
      <w:r>
        <w:t xml:space="preserve"> cases (25%), with median length of ICU stay of 5 days (IQR: 3–7 days). </w:t>
      </w:r>
    </w:p>
    <w:p w14:paraId="083343F0" w14:textId="77777777" w:rsidR="00205599" w:rsidRDefault="00205599">
      <w:pPr>
        <w:rPr>
          <w:rFonts w:asciiTheme="majorHAnsi" w:eastAsiaTheme="majorEastAsia" w:hAnsiTheme="majorHAnsi" w:cstheme="majorBidi"/>
          <w:b/>
          <w:bCs/>
          <w:sz w:val="32"/>
          <w:szCs w:val="28"/>
        </w:rPr>
      </w:pPr>
      <w:r>
        <w:br w:type="page"/>
      </w:r>
    </w:p>
    <w:p w14:paraId="31C20689" w14:textId="04CEBA1B" w:rsidR="00205599" w:rsidRPr="00AB6091" w:rsidRDefault="00205599" w:rsidP="00205599">
      <w:pPr>
        <w:pStyle w:val="CDIFigures"/>
        <w:divId w:val="248467387"/>
      </w:pPr>
      <w:r w:rsidRPr="00AB6091">
        <w:rPr>
          <w:rStyle w:val="Strong"/>
          <w:b/>
          <w:bCs w:val="0"/>
        </w:rPr>
        <w:lastRenderedPageBreak/>
        <w:t xml:space="preserve">Table 2: Characteristics of invasive group A </w:t>
      </w:r>
      <w:r w:rsidR="00186198">
        <w:rPr>
          <w:rStyle w:val="Strong"/>
          <w:b/>
          <w:bCs w:val="0"/>
        </w:rPr>
        <w:t>s</w:t>
      </w:r>
      <w:r w:rsidRPr="00AB6091">
        <w:rPr>
          <w:rStyle w:val="Strong"/>
          <w:b/>
          <w:bCs w:val="0"/>
        </w:rPr>
        <w:t>treptococcal disease cases in the dialysis population, Northern Territory, 2011 to 2021</w:t>
      </w:r>
    </w:p>
    <w:tbl>
      <w:tblPr>
        <w:tblStyle w:val="CDI-StandardTable"/>
        <w:tblW w:w="0" w:type="auto"/>
        <w:tblLook w:val="04A0" w:firstRow="1" w:lastRow="0" w:firstColumn="1" w:lastColumn="0" w:noHBand="0" w:noVBand="1"/>
        <w:tblDescription w:val="Table 2 focusses on people with iGAS disease who were receiving dialysis, providing a breakdown of the number and percentage of cases by sex, Indigenous status, type of dialysis, region of occurrence, comorbidities, dialysis access, site of infection, specimen type, severity status, management and mortality."/>
      </w:tblPr>
      <w:tblGrid>
        <w:gridCol w:w="3235"/>
        <w:gridCol w:w="3099"/>
        <w:gridCol w:w="1361"/>
        <w:gridCol w:w="2745"/>
      </w:tblGrid>
      <w:tr w:rsidR="00205599" w:rsidRPr="00CE6ECA" w14:paraId="71402816" w14:textId="77777777" w:rsidTr="00205599">
        <w:trPr>
          <w:cnfStyle w:val="100000000000" w:firstRow="1" w:lastRow="0" w:firstColumn="0" w:lastColumn="0" w:oddVBand="0" w:evenVBand="0" w:oddHBand="0" w:evenHBand="0" w:firstRowFirstColumn="0" w:firstRowLastColumn="0" w:lastRowFirstColumn="0" w:lastRowLastColumn="0"/>
          <w:divId w:val="248467387"/>
        </w:trPr>
        <w:tc>
          <w:tcPr>
            <w:tcW w:w="0" w:type="auto"/>
            <w:hideMark/>
          </w:tcPr>
          <w:p w14:paraId="7B818005" w14:textId="77777777" w:rsidR="00205599" w:rsidRPr="00CE6ECA" w:rsidRDefault="00205599" w:rsidP="00EB0B3E">
            <w:pPr>
              <w:pStyle w:val="NormalWeb"/>
              <w:jc w:val="left"/>
              <w:rPr>
                <w:sz w:val="18"/>
                <w:szCs w:val="18"/>
                <w:lang w:val="en-GB"/>
              </w:rPr>
            </w:pPr>
            <w:r w:rsidRPr="00CE6ECA">
              <w:rPr>
                <w:sz w:val="18"/>
                <w:szCs w:val="18"/>
                <w:lang w:val="en-GB"/>
              </w:rPr>
              <w:t>Characteristic</w:t>
            </w:r>
          </w:p>
        </w:tc>
        <w:tc>
          <w:tcPr>
            <w:tcW w:w="0" w:type="auto"/>
            <w:hideMark/>
          </w:tcPr>
          <w:p w14:paraId="3219403F" w14:textId="77777777" w:rsidR="00205599" w:rsidRPr="00CE6ECA" w:rsidRDefault="00205599" w:rsidP="00EB0B3E">
            <w:pPr>
              <w:pStyle w:val="NormalWeb"/>
              <w:rPr>
                <w:sz w:val="18"/>
                <w:szCs w:val="18"/>
                <w:lang w:val="en-GB"/>
              </w:rPr>
            </w:pPr>
            <w:r w:rsidRPr="00CE6ECA">
              <w:rPr>
                <w:sz w:val="18"/>
                <w:szCs w:val="18"/>
                <w:lang w:val="en-GB"/>
              </w:rPr>
              <w:t>Value or attribute</w:t>
            </w:r>
          </w:p>
        </w:tc>
        <w:tc>
          <w:tcPr>
            <w:tcW w:w="0" w:type="auto"/>
            <w:hideMark/>
          </w:tcPr>
          <w:p w14:paraId="0DC27141" w14:textId="77777777" w:rsidR="00205599" w:rsidRPr="00CE6ECA" w:rsidRDefault="00205599" w:rsidP="00EB0B3E">
            <w:pPr>
              <w:pStyle w:val="NormalWeb"/>
              <w:rPr>
                <w:sz w:val="18"/>
                <w:szCs w:val="18"/>
                <w:lang w:val="en-GB"/>
              </w:rPr>
            </w:pPr>
            <w:r w:rsidRPr="00CE6ECA">
              <w:rPr>
                <w:sz w:val="18"/>
                <w:szCs w:val="18"/>
                <w:lang w:val="en-GB"/>
              </w:rPr>
              <w:t>Number of cases</w:t>
            </w:r>
          </w:p>
        </w:tc>
        <w:tc>
          <w:tcPr>
            <w:tcW w:w="2745" w:type="dxa"/>
            <w:hideMark/>
          </w:tcPr>
          <w:p w14:paraId="777F7F36" w14:textId="77777777" w:rsidR="00205599" w:rsidRPr="00CE6ECA" w:rsidRDefault="00205599" w:rsidP="00EB0B3E">
            <w:pPr>
              <w:pStyle w:val="NormalWeb"/>
              <w:rPr>
                <w:sz w:val="18"/>
                <w:szCs w:val="18"/>
                <w:lang w:val="en-GB"/>
              </w:rPr>
            </w:pPr>
            <w:r w:rsidRPr="00CE6ECA">
              <w:rPr>
                <w:sz w:val="18"/>
                <w:szCs w:val="18"/>
                <w:lang w:val="en-GB"/>
              </w:rPr>
              <w:t>Proportion of cases (%)</w:t>
            </w:r>
          </w:p>
        </w:tc>
      </w:tr>
      <w:tr w:rsidR="00205599" w:rsidRPr="00CE6ECA" w14:paraId="03D07262" w14:textId="77777777" w:rsidTr="00205599">
        <w:trPr>
          <w:divId w:val="248467387"/>
        </w:trPr>
        <w:tc>
          <w:tcPr>
            <w:tcW w:w="0" w:type="auto"/>
            <w:tcBorders>
              <w:bottom w:val="single" w:sz="2" w:space="0" w:color="auto"/>
            </w:tcBorders>
            <w:shd w:val="clear" w:color="auto" w:fill="auto"/>
            <w:hideMark/>
          </w:tcPr>
          <w:p w14:paraId="454EBC5E" w14:textId="77777777" w:rsidR="00205599" w:rsidRPr="00CE6ECA" w:rsidRDefault="00205599" w:rsidP="00EB0B3E">
            <w:pPr>
              <w:pStyle w:val="NormalWeb"/>
              <w:jc w:val="left"/>
              <w:rPr>
                <w:sz w:val="18"/>
                <w:szCs w:val="18"/>
                <w:lang w:val="en-GB"/>
              </w:rPr>
            </w:pPr>
            <w:r w:rsidRPr="00CE6ECA">
              <w:rPr>
                <w:sz w:val="18"/>
                <w:szCs w:val="18"/>
                <w:lang w:val="en-GB"/>
              </w:rPr>
              <w:t>Number of cases in dialysis patients</w:t>
            </w:r>
          </w:p>
        </w:tc>
        <w:tc>
          <w:tcPr>
            <w:tcW w:w="0" w:type="auto"/>
            <w:tcBorders>
              <w:bottom w:val="single" w:sz="2" w:space="0" w:color="auto"/>
            </w:tcBorders>
            <w:shd w:val="clear" w:color="auto" w:fill="auto"/>
            <w:hideMark/>
          </w:tcPr>
          <w:p w14:paraId="789D3D09" w14:textId="77777777" w:rsidR="00205599" w:rsidRPr="00CE6ECA" w:rsidRDefault="00205599" w:rsidP="00EB0B3E">
            <w:pPr>
              <w:rPr>
                <w:sz w:val="18"/>
                <w:szCs w:val="18"/>
                <w:lang w:val="en-GB"/>
              </w:rPr>
            </w:pPr>
          </w:p>
        </w:tc>
        <w:tc>
          <w:tcPr>
            <w:tcW w:w="0" w:type="auto"/>
            <w:tcBorders>
              <w:bottom w:val="single" w:sz="2" w:space="0" w:color="auto"/>
            </w:tcBorders>
            <w:shd w:val="clear" w:color="auto" w:fill="auto"/>
            <w:hideMark/>
          </w:tcPr>
          <w:p w14:paraId="433B68C6" w14:textId="77777777" w:rsidR="00205599" w:rsidRPr="00CE6ECA" w:rsidRDefault="00205599" w:rsidP="00EB0B3E">
            <w:pPr>
              <w:pStyle w:val="NormalWeb"/>
              <w:rPr>
                <w:sz w:val="18"/>
                <w:szCs w:val="18"/>
                <w:lang w:val="en-GB"/>
              </w:rPr>
            </w:pPr>
            <w:r w:rsidRPr="00CE6ECA">
              <w:rPr>
                <w:sz w:val="18"/>
                <w:szCs w:val="18"/>
                <w:lang w:val="en-GB"/>
              </w:rPr>
              <w:t>133</w:t>
            </w:r>
          </w:p>
        </w:tc>
        <w:tc>
          <w:tcPr>
            <w:tcW w:w="2745" w:type="dxa"/>
            <w:tcBorders>
              <w:bottom w:val="single" w:sz="2" w:space="0" w:color="auto"/>
            </w:tcBorders>
            <w:shd w:val="clear" w:color="auto" w:fill="auto"/>
            <w:hideMark/>
          </w:tcPr>
          <w:p w14:paraId="592F39FD" w14:textId="77777777" w:rsidR="00205599" w:rsidRPr="00CE6ECA" w:rsidRDefault="00205599" w:rsidP="00EB0B3E">
            <w:pPr>
              <w:pStyle w:val="NormalWeb"/>
              <w:rPr>
                <w:sz w:val="18"/>
                <w:szCs w:val="18"/>
                <w:lang w:val="en-GB"/>
              </w:rPr>
            </w:pPr>
            <w:r w:rsidRPr="00CE6ECA">
              <w:rPr>
                <w:sz w:val="18"/>
                <w:szCs w:val="18"/>
                <w:lang w:val="en-GB"/>
              </w:rPr>
              <w:t>100</w:t>
            </w:r>
          </w:p>
        </w:tc>
      </w:tr>
      <w:tr w:rsidR="00205599" w:rsidRPr="00CE6ECA" w14:paraId="46976794"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tcBorders>
              <w:top w:val="single" w:sz="2" w:space="0" w:color="auto"/>
              <w:bottom w:val="single" w:sz="2" w:space="0" w:color="auto"/>
            </w:tcBorders>
            <w:shd w:val="clear" w:color="auto" w:fill="auto"/>
            <w:hideMark/>
          </w:tcPr>
          <w:p w14:paraId="6EC0DA69" w14:textId="77777777" w:rsidR="00205599" w:rsidRPr="00CE6ECA" w:rsidRDefault="00205599" w:rsidP="00EB0B3E">
            <w:pPr>
              <w:pStyle w:val="NormalWeb"/>
              <w:jc w:val="left"/>
              <w:rPr>
                <w:sz w:val="18"/>
                <w:szCs w:val="18"/>
                <w:lang w:val="en-GB"/>
              </w:rPr>
            </w:pPr>
            <w:r w:rsidRPr="00CE6ECA">
              <w:rPr>
                <w:sz w:val="18"/>
                <w:szCs w:val="18"/>
                <w:lang w:val="en-GB"/>
              </w:rPr>
              <w:t>Number of dialysis patients</w:t>
            </w:r>
          </w:p>
        </w:tc>
        <w:tc>
          <w:tcPr>
            <w:tcW w:w="0" w:type="auto"/>
            <w:tcBorders>
              <w:top w:val="single" w:sz="2" w:space="0" w:color="auto"/>
              <w:bottom w:val="single" w:sz="2" w:space="0" w:color="auto"/>
            </w:tcBorders>
            <w:shd w:val="clear" w:color="auto" w:fill="auto"/>
            <w:hideMark/>
          </w:tcPr>
          <w:p w14:paraId="7787F2EA" w14:textId="77777777" w:rsidR="00205599" w:rsidRPr="00CE6ECA" w:rsidRDefault="00205599" w:rsidP="00EB0B3E">
            <w:pPr>
              <w:rPr>
                <w:sz w:val="18"/>
                <w:szCs w:val="18"/>
                <w:lang w:val="en-GB"/>
              </w:rPr>
            </w:pPr>
          </w:p>
        </w:tc>
        <w:tc>
          <w:tcPr>
            <w:tcW w:w="0" w:type="auto"/>
            <w:tcBorders>
              <w:top w:val="single" w:sz="2" w:space="0" w:color="auto"/>
              <w:bottom w:val="single" w:sz="2" w:space="0" w:color="auto"/>
            </w:tcBorders>
            <w:shd w:val="clear" w:color="auto" w:fill="auto"/>
            <w:hideMark/>
          </w:tcPr>
          <w:p w14:paraId="357EF61E" w14:textId="77777777" w:rsidR="00205599" w:rsidRPr="00CE6ECA" w:rsidRDefault="00205599" w:rsidP="00EB0B3E">
            <w:pPr>
              <w:pStyle w:val="NormalWeb"/>
              <w:rPr>
                <w:sz w:val="18"/>
                <w:szCs w:val="18"/>
                <w:lang w:val="en-GB"/>
              </w:rPr>
            </w:pPr>
            <w:r w:rsidRPr="00CE6ECA">
              <w:rPr>
                <w:sz w:val="18"/>
                <w:szCs w:val="18"/>
                <w:lang w:val="en-GB"/>
              </w:rPr>
              <w:t>106</w:t>
            </w:r>
          </w:p>
        </w:tc>
        <w:tc>
          <w:tcPr>
            <w:tcW w:w="2745" w:type="dxa"/>
            <w:tcBorders>
              <w:top w:val="single" w:sz="2" w:space="0" w:color="auto"/>
              <w:bottom w:val="single" w:sz="2" w:space="0" w:color="auto"/>
            </w:tcBorders>
            <w:shd w:val="clear" w:color="auto" w:fill="auto"/>
            <w:hideMark/>
          </w:tcPr>
          <w:p w14:paraId="62B4A128" w14:textId="77777777" w:rsidR="00205599" w:rsidRPr="00CE6ECA" w:rsidRDefault="00205599" w:rsidP="00EB0B3E">
            <w:pPr>
              <w:pStyle w:val="NormalWeb"/>
              <w:rPr>
                <w:sz w:val="18"/>
                <w:szCs w:val="18"/>
                <w:lang w:val="en-GB"/>
              </w:rPr>
            </w:pPr>
            <w:r w:rsidRPr="00CE6ECA">
              <w:rPr>
                <w:sz w:val="18"/>
                <w:szCs w:val="18"/>
                <w:lang w:val="en-GB"/>
              </w:rPr>
              <w:t>—</w:t>
            </w:r>
          </w:p>
        </w:tc>
      </w:tr>
      <w:tr w:rsidR="00205599" w:rsidRPr="00CE6ECA" w14:paraId="38CB4438" w14:textId="77777777" w:rsidTr="00205599">
        <w:trPr>
          <w:divId w:val="248467387"/>
        </w:trPr>
        <w:tc>
          <w:tcPr>
            <w:tcW w:w="0" w:type="auto"/>
            <w:vMerge w:val="restart"/>
            <w:tcBorders>
              <w:top w:val="single" w:sz="2" w:space="0" w:color="auto"/>
              <w:bottom w:val="single" w:sz="2" w:space="0" w:color="000000" w:themeColor="text1"/>
            </w:tcBorders>
            <w:shd w:val="clear" w:color="auto" w:fill="auto"/>
            <w:hideMark/>
          </w:tcPr>
          <w:p w14:paraId="396D6FC2" w14:textId="6E319214" w:rsidR="00205599" w:rsidRPr="00CE6ECA" w:rsidRDefault="00186198" w:rsidP="00EB0B3E">
            <w:pPr>
              <w:pStyle w:val="NormalWeb"/>
              <w:jc w:val="left"/>
              <w:rPr>
                <w:sz w:val="18"/>
                <w:szCs w:val="18"/>
                <w:lang w:val="en-GB"/>
              </w:rPr>
            </w:pPr>
            <w:r>
              <w:rPr>
                <w:sz w:val="18"/>
                <w:szCs w:val="18"/>
                <w:lang w:val="en-GB"/>
              </w:rPr>
              <w:t>Sex</w:t>
            </w:r>
          </w:p>
        </w:tc>
        <w:tc>
          <w:tcPr>
            <w:tcW w:w="0" w:type="auto"/>
            <w:tcBorders>
              <w:top w:val="single" w:sz="2" w:space="0" w:color="auto"/>
            </w:tcBorders>
            <w:shd w:val="clear" w:color="auto" w:fill="auto"/>
            <w:hideMark/>
          </w:tcPr>
          <w:p w14:paraId="36653AE5" w14:textId="77777777" w:rsidR="00205599" w:rsidRPr="00CE6ECA" w:rsidRDefault="00205599" w:rsidP="00EB0B3E">
            <w:pPr>
              <w:pStyle w:val="NormalWeb"/>
              <w:rPr>
                <w:sz w:val="18"/>
                <w:szCs w:val="18"/>
                <w:lang w:val="en-GB"/>
              </w:rPr>
            </w:pPr>
            <w:r w:rsidRPr="00CE6ECA">
              <w:rPr>
                <w:sz w:val="18"/>
                <w:szCs w:val="18"/>
                <w:lang w:val="en-GB"/>
              </w:rPr>
              <w:t>Female</w:t>
            </w:r>
          </w:p>
        </w:tc>
        <w:tc>
          <w:tcPr>
            <w:tcW w:w="0" w:type="auto"/>
            <w:tcBorders>
              <w:top w:val="single" w:sz="2" w:space="0" w:color="auto"/>
            </w:tcBorders>
            <w:shd w:val="clear" w:color="auto" w:fill="auto"/>
            <w:hideMark/>
          </w:tcPr>
          <w:p w14:paraId="64913FBA" w14:textId="77777777" w:rsidR="00205599" w:rsidRPr="00CE6ECA" w:rsidRDefault="00205599" w:rsidP="00EB0B3E">
            <w:pPr>
              <w:pStyle w:val="NormalWeb"/>
              <w:rPr>
                <w:sz w:val="18"/>
                <w:szCs w:val="18"/>
                <w:lang w:val="en-GB"/>
              </w:rPr>
            </w:pPr>
            <w:r w:rsidRPr="00CE6ECA">
              <w:rPr>
                <w:sz w:val="18"/>
                <w:szCs w:val="18"/>
                <w:lang w:val="en-GB"/>
              </w:rPr>
              <w:t>101</w:t>
            </w:r>
          </w:p>
        </w:tc>
        <w:tc>
          <w:tcPr>
            <w:tcW w:w="2745" w:type="dxa"/>
            <w:tcBorders>
              <w:top w:val="single" w:sz="2" w:space="0" w:color="auto"/>
            </w:tcBorders>
            <w:shd w:val="clear" w:color="auto" w:fill="auto"/>
            <w:hideMark/>
          </w:tcPr>
          <w:p w14:paraId="3346A8EC" w14:textId="77777777" w:rsidR="00205599" w:rsidRPr="00CE6ECA" w:rsidRDefault="00205599" w:rsidP="00EB0B3E">
            <w:pPr>
              <w:pStyle w:val="NormalWeb"/>
              <w:rPr>
                <w:sz w:val="18"/>
                <w:szCs w:val="18"/>
                <w:lang w:val="en-GB"/>
              </w:rPr>
            </w:pPr>
            <w:r w:rsidRPr="00CE6ECA">
              <w:rPr>
                <w:sz w:val="18"/>
                <w:szCs w:val="18"/>
                <w:lang w:val="en-GB"/>
              </w:rPr>
              <w:t>76</w:t>
            </w:r>
          </w:p>
        </w:tc>
      </w:tr>
      <w:tr w:rsidR="00205599" w:rsidRPr="00CE6ECA" w14:paraId="45E9B809"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bottom w:val="single" w:sz="2" w:space="0" w:color="000000" w:themeColor="text1"/>
            </w:tcBorders>
            <w:shd w:val="clear" w:color="auto" w:fill="auto"/>
            <w:hideMark/>
          </w:tcPr>
          <w:p w14:paraId="6904F40E"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7E13A382" w14:textId="77777777" w:rsidR="00205599" w:rsidRPr="00CE6ECA" w:rsidRDefault="00205599" w:rsidP="00EB0B3E">
            <w:pPr>
              <w:pStyle w:val="NormalWeb"/>
              <w:rPr>
                <w:sz w:val="18"/>
                <w:szCs w:val="18"/>
                <w:lang w:val="en-GB"/>
              </w:rPr>
            </w:pPr>
            <w:r w:rsidRPr="00CE6ECA">
              <w:rPr>
                <w:sz w:val="18"/>
                <w:szCs w:val="18"/>
                <w:lang w:val="en-GB"/>
              </w:rPr>
              <w:t>Male</w:t>
            </w:r>
          </w:p>
        </w:tc>
        <w:tc>
          <w:tcPr>
            <w:tcW w:w="0" w:type="auto"/>
            <w:tcBorders>
              <w:bottom w:val="single" w:sz="2" w:space="0" w:color="000000" w:themeColor="text1"/>
            </w:tcBorders>
            <w:shd w:val="clear" w:color="auto" w:fill="auto"/>
            <w:hideMark/>
          </w:tcPr>
          <w:p w14:paraId="5274BE0B" w14:textId="77777777" w:rsidR="00205599" w:rsidRPr="00CE6ECA" w:rsidRDefault="00205599" w:rsidP="00EB0B3E">
            <w:pPr>
              <w:pStyle w:val="NormalWeb"/>
              <w:rPr>
                <w:sz w:val="18"/>
                <w:szCs w:val="18"/>
                <w:lang w:val="en-GB"/>
              </w:rPr>
            </w:pPr>
            <w:r w:rsidRPr="00CE6ECA">
              <w:rPr>
                <w:sz w:val="18"/>
                <w:szCs w:val="18"/>
                <w:lang w:val="en-GB"/>
              </w:rPr>
              <w:t>32</w:t>
            </w:r>
          </w:p>
        </w:tc>
        <w:tc>
          <w:tcPr>
            <w:tcW w:w="2745" w:type="dxa"/>
            <w:tcBorders>
              <w:bottom w:val="single" w:sz="2" w:space="0" w:color="000000" w:themeColor="text1"/>
            </w:tcBorders>
            <w:shd w:val="clear" w:color="auto" w:fill="auto"/>
            <w:hideMark/>
          </w:tcPr>
          <w:p w14:paraId="63AB83BC" w14:textId="77777777" w:rsidR="00205599" w:rsidRPr="00CE6ECA" w:rsidRDefault="00205599" w:rsidP="00EB0B3E">
            <w:pPr>
              <w:pStyle w:val="NormalWeb"/>
              <w:rPr>
                <w:sz w:val="18"/>
                <w:szCs w:val="18"/>
                <w:lang w:val="en-GB"/>
              </w:rPr>
            </w:pPr>
            <w:r w:rsidRPr="00CE6ECA">
              <w:rPr>
                <w:sz w:val="18"/>
                <w:szCs w:val="18"/>
                <w:lang w:val="en-GB"/>
              </w:rPr>
              <w:t>24</w:t>
            </w:r>
          </w:p>
        </w:tc>
      </w:tr>
      <w:tr w:rsidR="00205599" w:rsidRPr="00CE6ECA" w14:paraId="5E39F5F8" w14:textId="77777777" w:rsidTr="00205599">
        <w:trPr>
          <w:divId w:val="248467387"/>
        </w:trPr>
        <w:tc>
          <w:tcPr>
            <w:tcW w:w="0" w:type="auto"/>
            <w:vMerge w:val="restart"/>
            <w:tcBorders>
              <w:top w:val="single" w:sz="2" w:space="0" w:color="000000" w:themeColor="text1"/>
              <w:bottom w:val="single" w:sz="2" w:space="0" w:color="000000" w:themeColor="text1"/>
            </w:tcBorders>
            <w:shd w:val="clear" w:color="auto" w:fill="auto"/>
            <w:hideMark/>
          </w:tcPr>
          <w:p w14:paraId="32460AF6" w14:textId="77777777" w:rsidR="00205599" w:rsidRPr="00CE6ECA" w:rsidRDefault="00205599" w:rsidP="00EB0B3E">
            <w:pPr>
              <w:pStyle w:val="NormalWeb"/>
              <w:jc w:val="left"/>
              <w:rPr>
                <w:sz w:val="18"/>
                <w:szCs w:val="18"/>
                <w:lang w:val="en-GB"/>
              </w:rPr>
            </w:pPr>
            <w:r w:rsidRPr="00CE6ECA">
              <w:rPr>
                <w:sz w:val="18"/>
                <w:szCs w:val="18"/>
                <w:lang w:val="en-GB"/>
              </w:rPr>
              <w:t>Indigenous status</w:t>
            </w:r>
          </w:p>
        </w:tc>
        <w:tc>
          <w:tcPr>
            <w:tcW w:w="0" w:type="auto"/>
            <w:tcBorders>
              <w:top w:val="single" w:sz="2" w:space="0" w:color="000000" w:themeColor="text1"/>
            </w:tcBorders>
            <w:shd w:val="clear" w:color="auto" w:fill="auto"/>
            <w:hideMark/>
          </w:tcPr>
          <w:p w14:paraId="441F431A" w14:textId="77777777" w:rsidR="00205599" w:rsidRPr="00CE6ECA" w:rsidRDefault="00205599" w:rsidP="00EB0B3E">
            <w:pPr>
              <w:pStyle w:val="NormalWeb"/>
              <w:rPr>
                <w:sz w:val="18"/>
                <w:szCs w:val="18"/>
                <w:lang w:val="en-GB"/>
              </w:rPr>
            </w:pPr>
            <w:r w:rsidRPr="00CE6ECA">
              <w:rPr>
                <w:sz w:val="18"/>
                <w:szCs w:val="18"/>
                <w:lang w:val="en-GB"/>
              </w:rPr>
              <w:t>Indigenous Australians</w:t>
            </w:r>
          </w:p>
        </w:tc>
        <w:tc>
          <w:tcPr>
            <w:tcW w:w="0" w:type="auto"/>
            <w:tcBorders>
              <w:top w:val="single" w:sz="2" w:space="0" w:color="000000" w:themeColor="text1"/>
            </w:tcBorders>
            <w:shd w:val="clear" w:color="auto" w:fill="auto"/>
            <w:hideMark/>
          </w:tcPr>
          <w:p w14:paraId="7E5E1E13" w14:textId="77777777" w:rsidR="00205599" w:rsidRPr="00CE6ECA" w:rsidRDefault="00205599" w:rsidP="00EB0B3E">
            <w:pPr>
              <w:pStyle w:val="NormalWeb"/>
              <w:rPr>
                <w:sz w:val="18"/>
                <w:szCs w:val="18"/>
                <w:lang w:val="en-GB"/>
              </w:rPr>
            </w:pPr>
            <w:r w:rsidRPr="00CE6ECA">
              <w:rPr>
                <w:sz w:val="18"/>
                <w:szCs w:val="18"/>
                <w:lang w:val="en-GB"/>
              </w:rPr>
              <w:t>130</w:t>
            </w:r>
          </w:p>
        </w:tc>
        <w:tc>
          <w:tcPr>
            <w:tcW w:w="2745" w:type="dxa"/>
            <w:tcBorders>
              <w:top w:val="single" w:sz="2" w:space="0" w:color="000000" w:themeColor="text1"/>
            </w:tcBorders>
            <w:shd w:val="clear" w:color="auto" w:fill="auto"/>
            <w:hideMark/>
          </w:tcPr>
          <w:p w14:paraId="7BB4B2BD" w14:textId="77777777" w:rsidR="00205599" w:rsidRPr="00CE6ECA" w:rsidRDefault="00205599" w:rsidP="00EB0B3E">
            <w:pPr>
              <w:pStyle w:val="NormalWeb"/>
              <w:rPr>
                <w:sz w:val="18"/>
                <w:szCs w:val="18"/>
                <w:lang w:val="en-GB"/>
              </w:rPr>
            </w:pPr>
            <w:r w:rsidRPr="00CE6ECA">
              <w:rPr>
                <w:sz w:val="18"/>
                <w:szCs w:val="18"/>
                <w:lang w:val="en-GB"/>
              </w:rPr>
              <w:t>98</w:t>
            </w:r>
          </w:p>
        </w:tc>
      </w:tr>
      <w:tr w:rsidR="00205599" w:rsidRPr="00CE6ECA" w14:paraId="0863D94F"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bottom w:val="single" w:sz="2" w:space="0" w:color="000000" w:themeColor="text1"/>
            </w:tcBorders>
            <w:shd w:val="clear" w:color="auto" w:fill="auto"/>
            <w:hideMark/>
          </w:tcPr>
          <w:p w14:paraId="709E07ED"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79A31152" w14:textId="77777777" w:rsidR="00205599" w:rsidRPr="00CE6ECA" w:rsidRDefault="00205599" w:rsidP="00EB0B3E">
            <w:pPr>
              <w:pStyle w:val="NormalWeb"/>
              <w:rPr>
                <w:sz w:val="18"/>
                <w:szCs w:val="18"/>
                <w:lang w:val="en-GB"/>
              </w:rPr>
            </w:pPr>
            <w:r w:rsidRPr="00CE6ECA">
              <w:rPr>
                <w:sz w:val="18"/>
                <w:szCs w:val="18"/>
                <w:lang w:val="en-GB"/>
              </w:rPr>
              <w:t>non-Indigenous Australians</w:t>
            </w:r>
          </w:p>
        </w:tc>
        <w:tc>
          <w:tcPr>
            <w:tcW w:w="0" w:type="auto"/>
            <w:tcBorders>
              <w:bottom w:val="single" w:sz="2" w:space="0" w:color="000000" w:themeColor="text1"/>
            </w:tcBorders>
            <w:shd w:val="clear" w:color="auto" w:fill="auto"/>
            <w:hideMark/>
          </w:tcPr>
          <w:p w14:paraId="7FDC6B4D" w14:textId="77777777" w:rsidR="00205599" w:rsidRPr="00CE6ECA" w:rsidRDefault="00205599" w:rsidP="00EB0B3E">
            <w:pPr>
              <w:pStyle w:val="NormalWeb"/>
              <w:rPr>
                <w:sz w:val="18"/>
                <w:szCs w:val="18"/>
                <w:lang w:val="en-GB"/>
              </w:rPr>
            </w:pPr>
            <w:r w:rsidRPr="00CE6ECA">
              <w:rPr>
                <w:sz w:val="18"/>
                <w:szCs w:val="18"/>
                <w:lang w:val="en-GB"/>
              </w:rPr>
              <w:t>3</w:t>
            </w:r>
          </w:p>
        </w:tc>
        <w:tc>
          <w:tcPr>
            <w:tcW w:w="2745" w:type="dxa"/>
            <w:tcBorders>
              <w:bottom w:val="single" w:sz="2" w:space="0" w:color="000000" w:themeColor="text1"/>
            </w:tcBorders>
            <w:shd w:val="clear" w:color="auto" w:fill="auto"/>
            <w:hideMark/>
          </w:tcPr>
          <w:p w14:paraId="460D5432" w14:textId="77777777" w:rsidR="00205599" w:rsidRPr="00CE6ECA" w:rsidRDefault="00205599" w:rsidP="00EB0B3E">
            <w:pPr>
              <w:pStyle w:val="NormalWeb"/>
              <w:rPr>
                <w:sz w:val="18"/>
                <w:szCs w:val="18"/>
                <w:lang w:val="en-GB"/>
              </w:rPr>
            </w:pPr>
            <w:r w:rsidRPr="00CE6ECA">
              <w:rPr>
                <w:sz w:val="18"/>
                <w:szCs w:val="18"/>
                <w:lang w:val="en-GB"/>
              </w:rPr>
              <w:t>2</w:t>
            </w:r>
          </w:p>
        </w:tc>
      </w:tr>
      <w:tr w:rsidR="00205599" w:rsidRPr="00CE6ECA" w14:paraId="00F25F32" w14:textId="77777777" w:rsidTr="00205599">
        <w:trPr>
          <w:divId w:val="248467387"/>
        </w:trPr>
        <w:tc>
          <w:tcPr>
            <w:tcW w:w="0" w:type="auto"/>
            <w:vMerge w:val="restart"/>
            <w:tcBorders>
              <w:top w:val="single" w:sz="2" w:space="0" w:color="000000" w:themeColor="text1"/>
            </w:tcBorders>
            <w:shd w:val="clear" w:color="auto" w:fill="auto"/>
            <w:hideMark/>
          </w:tcPr>
          <w:p w14:paraId="799468B0" w14:textId="77777777" w:rsidR="00205599" w:rsidRPr="00CE6ECA" w:rsidRDefault="00205599" w:rsidP="00EB0B3E">
            <w:pPr>
              <w:pStyle w:val="NormalWeb"/>
              <w:jc w:val="left"/>
              <w:rPr>
                <w:sz w:val="18"/>
                <w:szCs w:val="18"/>
                <w:lang w:val="en-GB"/>
              </w:rPr>
            </w:pPr>
            <w:r w:rsidRPr="00CE6ECA">
              <w:rPr>
                <w:sz w:val="18"/>
                <w:szCs w:val="18"/>
                <w:lang w:val="en-GB"/>
              </w:rPr>
              <w:t>Type of dialysis</w:t>
            </w:r>
          </w:p>
        </w:tc>
        <w:tc>
          <w:tcPr>
            <w:tcW w:w="0" w:type="auto"/>
            <w:tcBorders>
              <w:top w:val="single" w:sz="2" w:space="0" w:color="000000" w:themeColor="text1"/>
            </w:tcBorders>
            <w:shd w:val="clear" w:color="auto" w:fill="auto"/>
            <w:hideMark/>
          </w:tcPr>
          <w:p w14:paraId="4D812298" w14:textId="77777777" w:rsidR="00205599" w:rsidRPr="00CE6ECA" w:rsidRDefault="00205599" w:rsidP="00EB0B3E">
            <w:pPr>
              <w:pStyle w:val="NormalWeb"/>
              <w:rPr>
                <w:sz w:val="18"/>
                <w:szCs w:val="18"/>
                <w:lang w:val="en-GB"/>
              </w:rPr>
            </w:pPr>
            <w:r w:rsidRPr="00CE6ECA">
              <w:rPr>
                <w:sz w:val="18"/>
                <w:szCs w:val="18"/>
                <w:lang w:val="en-GB"/>
              </w:rPr>
              <w:t>Haemodialysis</w:t>
            </w:r>
          </w:p>
        </w:tc>
        <w:tc>
          <w:tcPr>
            <w:tcW w:w="0" w:type="auto"/>
            <w:tcBorders>
              <w:top w:val="single" w:sz="2" w:space="0" w:color="000000" w:themeColor="text1"/>
            </w:tcBorders>
            <w:shd w:val="clear" w:color="auto" w:fill="auto"/>
            <w:hideMark/>
          </w:tcPr>
          <w:p w14:paraId="6E190864" w14:textId="77777777" w:rsidR="00205599" w:rsidRPr="00CE6ECA" w:rsidRDefault="00205599" w:rsidP="00EB0B3E">
            <w:pPr>
              <w:pStyle w:val="NormalWeb"/>
              <w:rPr>
                <w:sz w:val="18"/>
                <w:szCs w:val="18"/>
                <w:lang w:val="en-GB"/>
              </w:rPr>
            </w:pPr>
            <w:r w:rsidRPr="00CE6ECA">
              <w:rPr>
                <w:sz w:val="18"/>
                <w:szCs w:val="18"/>
                <w:lang w:val="en-GB"/>
              </w:rPr>
              <w:t>131</w:t>
            </w:r>
          </w:p>
        </w:tc>
        <w:tc>
          <w:tcPr>
            <w:tcW w:w="2745" w:type="dxa"/>
            <w:tcBorders>
              <w:top w:val="single" w:sz="2" w:space="0" w:color="000000" w:themeColor="text1"/>
            </w:tcBorders>
            <w:shd w:val="clear" w:color="auto" w:fill="auto"/>
            <w:hideMark/>
          </w:tcPr>
          <w:p w14:paraId="5163E91A" w14:textId="77777777" w:rsidR="00205599" w:rsidRPr="00CE6ECA" w:rsidRDefault="00205599" w:rsidP="00EB0B3E">
            <w:pPr>
              <w:pStyle w:val="NormalWeb"/>
              <w:rPr>
                <w:sz w:val="18"/>
                <w:szCs w:val="18"/>
                <w:lang w:val="en-GB"/>
              </w:rPr>
            </w:pPr>
            <w:r w:rsidRPr="00CE6ECA">
              <w:rPr>
                <w:sz w:val="18"/>
                <w:szCs w:val="18"/>
                <w:lang w:val="en-GB"/>
              </w:rPr>
              <w:t>98</w:t>
            </w:r>
          </w:p>
        </w:tc>
      </w:tr>
      <w:tr w:rsidR="00205599" w:rsidRPr="00CE6ECA" w14:paraId="7B819FF2"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bottom w:val="single" w:sz="2" w:space="0" w:color="000000" w:themeColor="text1"/>
            </w:tcBorders>
            <w:shd w:val="clear" w:color="auto" w:fill="auto"/>
            <w:hideMark/>
          </w:tcPr>
          <w:p w14:paraId="6D3A9EFC"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7CF20E9F" w14:textId="77777777" w:rsidR="00205599" w:rsidRPr="00CE6ECA" w:rsidRDefault="00205599" w:rsidP="00EB0B3E">
            <w:pPr>
              <w:pStyle w:val="NormalWeb"/>
              <w:rPr>
                <w:sz w:val="18"/>
                <w:szCs w:val="18"/>
                <w:lang w:val="en-GB"/>
              </w:rPr>
            </w:pPr>
            <w:r w:rsidRPr="00CE6ECA">
              <w:rPr>
                <w:sz w:val="18"/>
                <w:szCs w:val="18"/>
                <w:lang w:val="en-GB"/>
              </w:rPr>
              <w:t>Peritoneal dialysis</w:t>
            </w:r>
          </w:p>
        </w:tc>
        <w:tc>
          <w:tcPr>
            <w:tcW w:w="0" w:type="auto"/>
            <w:tcBorders>
              <w:bottom w:val="single" w:sz="2" w:space="0" w:color="000000" w:themeColor="text1"/>
            </w:tcBorders>
            <w:shd w:val="clear" w:color="auto" w:fill="auto"/>
            <w:hideMark/>
          </w:tcPr>
          <w:p w14:paraId="6D27F6D9" w14:textId="77777777" w:rsidR="00205599" w:rsidRPr="00CE6ECA" w:rsidRDefault="00205599" w:rsidP="00EB0B3E">
            <w:pPr>
              <w:pStyle w:val="NormalWeb"/>
              <w:rPr>
                <w:sz w:val="18"/>
                <w:szCs w:val="18"/>
                <w:lang w:val="en-GB"/>
              </w:rPr>
            </w:pPr>
            <w:r w:rsidRPr="00CE6ECA">
              <w:rPr>
                <w:sz w:val="18"/>
                <w:szCs w:val="18"/>
                <w:lang w:val="en-GB"/>
              </w:rPr>
              <w:t>2</w:t>
            </w:r>
          </w:p>
        </w:tc>
        <w:tc>
          <w:tcPr>
            <w:tcW w:w="2745" w:type="dxa"/>
            <w:tcBorders>
              <w:bottom w:val="single" w:sz="2" w:space="0" w:color="000000" w:themeColor="text1"/>
            </w:tcBorders>
            <w:shd w:val="clear" w:color="auto" w:fill="auto"/>
            <w:hideMark/>
          </w:tcPr>
          <w:p w14:paraId="3135E43C" w14:textId="77777777" w:rsidR="00205599" w:rsidRPr="00CE6ECA" w:rsidRDefault="00205599" w:rsidP="00EB0B3E">
            <w:pPr>
              <w:pStyle w:val="NormalWeb"/>
              <w:rPr>
                <w:sz w:val="18"/>
                <w:szCs w:val="18"/>
                <w:lang w:val="en-GB"/>
              </w:rPr>
            </w:pPr>
            <w:r w:rsidRPr="00CE6ECA">
              <w:rPr>
                <w:sz w:val="18"/>
                <w:szCs w:val="18"/>
                <w:lang w:val="en-GB"/>
              </w:rPr>
              <w:t>2</w:t>
            </w:r>
          </w:p>
        </w:tc>
      </w:tr>
      <w:tr w:rsidR="00205599" w:rsidRPr="00CE6ECA" w14:paraId="628569E8" w14:textId="77777777" w:rsidTr="00205599">
        <w:trPr>
          <w:divId w:val="248467387"/>
        </w:trPr>
        <w:tc>
          <w:tcPr>
            <w:tcW w:w="0" w:type="auto"/>
            <w:vMerge w:val="restart"/>
            <w:tcBorders>
              <w:top w:val="single" w:sz="2" w:space="0" w:color="000000" w:themeColor="text1"/>
            </w:tcBorders>
            <w:shd w:val="clear" w:color="auto" w:fill="auto"/>
            <w:hideMark/>
          </w:tcPr>
          <w:p w14:paraId="36E1F210" w14:textId="77777777" w:rsidR="00205599" w:rsidRPr="00CE6ECA" w:rsidRDefault="00205599" w:rsidP="00EB0B3E">
            <w:pPr>
              <w:pStyle w:val="NormalWeb"/>
              <w:jc w:val="left"/>
              <w:rPr>
                <w:sz w:val="18"/>
                <w:szCs w:val="18"/>
                <w:lang w:val="en-GB"/>
              </w:rPr>
            </w:pPr>
            <w:r w:rsidRPr="00CE6ECA">
              <w:rPr>
                <w:sz w:val="18"/>
                <w:szCs w:val="18"/>
                <w:lang w:val="en-GB"/>
              </w:rPr>
              <w:t>Region of occurrence</w:t>
            </w:r>
          </w:p>
        </w:tc>
        <w:tc>
          <w:tcPr>
            <w:tcW w:w="0" w:type="auto"/>
            <w:tcBorders>
              <w:top w:val="single" w:sz="2" w:space="0" w:color="000000" w:themeColor="text1"/>
            </w:tcBorders>
            <w:shd w:val="clear" w:color="auto" w:fill="auto"/>
            <w:hideMark/>
          </w:tcPr>
          <w:p w14:paraId="15102010" w14:textId="77777777" w:rsidR="00205599" w:rsidRPr="00CE6ECA" w:rsidRDefault="00205599" w:rsidP="00EB0B3E">
            <w:pPr>
              <w:pStyle w:val="NormalWeb"/>
              <w:rPr>
                <w:sz w:val="18"/>
                <w:szCs w:val="18"/>
                <w:lang w:val="en-GB"/>
              </w:rPr>
            </w:pPr>
            <w:r w:rsidRPr="00CE6ECA">
              <w:rPr>
                <w:sz w:val="18"/>
                <w:szCs w:val="18"/>
                <w:lang w:val="en-GB"/>
              </w:rPr>
              <w:t>Top End (tropical)</w:t>
            </w:r>
          </w:p>
        </w:tc>
        <w:tc>
          <w:tcPr>
            <w:tcW w:w="0" w:type="auto"/>
            <w:tcBorders>
              <w:top w:val="single" w:sz="2" w:space="0" w:color="000000" w:themeColor="text1"/>
            </w:tcBorders>
            <w:shd w:val="clear" w:color="auto" w:fill="auto"/>
            <w:hideMark/>
          </w:tcPr>
          <w:p w14:paraId="26AACDE5" w14:textId="77777777" w:rsidR="00205599" w:rsidRPr="00CE6ECA" w:rsidRDefault="00205599" w:rsidP="00EB0B3E">
            <w:pPr>
              <w:pStyle w:val="NormalWeb"/>
              <w:rPr>
                <w:sz w:val="18"/>
                <w:szCs w:val="18"/>
                <w:lang w:val="en-GB"/>
              </w:rPr>
            </w:pPr>
            <w:r w:rsidRPr="00CE6ECA">
              <w:rPr>
                <w:sz w:val="18"/>
                <w:szCs w:val="18"/>
                <w:lang w:val="en-GB"/>
              </w:rPr>
              <w:t>52</w:t>
            </w:r>
          </w:p>
        </w:tc>
        <w:tc>
          <w:tcPr>
            <w:tcW w:w="2745" w:type="dxa"/>
            <w:tcBorders>
              <w:top w:val="single" w:sz="2" w:space="0" w:color="000000" w:themeColor="text1"/>
            </w:tcBorders>
            <w:shd w:val="clear" w:color="auto" w:fill="auto"/>
            <w:hideMark/>
          </w:tcPr>
          <w:p w14:paraId="01A999FF" w14:textId="77777777" w:rsidR="00205599" w:rsidRPr="00CE6ECA" w:rsidRDefault="00205599" w:rsidP="00EB0B3E">
            <w:pPr>
              <w:pStyle w:val="NormalWeb"/>
              <w:rPr>
                <w:sz w:val="18"/>
                <w:szCs w:val="18"/>
                <w:lang w:val="en-GB"/>
              </w:rPr>
            </w:pPr>
            <w:r w:rsidRPr="00CE6ECA">
              <w:rPr>
                <w:sz w:val="18"/>
                <w:szCs w:val="18"/>
                <w:lang w:val="en-GB"/>
              </w:rPr>
              <w:t>39</w:t>
            </w:r>
          </w:p>
        </w:tc>
      </w:tr>
      <w:tr w:rsidR="00205599" w:rsidRPr="00CE6ECA" w14:paraId="4E91E75A"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top w:val="single" w:sz="2" w:space="0" w:color="000000" w:themeColor="text1"/>
              <w:bottom w:val="single" w:sz="2" w:space="0" w:color="auto"/>
            </w:tcBorders>
            <w:shd w:val="clear" w:color="auto" w:fill="auto"/>
            <w:hideMark/>
          </w:tcPr>
          <w:p w14:paraId="333CD1CF" w14:textId="77777777" w:rsidR="00205599" w:rsidRPr="00CE6ECA" w:rsidRDefault="00205599" w:rsidP="00EB0B3E">
            <w:pPr>
              <w:jc w:val="left"/>
              <w:rPr>
                <w:sz w:val="18"/>
                <w:szCs w:val="18"/>
                <w:lang w:val="en-GB"/>
              </w:rPr>
            </w:pPr>
          </w:p>
        </w:tc>
        <w:tc>
          <w:tcPr>
            <w:tcW w:w="0" w:type="auto"/>
            <w:tcBorders>
              <w:bottom w:val="single" w:sz="2" w:space="0" w:color="auto"/>
            </w:tcBorders>
            <w:shd w:val="clear" w:color="auto" w:fill="auto"/>
            <w:hideMark/>
          </w:tcPr>
          <w:p w14:paraId="3F49C00D" w14:textId="77777777" w:rsidR="00205599" w:rsidRPr="00CE6ECA" w:rsidRDefault="00205599" w:rsidP="00EB0B3E">
            <w:pPr>
              <w:pStyle w:val="NormalWeb"/>
              <w:rPr>
                <w:sz w:val="18"/>
                <w:szCs w:val="18"/>
                <w:lang w:val="en-GB"/>
              </w:rPr>
            </w:pPr>
            <w:r w:rsidRPr="00CE6ECA">
              <w:rPr>
                <w:sz w:val="18"/>
                <w:szCs w:val="18"/>
                <w:lang w:val="en-GB"/>
              </w:rPr>
              <w:t>Central Australia (non-tropical)</w:t>
            </w:r>
          </w:p>
        </w:tc>
        <w:tc>
          <w:tcPr>
            <w:tcW w:w="0" w:type="auto"/>
            <w:tcBorders>
              <w:bottom w:val="single" w:sz="2" w:space="0" w:color="auto"/>
            </w:tcBorders>
            <w:shd w:val="clear" w:color="auto" w:fill="auto"/>
            <w:hideMark/>
          </w:tcPr>
          <w:p w14:paraId="0B598200" w14:textId="77777777" w:rsidR="00205599" w:rsidRPr="00CE6ECA" w:rsidRDefault="00205599" w:rsidP="00EB0B3E">
            <w:pPr>
              <w:pStyle w:val="NormalWeb"/>
              <w:rPr>
                <w:sz w:val="18"/>
                <w:szCs w:val="18"/>
                <w:lang w:val="en-GB"/>
              </w:rPr>
            </w:pPr>
            <w:r w:rsidRPr="00CE6ECA">
              <w:rPr>
                <w:sz w:val="18"/>
                <w:szCs w:val="18"/>
                <w:lang w:val="en-GB"/>
              </w:rPr>
              <w:t>81</w:t>
            </w:r>
          </w:p>
        </w:tc>
        <w:tc>
          <w:tcPr>
            <w:tcW w:w="2745" w:type="dxa"/>
            <w:tcBorders>
              <w:bottom w:val="single" w:sz="2" w:space="0" w:color="auto"/>
            </w:tcBorders>
            <w:shd w:val="clear" w:color="auto" w:fill="auto"/>
            <w:hideMark/>
          </w:tcPr>
          <w:p w14:paraId="03DCF439" w14:textId="77777777" w:rsidR="00205599" w:rsidRPr="00CE6ECA" w:rsidRDefault="00205599" w:rsidP="00EB0B3E">
            <w:pPr>
              <w:pStyle w:val="NormalWeb"/>
              <w:rPr>
                <w:sz w:val="18"/>
                <w:szCs w:val="18"/>
                <w:lang w:val="en-GB"/>
              </w:rPr>
            </w:pPr>
            <w:r w:rsidRPr="00CE6ECA">
              <w:rPr>
                <w:sz w:val="18"/>
                <w:szCs w:val="18"/>
                <w:lang w:val="en-GB"/>
              </w:rPr>
              <w:t>61</w:t>
            </w:r>
          </w:p>
        </w:tc>
      </w:tr>
      <w:tr w:rsidR="00205599" w:rsidRPr="00CE6ECA" w14:paraId="6B06E70F" w14:textId="77777777" w:rsidTr="00205599">
        <w:trPr>
          <w:divId w:val="248467387"/>
        </w:trPr>
        <w:tc>
          <w:tcPr>
            <w:tcW w:w="0" w:type="auto"/>
            <w:vMerge w:val="restart"/>
            <w:tcBorders>
              <w:top w:val="single" w:sz="2" w:space="0" w:color="auto"/>
            </w:tcBorders>
            <w:shd w:val="clear" w:color="auto" w:fill="auto"/>
            <w:hideMark/>
          </w:tcPr>
          <w:p w14:paraId="4E654DD2" w14:textId="77777777" w:rsidR="00205599" w:rsidRPr="00CE6ECA" w:rsidRDefault="00205599" w:rsidP="00EB0B3E">
            <w:pPr>
              <w:pStyle w:val="NormalWeb"/>
              <w:jc w:val="left"/>
              <w:rPr>
                <w:sz w:val="18"/>
                <w:szCs w:val="18"/>
                <w:lang w:val="en-GB"/>
              </w:rPr>
            </w:pPr>
            <w:r w:rsidRPr="00CE6ECA">
              <w:rPr>
                <w:sz w:val="18"/>
                <w:szCs w:val="18"/>
                <w:lang w:val="en-GB"/>
              </w:rPr>
              <w:t>Comorbidities</w:t>
            </w:r>
            <w:r w:rsidRPr="00CE6ECA">
              <w:rPr>
                <w:sz w:val="18"/>
                <w:szCs w:val="18"/>
                <w:lang w:val="en-GB"/>
              </w:rPr>
              <w:br/>
              <w:t>(as recorded in electronic medical records)</w:t>
            </w:r>
          </w:p>
        </w:tc>
        <w:tc>
          <w:tcPr>
            <w:tcW w:w="0" w:type="auto"/>
            <w:tcBorders>
              <w:top w:val="single" w:sz="2" w:space="0" w:color="auto"/>
            </w:tcBorders>
            <w:shd w:val="clear" w:color="auto" w:fill="auto"/>
            <w:hideMark/>
          </w:tcPr>
          <w:p w14:paraId="1F67613C" w14:textId="77777777" w:rsidR="00205599" w:rsidRPr="00CE6ECA" w:rsidRDefault="00205599" w:rsidP="00EB0B3E">
            <w:pPr>
              <w:pStyle w:val="NormalWeb"/>
              <w:rPr>
                <w:sz w:val="18"/>
                <w:szCs w:val="18"/>
                <w:lang w:val="en-GB"/>
              </w:rPr>
            </w:pPr>
            <w:r w:rsidRPr="00CE6ECA">
              <w:rPr>
                <w:sz w:val="18"/>
                <w:szCs w:val="18"/>
                <w:lang w:val="en-GB"/>
              </w:rPr>
              <w:t>Diabetes mellitus (type 1 or 2)</w:t>
            </w:r>
          </w:p>
        </w:tc>
        <w:tc>
          <w:tcPr>
            <w:tcW w:w="0" w:type="auto"/>
            <w:tcBorders>
              <w:top w:val="single" w:sz="2" w:space="0" w:color="auto"/>
            </w:tcBorders>
            <w:shd w:val="clear" w:color="auto" w:fill="auto"/>
            <w:hideMark/>
          </w:tcPr>
          <w:p w14:paraId="5C09FC82" w14:textId="77777777" w:rsidR="00205599" w:rsidRPr="00CE6ECA" w:rsidRDefault="00205599" w:rsidP="00EB0B3E">
            <w:pPr>
              <w:pStyle w:val="NormalWeb"/>
              <w:rPr>
                <w:sz w:val="18"/>
                <w:szCs w:val="18"/>
                <w:lang w:val="en-GB"/>
              </w:rPr>
            </w:pPr>
            <w:r w:rsidRPr="00CE6ECA">
              <w:rPr>
                <w:sz w:val="18"/>
                <w:szCs w:val="18"/>
                <w:lang w:val="en-GB"/>
              </w:rPr>
              <w:t>99</w:t>
            </w:r>
          </w:p>
        </w:tc>
        <w:tc>
          <w:tcPr>
            <w:tcW w:w="2745" w:type="dxa"/>
            <w:tcBorders>
              <w:top w:val="single" w:sz="2" w:space="0" w:color="auto"/>
            </w:tcBorders>
            <w:shd w:val="clear" w:color="auto" w:fill="auto"/>
            <w:hideMark/>
          </w:tcPr>
          <w:p w14:paraId="0628EC89" w14:textId="77777777" w:rsidR="00205599" w:rsidRPr="00CE6ECA" w:rsidRDefault="00205599" w:rsidP="00EB0B3E">
            <w:pPr>
              <w:pStyle w:val="NormalWeb"/>
              <w:rPr>
                <w:sz w:val="18"/>
                <w:szCs w:val="18"/>
                <w:lang w:val="en-GB"/>
              </w:rPr>
            </w:pPr>
            <w:r w:rsidRPr="00CE6ECA">
              <w:rPr>
                <w:sz w:val="18"/>
                <w:szCs w:val="18"/>
                <w:lang w:val="en-GB"/>
              </w:rPr>
              <w:t>74</w:t>
            </w:r>
          </w:p>
        </w:tc>
      </w:tr>
      <w:tr w:rsidR="00205599" w:rsidRPr="00CE6ECA" w14:paraId="0FF5C33E"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shd w:val="clear" w:color="auto" w:fill="auto"/>
            <w:hideMark/>
          </w:tcPr>
          <w:p w14:paraId="02DB197F" w14:textId="77777777" w:rsidR="00205599" w:rsidRPr="00CE6ECA" w:rsidRDefault="00205599" w:rsidP="00EB0B3E">
            <w:pPr>
              <w:jc w:val="left"/>
              <w:rPr>
                <w:sz w:val="18"/>
                <w:szCs w:val="18"/>
                <w:lang w:val="en-GB"/>
              </w:rPr>
            </w:pPr>
          </w:p>
        </w:tc>
        <w:tc>
          <w:tcPr>
            <w:tcW w:w="0" w:type="auto"/>
            <w:shd w:val="clear" w:color="auto" w:fill="auto"/>
            <w:hideMark/>
          </w:tcPr>
          <w:p w14:paraId="2A6DD81B" w14:textId="77777777" w:rsidR="00205599" w:rsidRPr="00CE6ECA" w:rsidRDefault="00205599" w:rsidP="00EB0B3E">
            <w:pPr>
              <w:pStyle w:val="NormalWeb"/>
              <w:rPr>
                <w:sz w:val="18"/>
                <w:szCs w:val="18"/>
                <w:lang w:val="en-GB"/>
              </w:rPr>
            </w:pPr>
            <w:r w:rsidRPr="00CE6ECA">
              <w:rPr>
                <w:sz w:val="18"/>
                <w:szCs w:val="18"/>
                <w:lang w:val="en-GB"/>
              </w:rPr>
              <w:t>Heart disease</w:t>
            </w:r>
          </w:p>
        </w:tc>
        <w:tc>
          <w:tcPr>
            <w:tcW w:w="0" w:type="auto"/>
            <w:shd w:val="clear" w:color="auto" w:fill="auto"/>
            <w:hideMark/>
          </w:tcPr>
          <w:p w14:paraId="53085BC7" w14:textId="77777777" w:rsidR="00205599" w:rsidRPr="00CE6ECA" w:rsidRDefault="00205599" w:rsidP="00EB0B3E">
            <w:pPr>
              <w:pStyle w:val="NormalWeb"/>
              <w:rPr>
                <w:sz w:val="18"/>
                <w:szCs w:val="18"/>
                <w:lang w:val="en-GB"/>
              </w:rPr>
            </w:pPr>
            <w:r w:rsidRPr="00CE6ECA">
              <w:rPr>
                <w:sz w:val="18"/>
                <w:szCs w:val="18"/>
                <w:lang w:val="en-GB"/>
              </w:rPr>
              <w:t>85</w:t>
            </w:r>
          </w:p>
        </w:tc>
        <w:tc>
          <w:tcPr>
            <w:tcW w:w="2745" w:type="dxa"/>
            <w:shd w:val="clear" w:color="auto" w:fill="auto"/>
            <w:hideMark/>
          </w:tcPr>
          <w:p w14:paraId="02B5B537" w14:textId="77777777" w:rsidR="00205599" w:rsidRPr="00CE6ECA" w:rsidRDefault="00205599" w:rsidP="00EB0B3E">
            <w:pPr>
              <w:pStyle w:val="NormalWeb"/>
              <w:rPr>
                <w:sz w:val="18"/>
                <w:szCs w:val="18"/>
                <w:lang w:val="en-GB"/>
              </w:rPr>
            </w:pPr>
            <w:r w:rsidRPr="00CE6ECA">
              <w:rPr>
                <w:sz w:val="18"/>
                <w:szCs w:val="18"/>
                <w:lang w:val="en-GB"/>
              </w:rPr>
              <w:t>64</w:t>
            </w:r>
          </w:p>
        </w:tc>
      </w:tr>
      <w:tr w:rsidR="00205599" w:rsidRPr="00CE6ECA" w14:paraId="6164D09D" w14:textId="77777777" w:rsidTr="00205599">
        <w:trPr>
          <w:divId w:val="248467387"/>
        </w:trPr>
        <w:tc>
          <w:tcPr>
            <w:tcW w:w="0" w:type="auto"/>
            <w:vMerge/>
            <w:shd w:val="clear" w:color="auto" w:fill="auto"/>
            <w:hideMark/>
          </w:tcPr>
          <w:p w14:paraId="624FE735" w14:textId="77777777" w:rsidR="00205599" w:rsidRPr="00CE6ECA" w:rsidRDefault="00205599" w:rsidP="00EB0B3E">
            <w:pPr>
              <w:jc w:val="left"/>
              <w:rPr>
                <w:sz w:val="18"/>
                <w:szCs w:val="18"/>
                <w:lang w:val="en-GB"/>
              </w:rPr>
            </w:pPr>
          </w:p>
        </w:tc>
        <w:tc>
          <w:tcPr>
            <w:tcW w:w="0" w:type="auto"/>
            <w:shd w:val="clear" w:color="auto" w:fill="auto"/>
            <w:hideMark/>
          </w:tcPr>
          <w:p w14:paraId="2E65CA40" w14:textId="77777777" w:rsidR="00205599" w:rsidRPr="00CE6ECA" w:rsidRDefault="00205599" w:rsidP="00EB0B3E">
            <w:pPr>
              <w:pStyle w:val="NormalWeb"/>
              <w:rPr>
                <w:sz w:val="18"/>
                <w:szCs w:val="18"/>
                <w:lang w:val="en-GB"/>
              </w:rPr>
            </w:pPr>
            <w:r w:rsidRPr="00CE6ECA">
              <w:rPr>
                <w:sz w:val="18"/>
                <w:szCs w:val="18"/>
                <w:lang w:val="en-GB"/>
              </w:rPr>
              <w:t>Chronic liver disease</w:t>
            </w:r>
          </w:p>
        </w:tc>
        <w:tc>
          <w:tcPr>
            <w:tcW w:w="0" w:type="auto"/>
            <w:shd w:val="clear" w:color="auto" w:fill="auto"/>
            <w:hideMark/>
          </w:tcPr>
          <w:p w14:paraId="120CC59B" w14:textId="77777777" w:rsidR="00205599" w:rsidRPr="00CE6ECA" w:rsidRDefault="00205599" w:rsidP="00EB0B3E">
            <w:pPr>
              <w:pStyle w:val="NormalWeb"/>
              <w:rPr>
                <w:sz w:val="18"/>
                <w:szCs w:val="18"/>
                <w:lang w:val="en-GB"/>
              </w:rPr>
            </w:pPr>
            <w:r w:rsidRPr="00CE6ECA">
              <w:rPr>
                <w:sz w:val="18"/>
                <w:szCs w:val="18"/>
                <w:lang w:val="en-GB"/>
              </w:rPr>
              <w:t>36</w:t>
            </w:r>
          </w:p>
        </w:tc>
        <w:tc>
          <w:tcPr>
            <w:tcW w:w="2745" w:type="dxa"/>
            <w:shd w:val="clear" w:color="auto" w:fill="auto"/>
            <w:hideMark/>
          </w:tcPr>
          <w:p w14:paraId="0F05824F" w14:textId="77777777" w:rsidR="00205599" w:rsidRPr="00CE6ECA" w:rsidRDefault="00205599" w:rsidP="00EB0B3E">
            <w:pPr>
              <w:pStyle w:val="NormalWeb"/>
              <w:rPr>
                <w:sz w:val="18"/>
                <w:szCs w:val="18"/>
                <w:lang w:val="en-GB"/>
              </w:rPr>
            </w:pPr>
            <w:r w:rsidRPr="00CE6ECA">
              <w:rPr>
                <w:sz w:val="18"/>
                <w:szCs w:val="18"/>
                <w:lang w:val="en-GB"/>
              </w:rPr>
              <w:t>27</w:t>
            </w:r>
          </w:p>
        </w:tc>
      </w:tr>
      <w:tr w:rsidR="00205599" w:rsidRPr="00CE6ECA" w14:paraId="2BE54AE6"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shd w:val="clear" w:color="auto" w:fill="auto"/>
            <w:hideMark/>
          </w:tcPr>
          <w:p w14:paraId="73A3EE8C" w14:textId="77777777" w:rsidR="00205599" w:rsidRPr="00CE6ECA" w:rsidRDefault="00205599" w:rsidP="00EB0B3E">
            <w:pPr>
              <w:jc w:val="left"/>
              <w:rPr>
                <w:sz w:val="18"/>
                <w:szCs w:val="18"/>
                <w:lang w:val="en-GB"/>
              </w:rPr>
            </w:pPr>
          </w:p>
        </w:tc>
        <w:tc>
          <w:tcPr>
            <w:tcW w:w="0" w:type="auto"/>
            <w:shd w:val="clear" w:color="auto" w:fill="auto"/>
            <w:hideMark/>
          </w:tcPr>
          <w:p w14:paraId="7303770E" w14:textId="77777777" w:rsidR="00205599" w:rsidRPr="00CE6ECA" w:rsidRDefault="00205599" w:rsidP="00EB0B3E">
            <w:pPr>
              <w:pStyle w:val="NormalWeb"/>
              <w:rPr>
                <w:sz w:val="18"/>
                <w:szCs w:val="18"/>
                <w:lang w:val="en-GB"/>
              </w:rPr>
            </w:pPr>
            <w:r w:rsidRPr="00CE6ECA">
              <w:rPr>
                <w:sz w:val="18"/>
                <w:szCs w:val="18"/>
                <w:lang w:val="en-GB"/>
              </w:rPr>
              <w:t>Current cigarette smoking</w:t>
            </w:r>
          </w:p>
        </w:tc>
        <w:tc>
          <w:tcPr>
            <w:tcW w:w="0" w:type="auto"/>
            <w:shd w:val="clear" w:color="auto" w:fill="auto"/>
            <w:hideMark/>
          </w:tcPr>
          <w:p w14:paraId="66FB3A36" w14:textId="77777777" w:rsidR="00205599" w:rsidRPr="00CE6ECA" w:rsidRDefault="00205599" w:rsidP="00EB0B3E">
            <w:pPr>
              <w:pStyle w:val="NormalWeb"/>
              <w:rPr>
                <w:sz w:val="18"/>
                <w:szCs w:val="18"/>
                <w:lang w:val="en-GB"/>
              </w:rPr>
            </w:pPr>
            <w:r w:rsidRPr="00CE6ECA">
              <w:rPr>
                <w:sz w:val="18"/>
                <w:szCs w:val="18"/>
                <w:lang w:val="en-GB"/>
              </w:rPr>
              <w:t>16</w:t>
            </w:r>
          </w:p>
        </w:tc>
        <w:tc>
          <w:tcPr>
            <w:tcW w:w="2745" w:type="dxa"/>
            <w:shd w:val="clear" w:color="auto" w:fill="auto"/>
            <w:hideMark/>
          </w:tcPr>
          <w:p w14:paraId="4EF519A2" w14:textId="77777777" w:rsidR="00205599" w:rsidRPr="00CE6ECA" w:rsidRDefault="00205599" w:rsidP="00EB0B3E">
            <w:pPr>
              <w:pStyle w:val="NormalWeb"/>
              <w:rPr>
                <w:sz w:val="18"/>
                <w:szCs w:val="18"/>
                <w:lang w:val="en-GB"/>
              </w:rPr>
            </w:pPr>
            <w:r w:rsidRPr="00CE6ECA">
              <w:rPr>
                <w:sz w:val="18"/>
                <w:szCs w:val="18"/>
                <w:lang w:val="en-GB"/>
              </w:rPr>
              <w:t>12</w:t>
            </w:r>
          </w:p>
        </w:tc>
      </w:tr>
      <w:tr w:rsidR="00205599" w:rsidRPr="00CE6ECA" w14:paraId="4C597C56" w14:textId="77777777" w:rsidTr="00205599">
        <w:trPr>
          <w:divId w:val="248467387"/>
        </w:trPr>
        <w:tc>
          <w:tcPr>
            <w:tcW w:w="0" w:type="auto"/>
            <w:vMerge/>
            <w:tcBorders>
              <w:bottom w:val="single" w:sz="2" w:space="0" w:color="auto"/>
            </w:tcBorders>
            <w:shd w:val="clear" w:color="auto" w:fill="auto"/>
            <w:hideMark/>
          </w:tcPr>
          <w:p w14:paraId="16771460" w14:textId="77777777" w:rsidR="00205599" w:rsidRPr="00CE6ECA" w:rsidRDefault="00205599" w:rsidP="00EB0B3E">
            <w:pPr>
              <w:jc w:val="left"/>
              <w:rPr>
                <w:sz w:val="18"/>
                <w:szCs w:val="18"/>
                <w:lang w:val="en-GB"/>
              </w:rPr>
            </w:pPr>
          </w:p>
        </w:tc>
        <w:tc>
          <w:tcPr>
            <w:tcW w:w="0" w:type="auto"/>
            <w:tcBorders>
              <w:bottom w:val="single" w:sz="2" w:space="0" w:color="auto"/>
            </w:tcBorders>
            <w:shd w:val="clear" w:color="auto" w:fill="auto"/>
            <w:hideMark/>
          </w:tcPr>
          <w:p w14:paraId="715570E7" w14:textId="77777777" w:rsidR="00205599" w:rsidRPr="00CE6ECA" w:rsidRDefault="00205599" w:rsidP="00EB0B3E">
            <w:pPr>
              <w:pStyle w:val="NormalWeb"/>
              <w:rPr>
                <w:sz w:val="18"/>
                <w:szCs w:val="18"/>
                <w:lang w:val="en-GB"/>
              </w:rPr>
            </w:pPr>
            <w:r w:rsidRPr="00CE6ECA">
              <w:rPr>
                <w:sz w:val="18"/>
                <w:szCs w:val="18"/>
                <w:lang w:val="en-GB"/>
              </w:rPr>
              <w:t>Active malignancy</w:t>
            </w:r>
          </w:p>
        </w:tc>
        <w:tc>
          <w:tcPr>
            <w:tcW w:w="0" w:type="auto"/>
            <w:tcBorders>
              <w:bottom w:val="single" w:sz="2" w:space="0" w:color="auto"/>
            </w:tcBorders>
            <w:shd w:val="clear" w:color="auto" w:fill="auto"/>
            <w:hideMark/>
          </w:tcPr>
          <w:p w14:paraId="75D93970" w14:textId="77777777" w:rsidR="00205599" w:rsidRPr="00CE6ECA" w:rsidRDefault="00205599" w:rsidP="00EB0B3E">
            <w:pPr>
              <w:pStyle w:val="NormalWeb"/>
              <w:rPr>
                <w:sz w:val="18"/>
                <w:szCs w:val="18"/>
                <w:lang w:val="en-GB"/>
              </w:rPr>
            </w:pPr>
            <w:r w:rsidRPr="00CE6ECA">
              <w:rPr>
                <w:sz w:val="18"/>
                <w:szCs w:val="18"/>
                <w:lang w:val="en-GB"/>
              </w:rPr>
              <w:t>7</w:t>
            </w:r>
          </w:p>
        </w:tc>
        <w:tc>
          <w:tcPr>
            <w:tcW w:w="2745" w:type="dxa"/>
            <w:tcBorders>
              <w:bottom w:val="single" w:sz="2" w:space="0" w:color="auto"/>
            </w:tcBorders>
            <w:shd w:val="clear" w:color="auto" w:fill="auto"/>
            <w:hideMark/>
          </w:tcPr>
          <w:p w14:paraId="297D70B4" w14:textId="77777777" w:rsidR="00205599" w:rsidRPr="00CE6ECA" w:rsidRDefault="00205599" w:rsidP="00EB0B3E">
            <w:pPr>
              <w:pStyle w:val="NormalWeb"/>
              <w:rPr>
                <w:sz w:val="18"/>
                <w:szCs w:val="18"/>
                <w:lang w:val="en-GB"/>
              </w:rPr>
            </w:pPr>
            <w:r w:rsidRPr="00CE6ECA">
              <w:rPr>
                <w:sz w:val="18"/>
                <w:szCs w:val="18"/>
                <w:lang w:val="en-GB"/>
              </w:rPr>
              <w:t>5</w:t>
            </w:r>
          </w:p>
        </w:tc>
      </w:tr>
      <w:tr w:rsidR="00205599" w:rsidRPr="00CE6ECA" w14:paraId="70F3BB3B"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val="restart"/>
            <w:tcBorders>
              <w:top w:val="single" w:sz="2" w:space="0" w:color="auto"/>
            </w:tcBorders>
            <w:shd w:val="clear" w:color="auto" w:fill="auto"/>
            <w:hideMark/>
          </w:tcPr>
          <w:p w14:paraId="2003CC01" w14:textId="77777777" w:rsidR="00205599" w:rsidRPr="00CE6ECA" w:rsidRDefault="00205599" w:rsidP="00EB0B3E">
            <w:pPr>
              <w:pStyle w:val="NormalWeb"/>
              <w:jc w:val="left"/>
              <w:rPr>
                <w:sz w:val="18"/>
                <w:szCs w:val="18"/>
                <w:lang w:val="en-GB"/>
              </w:rPr>
            </w:pPr>
            <w:r w:rsidRPr="00CE6ECA">
              <w:rPr>
                <w:sz w:val="18"/>
                <w:szCs w:val="18"/>
                <w:lang w:val="en-GB"/>
              </w:rPr>
              <w:t>Dialysis access</w:t>
            </w:r>
          </w:p>
        </w:tc>
        <w:tc>
          <w:tcPr>
            <w:tcW w:w="0" w:type="auto"/>
            <w:tcBorders>
              <w:top w:val="single" w:sz="2" w:space="0" w:color="auto"/>
            </w:tcBorders>
            <w:shd w:val="clear" w:color="auto" w:fill="auto"/>
            <w:hideMark/>
          </w:tcPr>
          <w:p w14:paraId="4CB61742" w14:textId="77777777" w:rsidR="00205599" w:rsidRPr="00CE6ECA" w:rsidRDefault="00205599" w:rsidP="00EB0B3E">
            <w:pPr>
              <w:pStyle w:val="NormalWeb"/>
              <w:rPr>
                <w:sz w:val="18"/>
                <w:szCs w:val="18"/>
                <w:lang w:val="en-GB"/>
              </w:rPr>
            </w:pPr>
            <w:r w:rsidRPr="00CE6ECA">
              <w:rPr>
                <w:sz w:val="18"/>
                <w:szCs w:val="18"/>
                <w:lang w:val="en-GB"/>
              </w:rPr>
              <w:t>Arteriovenous fistula</w:t>
            </w:r>
          </w:p>
        </w:tc>
        <w:tc>
          <w:tcPr>
            <w:tcW w:w="0" w:type="auto"/>
            <w:tcBorders>
              <w:top w:val="single" w:sz="2" w:space="0" w:color="auto"/>
            </w:tcBorders>
            <w:shd w:val="clear" w:color="auto" w:fill="auto"/>
            <w:hideMark/>
          </w:tcPr>
          <w:p w14:paraId="00A7111A" w14:textId="77777777" w:rsidR="00205599" w:rsidRPr="00CE6ECA" w:rsidRDefault="00205599" w:rsidP="00EB0B3E">
            <w:pPr>
              <w:pStyle w:val="NormalWeb"/>
              <w:rPr>
                <w:sz w:val="18"/>
                <w:szCs w:val="18"/>
                <w:lang w:val="en-GB"/>
              </w:rPr>
            </w:pPr>
            <w:r w:rsidRPr="00CE6ECA">
              <w:rPr>
                <w:sz w:val="18"/>
                <w:szCs w:val="18"/>
                <w:lang w:val="en-GB"/>
              </w:rPr>
              <w:t>92</w:t>
            </w:r>
          </w:p>
        </w:tc>
        <w:tc>
          <w:tcPr>
            <w:tcW w:w="2745" w:type="dxa"/>
            <w:tcBorders>
              <w:top w:val="single" w:sz="2" w:space="0" w:color="auto"/>
            </w:tcBorders>
            <w:shd w:val="clear" w:color="auto" w:fill="auto"/>
            <w:hideMark/>
          </w:tcPr>
          <w:p w14:paraId="2447C8EC" w14:textId="77777777" w:rsidR="00205599" w:rsidRPr="00CE6ECA" w:rsidRDefault="00205599" w:rsidP="00EB0B3E">
            <w:pPr>
              <w:pStyle w:val="NormalWeb"/>
              <w:rPr>
                <w:sz w:val="18"/>
                <w:szCs w:val="18"/>
                <w:lang w:val="en-GB"/>
              </w:rPr>
            </w:pPr>
            <w:r w:rsidRPr="00CE6ECA">
              <w:rPr>
                <w:sz w:val="18"/>
                <w:szCs w:val="18"/>
                <w:lang w:val="en-GB"/>
              </w:rPr>
              <w:t>69</w:t>
            </w:r>
          </w:p>
        </w:tc>
      </w:tr>
      <w:tr w:rsidR="00205599" w:rsidRPr="00CE6ECA" w14:paraId="64E2BDEA" w14:textId="77777777" w:rsidTr="00205599">
        <w:trPr>
          <w:divId w:val="248467387"/>
        </w:trPr>
        <w:tc>
          <w:tcPr>
            <w:tcW w:w="0" w:type="auto"/>
            <w:vMerge/>
            <w:shd w:val="clear" w:color="auto" w:fill="auto"/>
            <w:hideMark/>
          </w:tcPr>
          <w:p w14:paraId="5162C64C" w14:textId="77777777" w:rsidR="00205599" w:rsidRPr="00CE6ECA" w:rsidRDefault="00205599" w:rsidP="00EB0B3E">
            <w:pPr>
              <w:jc w:val="left"/>
              <w:rPr>
                <w:sz w:val="18"/>
                <w:szCs w:val="18"/>
                <w:lang w:val="en-GB"/>
              </w:rPr>
            </w:pPr>
          </w:p>
        </w:tc>
        <w:tc>
          <w:tcPr>
            <w:tcW w:w="0" w:type="auto"/>
            <w:shd w:val="clear" w:color="auto" w:fill="auto"/>
            <w:hideMark/>
          </w:tcPr>
          <w:p w14:paraId="555E3D94" w14:textId="77777777" w:rsidR="00205599" w:rsidRPr="00CE6ECA" w:rsidRDefault="00205599" w:rsidP="00EB0B3E">
            <w:pPr>
              <w:pStyle w:val="NormalWeb"/>
              <w:rPr>
                <w:sz w:val="18"/>
                <w:szCs w:val="18"/>
                <w:lang w:val="en-GB"/>
              </w:rPr>
            </w:pPr>
            <w:r w:rsidRPr="00CE6ECA">
              <w:rPr>
                <w:sz w:val="18"/>
                <w:szCs w:val="18"/>
                <w:lang w:val="en-GB"/>
              </w:rPr>
              <w:t>Central venous catheter or vascular graft</w:t>
            </w:r>
          </w:p>
        </w:tc>
        <w:tc>
          <w:tcPr>
            <w:tcW w:w="0" w:type="auto"/>
            <w:shd w:val="clear" w:color="auto" w:fill="auto"/>
            <w:hideMark/>
          </w:tcPr>
          <w:p w14:paraId="1B6D4D28" w14:textId="77777777" w:rsidR="00205599" w:rsidRPr="00CE6ECA" w:rsidRDefault="00205599" w:rsidP="00EB0B3E">
            <w:pPr>
              <w:pStyle w:val="NormalWeb"/>
              <w:rPr>
                <w:sz w:val="18"/>
                <w:szCs w:val="18"/>
                <w:lang w:val="en-GB"/>
              </w:rPr>
            </w:pPr>
            <w:r w:rsidRPr="00CE6ECA">
              <w:rPr>
                <w:sz w:val="18"/>
                <w:szCs w:val="18"/>
                <w:lang w:val="en-GB"/>
              </w:rPr>
              <w:t>30</w:t>
            </w:r>
          </w:p>
        </w:tc>
        <w:tc>
          <w:tcPr>
            <w:tcW w:w="2745" w:type="dxa"/>
            <w:shd w:val="clear" w:color="auto" w:fill="auto"/>
            <w:hideMark/>
          </w:tcPr>
          <w:p w14:paraId="4B35AAB5" w14:textId="77777777" w:rsidR="00205599" w:rsidRPr="00CE6ECA" w:rsidRDefault="00205599" w:rsidP="00EB0B3E">
            <w:pPr>
              <w:pStyle w:val="NormalWeb"/>
              <w:rPr>
                <w:sz w:val="18"/>
                <w:szCs w:val="18"/>
                <w:lang w:val="en-GB"/>
              </w:rPr>
            </w:pPr>
            <w:r w:rsidRPr="00CE6ECA">
              <w:rPr>
                <w:sz w:val="18"/>
                <w:szCs w:val="18"/>
                <w:lang w:val="en-GB"/>
              </w:rPr>
              <w:t>23</w:t>
            </w:r>
          </w:p>
        </w:tc>
      </w:tr>
      <w:tr w:rsidR="00205599" w:rsidRPr="00CE6ECA" w14:paraId="22B95AD3"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shd w:val="clear" w:color="auto" w:fill="auto"/>
            <w:hideMark/>
          </w:tcPr>
          <w:p w14:paraId="699CA3E1" w14:textId="77777777" w:rsidR="00205599" w:rsidRPr="00CE6ECA" w:rsidRDefault="00205599" w:rsidP="00EB0B3E">
            <w:pPr>
              <w:jc w:val="left"/>
              <w:rPr>
                <w:sz w:val="18"/>
                <w:szCs w:val="18"/>
                <w:lang w:val="en-GB"/>
              </w:rPr>
            </w:pPr>
          </w:p>
        </w:tc>
        <w:tc>
          <w:tcPr>
            <w:tcW w:w="0" w:type="auto"/>
            <w:shd w:val="clear" w:color="auto" w:fill="auto"/>
            <w:hideMark/>
          </w:tcPr>
          <w:p w14:paraId="3947E1D4" w14:textId="77777777" w:rsidR="00205599" w:rsidRPr="00CE6ECA" w:rsidRDefault="00205599" w:rsidP="00EB0B3E">
            <w:pPr>
              <w:pStyle w:val="NormalWeb"/>
              <w:rPr>
                <w:sz w:val="18"/>
                <w:szCs w:val="18"/>
                <w:lang w:val="en-GB"/>
              </w:rPr>
            </w:pPr>
            <w:r w:rsidRPr="00CE6ECA">
              <w:rPr>
                <w:sz w:val="18"/>
                <w:szCs w:val="18"/>
                <w:lang w:val="en-GB"/>
              </w:rPr>
              <w:t>Peritoneal dialysis catheter</w:t>
            </w:r>
          </w:p>
        </w:tc>
        <w:tc>
          <w:tcPr>
            <w:tcW w:w="0" w:type="auto"/>
            <w:shd w:val="clear" w:color="auto" w:fill="auto"/>
            <w:hideMark/>
          </w:tcPr>
          <w:p w14:paraId="15AF5BDC" w14:textId="77777777" w:rsidR="00205599" w:rsidRPr="00CE6ECA" w:rsidRDefault="00205599" w:rsidP="00EB0B3E">
            <w:pPr>
              <w:pStyle w:val="NormalWeb"/>
              <w:rPr>
                <w:sz w:val="18"/>
                <w:szCs w:val="18"/>
                <w:lang w:val="en-GB"/>
              </w:rPr>
            </w:pPr>
            <w:r w:rsidRPr="00CE6ECA">
              <w:rPr>
                <w:sz w:val="18"/>
                <w:szCs w:val="18"/>
                <w:lang w:val="en-GB"/>
              </w:rPr>
              <w:t>2</w:t>
            </w:r>
          </w:p>
        </w:tc>
        <w:tc>
          <w:tcPr>
            <w:tcW w:w="2745" w:type="dxa"/>
            <w:shd w:val="clear" w:color="auto" w:fill="auto"/>
            <w:hideMark/>
          </w:tcPr>
          <w:p w14:paraId="0363B23C" w14:textId="77777777" w:rsidR="00205599" w:rsidRPr="00CE6ECA" w:rsidRDefault="00205599" w:rsidP="00EB0B3E">
            <w:pPr>
              <w:pStyle w:val="NormalWeb"/>
              <w:rPr>
                <w:sz w:val="18"/>
                <w:szCs w:val="18"/>
                <w:lang w:val="en-GB"/>
              </w:rPr>
            </w:pPr>
            <w:r w:rsidRPr="00CE6ECA">
              <w:rPr>
                <w:sz w:val="18"/>
                <w:szCs w:val="18"/>
                <w:lang w:val="en-GB"/>
              </w:rPr>
              <w:t>2</w:t>
            </w:r>
          </w:p>
        </w:tc>
      </w:tr>
      <w:tr w:rsidR="00205599" w:rsidRPr="00CE6ECA" w14:paraId="3F2B4B5F" w14:textId="77777777" w:rsidTr="00205599">
        <w:trPr>
          <w:divId w:val="248467387"/>
        </w:trPr>
        <w:tc>
          <w:tcPr>
            <w:tcW w:w="0" w:type="auto"/>
            <w:vMerge/>
            <w:tcBorders>
              <w:bottom w:val="single" w:sz="2" w:space="0" w:color="000000" w:themeColor="text1"/>
            </w:tcBorders>
            <w:shd w:val="clear" w:color="auto" w:fill="auto"/>
            <w:hideMark/>
          </w:tcPr>
          <w:p w14:paraId="3BDE1EE1"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5353697D" w14:textId="77777777" w:rsidR="00205599" w:rsidRPr="00CE6ECA" w:rsidRDefault="00205599" w:rsidP="00EB0B3E">
            <w:pPr>
              <w:pStyle w:val="NormalWeb"/>
              <w:rPr>
                <w:sz w:val="18"/>
                <w:szCs w:val="18"/>
                <w:lang w:val="en-GB"/>
              </w:rPr>
            </w:pPr>
            <w:r w:rsidRPr="00CE6ECA">
              <w:rPr>
                <w:sz w:val="18"/>
                <w:szCs w:val="18"/>
                <w:lang w:val="en-GB"/>
              </w:rPr>
              <w:t>Unknown</w:t>
            </w:r>
          </w:p>
        </w:tc>
        <w:tc>
          <w:tcPr>
            <w:tcW w:w="0" w:type="auto"/>
            <w:tcBorders>
              <w:bottom w:val="single" w:sz="2" w:space="0" w:color="000000" w:themeColor="text1"/>
            </w:tcBorders>
            <w:shd w:val="clear" w:color="auto" w:fill="auto"/>
            <w:hideMark/>
          </w:tcPr>
          <w:p w14:paraId="4202D2C0" w14:textId="77777777" w:rsidR="00205599" w:rsidRPr="00CE6ECA" w:rsidRDefault="00205599" w:rsidP="00EB0B3E">
            <w:pPr>
              <w:pStyle w:val="NormalWeb"/>
              <w:rPr>
                <w:sz w:val="18"/>
                <w:szCs w:val="18"/>
                <w:lang w:val="en-GB"/>
              </w:rPr>
            </w:pPr>
            <w:r w:rsidRPr="00CE6ECA">
              <w:rPr>
                <w:sz w:val="18"/>
                <w:szCs w:val="18"/>
                <w:lang w:val="en-GB"/>
              </w:rPr>
              <w:t>9</w:t>
            </w:r>
          </w:p>
        </w:tc>
        <w:tc>
          <w:tcPr>
            <w:tcW w:w="2745" w:type="dxa"/>
            <w:tcBorders>
              <w:bottom w:val="single" w:sz="2" w:space="0" w:color="000000" w:themeColor="text1"/>
            </w:tcBorders>
            <w:shd w:val="clear" w:color="auto" w:fill="auto"/>
            <w:hideMark/>
          </w:tcPr>
          <w:p w14:paraId="015BF0A3" w14:textId="77777777" w:rsidR="00205599" w:rsidRPr="00CE6ECA" w:rsidRDefault="00205599" w:rsidP="00EB0B3E">
            <w:pPr>
              <w:pStyle w:val="NormalWeb"/>
              <w:rPr>
                <w:sz w:val="18"/>
                <w:szCs w:val="18"/>
                <w:lang w:val="en-GB"/>
              </w:rPr>
            </w:pPr>
            <w:r w:rsidRPr="00CE6ECA">
              <w:rPr>
                <w:sz w:val="18"/>
                <w:szCs w:val="18"/>
                <w:lang w:val="en-GB"/>
              </w:rPr>
              <w:t>7</w:t>
            </w:r>
          </w:p>
        </w:tc>
      </w:tr>
      <w:tr w:rsidR="00205599" w:rsidRPr="00CE6ECA" w14:paraId="438E4F4C"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val="restart"/>
            <w:tcBorders>
              <w:top w:val="single" w:sz="2" w:space="0" w:color="000000" w:themeColor="text1"/>
            </w:tcBorders>
            <w:shd w:val="clear" w:color="auto" w:fill="auto"/>
            <w:hideMark/>
          </w:tcPr>
          <w:p w14:paraId="7AF75127" w14:textId="77777777" w:rsidR="00205599" w:rsidRPr="00CE6ECA" w:rsidRDefault="00205599" w:rsidP="00EB0B3E">
            <w:pPr>
              <w:pStyle w:val="NormalWeb"/>
              <w:jc w:val="left"/>
              <w:rPr>
                <w:sz w:val="18"/>
                <w:szCs w:val="18"/>
                <w:lang w:val="en-GB"/>
              </w:rPr>
            </w:pPr>
            <w:r w:rsidRPr="00CE6ECA">
              <w:rPr>
                <w:sz w:val="18"/>
                <w:szCs w:val="18"/>
                <w:lang w:val="en-GB"/>
              </w:rPr>
              <w:t>Site of infection</w:t>
            </w:r>
          </w:p>
        </w:tc>
        <w:tc>
          <w:tcPr>
            <w:tcW w:w="0" w:type="auto"/>
            <w:tcBorders>
              <w:top w:val="single" w:sz="2" w:space="0" w:color="000000" w:themeColor="text1"/>
            </w:tcBorders>
            <w:shd w:val="clear" w:color="auto" w:fill="auto"/>
            <w:hideMark/>
          </w:tcPr>
          <w:p w14:paraId="7CF14212" w14:textId="77777777" w:rsidR="00205599" w:rsidRPr="00CE6ECA" w:rsidRDefault="00205599" w:rsidP="00EB0B3E">
            <w:pPr>
              <w:pStyle w:val="NormalWeb"/>
              <w:rPr>
                <w:sz w:val="18"/>
                <w:szCs w:val="18"/>
                <w:lang w:val="en-GB"/>
              </w:rPr>
            </w:pPr>
            <w:r w:rsidRPr="00CE6ECA">
              <w:rPr>
                <w:sz w:val="18"/>
                <w:szCs w:val="18"/>
                <w:lang w:val="en-GB"/>
              </w:rPr>
              <w:t>Skin</w:t>
            </w:r>
            <w:r>
              <w:rPr>
                <w:sz w:val="18"/>
                <w:szCs w:val="18"/>
                <w:lang w:val="en-GB"/>
              </w:rPr>
              <w:t xml:space="preserve"> </w:t>
            </w:r>
            <w:r w:rsidRPr="004D7D80">
              <w:rPr>
                <w:sz w:val="18"/>
                <w:szCs w:val="18"/>
                <w:vertAlign w:val="superscript"/>
                <w:lang w:val="en-GB"/>
              </w:rPr>
              <w:t>a</w:t>
            </w:r>
          </w:p>
        </w:tc>
        <w:tc>
          <w:tcPr>
            <w:tcW w:w="0" w:type="auto"/>
            <w:tcBorders>
              <w:top w:val="single" w:sz="2" w:space="0" w:color="000000" w:themeColor="text1"/>
            </w:tcBorders>
            <w:shd w:val="clear" w:color="auto" w:fill="auto"/>
            <w:hideMark/>
          </w:tcPr>
          <w:p w14:paraId="4E80A4F3" w14:textId="77777777" w:rsidR="00205599" w:rsidRPr="00CE6ECA" w:rsidRDefault="00205599" w:rsidP="00EB0B3E">
            <w:pPr>
              <w:pStyle w:val="NormalWeb"/>
              <w:rPr>
                <w:sz w:val="18"/>
                <w:szCs w:val="18"/>
                <w:lang w:val="en-GB"/>
              </w:rPr>
            </w:pPr>
            <w:r w:rsidRPr="00CE6ECA">
              <w:rPr>
                <w:sz w:val="18"/>
                <w:szCs w:val="18"/>
                <w:lang w:val="en-GB"/>
              </w:rPr>
              <w:t>74</w:t>
            </w:r>
          </w:p>
        </w:tc>
        <w:tc>
          <w:tcPr>
            <w:tcW w:w="2745" w:type="dxa"/>
            <w:tcBorders>
              <w:top w:val="single" w:sz="2" w:space="0" w:color="000000" w:themeColor="text1"/>
            </w:tcBorders>
            <w:shd w:val="clear" w:color="auto" w:fill="auto"/>
            <w:hideMark/>
          </w:tcPr>
          <w:p w14:paraId="3844D439" w14:textId="77777777" w:rsidR="00205599" w:rsidRPr="00CE6ECA" w:rsidRDefault="00205599" w:rsidP="00EB0B3E">
            <w:pPr>
              <w:pStyle w:val="NormalWeb"/>
              <w:rPr>
                <w:sz w:val="18"/>
                <w:szCs w:val="18"/>
                <w:lang w:val="en-GB"/>
              </w:rPr>
            </w:pPr>
            <w:r w:rsidRPr="00CE6ECA">
              <w:rPr>
                <w:sz w:val="18"/>
                <w:szCs w:val="18"/>
                <w:lang w:val="en-GB"/>
              </w:rPr>
              <w:t>56</w:t>
            </w:r>
          </w:p>
        </w:tc>
      </w:tr>
      <w:tr w:rsidR="00205599" w:rsidRPr="00CE6ECA" w14:paraId="49837B25" w14:textId="77777777" w:rsidTr="00205599">
        <w:trPr>
          <w:divId w:val="248467387"/>
        </w:trPr>
        <w:tc>
          <w:tcPr>
            <w:tcW w:w="0" w:type="auto"/>
            <w:vMerge/>
            <w:shd w:val="clear" w:color="auto" w:fill="auto"/>
            <w:hideMark/>
          </w:tcPr>
          <w:p w14:paraId="4584E01D" w14:textId="77777777" w:rsidR="00205599" w:rsidRPr="00CE6ECA" w:rsidRDefault="00205599" w:rsidP="00EB0B3E">
            <w:pPr>
              <w:jc w:val="left"/>
              <w:rPr>
                <w:sz w:val="18"/>
                <w:szCs w:val="18"/>
                <w:lang w:val="en-GB"/>
              </w:rPr>
            </w:pPr>
          </w:p>
        </w:tc>
        <w:tc>
          <w:tcPr>
            <w:tcW w:w="0" w:type="auto"/>
            <w:shd w:val="clear" w:color="auto" w:fill="auto"/>
            <w:hideMark/>
          </w:tcPr>
          <w:p w14:paraId="159699A5" w14:textId="77777777" w:rsidR="00205599" w:rsidRPr="00CE6ECA" w:rsidRDefault="00205599" w:rsidP="00EB0B3E">
            <w:pPr>
              <w:pStyle w:val="NormalWeb"/>
              <w:rPr>
                <w:sz w:val="18"/>
                <w:szCs w:val="18"/>
                <w:lang w:val="en-GB"/>
              </w:rPr>
            </w:pPr>
            <w:r w:rsidRPr="00CE6ECA">
              <w:rPr>
                <w:sz w:val="18"/>
                <w:szCs w:val="18"/>
                <w:lang w:val="en-GB"/>
              </w:rPr>
              <w:t>Pneumonia</w:t>
            </w:r>
          </w:p>
        </w:tc>
        <w:tc>
          <w:tcPr>
            <w:tcW w:w="0" w:type="auto"/>
            <w:shd w:val="clear" w:color="auto" w:fill="auto"/>
            <w:hideMark/>
          </w:tcPr>
          <w:p w14:paraId="4D911200" w14:textId="77777777" w:rsidR="00205599" w:rsidRPr="00CE6ECA" w:rsidRDefault="00205599" w:rsidP="00EB0B3E">
            <w:pPr>
              <w:pStyle w:val="NormalWeb"/>
              <w:rPr>
                <w:sz w:val="18"/>
                <w:szCs w:val="18"/>
                <w:lang w:val="en-GB"/>
              </w:rPr>
            </w:pPr>
            <w:r w:rsidRPr="00CE6ECA">
              <w:rPr>
                <w:sz w:val="18"/>
                <w:szCs w:val="18"/>
                <w:lang w:val="en-GB"/>
              </w:rPr>
              <w:t>22</w:t>
            </w:r>
          </w:p>
        </w:tc>
        <w:tc>
          <w:tcPr>
            <w:tcW w:w="2745" w:type="dxa"/>
            <w:shd w:val="clear" w:color="auto" w:fill="auto"/>
            <w:hideMark/>
          </w:tcPr>
          <w:p w14:paraId="516C79A4" w14:textId="77777777" w:rsidR="00205599" w:rsidRPr="00CE6ECA" w:rsidRDefault="00205599" w:rsidP="00EB0B3E">
            <w:pPr>
              <w:pStyle w:val="NormalWeb"/>
              <w:rPr>
                <w:sz w:val="18"/>
                <w:szCs w:val="18"/>
                <w:lang w:val="en-GB"/>
              </w:rPr>
            </w:pPr>
            <w:r w:rsidRPr="00CE6ECA">
              <w:rPr>
                <w:sz w:val="18"/>
                <w:szCs w:val="18"/>
                <w:lang w:val="en-GB"/>
              </w:rPr>
              <w:t>17</w:t>
            </w:r>
          </w:p>
        </w:tc>
      </w:tr>
      <w:tr w:rsidR="00205599" w:rsidRPr="00CE6ECA" w14:paraId="4BD0E530"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shd w:val="clear" w:color="auto" w:fill="auto"/>
            <w:hideMark/>
          </w:tcPr>
          <w:p w14:paraId="541809DD" w14:textId="77777777" w:rsidR="00205599" w:rsidRPr="00CE6ECA" w:rsidRDefault="00205599" w:rsidP="00EB0B3E">
            <w:pPr>
              <w:jc w:val="left"/>
              <w:rPr>
                <w:sz w:val="18"/>
                <w:szCs w:val="18"/>
                <w:lang w:val="en-GB"/>
              </w:rPr>
            </w:pPr>
          </w:p>
        </w:tc>
        <w:tc>
          <w:tcPr>
            <w:tcW w:w="0" w:type="auto"/>
            <w:shd w:val="clear" w:color="auto" w:fill="auto"/>
            <w:hideMark/>
          </w:tcPr>
          <w:p w14:paraId="393F51CE" w14:textId="77777777" w:rsidR="00205599" w:rsidRPr="00CE6ECA" w:rsidRDefault="00205599" w:rsidP="00EB0B3E">
            <w:pPr>
              <w:pStyle w:val="NormalWeb"/>
              <w:rPr>
                <w:sz w:val="18"/>
                <w:szCs w:val="18"/>
                <w:lang w:val="en-GB"/>
              </w:rPr>
            </w:pPr>
            <w:r w:rsidRPr="00CE6ECA">
              <w:rPr>
                <w:sz w:val="18"/>
                <w:szCs w:val="18"/>
                <w:lang w:val="en-GB"/>
              </w:rPr>
              <w:t>Bacteraemia with no known focus</w:t>
            </w:r>
          </w:p>
        </w:tc>
        <w:tc>
          <w:tcPr>
            <w:tcW w:w="0" w:type="auto"/>
            <w:shd w:val="clear" w:color="auto" w:fill="auto"/>
            <w:hideMark/>
          </w:tcPr>
          <w:p w14:paraId="4D32229A" w14:textId="77777777" w:rsidR="00205599" w:rsidRPr="00CE6ECA" w:rsidRDefault="00205599" w:rsidP="00EB0B3E">
            <w:pPr>
              <w:pStyle w:val="NormalWeb"/>
              <w:rPr>
                <w:sz w:val="18"/>
                <w:szCs w:val="18"/>
                <w:lang w:val="en-GB"/>
              </w:rPr>
            </w:pPr>
            <w:r w:rsidRPr="00CE6ECA">
              <w:rPr>
                <w:sz w:val="18"/>
                <w:szCs w:val="18"/>
                <w:lang w:val="en-GB"/>
              </w:rPr>
              <w:t>22</w:t>
            </w:r>
          </w:p>
        </w:tc>
        <w:tc>
          <w:tcPr>
            <w:tcW w:w="2745" w:type="dxa"/>
            <w:shd w:val="clear" w:color="auto" w:fill="auto"/>
            <w:hideMark/>
          </w:tcPr>
          <w:p w14:paraId="176654D3" w14:textId="77777777" w:rsidR="00205599" w:rsidRPr="00CE6ECA" w:rsidRDefault="00205599" w:rsidP="00EB0B3E">
            <w:pPr>
              <w:pStyle w:val="NormalWeb"/>
              <w:rPr>
                <w:sz w:val="18"/>
                <w:szCs w:val="18"/>
                <w:lang w:val="en-GB"/>
              </w:rPr>
            </w:pPr>
            <w:r w:rsidRPr="00CE6ECA">
              <w:rPr>
                <w:sz w:val="18"/>
                <w:szCs w:val="18"/>
                <w:lang w:val="en-GB"/>
              </w:rPr>
              <w:t>17</w:t>
            </w:r>
          </w:p>
        </w:tc>
      </w:tr>
      <w:tr w:rsidR="00205599" w:rsidRPr="00CE6ECA" w14:paraId="2EAAF5C0" w14:textId="77777777" w:rsidTr="00205599">
        <w:trPr>
          <w:divId w:val="248467387"/>
        </w:trPr>
        <w:tc>
          <w:tcPr>
            <w:tcW w:w="0" w:type="auto"/>
            <w:vMerge/>
            <w:shd w:val="clear" w:color="auto" w:fill="auto"/>
            <w:hideMark/>
          </w:tcPr>
          <w:p w14:paraId="27F547AB" w14:textId="77777777" w:rsidR="00205599" w:rsidRPr="00CE6ECA" w:rsidRDefault="00205599" w:rsidP="00EB0B3E">
            <w:pPr>
              <w:jc w:val="left"/>
              <w:rPr>
                <w:sz w:val="18"/>
                <w:szCs w:val="18"/>
                <w:lang w:val="en-GB"/>
              </w:rPr>
            </w:pPr>
          </w:p>
        </w:tc>
        <w:tc>
          <w:tcPr>
            <w:tcW w:w="0" w:type="auto"/>
            <w:shd w:val="clear" w:color="auto" w:fill="auto"/>
            <w:hideMark/>
          </w:tcPr>
          <w:p w14:paraId="07CB2DD0" w14:textId="77777777" w:rsidR="00205599" w:rsidRPr="00CE6ECA" w:rsidRDefault="00205599" w:rsidP="00EB0B3E">
            <w:pPr>
              <w:pStyle w:val="NormalWeb"/>
              <w:rPr>
                <w:sz w:val="18"/>
                <w:szCs w:val="18"/>
                <w:lang w:val="en-GB"/>
              </w:rPr>
            </w:pPr>
            <w:r w:rsidRPr="00CE6ECA">
              <w:rPr>
                <w:sz w:val="18"/>
                <w:szCs w:val="18"/>
                <w:lang w:val="en-GB"/>
              </w:rPr>
              <w:t>Osteomyelitis or septic arthritis</w:t>
            </w:r>
          </w:p>
        </w:tc>
        <w:tc>
          <w:tcPr>
            <w:tcW w:w="0" w:type="auto"/>
            <w:shd w:val="clear" w:color="auto" w:fill="auto"/>
            <w:hideMark/>
          </w:tcPr>
          <w:p w14:paraId="18A92B01" w14:textId="77777777" w:rsidR="00205599" w:rsidRPr="00CE6ECA" w:rsidRDefault="00205599" w:rsidP="00EB0B3E">
            <w:pPr>
              <w:pStyle w:val="NormalWeb"/>
              <w:rPr>
                <w:sz w:val="18"/>
                <w:szCs w:val="18"/>
                <w:lang w:val="en-GB"/>
              </w:rPr>
            </w:pPr>
            <w:r w:rsidRPr="00CE6ECA">
              <w:rPr>
                <w:sz w:val="18"/>
                <w:szCs w:val="18"/>
                <w:lang w:val="en-GB"/>
              </w:rPr>
              <w:t>21</w:t>
            </w:r>
          </w:p>
        </w:tc>
        <w:tc>
          <w:tcPr>
            <w:tcW w:w="2745" w:type="dxa"/>
            <w:shd w:val="clear" w:color="auto" w:fill="auto"/>
            <w:hideMark/>
          </w:tcPr>
          <w:p w14:paraId="2CE37FCF" w14:textId="77777777" w:rsidR="00205599" w:rsidRPr="00CE6ECA" w:rsidRDefault="00205599" w:rsidP="00EB0B3E">
            <w:pPr>
              <w:pStyle w:val="NormalWeb"/>
              <w:rPr>
                <w:sz w:val="18"/>
                <w:szCs w:val="18"/>
                <w:lang w:val="en-GB"/>
              </w:rPr>
            </w:pPr>
            <w:r w:rsidRPr="00CE6ECA">
              <w:rPr>
                <w:sz w:val="18"/>
                <w:szCs w:val="18"/>
                <w:lang w:val="en-GB"/>
              </w:rPr>
              <w:t>16</w:t>
            </w:r>
          </w:p>
        </w:tc>
      </w:tr>
      <w:tr w:rsidR="00205599" w:rsidRPr="00CE6ECA" w14:paraId="20BBBD80"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bottom w:val="single" w:sz="2" w:space="0" w:color="000000" w:themeColor="text1"/>
            </w:tcBorders>
            <w:shd w:val="clear" w:color="auto" w:fill="auto"/>
            <w:hideMark/>
          </w:tcPr>
          <w:p w14:paraId="6FA2A083"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4CF4B2A8" w14:textId="77777777" w:rsidR="00205599" w:rsidRPr="00CE6ECA" w:rsidRDefault="00205599" w:rsidP="00EB0B3E">
            <w:pPr>
              <w:pStyle w:val="NormalWeb"/>
              <w:rPr>
                <w:sz w:val="18"/>
                <w:szCs w:val="18"/>
                <w:lang w:val="en-GB"/>
              </w:rPr>
            </w:pPr>
            <w:r w:rsidRPr="00CE6ECA">
              <w:rPr>
                <w:sz w:val="18"/>
                <w:szCs w:val="18"/>
                <w:lang w:val="en-GB"/>
              </w:rPr>
              <w:t>Other sites</w:t>
            </w:r>
            <w:r>
              <w:rPr>
                <w:sz w:val="18"/>
                <w:szCs w:val="18"/>
                <w:lang w:val="en-GB"/>
              </w:rPr>
              <w:t xml:space="preserve"> </w:t>
            </w:r>
            <w:r w:rsidRPr="00CE6ECA">
              <w:rPr>
                <w:sz w:val="18"/>
                <w:szCs w:val="18"/>
                <w:vertAlign w:val="superscript"/>
                <w:lang w:val="en-GB"/>
              </w:rPr>
              <w:t>b</w:t>
            </w:r>
          </w:p>
        </w:tc>
        <w:tc>
          <w:tcPr>
            <w:tcW w:w="0" w:type="auto"/>
            <w:tcBorders>
              <w:bottom w:val="single" w:sz="2" w:space="0" w:color="000000" w:themeColor="text1"/>
            </w:tcBorders>
            <w:shd w:val="clear" w:color="auto" w:fill="auto"/>
            <w:hideMark/>
          </w:tcPr>
          <w:p w14:paraId="6276B49D" w14:textId="77777777" w:rsidR="00205599" w:rsidRPr="00CE6ECA" w:rsidRDefault="00205599" w:rsidP="00EB0B3E">
            <w:pPr>
              <w:pStyle w:val="NormalWeb"/>
              <w:rPr>
                <w:sz w:val="18"/>
                <w:szCs w:val="18"/>
                <w:lang w:val="en-GB"/>
              </w:rPr>
            </w:pPr>
            <w:r w:rsidRPr="00CE6ECA">
              <w:rPr>
                <w:sz w:val="18"/>
                <w:szCs w:val="18"/>
                <w:lang w:val="en-GB"/>
              </w:rPr>
              <w:t>13</w:t>
            </w:r>
          </w:p>
        </w:tc>
        <w:tc>
          <w:tcPr>
            <w:tcW w:w="2745" w:type="dxa"/>
            <w:tcBorders>
              <w:bottom w:val="single" w:sz="2" w:space="0" w:color="000000" w:themeColor="text1"/>
            </w:tcBorders>
            <w:shd w:val="clear" w:color="auto" w:fill="auto"/>
            <w:hideMark/>
          </w:tcPr>
          <w:p w14:paraId="7EFBE637" w14:textId="77777777" w:rsidR="00205599" w:rsidRPr="00CE6ECA" w:rsidRDefault="00205599" w:rsidP="00EB0B3E">
            <w:pPr>
              <w:pStyle w:val="NormalWeb"/>
              <w:rPr>
                <w:sz w:val="18"/>
                <w:szCs w:val="18"/>
                <w:lang w:val="en-GB"/>
              </w:rPr>
            </w:pPr>
            <w:r w:rsidRPr="00CE6ECA">
              <w:rPr>
                <w:sz w:val="18"/>
                <w:szCs w:val="18"/>
                <w:lang w:val="en-GB"/>
              </w:rPr>
              <w:t>10</w:t>
            </w:r>
          </w:p>
        </w:tc>
      </w:tr>
      <w:tr w:rsidR="00205599" w:rsidRPr="00CE6ECA" w14:paraId="64723539" w14:textId="77777777" w:rsidTr="00205599">
        <w:trPr>
          <w:divId w:val="248467387"/>
        </w:trPr>
        <w:tc>
          <w:tcPr>
            <w:tcW w:w="0" w:type="auto"/>
            <w:vMerge w:val="restart"/>
            <w:tcBorders>
              <w:top w:val="single" w:sz="2" w:space="0" w:color="000000" w:themeColor="text1"/>
              <w:bottom w:val="single" w:sz="2" w:space="0" w:color="auto"/>
            </w:tcBorders>
            <w:shd w:val="clear" w:color="auto" w:fill="auto"/>
            <w:hideMark/>
          </w:tcPr>
          <w:p w14:paraId="5D61922B" w14:textId="77777777" w:rsidR="00205599" w:rsidRPr="00CE6ECA" w:rsidRDefault="00205599" w:rsidP="00EB0B3E">
            <w:pPr>
              <w:pStyle w:val="NormalWeb"/>
              <w:jc w:val="left"/>
              <w:rPr>
                <w:sz w:val="18"/>
                <w:szCs w:val="18"/>
                <w:lang w:val="en-GB"/>
              </w:rPr>
            </w:pPr>
            <w:r w:rsidRPr="00CE6ECA">
              <w:rPr>
                <w:sz w:val="18"/>
                <w:szCs w:val="18"/>
                <w:lang w:val="en-GB"/>
              </w:rPr>
              <w:t>Specimen type</w:t>
            </w:r>
          </w:p>
        </w:tc>
        <w:tc>
          <w:tcPr>
            <w:tcW w:w="0" w:type="auto"/>
            <w:tcBorders>
              <w:top w:val="single" w:sz="2" w:space="0" w:color="000000" w:themeColor="text1"/>
            </w:tcBorders>
            <w:shd w:val="clear" w:color="auto" w:fill="auto"/>
            <w:hideMark/>
          </w:tcPr>
          <w:p w14:paraId="03315E15" w14:textId="77777777" w:rsidR="00205599" w:rsidRPr="00CE6ECA" w:rsidRDefault="00205599" w:rsidP="00EB0B3E">
            <w:pPr>
              <w:pStyle w:val="NormalWeb"/>
              <w:rPr>
                <w:sz w:val="18"/>
                <w:szCs w:val="18"/>
                <w:lang w:val="en-GB"/>
              </w:rPr>
            </w:pPr>
            <w:r w:rsidRPr="00CE6ECA">
              <w:rPr>
                <w:sz w:val="18"/>
                <w:szCs w:val="18"/>
                <w:lang w:val="en-GB"/>
              </w:rPr>
              <w:t>Blood culture</w:t>
            </w:r>
          </w:p>
        </w:tc>
        <w:tc>
          <w:tcPr>
            <w:tcW w:w="0" w:type="auto"/>
            <w:tcBorders>
              <w:top w:val="single" w:sz="2" w:space="0" w:color="000000" w:themeColor="text1"/>
            </w:tcBorders>
            <w:shd w:val="clear" w:color="auto" w:fill="auto"/>
            <w:hideMark/>
          </w:tcPr>
          <w:p w14:paraId="17F2F2AB" w14:textId="77777777" w:rsidR="00205599" w:rsidRPr="00CE6ECA" w:rsidRDefault="00205599" w:rsidP="00EB0B3E">
            <w:pPr>
              <w:pStyle w:val="NormalWeb"/>
              <w:rPr>
                <w:sz w:val="18"/>
                <w:szCs w:val="18"/>
                <w:lang w:val="en-GB"/>
              </w:rPr>
            </w:pPr>
            <w:r w:rsidRPr="00CE6ECA">
              <w:rPr>
                <w:sz w:val="18"/>
                <w:szCs w:val="18"/>
                <w:lang w:val="en-GB"/>
              </w:rPr>
              <w:t>131</w:t>
            </w:r>
          </w:p>
        </w:tc>
        <w:tc>
          <w:tcPr>
            <w:tcW w:w="2745" w:type="dxa"/>
            <w:tcBorders>
              <w:top w:val="single" w:sz="2" w:space="0" w:color="000000" w:themeColor="text1"/>
            </w:tcBorders>
            <w:shd w:val="clear" w:color="auto" w:fill="auto"/>
            <w:hideMark/>
          </w:tcPr>
          <w:p w14:paraId="5E5455F3" w14:textId="77777777" w:rsidR="00205599" w:rsidRPr="00CE6ECA" w:rsidRDefault="00205599" w:rsidP="00EB0B3E">
            <w:pPr>
              <w:pStyle w:val="NormalWeb"/>
              <w:rPr>
                <w:sz w:val="18"/>
                <w:szCs w:val="18"/>
                <w:lang w:val="en-GB"/>
              </w:rPr>
            </w:pPr>
            <w:r w:rsidRPr="00CE6ECA">
              <w:rPr>
                <w:sz w:val="18"/>
                <w:szCs w:val="18"/>
                <w:lang w:val="en-GB"/>
              </w:rPr>
              <w:t>98</w:t>
            </w:r>
          </w:p>
        </w:tc>
      </w:tr>
      <w:tr w:rsidR="00205599" w:rsidRPr="00CE6ECA" w14:paraId="54908AA9"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bottom w:val="single" w:sz="2" w:space="0" w:color="auto"/>
            </w:tcBorders>
            <w:shd w:val="clear" w:color="auto" w:fill="auto"/>
            <w:hideMark/>
          </w:tcPr>
          <w:p w14:paraId="0C70C5C5" w14:textId="77777777" w:rsidR="00205599" w:rsidRPr="00CE6ECA" w:rsidRDefault="00205599" w:rsidP="00EB0B3E">
            <w:pPr>
              <w:jc w:val="left"/>
              <w:rPr>
                <w:sz w:val="18"/>
                <w:szCs w:val="18"/>
                <w:lang w:val="en-GB"/>
              </w:rPr>
            </w:pPr>
          </w:p>
        </w:tc>
        <w:tc>
          <w:tcPr>
            <w:tcW w:w="0" w:type="auto"/>
            <w:shd w:val="clear" w:color="auto" w:fill="auto"/>
            <w:hideMark/>
          </w:tcPr>
          <w:p w14:paraId="5D5FC5EB" w14:textId="77777777" w:rsidR="00205599" w:rsidRPr="00CE6ECA" w:rsidRDefault="00205599" w:rsidP="00EB0B3E">
            <w:pPr>
              <w:pStyle w:val="NormalWeb"/>
              <w:rPr>
                <w:sz w:val="18"/>
                <w:szCs w:val="18"/>
                <w:lang w:val="en-GB"/>
              </w:rPr>
            </w:pPr>
            <w:r w:rsidRPr="00CE6ECA">
              <w:rPr>
                <w:sz w:val="18"/>
                <w:szCs w:val="18"/>
                <w:lang w:val="en-GB"/>
              </w:rPr>
              <w:t>Synovial fluid culture</w:t>
            </w:r>
          </w:p>
        </w:tc>
        <w:tc>
          <w:tcPr>
            <w:tcW w:w="0" w:type="auto"/>
            <w:shd w:val="clear" w:color="auto" w:fill="auto"/>
            <w:hideMark/>
          </w:tcPr>
          <w:p w14:paraId="3E38C0C8" w14:textId="77777777" w:rsidR="00205599" w:rsidRPr="00CE6ECA" w:rsidRDefault="00205599" w:rsidP="00EB0B3E">
            <w:pPr>
              <w:pStyle w:val="NormalWeb"/>
              <w:rPr>
                <w:sz w:val="18"/>
                <w:szCs w:val="18"/>
                <w:lang w:val="en-GB"/>
              </w:rPr>
            </w:pPr>
            <w:r w:rsidRPr="00CE6ECA">
              <w:rPr>
                <w:sz w:val="18"/>
                <w:szCs w:val="18"/>
                <w:lang w:val="en-GB"/>
              </w:rPr>
              <w:t>1</w:t>
            </w:r>
          </w:p>
        </w:tc>
        <w:tc>
          <w:tcPr>
            <w:tcW w:w="2745" w:type="dxa"/>
            <w:shd w:val="clear" w:color="auto" w:fill="auto"/>
            <w:hideMark/>
          </w:tcPr>
          <w:p w14:paraId="22488E87" w14:textId="77777777" w:rsidR="00205599" w:rsidRPr="00CE6ECA" w:rsidRDefault="00205599" w:rsidP="00EB0B3E">
            <w:pPr>
              <w:pStyle w:val="NormalWeb"/>
              <w:rPr>
                <w:sz w:val="18"/>
                <w:szCs w:val="18"/>
                <w:lang w:val="en-GB"/>
              </w:rPr>
            </w:pPr>
            <w:r w:rsidRPr="00CE6ECA">
              <w:rPr>
                <w:sz w:val="18"/>
                <w:szCs w:val="18"/>
                <w:lang w:val="en-GB"/>
              </w:rPr>
              <w:t>1</w:t>
            </w:r>
          </w:p>
        </w:tc>
      </w:tr>
      <w:tr w:rsidR="00205599" w:rsidRPr="00CE6ECA" w14:paraId="509FBE76" w14:textId="77777777" w:rsidTr="00205599">
        <w:trPr>
          <w:divId w:val="248467387"/>
        </w:trPr>
        <w:tc>
          <w:tcPr>
            <w:tcW w:w="0" w:type="auto"/>
            <w:vMerge/>
            <w:tcBorders>
              <w:bottom w:val="single" w:sz="2" w:space="0" w:color="auto"/>
            </w:tcBorders>
            <w:shd w:val="clear" w:color="auto" w:fill="auto"/>
            <w:hideMark/>
          </w:tcPr>
          <w:p w14:paraId="48246962"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37EBB556" w14:textId="77777777" w:rsidR="00205599" w:rsidRPr="00CE6ECA" w:rsidRDefault="00205599" w:rsidP="00EB0B3E">
            <w:pPr>
              <w:pStyle w:val="NormalWeb"/>
              <w:rPr>
                <w:sz w:val="18"/>
                <w:szCs w:val="18"/>
                <w:lang w:val="en-GB"/>
              </w:rPr>
            </w:pPr>
            <w:r w:rsidRPr="00CE6ECA">
              <w:rPr>
                <w:sz w:val="18"/>
                <w:szCs w:val="18"/>
                <w:lang w:val="en-GB"/>
              </w:rPr>
              <w:t>Peritoneal fluid culture</w:t>
            </w:r>
          </w:p>
        </w:tc>
        <w:tc>
          <w:tcPr>
            <w:tcW w:w="0" w:type="auto"/>
            <w:tcBorders>
              <w:bottom w:val="single" w:sz="2" w:space="0" w:color="000000" w:themeColor="text1"/>
            </w:tcBorders>
            <w:shd w:val="clear" w:color="auto" w:fill="auto"/>
            <w:hideMark/>
          </w:tcPr>
          <w:p w14:paraId="68986AD3" w14:textId="77777777" w:rsidR="00205599" w:rsidRPr="00CE6ECA" w:rsidRDefault="00205599" w:rsidP="00EB0B3E">
            <w:pPr>
              <w:pStyle w:val="NormalWeb"/>
              <w:rPr>
                <w:sz w:val="18"/>
                <w:szCs w:val="18"/>
                <w:lang w:val="en-GB"/>
              </w:rPr>
            </w:pPr>
            <w:r w:rsidRPr="00CE6ECA">
              <w:rPr>
                <w:sz w:val="18"/>
                <w:szCs w:val="18"/>
                <w:lang w:val="en-GB"/>
              </w:rPr>
              <w:t>1</w:t>
            </w:r>
          </w:p>
        </w:tc>
        <w:tc>
          <w:tcPr>
            <w:tcW w:w="2745" w:type="dxa"/>
            <w:tcBorders>
              <w:bottom w:val="single" w:sz="2" w:space="0" w:color="000000" w:themeColor="text1"/>
            </w:tcBorders>
            <w:shd w:val="clear" w:color="auto" w:fill="auto"/>
            <w:hideMark/>
          </w:tcPr>
          <w:p w14:paraId="3A46FE8A" w14:textId="77777777" w:rsidR="00205599" w:rsidRPr="00CE6ECA" w:rsidRDefault="00205599" w:rsidP="00EB0B3E">
            <w:pPr>
              <w:pStyle w:val="NormalWeb"/>
              <w:rPr>
                <w:sz w:val="18"/>
                <w:szCs w:val="18"/>
                <w:lang w:val="en-GB"/>
              </w:rPr>
            </w:pPr>
            <w:r w:rsidRPr="00CE6ECA">
              <w:rPr>
                <w:sz w:val="18"/>
                <w:szCs w:val="18"/>
                <w:lang w:val="en-GB"/>
              </w:rPr>
              <w:t>1</w:t>
            </w:r>
          </w:p>
        </w:tc>
      </w:tr>
      <w:tr w:rsidR="00205599" w:rsidRPr="00CE6ECA" w14:paraId="0A2146C4"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val="restart"/>
            <w:tcBorders>
              <w:top w:val="single" w:sz="2" w:space="0" w:color="auto"/>
              <w:bottom w:val="single" w:sz="2" w:space="0" w:color="000000" w:themeColor="text1"/>
            </w:tcBorders>
            <w:shd w:val="clear" w:color="auto" w:fill="auto"/>
            <w:hideMark/>
          </w:tcPr>
          <w:p w14:paraId="1B5A95E7" w14:textId="77777777" w:rsidR="00205599" w:rsidRPr="00CE6ECA" w:rsidRDefault="00205599" w:rsidP="00EB0B3E">
            <w:pPr>
              <w:pStyle w:val="NormalWeb"/>
              <w:jc w:val="left"/>
              <w:rPr>
                <w:sz w:val="18"/>
                <w:szCs w:val="18"/>
                <w:lang w:val="en-GB"/>
              </w:rPr>
            </w:pPr>
            <w:r w:rsidRPr="00CE6ECA">
              <w:rPr>
                <w:sz w:val="18"/>
                <w:szCs w:val="18"/>
                <w:lang w:val="en-GB"/>
              </w:rPr>
              <w:t>Severity status</w:t>
            </w:r>
          </w:p>
        </w:tc>
        <w:tc>
          <w:tcPr>
            <w:tcW w:w="0" w:type="auto"/>
            <w:tcBorders>
              <w:top w:val="single" w:sz="2" w:space="0" w:color="000000" w:themeColor="text1"/>
            </w:tcBorders>
            <w:shd w:val="clear" w:color="auto" w:fill="auto"/>
            <w:hideMark/>
          </w:tcPr>
          <w:p w14:paraId="7D357B02" w14:textId="77777777" w:rsidR="00205599" w:rsidRPr="00CE6ECA" w:rsidRDefault="00205599" w:rsidP="00EB0B3E">
            <w:pPr>
              <w:pStyle w:val="NormalWeb"/>
              <w:rPr>
                <w:sz w:val="18"/>
                <w:szCs w:val="18"/>
                <w:lang w:val="en-GB"/>
              </w:rPr>
            </w:pPr>
            <w:r w:rsidRPr="00CE6ECA">
              <w:rPr>
                <w:sz w:val="18"/>
                <w:szCs w:val="18"/>
                <w:lang w:val="en-GB"/>
              </w:rPr>
              <w:t>Severe</w:t>
            </w:r>
            <w:r>
              <w:rPr>
                <w:sz w:val="18"/>
                <w:szCs w:val="18"/>
                <w:lang w:val="en-GB"/>
              </w:rPr>
              <w:t xml:space="preserve"> </w:t>
            </w:r>
            <w:r w:rsidRPr="00224753">
              <w:rPr>
                <w:sz w:val="18"/>
                <w:szCs w:val="18"/>
                <w:vertAlign w:val="superscript"/>
                <w:lang w:val="en-GB"/>
              </w:rPr>
              <w:t>c</w:t>
            </w:r>
          </w:p>
        </w:tc>
        <w:tc>
          <w:tcPr>
            <w:tcW w:w="0" w:type="auto"/>
            <w:tcBorders>
              <w:top w:val="single" w:sz="2" w:space="0" w:color="000000" w:themeColor="text1"/>
            </w:tcBorders>
            <w:shd w:val="clear" w:color="auto" w:fill="auto"/>
            <w:hideMark/>
          </w:tcPr>
          <w:p w14:paraId="07BCEF7F" w14:textId="77777777" w:rsidR="00205599" w:rsidRPr="00CE6ECA" w:rsidRDefault="00205599" w:rsidP="00EB0B3E">
            <w:pPr>
              <w:pStyle w:val="NormalWeb"/>
              <w:rPr>
                <w:sz w:val="18"/>
                <w:szCs w:val="18"/>
                <w:lang w:val="en-GB"/>
              </w:rPr>
            </w:pPr>
            <w:r w:rsidRPr="00CE6ECA">
              <w:rPr>
                <w:sz w:val="18"/>
                <w:szCs w:val="18"/>
                <w:lang w:val="en-GB"/>
              </w:rPr>
              <w:t>60</w:t>
            </w:r>
          </w:p>
        </w:tc>
        <w:tc>
          <w:tcPr>
            <w:tcW w:w="2745" w:type="dxa"/>
            <w:tcBorders>
              <w:top w:val="single" w:sz="2" w:space="0" w:color="000000" w:themeColor="text1"/>
            </w:tcBorders>
            <w:shd w:val="clear" w:color="auto" w:fill="auto"/>
            <w:hideMark/>
          </w:tcPr>
          <w:p w14:paraId="763C80AC" w14:textId="77777777" w:rsidR="00205599" w:rsidRPr="00CE6ECA" w:rsidRDefault="00205599" w:rsidP="00EB0B3E">
            <w:pPr>
              <w:pStyle w:val="NormalWeb"/>
              <w:rPr>
                <w:sz w:val="18"/>
                <w:szCs w:val="18"/>
                <w:lang w:val="en-GB"/>
              </w:rPr>
            </w:pPr>
            <w:r w:rsidRPr="00CE6ECA">
              <w:rPr>
                <w:sz w:val="18"/>
                <w:szCs w:val="18"/>
                <w:lang w:val="en-GB"/>
              </w:rPr>
              <w:t>45</w:t>
            </w:r>
          </w:p>
        </w:tc>
      </w:tr>
      <w:tr w:rsidR="00205599" w:rsidRPr="00CE6ECA" w14:paraId="321CC8B8" w14:textId="77777777" w:rsidTr="00205599">
        <w:trPr>
          <w:divId w:val="248467387"/>
        </w:trPr>
        <w:tc>
          <w:tcPr>
            <w:tcW w:w="0" w:type="auto"/>
            <w:vMerge/>
            <w:tcBorders>
              <w:bottom w:val="single" w:sz="2" w:space="0" w:color="000000" w:themeColor="text1"/>
            </w:tcBorders>
            <w:shd w:val="clear" w:color="auto" w:fill="auto"/>
            <w:hideMark/>
          </w:tcPr>
          <w:p w14:paraId="39A47F7B" w14:textId="77777777" w:rsidR="00205599" w:rsidRPr="00CE6ECA" w:rsidRDefault="00205599" w:rsidP="00EB0B3E">
            <w:pPr>
              <w:jc w:val="left"/>
              <w:rPr>
                <w:sz w:val="18"/>
                <w:szCs w:val="18"/>
                <w:lang w:val="en-GB"/>
              </w:rPr>
            </w:pPr>
          </w:p>
        </w:tc>
        <w:tc>
          <w:tcPr>
            <w:tcW w:w="0" w:type="auto"/>
            <w:shd w:val="clear" w:color="auto" w:fill="auto"/>
            <w:hideMark/>
          </w:tcPr>
          <w:p w14:paraId="76BB66F3" w14:textId="77777777" w:rsidR="00205599" w:rsidRPr="00CE6ECA" w:rsidRDefault="00205599" w:rsidP="00EB0B3E">
            <w:pPr>
              <w:pStyle w:val="NormalWeb"/>
              <w:rPr>
                <w:sz w:val="18"/>
                <w:szCs w:val="18"/>
                <w:lang w:val="en-GB"/>
              </w:rPr>
            </w:pPr>
            <w:r w:rsidRPr="00CE6ECA">
              <w:rPr>
                <w:sz w:val="18"/>
                <w:szCs w:val="18"/>
                <w:lang w:val="en-GB"/>
              </w:rPr>
              <w:t>Non-severe</w:t>
            </w:r>
          </w:p>
        </w:tc>
        <w:tc>
          <w:tcPr>
            <w:tcW w:w="0" w:type="auto"/>
            <w:shd w:val="clear" w:color="auto" w:fill="auto"/>
            <w:hideMark/>
          </w:tcPr>
          <w:p w14:paraId="0E696D3E" w14:textId="77777777" w:rsidR="00205599" w:rsidRPr="00CE6ECA" w:rsidRDefault="00205599" w:rsidP="00EB0B3E">
            <w:pPr>
              <w:pStyle w:val="NormalWeb"/>
              <w:rPr>
                <w:sz w:val="18"/>
                <w:szCs w:val="18"/>
                <w:lang w:val="en-GB"/>
              </w:rPr>
            </w:pPr>
            <w:r w:rsidRPr="00CE6ECA">
              <w:rPr>
                <w:sz w:val="18"/>
                <w:szCs w:val="18"/>
                <w:lang w:val="en-GB"/>
              </w:rPr>
              <w:t>61</w:t>
            </w:r>
          </w:p>
        </w:tc>
        <w:tc>
          <w:tcPr>
            <w:tcW w:w="2745" w:type="dxa"/>
            <w:shd w:val="clear" w:color="auto" w:fill="auto"/>
            <w:hideMark/>
          </w:tcPr>
          <w:p w14:paraId="7D90ABD3" w14:textId="77777777" w:rsidR="00205599" w:rsidRPr="00CE6ECA" w:rsidRDefault="00205599" w:rsidP="00EB0B3E">
            <w:pPr>
              <w:pStyle w:val="NormalWeb"/>
              <w:rPr>
                <w:sz w:val="18"/>
                <w:szCs w:val="18"/>
                <w:lang w:val="en-GB"/>
              </w:rPr>
            </w:pPr>
            <w:r w:rsidRPr="00CE6ECA">
              <w:rPr>
                <w:sz w:val="18"/>
                <w:szCs w:val="18"/>
                <w:lang w:val="en-GB"/>
              </w:rPr>
              <w:t>46</w:t>
            </w:r>
          </w:p>
        </w:tc>
      </w:tr>
      <w:tr w:rsidR="00205599" w:rsidRPr="00CE6ECA" w14:paraId="052A7230"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tcBorders>
              <w:bottom w:val="single" w:sz="2" w:space="0" w:color="000000" w:themeColor="text1"/>
            </w:tcBorders>
            <w:shd w:val="clear" w:color="auto" w:fill="auto"/>
            <w:hideMark/>
          </w:tcPr>
          <w:p w14:paraId="154D197B"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49D746F8" w14:textId="77777777" w:rsidR="00205599" w:rsidRPr="00CE6ECA" w:rsidRDefault="00205599" w:rsidP="00EB0B3E">
            <w:pPr>
              <w:pStyle w:val="NormalWeb"/>
              <w:rPr>
                <w:sz w:val="18"/>
                <w:szCs w:val="18"/>
                <w:lang w:val="en-GB"/>
              </w:rPr>
            </w:pPr>
            <w:r w:rsidRPr="00CE6ECA">
              <w:rPr>
                <w:sz w:val="18"/>
                <w:szCs w:val="18"/>
                <w:lang w:val="en-GB"/>
              </w:rPr>
              <w:t>Unknown</w:t>
            </w:r>
          </w:p>
        </w:tc>
        <w:tc>
          <w:tcPr>
            <w:tcW w:w="0" w:type="auto"/>
            <w:tcBorders>
              <w:bottom w:val="single" w:sz="2" w:space="0" w:color="000000" w:themeColor="text1"/>
            </w:tcBorders>
            <w:shd w:val="clear" w:color="auto" w:fill="auto"/>
            <w:hideMark/>
          </w:tcPr>
          <w:p w14:paraId="62CA7647" w14:textId="77777777" w:rsidR="00205599" w:rsidRPr="00CE6ECA" w:rsidRDefault="00205599" w:rsidP="00EB0B3E">
            <w:pPr>
              <w:pStyle w:val="NormalWeb"/>
              <w:rPr>
                <w:sz w:val="18"/>
                <w:szCs w:val="18"/>
                <w:lang w:val="en-GB"/>
              </w:rPr>
            </w:pPr>
            <w:r w:rsidRPr="00CE6ECA">
              <w:rPr>
                <w:sz w:val="18"/>
                <w:szCs w:val="18"/>
                <w:lang w:val="en-GB"/>
              </w:rPr>
              <w:t>12</w:t>
            </w:r>
          </w:p>
        </w:tc>
        <w:tc>
          <w:tcPr>
            <w:tcW w:w="2745" w:type="dxa"/>
            <w:tcBorders>
              <w:bottom w:val="single" w:sz="2" w:space="0" w:color="000000" w:themeColor="text1"/>
            </w:tcBorders>
            <w:shd w:val="clear" w:color="auto" w:fill="auto"/>
            <w:hideMark/>
          </w:tcPr>
          <w:p w14:paraId="0C286800" w14:textId="77777777" w:rsidR="00205599" w:rsidRPr="00CE6ECA" w:rsidRDefault="00205599" w:rsidP="00EB0B3E">
            <w:pPr>
              <w:pStyle w:val="NormalWeb"/>
              <w:rPr>
                <w:sz w:val="18"/>
                <w:szCs w:val="18"/>
                <w:lang w:val="en-GB"/>
              </w:rPr>
            </w:pPr>
            <w:r w:rsidRPr="00CE6ECA">
              <w:rPr>
                <w:sz w:val="18"/>
                <w:szCs w:val="18"/>
                <w:lang w:val="en-GB"/>
              </w:rPr>
              <w:t>9</w:t>
            </w:r>
          </w:p>
        </w:tc>
      </w:tr>
      <w:tr w:rsidR="00205599" w:rsidRPr="00CE6ECA" w14:paraId="2DC1748D" w14:textId="77777777" w:rsidTr="00205599">
        <w:trPr>
          <w:divId w:val="248467387"/>
        </w:trPr>
        <w:tc>
          <w:tcPr>
            <w:tcW w:w="0" w:type="auto"/>
            <w:vMerge w:val="restart"/>
            <w:tcBorders>
              <w:top w:val="single" w:sz="2" w:space="0" w:color="000000" w:themeColor="text1"/>
            </w:tcBorders>
            <w:shd w:val="clear" w:color="auto" w:fill="auto"/>
            <w:hideMark/>
          </w:tcPr>
          <w:p w14:paraId="486B5907" w14:textId="77777777" w:rsidR="00205599" w:rsidRPr="00CE6ECA" w:rsidRDefault="00205599" w:rsidP="00EB0B3E">
            <w:pPr>
              <w:pStyle w:val="NormalWeb"/>
              <w:jc w:val="left"/>
              <w:rPr>
                <w:sz w:val="18"/>
                <w:szCs w:val="18"/>
                <w:lang w:val="en-GB"/>
              </w:rPr>
            </w:pPr>
            <w:r w:rsidRPr="00CE6ECA">
              <w:rPr>
                <w:sz w:val="18"/>
                <w:szCs w:val="18"/>
                <w:lang w:val="en-GB"/>
              </w:rPr>
              <w:t>Management</w:t>
            </w:r>
          </w:p>
        </w:tc>
        <w:tc>
          <w:tcPr>
            <w:tcW w:w="0" w:type="auto"/>
            <w:tcBorders>
              <w:top w:val="single" w:sz="2" w:space="0" w:color="000000" w:themeColor="text1"/>
            </w:tcBorders>
            <w:shd w:val="clear" w:color="auto" w:fill="auto"/>
            <w:hideMark/>
          </w:tcPr>
          <w:p w14:paraId="59434738" w14:textId="77777777" w:rsidR="00205599" w:rsidRPr="00CE6ECA" w:rsidRDefault="00205599" w:rsidP="00EB0B3E">
            <w:pPr>
              <w:pStyle w:val="NormalWeb"/>
              <w:rPr>
                <w:sz w:val="18"/>
                <w:szCs w:val="18"/>
                <w:lang w:val="en-GB"/>
              </w:rPr>
            </w:pPr>
            <w:r w:rsidRPr="00CE6ECA">
              <w:rPr>
                <w:sz w:val="18"/>
                <w:szCs w:val="18"/>
                <w:lang w:val="en-GB"/>
              </w:rPr>
              <w:t>Admitted to hospital</w:t>
            </w:r>
          </w:p>
        </w:tc>
        <w:tc>
          <w:tcPr>
            <w:tcW w:w="0" w:type="auto"/>
            <w:tcBorders>
              <w:top w:val="single" w:sz="2" w:space="0" w:color="000000" w:themeColor="text1"/>
            </w:tcBorders>
            <w:shd w:val="clear" w:color="auto" w:fill="auto"/>
            <w:hideMark/>
          </w:tcPr>
          <w:p w14:paraId="05101BD8" w14:textId="77777777" w:rsidR="00205599" w:rsidRPr="00CE6ECA" w:rsidRDefault="00205599" w:rsidP="00EB0B3E">
            <w:pPr>
              <w:pStyle w:val="NormalWeb"/>
              <w:rPr>
                <w:sz w:val="18"/>
                <w:szCs w:val="18"/>
                <w:lang w:val="en-GB"/>
              </w:rPr>
            </w:pPr>
            <w:r w:rsidRPr="00CE6ECA">
              <w:rPr>
                <w:sz w:val="18"/>
                <w:szCs w:val="18"/>
                <w:lang w:val="en-GB"/>
              </w:rPr>
              <w:t>127</w:t>
            </w:r>
          </w:p>
        </w:tc>
        <w:tc>
          <w:tcPr>
            <w:tcW w:w="2745" w:type="dxa"/>
            <w:tcBorders>
              <w:top w:val="single" w:sz="2" w:space="0" w:color="000000" w:themeColor="text1"/>
            </w:tcBorders>
            <w:shd w:val="clear" w:color="auto" w:fill="auto"/>
            <w:hideMark/>
          </w:tcPr>
          <w:p w14:paraId="5608E18B" w14:textId="77777777" w:rsidR="00205599" w:rsidRPr="00CE6ECA" w:rsidRDefault="00205599" w:rsidP="00EB0B3E">
            <w:pPr>
              <w:pStyle w:val="NormalWeb"/>
              <w:rPr>
                <w:sz w:val="18"/>
                <w:szCs w:val="18"/>
                <w:lang w:val="en-GB"/>
              </w:rPr>
            </w:pPr>
            <w:r w:rsidRPr="00CE6ECA">
              <w:rPr>
                <w:sz w:val="18"/>
                <w:szCs w:val="18"/>
                <w:lang w:val="en-GB"/>
              </w:rPr>
              <w:t>95</w:t>
            </w:r>
          </w:p>
        </w:tc>
      </w:tr>
      <w:tr w:rsidR="00205599" w:rsidRPr="00CE6ECA" w14:paraId="57D5A143"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shd w:val="clear" w:color="auto" w:fill="auto"/>
            <w:hideMark/>
          </w:tcPr>
          <w:p w14:paraId="71A12401" w14:textId="77777777" w:rsidR="00205599" w:rsidRPr="00CE6ECA" w:rsidRDefault="00205599" w:rsidP="00EB0B3E">
            <w:pPr>
              <w:jc w:val="left"/>
              <w:rPr>
                <w:sz w:val="18"/>
                <w:szCs w:val="18"/>
                <w:lang w:val="en-GB"/>
              </w:rPr>
            </w:pPr>
          </w:p>
        </w:tc>
        <w:tc>
          <w:tcPr>
            <w:tcW w:w="0" w:type="auto"/>
            <w:shd w:val="clear" w:color="auto" w:fill="auto"/>
            <w:hideMark/>
          </w:tcPr>
          <w:p w14:paraId="4DEF31F3" w14:textId="77777777" w:rsidR="00205599" w:rsidRPr="00CE6ECA" w:rsidRDefault="00205599" w:rsidP="00EB0B3E">
            <w:pPr>
              <w:pStyle w:val="NormalWeb"/>
              <w:rPr>
                <w:sz w:val="18"/>
                <w:szCs w:val="18"/>
                <w:lang w:val="en-GB"/>
              </w:rPr>
            </w:pPr>
            <w:r w:rsidRPr="00CE6ECA">
              <w:rPr>
                <w:sz w:val="18"/>
                <w:szCs w:val="18"/>
                <w:lang w:val="en-GB"/>
              </w:rPr>
              <w:t>Admitted to intensive care unit</w:t>
            </w:r>
          </w:p>
        </w:tc>
        <w:tc>
          <w:tcPr>
            <w:tcW w:w="0" w:type="auto"/>
            <w:shd w:val="clear" w:color="auto" w:fill="auto"/>
            <w:hideMark/>
          </w:tcPr>
          <w:p w14:paraId="6C5C0D38" w14:textId="77777777" w:rsidR="00205599" w:rsidRPr="00CE6ECA" w:rsidRDefault="00205599" w:rsidP="00EB0B3E">
            <w:pPr>
              <w:pStyle w:val="NormalWeb"/>
              <w:rPr>
                <w:sz w:val="18"/>
                <w:szCs w:val="18"/>
                <w:lang w:val="en-GB"/>
              </w:rPr>
            </w:pPr>
            <w:r w:rsidRPr="00CE6ECA">
              <w:rPr>
                <w:sz w:val="18"/>
                <w:szCs w:val="18"/>
                <w:lang w:val="en-GB"/>
              </w:rPr>
              <w:t>33</w:t>
            </w:r>
          </w:p>
        </w:tc>
        <w:tc>
          <w:tcPr>
            <w:tcW w:w="2745" w:type="dxa"/>
            <w:shd w:val="clear" w:color="auto" w:fill="auto"/>
            <w:hideMark/>
          </w:tcPr>
          <w:p w14:paraId="2274044C" w14:textId="77777777" w:rsidR="00205599" w:rsidRPr="00CE6ECA" w:rsidRDefault="00205599" w:rsidP="00EB0B3E">
            <w:pPr>
              <w:pStyle w:val="NormalWeb"/>
              <w:rPr>
                <w:sz w:val="18"/>
                <w:szCs w:val="18"/>
                <w:lang w:val="en-GB"/>
              </w:rPr>
            </w:pPr>
            <w:r w:rsidRPr="00CE6ECA">
              <w:rPr>
                <w:sz w:val="18"/>
                <w:szCs w:val="18"/>
                <w:lang w:val="en-GB"/>
              </w:rPr>
              <w:t>25</w:t>
            </w:r>
          </w:p>
        </w:tc>
      </w:tr>
      <w:tr w:rsidR="00205599" w:rsidRPr="00CE6ECA" w14:paraId="55633CAD" w14:textId="77777777" w:rsidTr="00205599">
        <w:trPr>
          <w:divId w:val="248467387"/>
        </w:trPr>
        <w:tc>
          <w:tcPr>
            <w:tcW w:w="0" w:type="auto"/>
            <w:vMerge/>
            <w:tcBorders>
              <w:bottom w:val="single" w:sz="2" w:space="0" w:color="000000" w:themeColor="text1"/>
            </w:tcBorders>
            <w:shd w:val="clear" w:color="auto" w:fill="auto"/>
            <w:hideMark/>
          </w:tcPr>
          <w:p w14:paraId="39987662"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29026EC9" w14:textId="77777777" w:rsidR="00205599" w:rsidRPr="00CE6ECA" w:rsidRDefault="00205599" w:rsidP="00EB0B3E">
            <w:pPr>
              <w:pStyle w:val="NormalWeb"/>
              <w:rPr>
                <w:sz w:val="18"/>
                <w:szCs w:val="18"/>
                <w:lang w:val="en-GB"/>
              </w:rPr>
            </w:pPr>
            <w:r w:rsidRPr="00CE6ECA">
              <w:rPr>
                <w:sz w:val="18"/>
                <w:szCs w:val="18"/>
                <w:lang w:val="en-GB"/>
              </w:rPr>
              <w:t>Required surgery</w:t>
            </w:r>
          </w:p>
        </w:tc>
        <w:tc>
          <w:tcPr>
            <w:tcW w:w="0" w:type="auto"/>
            <w:tcBorders>
              <w:bottom w:val="single" w:sz="2" w:space="0" w:color="000000" w:themeColor="text1"/>
            </w:tcBorders>
            <w:shd w:val="clear" w:color="auto" w:fill="auto"/>
            <w:hideMark/>
          </w:tcPr>
          <w:p w14:paraId="5D60DF0C" w14:textId="77777777" w:rsidR="00205599" w:rsidRPr="00CE6ECA" w:rsidRDefault="00205599" w:rsidP="00EB0B3E">
            <w:pPr>
              <w:pStyle w:val="NormalWeb"/>
              <w:rPr>
                <w:sz w:val="18"/>
                <w:szCs w:val="18"/>
                <w:lang w:val="en-GB"/>
              </w:rPr>
            </w:pPr>
            <w:r w:rsidRPr="00CE6ECA">
              <w:rPr>
                <w:sz w:val="18"/>
                <w:szCs w:val="18"/>
                <w:lang w:val="en-GB"/>
              </w:rPr>
              <w:t>38</w:t>
            </w:r>
          </w:p>
        </w:tc>
        <w:tc>
          <w:tcPr>
            <w:tcW w:w="2745" w:type="dxa"/>
            <w:tcBorders>
              <w:bottom w:val="single" w:sz="2" w:space="0" w:color="000000" w:themeColor="text1"/>
            </w:tcBorders>
            <w:shd w:val="clear" w:color="auto" w:fill="auto"/>
            <w:hideMark/>
          </w:tcPr>
          <w:p w14:paraId="6859BAE1" w14:textId="77777777" w:rsidR="00205599" w:rsidRPr="00CE6ECA" w:rsidRDefault="00205599" w:rsidP="00EB0B3E">
            <w:pPr>
              <w:pStyle w:val="NormalWeb"/>
              <w:rPr>
                <w:sz w:val="18"/>
                <w:szCs w:val="18"/>
                <w:lang w:val="en-GB"/>
              </w:rPr>
            </w:pPr>
            <w:r w:rsidRPr="00CE6ECA">
              <w:rPr>
                <w:sz w:val="18"/>
                <w:szCs w:val="18"/>
                <w:lang w:val="en-GB"/>
              </w:rPr>
              <w:t>26</w:t>
            </w:r>
          </w:p>
        </w:tc>
      </w:tr>
      <w:tr w:rsidR="00205599" w:rsidRPr="00CE6ECA" w14:paraId="38AE22AE" w14:textId="77777777" w:rsidTr="00205599">
        <w:trPr>
          <w:cnfStyle w:val="000000010000" w:firstRow="0" w:lastRow="0" w:firstColumn="0" w:lastColumn="0" w:oddVBand="0" w:evenVBand="0" w:oddHBand="0" w:evenHBand="1" w:firstRowFirstColumn="0" w:firstRowLastColumn="0" w:lastRowFirstColumn="0" w:lastRowLastColumn="0"/>
          <w:divId w:val="248467387"/>
        </w:trPr>
        <w:tc>
          <w:tcPr>
            <w:tcW w:w="0" w:type="auto"/>
            <w:vMerge w:val="restart"/>
            <w:tcBorders>
              <w:top w:val="single" w:sz="2" w:space="0" w:color="000000" w:themeColor="text1"/>
            </w:tcBorders>
            <w:shd w:val="clear" w:color="auto" w:fill="auto"/>
            <w:hideMark/>
          </w:tcPr>
          <w:p w14:paraId="5B1BAB1D" w14:textId="77777777" w:rsidR="00205599" w:rsidRPr="00CE6ECA" w:rsidRDefault="00205599" w:rsidP="00EB0B3E">
            <w:pPr>
              <w:pStyle w:val="NormalWeb"/>
              <w:jc w:val="left"/>
              <w:rPr>
                <w:sz w:val="18"/>
                <w:szCs w:val="18"/>
                <w:lang w:val="en-GB"/>
              </w:rPr>
            </w:pPr>
            <w:r w:rsidRPr="00CE6ECA">
              <w:rPr>
                <w:sz w:val="18"/>
                <w:szCs w:val="18"/>
                <w:lang w:val="en-GB"/>
              </w:rPr>
              <w:t>Mortality</w:t>
            </w:r>
          </w:p>
        </w:tc>
        <w:tc>
          <w:tcPr>
            <w:tcW w:w="0" w:type="auto"/>
            <w:tcBorders>
              <w:top w:val="single" w:sz="2" w:space="0" w:color="000000" w:themeColor="text1"/>
            </w:tcBorders>
            <w:shd w:val="clear" w:color="auto" w:fill="auto"/>
            <w:hideMark/>
          </w:tcPr>
          <w:p w14:paraId="4F805173" w14:textId="77777777" w:rsidR="00205599" w:rsidRPr="00CE6ECA" w:rsidRDefault="00205599" w:rsidP="00EB0B3E">
            <w:pPr>
              <w:pStyle w:val="NormalWeb"/>
              <w:rPr>
                <w:sz w:val="18"/>
                <w:szCs w:val="18"/>
                <w:lang w:val="en-GB"/>
              </w:rPr>
            </w:pPr>
            <w:r w:rsidRPr="00CE6ECA">
              <w:rPr>
                <w:sz w:val="18"/>
                <w:szCs w:val="18"/>
                <w:lang w:val="en-GB"/>
              </w:rPr>
              <w:t>Within 7 days of diagnosis</w:t>
            </w:r>
          </w:p>
        </w:tc>
        <w:tc>
          <w:tcPr>
            <w:tcW w:w="0" w:type="auto"/>
            <w:tcBorders>
              <w:top w:val="single" w:sz="2" w:space="0" w:color="000000" w:themeColor="text1"/>
            </w:tcBorders>
            <w:shd w:val="clear" w:color="auto" w:fill="auto"/>
            <w:hideMark/>
          </w:tcPr>
          <w:p w14:paraId="08C1816C" w14:textId="77777777" w:rsidR="00205599" w:rsidRPr="00CE6ECA" w:rsidRDefault="00205599" w:rsidP="00EB0B3E">
            <w:pPr>
              <w:pStyle w:val="NormalWeb"/>
              <w:rPr>
                <w:sz w:val="18"/>
                <w:szCs w:val="18"/>
                <w:lang w:val="en-GB"/>
              </w:rPr>
            </w:pPr>
            <w:r w:rsidRPr="00CE6ECA">
              <w:rPr>
                <w:sz w:val="18"/>
                <w:szCs w:val="18"/>
                <w:lang w:val="en-GB"/>
              </w:rPr>
              <w:t>6</w:t>
            </w:r>
          </w:p>
        </w:tc>
        <w:tc>
          <w:tcPr>
            <w:tcW w:w="2745" w:type="dxa"/>
            <w:tcBorders>
              <w:top w:val="single" w:sz="2" w:space="0" w:color="000000" w:themeColor="text1"/>
            </w:tcBorders>
            <w:shd w:val="clear" w:color="auto" w:fill="auto"/>
            <w:hideMark/>
          </w:tcPr>
          <w:p w14:paraId="028EBB25" w14:textId="77777777" w:rsidR="00205599" w:rsidRPr="00CE6ECA" w:rsidRDefault="00205599" w:rsidP="00EB0B3E">
            <w:pPr>
              <w:pStyle w:val="NormalWeb"/>
              <w:rPr>
                <w:sz w:val="18"/>
                <w:szCs w:val="18"/>
                <w:lang w:val="en-GB"/>
              </w:rPr>
            </w:pPr>
            <w:r w:rsidRPr="00CE6ECA">
              <w:rPr>
                <w:sz w:val="18"/>
                <w:szCs w:val="18"/>
                <w:lang w:val="en-GB"/>
              </w:rPr>
              <w:t>5</w:t>
            </w:r>
          </w:p>
        </w:tc>
      </w:tr>
      <w:tr w:rsidR="00205599" w:rsidRPr="00CE6ECA" w14:paraId="29A805D9" w14:textId="77777777" w:rsidTr="00205599">
        <w:trPr>
          <w:divId w:val="248467387"/>
        </w:trPr>
        <w:tc>
          <w:tcPr>
            <w:tcW w:w="0" w:type="auto"/>
            <w:vMerge/>
            <w:tcBorders>
              <w:bottom w:val="single" w:sz="2" w:space="0" w:color="000000" w:themeColor="text1"/>
            </w:tcBorders>
            <w:shd w:val="clear" w:color="auto" w:fill="auto"/>
            <w:hideMark/>
          </w:tcPr>
          <w:p w14:paraId="0B753573" w14:textId="77777777" w:rsidR="00205599" w:rsidRPr="00CE6ECA" w:rsidRDefault="00205599" w:rsidP="00EB0B3E">
            <w:pPr>
              <w:jc w:val="left"/>
              <w:rPr>
                <w:sz w:val="18"/>
                <w:szCs w:val="18"/>
                <w:lang w:val="en-GB"/>
              </w:rPr>
            </w:pPr>
          </w:p>
        </w:tc>
        <w:tc>
          <w:tcPr>
            <w:tcW w:w="0" w:type="auto"/>
            <w:tcBorders>
              <w:bottom w:val="single" w:sz="2" w:space="0" w:color="000000" w:themeColor="text1"/>
            </w:tcBorders>
            <w:shd w:val="clear" w:color="auto" w:fill="auto"/>
            <w:hideMark/>
          </w:tcPr>
          <w:p w14:paraId="2A9024CA" w14:textId="77777777" w:rsidR="00205599" w:rsidRPr="00CE6ECA" w:rsidRDefault="00205599" w:rsidP="00EB0B3E">
            <w:pPr>
              <w:pStyle w:val="NormalWeb"/>
              <w:rPr>
                <w:sz w:val="18"/>
                <w:szCs w:val="18"/>
                <w:lang w:val="en-GB"/>
              </w:rPr>
            </w:pPr>
            <w:r w:rsidRPr="00CE6ECA">
              <w:rPr>
                <w:sz w:val="18"/>
                <w:szCs w:val="18"/>
                <w:lang w:val="en-GB"/>
              </w:rPr>
              <w:t>Within 30 days of diagnosis</w:t>
            </w:r>
          </w:p>
        </w:tc>
        <w:tc>
          <w:tcPr>
            <w:tcW w:w="0" w:type="auto"/>
            <w:tcBorders>
              <w:bottom w:val="single" w:sz="2" w:space="0" w:color="000000" w:themeColor="text1"/>
            </w:tcBorders>
            <w:shd w:val="clear" w:color="auto" w:fill="auto"/>
            <w:hideMark/>
          </w:tcPr>
          <w:p w14:paraId="76E03312" w14:textId="77777777" w:rsidR="00205599" w:rsidRPr="00CE6ECA" w:rsidRDefault="00205599" w:rsidP="00EB0B3E">
            <w:pPr>
              <w:pStyle w:val="NormalWeb"/>
              <w:rPr>
                <w:sz w:val="18"/>
                <w:szCs w:val="18"/>
                <w:lang w:val="en-GB"/>
              </w:rPr>
            </w:pPr>
            <w:r w:rsidRPr="00CE6ECA">
              <w:rPr>
                <w:sz w:val="18"/>
                <w:szCs w:val="18"/>
                <w:lang w:val="en-GB"/>
              </w:rPr>
              <w:t>10</w:t>
            </w:r>
          </w:p>
        </w:tc>
        <w:tc>
          <w:tcPr>
            <w:tcW w:w="2745" w:type="dxa"/>
            <w:tcBorders>
              <w:bottom w:val="single" w:sz="2" w:space="0" w:color="000000" w:themeColor="text1"/>
            </w:tcBorders>
            <w:shd w:val="clear" w:color="auto" w:fill="auto"/>
            <w:hideMark/>
          </w:tcPr>
          <w:p w14:paraId="121423A4" w14:textId="77777777" w:rsidR="00205599" w:rsidRPr="00CE6ECA" w:rsidRDefault="00205599" w:rsidP="00EB0B3E">
            <w:pPr>
              <w:pStyle w:val="NormalWeb"/>
              <w:rPr>
                <w:sz w:val="18"/>
                <w:szCs w:val="18"/>
                <w:lang w:val="en-GB"/>
              </w:rPr>
            </w:pPr>
            <w:r w:rsidRPr="00CE6ECA">
              <w:rPr>
                <w:sz w:val="18"/>
                <w:szCs w:val="18"/>
                <w:lang w:val="en-GB"/>
              </w:rPr>
              <w:t>8</w:t>
            </w:r>
          </w:p>
        </w:tc>
      </w:tr>
    </w:tbl>
    <w:p w14:paraId="2DF5234F" w14:textId="77777777" w:rsidR="00205599" w:rsidRPr="004D7D80" w:rsidRDefault="00205599" w:rsidP="00205599">
      <w:pPr>
        <w:pStyle w:val="CDIfootnotes"/>
        <w:divId w:val="248467387"/>
      </w:pPr>
      <w:proofErr w:type="spellStart"/>
      <w:r w:rsidRPr="004D7D80">
        <w:t>a</w:t>
      </w:r>
      <w:proofErr w:type="spellEnd"/>
      <w:r w:rsidRPr="004D7D80">
        <w:tab/>
        <w:t>Including impetigo, ulcer, wound, abscess, burn, scabies, vascular access site, cellulitis, necrotising fasciitis.</w:t>
      </w:r>
    </w:p>
    <w:p w14:paraId="3058607F" w14:textId="632C39D9" w:rsidR="00205599" w:rsidRDefault="00205599" w:rsidP="00205599">
      <w:pPr>
        <w:pStyle w:val="CDIfootnotes"/>
        <w:divId w:val="248467387"/>
      </w:pPr>
      <w:r w:rsidRPr="004D7D80">
        <w:t>b</w:t>
      </w:r>
      <w:r w:rsidRPr="004D7D80">
        <w:tab/>
        <w:t xml:space="preserve">Infected vascular graft or fistula, endocarditis, urosepsis, dental abscess, </w:t>
      </w:r>
      <w:proofErr w:type="spellStart"/>
      <w:r w:rsidRPr="004D7D80">
        <w:t>tubo</w:t>
      </w:r>
      <w:proofErr w:type="spellEnd"/>
      <w:r w:rsidRPr="004D7D80">
        <w:t>-ovarian abscess.</w:t>
      </w:r>
    </w:p>
    <w:p w14:paraId="32B435EA" w14:textId="2E8DB6A6" w:rsidR="00186198" w:rsidRPr="004D7D80" w:rsidRDefault="00186198" w:rsidP="00186198">
      <w:pPr>
        <w:pStyle w:val="CDIfootnotes"/>
        <w:divId w:val="248467387"/>
      </w:pPr>
      <w:r>
        <w:t>c</w:t>
      </w:r>
      <w:r>
        <w:tab/>
        <w:t>Cases presenting with pneumonia, meningitis, necrotising fasciitis, streptococcal toxic shock syndrome or any other manifestation requiring admission to an intensive care unit or causing death.</w:t>
      </w:r>
    </w:p>
    <w:p w14:paraId="74462EFC" w14:textId="0CF40367" w:rsidR="00B86960" w:rsidRPr="00B86960" w:rsidRDefault="00B86960" w:rsidP="00B86960">
      <w:pPr>
        <w:pStyle w:val="Heading1"/>
        <w:divId w:val="248467387"/>
      </w:pPr>
      <w:r w:rsidRPr="00B86960">
        <w:lastRenderedPageBreak/>
        <w:t xml:space="preserve">Discussion </w:t>
      </w:r>
    </w:p>
    <w:p w14:paraId="43857DF0" w14:textId="77777777" w:rsidR="00B86960" w:rsidRDefault="00B86960" w:rsidP="00B86960">
      <w:pPr>
        <w:divId w:val="248467387"/>
      </w:pPr>
      <w:r>
        <w:t xml:space="preserve">This NT review presents socio-environmental and clinical findings from the longest period of notifiable disease surveillance for </w:t>
      </w:r>
      <w:proofErr w:type="spellStart"/>
      <w:r>
        <w:t>iGAS</w:t>
      </w:r>
      <w:proofErr w:type="spellEnd"/>
      <w:r>
        <w:t xml:space="preserve"> disease in Australia, to inform public health efforts. While the NT has </w:t>
      </w:r>
      <w:proofErr w:type="gramStart"/>
      <w:r>
        <w:t>locally-developed</w:t>
      </w:r>
      <w:proofErr w:type="gramEnd"/>
      <w:r>
        <w:t xml:space="preserve"> guidelines for </w:t>
      </w:r>
      <w:proofErr w:type="spellStart"/>
      <w:r>
        <w:t>iGAS</w:t>
      </w:r>
      <w:proofErr w:type="spellEnd"/>
      <w:r>
        <w:t xml:space="preserve"> disease,</w:t>
      </w:r>
      <w:r>
        <w:rPr>
          <w:vertAlign w:val="superscript"/>
        </w:rPr>
        <w:t>16</w:t>
      </w:r>
      <w:r>
        <w:t xml:space="preserve"> Australia-wide public health management guidelines (in the Series of National Guidelines) are currently under development. Our findings are important for considering whether more intensive public health responses are required for remote and </w:t>
      </w:r>
      <w:proofErr w:type="gramStart"/>
      <w:r>
        <w:t>socially-disadvantaged</w:t>
      </w:r>
      <w:proofErr w:type="gramEnd"/>
      <w:r>
        <w:t xml:space="preserve"> populations, particularly in areas with a high incidence of GAS-related disease. </w:t>
      </w:r>
    </w:p>
    <w:p w14:paraId="733D293D" w14:textId="21CEA128" w:rsidR="00B86960" w:rsidRDefault="00B86960" w:rsidP="00B86960">
      <w:pPr>
        <w:divId w:val="248467387"/>
      </w:pPr>
      <w:r>
        <w:t xml:space="preserve">In the NT, we found that </w:t>
      </w:r>
      <w:proofErr w:type="spellStart"/>
      <w:r>
        <w:t>iGAS</w:t>
      </w:r>
      <w:proofErr w:type="spellEnd"/>
      <w:r>
        <w:t xml:space="preserve"> disease disproportionately affects people who are living in remote and very remote areas and those at greatest socio-economic disadvantage. This inequity is consistent with </w:t>
      </w:r>
      <w:proofErr w:type="gramStart"/>
      <w:r>
        <w:t>previous</w:t>
      </w:r>
      <w:proofErr w:type="gramEnd"/>
      <w:r>
        <w:t xml:space="preserve"> studies demonstrating an association of GAS-related disease with social disadvantage and </w:t>
      </w:r>
      <w:r w:rsidR="00186198">
        <w:t>high-density liv</w:t>
      </w:r>
      <w:r>
        <w:t>ing.</w:t>
      </w:r>
      <w:r>
        <w:rPr>
          <w:vertAlign w:val="superscript"/>
        </w:rPr>
        <w:t>20</w:t>
      </w:r>
      <w:r>
        <w:t xml:space="preserve"> We recommend a public health response based on remote community engagement and long-term collaboration across multiple government sectors (including housing, education and health) to address the social determinants of skin health. It is also important that healthcare staff working in remote and disadvantaged communities receive education about the importance of early detection and treatment of skin infections and are on alert for clinical features of </w:t>
      </w:r>
      <w:proofErr w:type="spellStart"/>
      <w:r>
        <w:t>iGAS</w:t>
      </w:r>
      <w:proofErr w:type="spellEnd"/>
      <w:r>
        <w:t xml:space="preserve"> disease. Comprehensive prevention and treatment guidelines are available from the NT Healthy Skin Program.</w:t>
      </w:r>
      <w:r>
        <w:rPr>
          <w:vertAlign w:val="superscript"/>
        </w:rPr>
        <w:t xml:space="preserve">21 </w:t>
      </w:r>
    </w:p>
    <w:p w14:paraId="0C640D30" w14:textId="2959D973" w:rsidR="00B86960" w:rsidRDefault="00B86960" w:rsidP="00B86960">
      <w:pPr>
        <w:divId w:val="248467387"/>
      </w:pPr>
      <w:r>
        <w:t xml:space="preserve">People receiving dialysis in the NT continue to be at </w:t>
      </w:r>
      <w:r w:rsidR="00186198">
        <w:t>significantly increased</w:t>
      </w:r>
      <w:r>
        <w:t xml:space="preserve"> risk of </w:t>
      </w:r>
      <w:proofErr w:type="spellStart"/>
      <w:r>
        <w:t>iGAS</w:t>
      </w:r>
      <w:proofErr w:type="spellEnd"/>
      <w:r>
        <w:t xml:space="preserve"> disease.</w:t>
      </w:r>
      <w:r>
        <w:rPr>
          <w:vertAlign w:val="superscript"/>
        </w:rPr>
        <w:t>8</w:t>
      </w:r>
      <w:r>
        <w:t xml:space="preserve"> A combination of multiple host risk factors, relative immunocompromise, frequent vascular access and often-limited access to hygiene infrastructure may explain the high incidence in this group. As most patients (69%) were dialysing through an arteriovenous fistula at the time of diagnosis, intravenous line sepsis is unlikely to be a key mechanism of </w:t>
      </w:r>
      <w:proofErr w:type="spellStart"/>
      <w:r>
        <w:t>iGAS</w:t>
      </w:r>
      <w:proofErr w:type="spellEnd"/>
      <w:r>
        <w:t xml:space="preserve"> infection. </w:t>
      </w:r>
    </w:p>
    <w:p w14:paraId="755AA002" w14:textId="77777777" w:rsidR="00B86960" w:rsidRDefault="00B86960" w:rsidP="00B86960">
      <w:pPr>
        <w:divId w:val="248467387"/>
      </w:pPr>
      <w:r>
        <w:t xml:space="preserve">We found high rates of concurrent diabetes (74%) and heart disease (64%) in people receiving dialysis who developed </w:t>
      </w:r>
      <w:proofErr w:type="spellStart"/>
      <w:r>
        <w:t>iGAS</w:t>
      </w:r>
      <w:proofErr w:type="spellEnd"/>
      <w:r>
        <w:t xml:space="preserve"> disease. In comparison, approximately 56% of all people receiving haemodialysis in Australia in 2020 were diabetic and 38% had known coronary artery disease.</w:t>
      </w:r>
      <w:r>
        <w:rPr>
          <w:vertAlign w:val="superscript"/>
        </w:rPr>
        <w:t>10</w:t>
      </w:r>
      <w:r>
        <w:t xml:space="preserve"> A recent data-linkage study of </w:t>
      </w:r>
      <w:proofErr w:type="spellStart"/>
      <w:r>
        <w:t>iGAS</w:t>
      </w:r>
      <w:proofErr w:type="spellEnd"/>
      <w:r>
        <w:t xml:space="preserve"> disease in Victoria, Australia found a much lower rate of diabetes (15%) and heart disease (30%) in their general </w:t>
      </w:r>
      <w:proofErr w:type="spellStart"/>
      <w:r>
        <w:t>iGAS</w:t>
      </w:r>
      <w:proofErr w:type="spellEnd"/>
      <w:r>
        <w:t xml:space="preserve"> cohort, which was not limited to dialysis recipients.</w:t>
      </w:r>
      <w:r>
        <w:rPr>
          <w:vertAlign w:val="superscript"/>
        </w:rPr>
        <w:t>21</w:t>
      </w:r>
      <w:r>
        <w:t xml:space="preserve"> However, despite the lower comorbidity burden, the rate of ICU admission (33%) was higher in the Victorian than NT dialysis cohort, and the case fatality rate (6%) was similar.</w:t>
      </w:r>
      <w:r>
        <w:rPr>
          <w:vertAlign w:val="superscript"/>
        </w:rPr>
        <w:t>22</w:t>
      </w:r>
      <w:r>
        <w:t xml:space="preserve"> These results may partly reflect differences in data collection methodology, with non-severe cases and comorbidities less likely to be identified through data-linkage than through mandatory notification and direct review of EHR. Future research using multivariable regression would be valuable in exploring the risk factor profile of </w:t>
      </w:r>
      <w:proofErr w:type="spellStart"/>
      <w:r>
        <w:t>iGAS</w:t>
      </w:r>
      <w:proofErr w:type="spellEnd"/>
      <w:r>
        <w:t xml:space="preserve"> infection, and further characterising which patients are at greatest risk of severe disease. </w:t>
      </w:r>
    </w:p>
    <w:p w14:paraId="30B9680F" w14:textId="77777777" w:rsidR="00B86960" w:rsidRDefault="00B86960" w:rsidP="00B86960">
      <w:pPr>
        <w:divId w:val="248467387"/>
      </w:pPr>
      <w:r>
        <w:t xml:space="preserve">Skin infections (such as cellulitis and infected wounds) were the most common documented antecedent to </w:t>
      </w:r>
      <w:proofErr w:type="spellStart"/>
      <w:r>
        <w:t>iGAS</w:t>
      </w:r>
      <w:proofErr w:type="spellEnd"/>
      <w:r>
        <w:t xml:space="preserve"> disease, and scabies </w:t>
      </w:r>
      <w:proofErr w:type="gramStart"/>
      <w:r>
        <w:t>remains</w:t>
      </w:r>
      <w:proofErr w:type="gramEnd"/>
      <w:r>
        <w:t xml:space="preserve"> endemic in much of the NT.</w:t>
      </w:r>
      <w:r>
        <w:rPr>
          <w:vertAlign w:val="superscript"/>
        </w:rPr>
        <w:t>23–25</w:t>
      </w:r>
      <w:r>
        <w:t xml:space="preserve"> Our study highlights the considerable morbidity, mortality and healthcare burden arising from </w:t>
      </w:r>
      <w:proofErr w:type="spellStart"/>
      <w:r>
        <w:t>iGAS</w:t>
      </w:r>
      <w:proofErr w:type="spellEnd"/>
      <w:r>
        <w:t xml:space="preserve"> disease in people receiving dialysis, which may be preventable through primordial, primary and secondary prevention measures. This includes action on the social determinants of skin health (such as improved housing and hygiene infrastructure for dialysis recipients), education of patients and health professionals, prompt identification and treatment of superficial skin infections, and targeted use of antibiotic prophylaxis for secondary prevention.</w:t>
      </w:r>
      <w:r>
        <w:rPr>
          <w:vertAlign w:val="superscript"/>
        </w:rPr>
        <w:t xml:space="preserve">16 </w:t>
      </w:r>
    </w:p>
    <w:p w14:paraId="53D9E0B0" w14:textId="77777777" w:rsidR="00B86960" w:rsidRDefault="00B86960" w:rsidP="00B86960">
      <w:pPr>
        <w:divId w:val="248467387"/>
      </w:pPr>
      <w:r>
        <w:t xml:space="preserve">No seasonal difference </w:t>
      </w:r>
      <w:proofErr w:type="gramStart"/>
      <w:r>
        <w:t>was noted</w:t>
      </w:r>
      <w:proofErr w:type="gramEnd"/>
      <w:r>
        <w:t xml:space="preserve"> in </w:t>
      </w:r>
      <w:proofErr w:type="spellStart"/>
      <w:r>
        <w:t>iGAS</w:t>
      </w:r>
      <w:proofErr w:type="spellEnd"/>
      <w:r>
        <w:t xml:space="preserve"> disease case numbers in Central Australia. However, in the Top End region, a significantly higher number of cases </w:t>
      </w:r>
      <w:proofErr w:type="gramStart"/>
      <w:r>
        <w:t>were diagnosed</w:t>
      </w:r>
      <w:proofErr w:type="gramEnd"/>
      <w:r>
        <w:t xml:space="preserve"> in the dry season (May–October) than in the wet season. Possible contributing factors include dry season population movements between communities and urban locations </w:t>
      </w:r>
      <w:r>
        <w:lastRenderedPageBreak/>
        <w:t>such as Darwin, with increased social interaction and GAS transmission, and the routine administration of wet season co-trimoxazole prophylaxis against melioidosis for Top End haemodialysis recipients since November 2014.</w:t>
      </w:r>
      <w:r>
        <w:rPr>
          <w:vertAlign w:val="superscript"/>
        </w:rPr>
        <w:t xml:space="preserve">8 </w:t>
      </w:r>
    </w:p>
    <w:p w14:paraId="688DA696" w14:textId="1954483F" w:rsidR="00B86960" w:rsidRDefault="00B86960" w:rsidP="00B86960">
      <w:pPr>
        <w:divId w:val="248467387"/>
      </w:pPr>
      <w:r>
        <w:t xml:space="preserve">There was evidence of GAS transmission in households, residential hostel, </w:t>
      </w:r>
      <w:proofErr w:type="gramStart"/>
      <w:r>
        <w:t>childcare</w:t>
      </w:r>
      <w:proofErr w:type="gramEnd"/>
      <w:r>
        <w:t xml:space="preserve"> and health care settings. These settings are particularly important for consideration of </w:t>
      </w:r>
      <w:proofErr w:type="gramStart"/>
      <w:r>
        <w:t>an appropriate public</w:t>
      </w:r>
      <w:proofErr w:type="gramEnd"/>
      <w:r>
        <w:t xml:space="preserve"> health response, as outlined in the NT public health guidelines.</w:t>
      </w:r>
      <w:r>
        <w:rPr>
          <w:vertAlign w:val="superscript"/>
        </w:rPr>
        <w:t>16</w:t>
      </w:r>
      <w:r>
        <w:t xml:space="preserve"> Further studies are required to identify the efficacy of chemoprophylaxis </w:t>
      </w:r>
      <w:r w:rsidR="00186198">
        <w:t>for</w:t>
      </w:r>
      <w:r>
        <w:t xml:space="preserve"> close contacts in high-risk settings. This research is necessary to direct the public health response for prevention of further transmission of GAS-related disease and to support decision-making for efficient use of public health resources. </w:t>
      </w:r>
    </w:p>
    <w:p w14:paraId="1D3CC2DA" w14:textId="77777777" w:rsidR="00B86960" w:rsidRPr="00B86960" w:rsidRDefault="00B86960" w:rsidP="00B86960">
      <w:pPr>
        <w:pStyle w:val="Heading1"/>
        <w:divId w:val="248467387"/>
      </w:pPr>
      <w:r w:rsidRPr="00B86960">
        <w:t xml:space="preserve">Limitations </w:t>
      </w:r>
    </w:p>
    <w:p w14:paraId="3F0BF06C" w14:textId="77777777" w:rsidR="00B86960" w:rsidRDefault="00B86960" w:rsidP="00B86960">
      <w:pPr>
        <w:divId w:val="248467387"/>
      </w:pPr>
      <w:r>
        <w:t xml:space="preserve">This study will have missed some cases of </w:t>
      </w:r>
      <w:proofErr w:type="spellStart"/>
      <w:r>
        <w:t>iGAS</w:t>
      </w:r>
      <w:proofErr w:type="spellEnd"/>
      <w:r>
        <w:t xml:space="preserve"> disease in the NT, where </w:t>
      </w:r>
      <w:proofErr w:type="gramStart"/>
      <w:r>
        <w:t>appropriate cultures</w:t>
      </w:r>
      <w:proofErr w:type="gramEnd"/>
      <w:r>
        <w:t xml:space="preserve"> were not performed to obtain a sterile site isolate or because of laboratory limitations. In addition, the probable case definition </w:t>
      </w:r>
      <w:proofErr w:type="gramStart"/>
      <w:r>
        <w:t>was only added</w:t>
      </w:r>
      <w:proofErr w:type="gramEnd"/>
      <w:r>
        <w:t xml:space="preserve"> in 2016, relied upon clinician awareness and reporting, and only included necrotising fasciitis cases. The NT probable case definition has recently </w:t>
      </w:r>
      <w:proofErr w:type="gramStart"/>
      <w:r>
        <w:t>been revised</w:t>
      </w:r>
      <w:proofErr w:type="gramEnd"/>
      <w:r>
        <w:t xml:space="preserve"> to increase sensitivity, now incorporating other compatible clinical syndromes of </w:t>
      </w:r>
      <w:proofErr w:type="spellStart"/>
      <w:r>
        <w:t>iGAS</w:t>
      </w:r>
      <w:proofErr w:type="spellEnd"/>
      <w:r>
        <w:t xml:space="preserve"> disease</w:t>
      </w:r>
      <w:r>
        <w:rPr>
          <w:vertAlign w:val="superscript"/>
        </w:rPr>
        <w:t>13</w:t>
      </w:r>
      <w:r>
        <w:t xml:space="preserve">. Comorbidity data </w:t>
      </w:r>
      <w:proofErr w:type="gramStart"/>
      <w:r>
        <w:t>were collected</w:t>
      </w:r>
      <w:proofErr w:type="gramEnd"/>
      <w:r>
        <w:t xml:space="preserve"> through review of dialysis patient electronic medical records during healthcare encounters for </w:t>
      </w:r>
      <w:proofErr w:type="spellStart"/>
      <w:r>
        <w:t>iGAS</w:t>
      </w:r>
      <w:proofErr w:type="spellEnd"/>
      <w:r>
        <w:t xml:space="preserve"> disease, and co-morbidity frequencies may be underestimated if incompletely documented. As GAS isolates from sterile sites do not routinely undergo molecular typing, we may have missed clusters of disease where an epidemiologic link </w:t>
      </w:r>
      <w:proofErr w:type="gramStart"/>
      <w:r>
        <w:t>was not recognised</w:t>
      </w:r>
      <w:proofErr w:type="gramEnd"/>
      <w:r>
        <w:t xml:space="preserve">. </w:t>
      </w:r>
    </w:p>
    <w:p w14:paraId="48134729" w14:textId="77777777" w:rsidR="00B86960" w:rsidRDefault="00B86960" w:rsidP="00B86960">
      <w:pPr>
        <w:divId w:val="248467387"/>
      </w:pPr>
      <w:r>
        <w:t xml:space="preserve">This study involved descriptive analysis, without correction for multiple comparisons. There is likely to be a high correlation between analysed variables, such as remoteness and socio-economic status. Future studies using multivariable regression modelling could </w:t>
      </w:r>
      <w:proofErr w:type="gramStart"/>
      <w:r>
        <w:t>provide</w:t>
      </w:r>
      <w:proofErr w:type="gramEnd"/>
      <w:r>
        <w:t xml:space="preserve"> further insights into the contributions of and relationships between different social determinants of </w:t>
      </w:r>
      <w:proofErr w:type="spellStart"/>
      <w:r>
        <w:t>iGAS</w:t>
      </w:r>
      <w:proofErr w:type="spellEnd"/>
      <w:r>
        <w:t xml:space="preserve"> disease. </w:t>
      </w:r>
    </w:p>
    <w:p w14:paraId="1DC7B95C" w14:textId="62654C47" w:rsidR="00186198" w:rsidRPr="00B86960" w:rsidRDefault="00186198" w:rsidP="00186198">
      <w:pPr>
        <w:pStyle w:val="Heading1"/>
        <w:divId w:val="248467387"/>
      </w:pPr>
      <w:r>
        <w:t>Conclus</w:t>
      </w:r>
      <w:r w:rsidRPr="00B86960">
        <w:t xml:space="preserve">ions </w:t>
      </w:r>
    </w:p>
    <w:p w14:paraId="269DC743" w14:textId="77777777" w:rsidR="00B86960" w:rsidRDefault="00B86960" w:rsidP="00B86960">
      <w:pPr>
        <w:divId w:val="248467387"/>
      </w:pPr>
      <w:proofErr w:type="spellStart"/>
      <w:r>
        <w:t>iGAS</w:t>
      </w:r>
      <w:proofErr w:type="spellEnd"/>
      <w:r>
        <w:t xml:space="preserve"> disease is unevenly affecting people in the NT, with most affected being those living in areas of socio-economic disadvantage, in remote and very remote communities, and those receiving dialysis. </w:t>
      </w:r>
      <w:proofErr w:type="spellStart"/>
      <w:r>
        <w:t>iGAS</w:t>
      </w:r>
      <w:proofErr w:type="spellEnd"/>
      <w:r>
        <w:t xml:space="preserve"> disease causes substantial morbidity, </w:t>
      </w:r>
      <w:proofErr w:type="gramStart"/>
      <w:r>
        <w:t>mortality</w:t>
      </w:r>
      <w:proofErr w:type="gramEnd"/>
      <w:r>
        <w:t xml:space="preserve"> and healthcare cost within the NT community. It is important that primordial, </w:t>
      </w:r>
      <w:proofErr w:type="gramStart"/>
      <w:r>
        <w:t>primary</w:t>
      </w:r>
      <w:proofErr w:type="gramEnd"/>
      <w:r>
        <w:t xml:space="preserve"> and secondary prevention measures be directed towards supporting these disadvantaged population groups. </w:t>
      </w:r>
    </w:p>
    <w:p w14:paraId="0DF2273D" w14:textId="77777777" w:rsidR="00B86960" w:rsidRPr="00B86960" w:rsidRDefault="00B86960" w:rsidP="00B86960">
      <w:pPr>
        <w:pStyle w:val="Heading1"/>
        <w:divId w:val="248467387"/>
      </w:pPr>
      <w:r w:rsidRPr="00B86960">
        <w:t xml:space="preserve">Acknowledgements </w:t>
      </w:r>
    </w:p>
    <w:p w14:paraId="1DD81718" w14:textId="77777777" w:rsidR="00B86960" w:rsidRDefault="00B86960" w:rsidP="00B86960">
      <w:pPr>
        <w:divId w:val="248467387"/>
      </w:pPr>
      <w:r>
        <w:t xml:space="preserve">We thank the laboratory staff at Territory Pathology who perform the culture and identification for GAS infections, and all NT Health clinical staff involved in the patients’ care. We acknowledge Kimberley McMahon (NT Centre for Disease Control) and Nancy Merridew (NT Health) for their valued contributions to the </w:t>
      </w:r>
      <w:proofErr w:type="spellStart"/>
      <w:r>
        <w:t>iGAS</w:t>
      </w:r>
      <w:proofErr w:type="spellEnd"/>
      <w:r>
        <w:t xml:space="preserve"> disease public health response in the NT, which prompted this investigation. For assistance with data </w:t>
      </w:r>
      <w:proofErr w:type="gramStart"/>
      <w:r>
        <w:t>extraction</w:t>
      </w:r>
      <w:proofErr w:type="gramEnd"/>
      <w:r>
        <w:t xml:space="preserve"> we thank </w:t>
      </w:r>
      <w:proofErr w:type="spellStart"/>
      <w:r>
        <w:t>Emidio</w:t>
      </w:r>
      <w:proofErr w:type="spellEnd"/>
      <w:r>
        <w:t xml:space="preserve"> </w:t>
      </w:r>
      <w:proofErr w:type="spellStart"/>
      <w:r>
        <w:t>Coccetti</w:t>
      </w:r>
      <w:proofErr w:type="spellEnd"/>
      <w:r>
        <w:t xml:space="preserve"> (NT Health), and for assistance with data analysis Chris </w:t>
      </w:r>
      <w:proofErr w:type="spellStart"/>
      <w:r>
        <w:t>Lowbridge</w:t>
      </w:r>
      <w:proofErr w:type="spellEnd"/>
      <w:r>
        <w:t xml:space="preserve"> (Menzies School of Health Research) and Ramakrishna </w:t>
      </w:r>
      <w:proofErr w:type="spellStart"/>
      <w:r>
        <w:t>Chondur</w:t>
      </w:r>
      <w:proofErr w:type="spellEnd"/>
      <w:r>
        <w:t xml:space="preserve">, Libby Morris, and Karen Dempsey (NT Public Health and Digital Team). </w:t>
      </w:r>
    </w:p>
    <w:p w14:paraId="05FAB596" w14:textId="77777777" w:rsidR="00B86960" w:rsidRPr="00B86960" w:rsidRDefault="00B86960" w:rsidP="00B86960">
      <w:pPr>
        <w:pStyle w:val="Heading1"/>
        <w:divId w:val="248467387"/>
      </w:pPr>
      <w:r w:rsidRPr="00B86960">
        <w:t xml:space="preserve">Author details </w:t>
      </w:r>
    </w:p>
    <w:p w14:paraId="7E14E200" w14:textId="77777777" w:rsidR="00B86960" w:rsidRDefault="00B86960" w:rsidP="00B86960">
      <w:pPr>
        <w:divId w:val="248467387"/>
      </w:pPr>
      <w:r>
        <w:t>Dr Johanna M Birrell</w:t>
      </w:r>
      <w:r>
        <w:rPr>
          <w:vertAlign w:val="superscript"/>
        </w:rPr>
        <w:t xml:space="preserve">1 </w:t>
      </w:r>
    </w:p>
    <w:p w14:paraId="022F2825" w14:textId="77777777" w:rsidR="00B86960" w:rsidRDefault="00B86960" w:rsidP="00B86960">
      <w:pPr>
        <w:divId w:val="248467387"/>
      </w:pPr>
      <w:r>
        <w:lastRenderedPageBreak/>
        <w:t>Ms Rowena Boyd</w:t>
      </w:r>
      <w:r>
        <w:rPr>
          <w:vertAlign w:val="superscript"/>
        </w:rPr>
        <w:t xml:space="preserve">1 </w:t>
      </w:r>
    </w:p>
    <w:p w14:paraId="6623B695" w14:textId="77777777" w:rsidR="00B86960" w:rsidRDefault="00B86960" w:rsidP="00B86960">
      <w:pPr>
        <w:divId w:val="248467387"/>
      </w:pPr>
      <w:r>
        <w:t>Prof Bart J Currie</w:t>
      </w:r>
      <w:r>
        <w:rPr>
          <w:vertAlign w:val="superscript"/>
        </w:rPr>
        <w:t xml:space="preserve">2,3 </w:t>
      </w:r>
    </w:p>
    <w:p w14:paraId="0320533E" w14:textId="77777777" w:rsidR="00B86960" w:rsidRDefault="00B86960" w:rsidP="00B86960">
      <w:pPr>
        <w:divId w:val="248467387"/>
      </w:pPr>
      <w:r>
        <w:t>A/Prof Asanga Abeyaratne</w:t>
      </w:r>
      <w:r>
        <w:rPr>
          <w:vertAlign w:val="superscript"/>
        </w:rPr>
        <w:t xml:space="preserve">2,3 </w:t>
      </w:r>
    </w:p>
    <w:p w14:paraId="0A26253A" w14:textId="77777777" w:rsidR="00B86960" w:rsidRDefault="00B86960" w:rsidP="00B86960">
      <w:pPr>
        <w:divId w:val="248467387"/>
      </w:pPr>
      <w:r>
        <w:t xml:space="preserve">Prof </w:t>
      </w:r>
      <w:proofErr w:type="spellStart"/>
      <w:r>
        <w:t>Sandawana</w:t>
      </w:r>
      <w:proofErr w:type="spellEnd"/>
      <w:r>
        <w:t xml:space="preserve"> William Majoni</w:t>
      </w:r>
      <w:r>
        <w:rPr>
          <w:vertAlign w:val="superscript"/>
        </w:rPr>
        <w:t xml:space="preserve">2,3 </w:t>
      </w:r>
    </w:p>
    <w:p w14:paraId="746EE249" w14:textId="77777777" w:rsidR="00B86960" w:rsidRDefault="00B86960" w:rsidP="00B86960">
      <w:pPr>
        <w:divId w:val="248467387"/>
      </w:pPr>
      <w:r>
        <w:t>A/Prof Vicki L Krause</w:t>
      </w:r>
      <w:r>
        <w:rPr>
          <w:vertAlign w:val="superscript"/>
        </w:rPr>
        <w:t xml:space="preserve">1 </w:t>
      </w:r>
    </w:p>
    <w:p w14:paraId="5CEBEE8A" w14:textId="77777777" w:rsidR="00B86960" w:rsidRPr="00B86960" w:rsidRDefault="00B86960" w:rsidP="00B86960">
      <w:pPr>
        <w:pStyle w:val="ListParagraph"/>
        <w:numPr>
          <w:ilvl w:val="0"/>
          <w:numId w:val="9"/>
        </w:numPr>
        <w:divId w:val="248467387"/>
        <w:rPr>
          <w:rFonts w:eastAsia="Times New Roman"/>
        </w:rPr>
      </w:pPr>
      <w:r w:rsidRPr="00B86960">
        <w:rPr>
          <w:rFonts w:eastAsia="Times New Roman"/>
        </w:rPr>
        <w:t xml:space="preserve">Northern Territory Centre for Disease Control, NT Health, Darwin, NT </w:t>
      </w:r>
    </w:p>
    <w:p w14:paraId="622B0191" w14:textId="77777777" w:rsidR="00B86960" w:rsidRPr="00B86960" w:rsidRDefault="00B86960" w:rsidP="00B86960">
      <w:pPr>
        <w:pStyle w:val="ListParagraph"/>
        <w:numPr>
          <w:ilvl w:val="0"/>
          <w:numId w:val="9"/>
        </w:numPr>
        <w:divId w:val="248467387"/>
        <w:rPr>
          <w:rFonts w:eastAsia="Times New Roman"/>
        </w:rPr>
      </w:pPr>
      <w:r w:rsidRPr="00B86960">
        <w:rPr>
          <w:rFonts w:eastAsia="Times New Roman"/>
        </w:rPr>
        <w:t xml:space="preserve">Menzies School of Health Research, Charles Darwin University, Darwin, NT </w:t>
      </w:r>
    </w:p>
    <w:p w14:paraId="26E804EC" w14:textId="77777777" w:rsidR="00B86960" w:rsidRPr="00B86960" w:rsidRDefault="00B86960" w:rsidP="00B86960">
      <w:pPr>
        <w:pStyle w:val="ListParagraph"/>
        <w:numPr>
          <w:ilvl w:val="0"/>
          <w:numId w:val="9"/>
        </w:numPr>
        <w:divId w:val="248467387"/>
        <w:rPr>
          <w:rFonts w:eastAsia="Times New Roman"/>
        </w:rPr>
      </w:pPr>
      <w:r w:rsidRPr="00B86960">
        <w:rPr>
          <w:rFonts w:eastAsia="Times New Roman"/>
        </w:rPr>
        <w:t xml:space="preserve">Northern Territory Medical Program, Royal Darwin Hospital, Darwin, NT </w:t>
      </w:r>
    </w:p>
    <w:p w14:paraId="2E11A522" w14:textId="77777777" w:rsidR="00B86960" w:rsidRPr="00B86960" w:rsidRDefault="00B86960" w:rsidP="00854861">
      <w:pPr>
        <w:pStyle w:val="Heading2"/>
        <w:spacing w:after="200"/>
        <w:divId w:val="248467387"/>
      </w:pPr>
      <w:r w:rsidRPr="00B86960">
        <w:t xml:space="preserve">Corresponding author </w:t>
      </w:r>
    </w:p>
    <w:p w14:paraId="75F8C331" w14:textId="77777777" w:rsidR="00B86960" w:rsidRDefault="00B86960" w:rsidP="00B86960">
      <w:pPr>
        <w:divId w:val="248467387"/>
      </w:pPr>
      <w:r>
        <w:t xml:space="preserve">Dr Johanna M </w:t>
      </w:r>
      <w:proofErr w:type="spellStart"/>
      <w:r>
        <w:t>Birrell</w:t>
      </w:r>
      <w:proofErr w:type="spellEnd"/>
      <w:r>
        <w:t xml:space="preserve"> </w:t>
      </w:r>
    </w:p>
    <w:p w14:paraId="636537B1" w14:textId="77777777" w:rsidR="00B86960" w:rsidRDefault="00B86960" w:rsidP="00B86960">
      <w:pPr>
        <w:divId w:val="248467387"/>
      </w:pPr>
      <w:r>
        <w:t xml:space="preserve">Address: Northern Territory Centre for Disease Control, PO Box 40596, Casuarina, NT 0811 </w:t>
      </w:r>
    </w:p>
    <w:p w14:paraId="3D167C1C" w14:textId="77777777" w:rsidR="00B86960" w:rsidRDefault="00B86960" w:rsidP="00B86960">
      <w:pPr>
        <w:divId w:val="248467387"/>
      </w:pPr>
      <w:r>
        <w:t xml:space="preserve">Phone: (08) 8922 8044 </w:t>
      </w:r>
    </w:p>
    <w:p w14:paraId="22A40CD9" w14:textId="77777777" w:rsidR="00B86960" w:rsidRDefault="00B86960" w:rsidP="00B86960">
      <w:pPr>
        <w:divId w:val="248467387"/>
      </w:pPr>
      <w:r>
        <w:t>Email: johanna.birrell@cdhb.health.nz</w:t>
      </w:r>
    </w:p>
    <w:p w14:paraId="0A8DB009" w14:textId="77777777" w:rsidR="00B86960" w:rsidRPr="00B86960" w:rsidRDefault="00B86960" w:rsidP="00B86960">
      <w:pPr>
        <w:pStyle w:val="Heading1"/>
        <w:divId w:val="248467387"/>
      </w:pPr>
      <w:r w:rsidRPr="00B86960">
        <w:t xml:space="preserve">References </w:t>
      </w:r>
    </w:p>
    <w:p w14:paraId="78A6FC84"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Douglas NM, Hennessy JN, Currie BJ, Baird RW. Trends in </w:t>
      </w:r>
      <w:proofErr w:type="spellStart"/>
      <w:r>
        <w:rPr>
          <w:rFonts w:eastAsia="Times New Roman"/>
        </w:rPr>
        <w:t>bacteremia</w:t>
      </w:r>
      <w:proofErr w:type="spellEnd"/>
      <w:r>
        <w:rPr>
          <w:rFonts w:eastAsia="Times New Roman"/>
        </w:rPr>
        <w:t xml:space="preserve"> over 2 decades in the Top End of the Northern Territory of Australia. </w:t>
      </w:r>
      <w:r w:rsidRPr="00854861">
        <w:rPr>
          <w:rStyle w:val="Emphasis"/>
          <w:rFonts w:eastAsia="Times New Roman"/>
          <w:b w:val="0"/>
          <w:bCs w:val="0"/>
        </w:rPr>
        <w:t>Open Forum Infect Dis</w:t>
      </w:r>
      <w:r>
        <w:rPr>
          <w:rFonts w:eastAsia="Times New Roman"/>
        </w:rPr>
        <w:t xml:space="preserve">. 2020;7(11): ofaa472. </w:t>
      </w:r>
      <w:proofErr w:type="spellStart"/>
      <w:r>
        <w:rPr>
          <w:rFonts w:eastAsia="Times New Roman"/>
        </w:rPr>
        <w:t>doi</w:t>
      </w:r>
      <w:proofErr w:type="spellEnd"/>
      <w:r>
        <w:rPr>
          <w:rFonts w:eastAsia="Times New Roman"/>
        </w:rPr>
        <w:t xml:space="preserve">: https://doi.org/10.1093/ofid/ofaa472. </w:t>
      </w:r>
    </w:p>
    <w:p w14:paraId="39325D73"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Northern Territory Government Minister for Health. </w:t>
      </w:r>
      <w:r w:rsidRPr="00854861">
        <w:rPr>
          <w:rStyle w:val="Emphasis"/>
          <w:rFonts w:eastAsia="Times New Roman"/>
          <w:b w:val="0"/>
          <w:bCs w:val="0"/>
        </w:rPr>
        <w:t xml:space="preserve">Notifiable Diseases Act. Notifiable diseases: amendment of information to </w:t>
      </w:r>
      <w:proofErr w:type="gramStart"/>
      <w:r w:rsidRPr="00854861">
        <w:rPr>
          <w:rStyle w:val="Emphasis"/>
          <w:rFonts w:eastAsia="Times New Roman"/>
          <w:b w:val="0"/>
          <w:bCs w:val="0"/>
        </w:rPr>
        <w:t>be given</w:t>
      </w:r>
      <w:proofErr w:type="gramEnd"/>
      <w:r w:rsidRPr="00854861">
        <w:rPr>
          <w:rStyle w:val="Emphasis"/>
          <w:rFonts w:eastAsia="Times New Roman"/>
          <w:b w:val="0"/>
          <w:bCs w:val="0"/>
        </w:rPr>
        <w:t xml:space="preserve"> by laboratories</w:t>
      </w:r>
      <w:r>
        <w:rPr>
          <w:rFonts w:eastAsia="Times New Roman"/>
        </w:rPr>
        <w:t xml:space="preserve">. [Notice of amendment to legislation.] Darwin: Northern Territory Government; 11 May 2011. [Accessed on 15 March 2023.] Available from: https://nt.gov.au/__data/assets/pdf_file/0007/197278/g19.pdf. </w:t>
      </w:r>
    </w:p>
    <w:p w14:paraId="5C37C43D"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Australian Government Department of Health and Aged Care, Communicable Diseases Network Australia (CDNA). </w:t>
      </w:r>
      <w:r w:rsidRPr="00854861">
        <w:rPr>
          <w:rStyle w:val="Emphasis"/>
          <w:rFonts w:eastAsia="Times New Roman"/>
          <w:b w:val="0"/>
          <w:bCs w:val="0"/>
        </w:rPr>
        <w:t>Invasive group A streptococcal (</w:t>
      </w:r>
      <w:proofErr w:type="spellStart"/>
      <w:r w:rsidRPr="00854861">
        <w:rPr>
          <w:rStyle w:val="Emphasis"/>
          <w:rFonts w:eastAsia="Times New Roman"/>
          <w:b w:val="0"/>
          <w:bCs w:val="0"/>
        </w:rPr>
        <w:t>iGAS</w:t>
      </w:r>
      <w:proofErr w:type="spellEnd"/>
      <w:r w:rsidRPr="00854861">
        <w:rPr>
          <w:rStyle w:val="Emphasis"/>
          <w:rFonts w:eastAsia="Times New Roman"/>
          <w:b w:val="0"/>
          <w:bCs w:val="0"/>
        </w:rPr>
        <w:t>) disease: surveillance case definition</w:t>
      </w:r>
      <w:r>
        <w:rPr>
          <w:rFonts w:eastAsia="Times New Roman"/>
        </w:rPr>
        <w:t xml:space="preserve">. Canberra: Australian Government Department of Health and Aged Care; 1 July 2015. [Accessed on 15 March 2023.] Available from: https://www.health.gov.au/resources/publications/invasive-group-a-streptococcal-disease-igas-surveillance-case-definition. </w:t>
      </w:r>
    </w:p>
    <w:p w14:paraId="62705297"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Wright CM, </w:t>
      </w:r>
      <w:proofErr w:type="spellStart"/>
      <w:r>
        <w:rPr>
          <w:rFonts w:eastAsia="Times New Roman"/>
        </w:rPr>
        <w:t>Langworthy</w:t>
      </w:r>
      <w:proofErr w:type="spellEnd"/>
      <w:r>
        <w:rPr>
          <w:rFonts w:eastAsia="Times New Roman"/>
        </w:rPr>
        <w:t xml:space="preserve"> K, Manning L. The Australian burden of invasive group A streptococcal disease: a narrative review. </w:t>
      </w:r>
      <w:r w:rsidRPr="00854861">
        <w:rPr>
          <w:rStyle w:val="Emphasis"/>
          <w:rFonts w:eastAsia="Times New Roman"/>
          <w:b w:val="0"/>
          <w:bCs w:val="0"/>
        </w:rPr>
        <w:t>Intern Med J</w:t>
      </w:r>
      <w:r>
        <w:rPr>
          <w:rFonts w:eastAsia="Times New Roman"/>
        </w:rPr>
        <w:t xml:space="preserve">. 2021;51(6):835–844. </w:t>
      </w:r>
      <w:proofErr w:type="spellStart"/>
      <w:r>
        <w:rPr>
          <w:rFonts w:eastAsia="Times New Roman"/>
        </w:rPr>
        <w:t>doi</w:t>
      </w:r>
      <w:proofErr w:type="spellEnd"/>
      <w:r>
        <w:rPr>
          <w:rFonts w:eastAsia="Times New Roman"/>
        </w:rPr>
        <w:t xml:space="preserve">: https://doi.org/10.1111/imj.14885. </w:t>
      </w:r>
    </w:p>
    <w:p w14:paraId="0A1D636B" w14:textId="77777777" w:rsidR="00B86960" w:rsidRDefault="00B86960" w:rsidP="00B86960">
      <w:pPr>
        <w:numPr>
          <w:ilvl w:val="0"/>
          <w:numId w:val="8"/>
        </w:numPr>
        <w:spacing w:before="100" w:beforeAutospacing="1" w:after="100" w:afterAutospacing="1" w:line="240" w:lineRule="auto"/>
        <w:divId w:val="248467387"/>
        <w:rPr>
          <w:rFonts w:eastAsia="Times New Roman"/>
        </w:rPr>
      </w:pPr>
      <w:proofErr w:type="spellStart"/>
      <w:r>
        <w:rPr>
          <w:rFonts w:eastAsia="Times New Roman"/>
        </w:rPr>
        <w:t>Carapetis</w:t>
      </w:r>
      <w:proofErr w:type="spellEnd"/>
      <w:r>
        <w:rPr>
          <w:rFonts w:eastAsia="Times New Roman"/>
        </w:rPr>
        <w:t xml:space="preserve"> JR, Walker AM, </w:t>
      </w:r>
      <w:proofErr w:type="spellStart"/>
      <w:r>
        <w:rPr>
          <w:rFonts w:eastAsia="Times New Roman"/>
        </w:rPr>
        <w:t>Hibble</w:t>
      </w:r>
      <w:proofErr w:type="spellEnd"/>
      <w:r>
        <w:rPr>
          <w:rFonts w:eastAsia="Times New Roman"/>
        </w:rPr>
        <w:t xml:space="preserve"> M, </w:t>
      </w:r>
      <w:proofErr w:type="spellStart"/>
      <w:r>
        <w:rPr>
          <w:rFonts w:eastAsia="Times New Roman"/>
        </w:rPr>
        <w:t>Sriprakash</w:t>
      </w:r>
      <w:proofErr w:type="spellEnd"/>
      <w:r>
        <w:rPr>
          <w:rFonts w:eastAsia="Times New Roman"/>
        </w:rPr>
        <w:t xml:space="preserve"> KS, Currie BJ. Clinical and epidemiological features of group A streptococcal bacteraemia in a region with hyperendemic superficial streptococcal infection. </w:t>
      </w:r>
      <w:r w:rsidRPr="00854861">
        <w:rPr>
          <w:rStyle w:val="Emphasis"/>
          <w:rFonts w:eastAsia="Times New Roman"/>
          <w:b w:val="0"/>
          <w:bCs w:val="0"/>
        </w:rPr>
        <w:t>Epidemiol Infect</w:t>
      </w:r>
      <w:r>
        <w:rPr>
          <w:rFonts w:eastAsia="Times New Roman"/>
        </w:rPr>
        <w:t xml:space="preserve">. 1999;122(1):59–65. </w:t>
      </w:r>
      <w:proofErr w:type="spellStart"/>
      <w:r>
        <w:rPr>
          <w:rFonts w:eastAsia="Times New Roman"/>
        </w:rPr>
        <w:t>doi</w:t>
      </w:r>
      <w:proofErr w:type="spellEnd"/>
      <w:r>
        <w:rPr>
          <w:rFonts w:eastAsia="Times New Roman"/>
        </w:rPr>
        <w:t xml:space="preserve">: https://doi.org/10.1017/s0950268898001952. </w:t>
      </w:r>
    </w:p>
    <w:p w14:paraId="247BBD50"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Boyd R, Patel M, Currie BJ, Holt DC, Harris T, Krause V. High burden of invasive group A streptococcal disease in the Northern Territory of Australia. </w:t>
      </w:r>
      <w:r w:rsidRPr="00854861">
        <w:rPr>
          <w:rStyle w:val="Emphasis"/>
          <w:rFonts w:eastAsia="Times New Roman"/>
          <w:b w:val="0"/>
          <w:bCs w:val="0"/>
        </w:rPr>
        <w:t>Epidemiol Infect</w:t>
      </w:r>
      <w:r>
        <w:rPr>
          <w:rFonts w:eastAsia="Times New Roman"/>
        </w:rPr>
        <w:t xml:space="preserve">. 2016;144(5):1018–27. </w:t>
      </w:r>
      <w:proofErr w:type="spellStart"/>
      <w:r>
        <w:rPr>
          <w:rFonts w:eastAsia="Times New Roman"/>
        </w:rPr>
        <w:t>doi</w:t>
      </w:r>
      <w:proofErr w:type="spellEnd"/>
      <w:r>
        <w:rPr>
          <w:rFonts w:eastAsia="Times New Roman"/>
        </w:rPr>
        <w:t xml:space="preserve">: https://doi.org/10.1017/s0950268815002010. </w:t>
      </w:r>
    </w:p>
    <w:p w14:paraId="3A1A7DCE"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Gear RJ, Carter JC, </w:t>
      </w:r>
      <w:proofErr w:type="spellStart"/>
      <w:r>
        <w:rPr>
          <w:rFonts w:eastAsia="Times New Roman"/>
        </w:rPr>
        <w:t>Carapetis</w:t>
      </w:r>
      <w:proofErr w:type="spellEnd"/>
      <w:r>
        <w:rPr>
          <w:rFonts w:eastAsia="Times New Roman"/>
        </w:rPr>
        <w:t xml:space="preserve"> JR, Baird R, Davis JS. Changes in the clinical and epidemiological features of group A streptococcal bacteraemia in Australia’s Northern Territory. </w:t>
      </w:r>
      <w:r w:rsidRPr="00854861">
        <w:rPr>
          <w:rStyle w:val="Emphasis"/>
          <w:rFonts w:eastAsia="Times New Roman"/>
          <w:b w:val="0"/>
          <w:bCs w:val="0"/>
        </w:rPr>
        <w:t>Trop Med Int Health</w:t>
      </w:r>
      <w:r>
        <w:rPr>
          <w:rFonts w:eastAsia="Times New Roman"/>
        </w:rPr>
        <w:t xml:space="preserve">. 2015;20(1):40–7. </w:t>
      </w:r>
      <w:proofErr w:type="spellStart"/>
      <w:r>
        <w:rPr>
          <w:rFonts w:eastAsia="Times New Roman"/>
        </w:rPr>
        <w:t>doi</w:t>
      </w:r>
      <w:proofErr w:type="spellEnd"/>
      <w:r>
        <w:rPr>
          <w:rFonts w:eastAsia="Times New Roman"/>
        </w:rPr>
        <w:t xml:space="preserve">: https://doi.org/10.1111/tmi.12405. </w:t>
      </w:r>
    </w:p>
    <w:p w14:paraId="25591636" w14:textId="77777777" w:rsidR="00B86960" w:rsidRDefault="00B86960" w:rsidP="00B86960">
      <w:pPr>
        <w:numPr>
          <w:ilvl w:val="0"/>
          <w:numId w:val="8"/>
        </w:numPr>
        <w:spacing w:before="100" w:beforeAutospacing="1" w:after="100" w:afterAutospacing="1" w:line="240" w:lineRule="auto"/>
        <w:divId w:val="248467387"/>
        <w:rPr>
          <w:rFonts w:eastAsia="Times New Roman"/>
        </w:rPr>
      </w:pPr>
      <w:proofErr w:type="spellStart"/>
      <w:r>
        <w:rPr>
          <w:rFonts w:eastAsia="Times New Roman"/>
        </w:rPr>
        <w:t>Birrell</w:t>
      </w:r>
      <w:proofErr w:type="spellEnd"/>
      <w:r>
        <w:rPr>
          <w:rFonts w:eastAsia="Times New Roman"/>
        </w:rPr>
        <w:t xml:space="preserve"> JM, Boyd R, Currie BJ, Anstey NM, </w:t>
      </w:r>
      <w:proofErr w:type="spellStart"/>
      <w:r>
        <w:rPr>
          <w:rFonts w:eastAsia="Times New Roman"/>
        </w:rPr>
        <w:t>Abeyaratne</w:t>
      </w:r>
      <w:proofErr w:type="spellEnd"/>
      <w:r>
        <w:rPr>
          <w:rFonts w:eastAsia="Times New Roman"/>
        </w:rPr>
        <w:t xml:space="preserve"> A, </w:t>
      </w:r>
      <w:proofErr w:type="spellStart"/>
      <w:r>
        <w:rPr>
          <w:rFonts w:eastAsia="Times New Roman"/>
        </w:rPr>
        <w:t>Majoni</w:t>
      </w:r>
      <w:proofErr w:type="spellEnd"/>
      <w:r>
        <w:rPr>
          <w:rFonts w:eastAsia="Times New Roman"/>
        </w:rPr>
        <w:t xml:space="preserve"> SW et al. Invasive group A streptococcal disease in the Northern Territory and the impact of melioidosis antibiotic prophylaxis. </w:t>
      </w:r>
      <w:r w:rsidRPr="00854861">
        <w:rPr>
          <w:rStyle w:val="Emphasis"/>
          <w:rFonts w:eastAsia="Times New Roman"/>
          <w:b w:val="0"/>
          <w:bCs w:val="0"/>
        </w:rPr>
        <w:t>Med J Aust</w:t>
      </w:r>
      <w:r>
        <w:rPr>
          <w:rFonts w:eastAsia="Times New Roman"/>
        </w:rPr>
        <w:t xml:space="preserve">. 2022;217(10):544–5. </w:t>
      </w:r>
      <w:proofErr w:type="spellStart"/>
      <w:r>
        <w:rPr>
          <w:rFonts w:eastAsia="Times New Roman"/>
        </w:rPr>
        <w:t>doi</w:t>
      </w:r>
      <w:proofErr w:type="spellEnd"/>
      <w:r>
        <w:rPr>
          <w:rFonts w:eastAsia="Times New Roman"/>
        </w:rPr>
        <w:t xml:space="preserve">: https://doi.org/ 10.5694/mja2.51739. </w:t>
      </w:r>
    </w:p>
    <w:p w14:paraId="65B5EF4E"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lastRenderedPageBreak/>
        <w:t xml:space="preserve">Australian Bureau of Statistics. Region summary: Northern Territory. [Webpage.] Canberra: Australian Bureau of Statistics; 2022. [Accessed on 15 March 2023.] Available from: https://dbr.abs.gov.au/region.html?lyr=ste&amp;rgn=7. </w:t>
      </w:r>
    </w:p>
    <w:p w14:paraId="0FAA6D70"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ANZDATA Registry. </w:t>
      </w:r>
      <w:r w:rsidRPr="00854861">
        <w:rPr>
          <w:rStyle w:val="Emphasis"/>
          <w:rFonts w:eastAsia="Times New Roman"/>
          <w:b w:val="0"/>
          <w:bCs w:val="0"/>
        </w:rPr>
        <w:t>ANZDATA 44th Annual Report 2021: Chapter 2: Prevalence of Kidney Failure with Replacement Therapy</w:t>
      </w:r>
      <w:r>
        <w:rPr>
          <w:rFonts w:eastAsia="Times New Roman"/>
        </w:rPr>
        <w:t xml:space="preserve">. Adelaide: Australia and New Zealand Dialysis and Transplant Registry; 2021. [Accessed on 15 May 2023.] Available from: https://www.anzdata.org.au/report/anzdata-44th-annual-report-2021-data-to-2020/. </w:t>
      </w:r>
    </w:p>
    <w:p w14:paraId="18351CF5"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Australian Bureau of Statistics. ABS Maps. [Webpage.] Canberra: Australian Bureau of Statistics. [Accessed on 15 March 2023.] Available from: https://maps.abs.gov.au. </w:t>
      </w:r>
    </w:p>
    <w:p w14:paraId="48A4B07B"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Australian Bureau of Statistics. The Australian Statistical Geography Standard (ASGS) remoteness structure. [Webpage.] Canberra: Australian Bureau of Statistics; 2016. [Accessed on 15 March 2023.] Available from: http://www.abs.gov.au/websitedbs/d3310114.nsf/home/remoteness+structure. </w:t>
      </w:r>
    </w:p>
    <w:p w14:paraId="7113317A"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Northern Territory Centre for Disease Control. </w:t>
      </w:r>
      <w:r w:rsidRPr="00854861">
        <w:rPr>
          <w:rStyle w:val="Emphasis"/>
          <w:rFonts w:eastAsia="Times New Roman"/>
          <w:b w:val="0"/>
          <w:bCs w:val="0"/>
        </w:rPr>
        <w:t>Notifiable diseases public health management guide</w:t>
      </w:r>
      <w:r>
        <w:rPr>
          <w:rFonts w:eastAsia="Times New Roman"/>
        </w:rPr>
        <w:t xml:space="preserve">. Darwin: Northern Territory Government; 2019. </w:t>
      </w:r>
    </w:p>
    <w:p w14:paraId="085E0A83"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Australian Bureau of Statistics. Socioeconomic indices for areas. [Webpage.] Canberra: Australian Bureau of Statistics; 6 May 2022. [Accessed on 15 March 2023.] Available from: https://www.abs.gov.au/websitedbs/censushome.nsf/home/seifa. </w:t>
      </w:r>
    </w:p>
    <w:p w14:paraId="1AC5FA5D"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Population and Digital Health (NT Health). </w:t>
      </w:r>
      <w:r w:rsidRPr="00854861">
        <w:rPr>
          <w:rStyle w:val="Emphasis"/>
          <w:rFonts w:eastAsia="Times New Roman"/>
          <w:b w:val="0"/>
          <w:bCs w:val="0"/>
        </w:rPr>
        <w:t>Northern Territory Health District resident population estimates 1971–2021</w:t>
      </w:r>
      <w:r>
        <w:rPr>
          <w:rFonts w:eastAsia="Times New Roman"/>
        </w:rPr>
        <w:t xml:space="preserve">. [Internal document.] Darwin: NT Health; July 2022. </w:t>
      </w:r>
    </w:p>
    <w:p w14:paraId="38229328"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Merridew N, </w:t>
      </w:r>
      <w:proofErr w:type="spellStart"/>
      <w:r>
        <w:rPr>
          <w:rFonts w:eastAsia="Times New Roman"/>
        </w:rPr>
        <w:t>Birrell</w:t>
      </w:r>
      <w:proofErr w:type="spellEnd"/>
      <w:r>
        <w:rPr>
          <w:rFonts w:eastAsia="Times New Roman"/>
        </w:rPr>
        <w:t xml:space="preserve"> J. </w:t>
      </w:r>
      <w:r w:rsidRPr="00854861">
        <w:rPr>
          <w:rStyle w:val="Emphasis"/>
          <w:rFonts w:eastAsia="Times New Roman"/>
          <w:b w:val="0"/>
          <w:bCs w:val="0"/>
        </w:rPr>
        <w:t>Public health management of invasive group A streptococcal disease in the Northern Territory guideline</w:t>
      </w:r>
      <w:r>
        <w:rPr>
          <w:rFonts w:eastAsia="Times New Roman"/>
        </w:rPr>
        <w:t xml:space="preserve">. Version 2.0. Darwin: Northern Territory Government, NT Health; 18 May 2022. [Accessed on 15 March 2023.] Available from: https://hdl.handle.net/10137/12182. </w:t>
      </w:r>
    </w:p>
    <w:p w14:paraId="2174496A"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Office for Health Improvement and Disparities (OHID). Tool for calculating common public health statistics and their confidence intervals. [Online database.] London: OHID; February 2018. [Accessed on 14 May 2023.] Available from: https://fingertips.phe.org.uk/profile/guidance/supporting-information/PH-methods. </w:t>
      </w:r>
    </w:p>
    <w:p w14:paraId="05311FDC"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Walter SD, Elwood JM. A test for seasonality of events with a variable population at risk. </w:t>
      </w:r>
      <w:r w:rsidRPr="00854861">
        <w:rPr>
          <w:rStyle w:val="Emphasis"/>
          <w:rFonts w:eastAsia="Times New Roman"/>
          <w:b w:val="0"/>
          <w:bCs w:val="0"/>
        </w:rPr>
        <w:t xml:space="preserve">Br J </w:t>
      </w:r>
      <w:proofErr w:type="spellStart"/>
      <w:r w:rsidRPr="00854861">
        <w:rPr>
          <w:rStyle w:val="Emphasis"/>
          <w:rFonts w:eastAsia="Times New Roman"/>
          <w:b w:val="0"/>
          <w:bCs w:val="0"/>
        </w:rPr>
        <w:t>Prev</w:t>
      </w:r>
      <w:proofErr w:type="spellEnd"/>
      <w:r w:rsidRPr="00854861">
        <w:rPr>
          <w:rStyle w:val="Emphasis"/>
          <w:rFonts w:eastAsia="Times New Roman"/>
          <w:b w:val="0"/>
          <w:bCs w:val="0"/>
        </w:rPr>
        <w:t xml:space="preserve"> Soc Med</w:t>
      </w:r>
      <w:r>
        <w:rPr>
          <w:rFonts w:eastAsia="Times New Roman"/>
        </w:rPr>
        <w:t xml:space="preserve">. 1975;29(1):18–21. </w:t>
      </w:r>
      <w:proofErr w:type="spellStart"/>
      <w:r>
        <w:rPr>
          <w:rFonts w:eastAsia="Times New Roman"/>
        </w:rPr>
        <w:t>doi</w:t>
      </w:r>
      <w:proofErr w:type="spellEnd"/>
      <w:r>
        <w:rPr>
          <w:rFonts w:eastAsia="Times New Roman"/>
        </w:rPr>
        <w:t xml:space="preserve">: https://doi.org/10.1136/jech.29.1.18. </w:t>
      </w:r>
    </w:p>
    <w:p w14:paraId="489FDED0"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Pearce MS, </w:t>
      </w:r>
      <w:proofErr w:type="spellStart"/>
      <w:r>
        <w:rPr>
          <w:rFonts w:eastAsia="Times New Roman"/>
        </w:rPr>
        <w:t>Feltbower</w:t>
      </w:r>
      <w:proofErr w:type="spellEnd"/>
      <w:r>
        <w:rPr>
          <w:rFonts w:eastAsia="Times New Roman"/>
        </w:rPr>
        <w:t xml:space="preserve"> R. Tests for seasonal data via the Edwards and Walter &amp; Elwood tests. </w:t>
      </w:r>
      <w:r w:rsidRPr="00854861">
        <w:rPr>
          <w:rStyle w:val="Emphasis"/>
          <w:rFonts w:eastAsia="Times New Roman"/>
          <w:b w:val="0"/>
          <w:bCs w:val="0"/>
        </w:rPr>
        <w:t>Stata Technical Bulletin</w:t>
      </w:r>
      <w:r>
        <w:rPr>
          <w:rFonts w:eastAsia="Times New Roman"/>
        </w:rPr>
        <w:t xml:space="preserve">. </w:t>
      </w:r>
      <w:proofErr w:type="gramStart"/>
      <w:r>
        <w:rPr>
          <w:rFonts w:eastAsia="Times New Roman"/>
        </w:rPr>
        <w:t>2000;STB</w:t>
      </w:r>
      <w:proofErr w:type="gramEnd"/>
      <w:r>
        <w:rPr>
          <w:rFonts w:eastAsia="Times New Roman"/>
        </w:rPr>
        <w:t xml:space="preserve">-56:47–9. Available from: https://www.stata-press.com/journals/stbcontents/stb56.pdf. </w:t>
      </w:r>
    </w:p>
    <w:p w14:paraId="3833ABA1"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Coffey PM, Ralph AP, Krause VL. The role of social determinants of health in the risk and prevention of group A streptococcal infection, acute rheumatic </w:t>
      </w:r>
      <w:proofErr w:type="gramStart"/>
      <w:r>
        <w:rPr>
          <w:rFonts w:eastAsia="Times New Roman"/>
        </w:rPr>
        <w:t>fever</w:t>
      </w:r>
      <w:proofErr w:type="gramEnd"/>
      <w:r>
        <w:rPr>
          <w:rFonts w:eastAsia="Times New Roman"/>
        </w:rPr>
        <w:t xml:space="preserve"> and rheumatic heart disease: a systematic review. </w:t>
      </w:r>
      <w:proofErr w:type="spellStart"/>
      <w:r w:rsidRPr="00854861">
        <w:rPr>
          <w:rStyle w:val="Emphasis"/>
          <w:rFonts w:eastAsia="Times New Roman"/>
          <w:b w:val="0"/>
          <w:bCs w:val="0"/>
        </w:rPr>
        <w:t>PLoS</w:t>
      </w:r>
      <w:proofErr w:type="spellEnd"/>
      <w:r w:rsidRPr="00854861">
        <w:rPr>
          <w:rStyle w:val="Emphasis"/>
          <w:rFonts w:eastAsia="Times New Roman"/>
          <w:b w:val="0"/>
          <w:bCs w:val="0"/>
        </w:rPr>
        <w:t xml:space="preserve"> </w:t>
      </w:r>
      <w:proofErr w:type="spellStart"/>
      <w:r w:rsidRPr="00854861">
        <w:rPr>
          <w:rStyle w:val="Emphasis"/>
          <w:rFonts w:eastAsia="Times New Roman"/>
          <w:b w:val="0"/>
          <w:bCs w:val="0"/>
        </w:rPr>
        <w:t>Negl</w:t>
      </w:r>
      <w:proofErr w:type="spellEnd"/>
      <w:r w:rsidRPr="00854861">
        <w:rPr>
          <w:rStyle w:val="Emphasis"/>
          <w:rFonts w:eastAsia="Times New Roman"/>
          <w:b w:val="0"/>
          <w:bCs w:val="0"/>
        </w:rPr>
        <w:t xml:space="preserve"> Trop Dis</w:t>
      </w:r>
      <w:r>
        <w:rPr>
          <w:rFonts w:eastAsia="Times New Roman"/>
        </w:rPr>
        <w:t>. 2018;12(6</w:t>
      </w:r>
      <w:proofErr w:type="gramStart"/>
      <w:r>
        <w:rPr>
          <w:rFonts w:eastAsia="Times New Roman"/>
        </w:rPr>
        <w:t>):e</w:t>
      </w:r>
      <w:proofErr w:type="gramEnd"/>
      <w:r>
        <w:rPr>
          <w:rFonts w:eastAsia="Times New Roman"/>
        </w:rPr>
        <w:t xml:space="preserve">0006577. </w:t>
      </w:r>
      <w:proofErr w:type="spellStart"/>
      <w:r>
        <w:rPr>
          <w:rFonts w:eastAsia="Times New Roman"/>
        </w:rPr>
        <w:t>doi</w:t>
      </w:r>
      <w:proofErr w:type="spellEnd"/>
      <w:r>
        <w:rPr>
          <w:rFonts w:eastAsia="Times New Roman"/>
        </w:rPr>
        <w:t xml:space="preserve">: https://doi.org/10.1371/journal.pntd.0006577. </w:t>
      </w:r>
    </w:p>
    <w:p w14:paraId="314BFFB4"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Northern Territory Centre for Disease Control. </w:t>
      </w:r>
      <w:r w:rsidRPr="00854861">
        <w:rPr>
          <w:rStyle w:val="Emphasis"/>
          <w:rFonts w:eastAsia="Times New Roman"/>
          <w:b w:val="0"/>
          <w:bCs w:val="0"/>
        </w:rPr>
        <w:t xml:space="preserve">Healthy Skin Program. Guidelines for the Community Control of Scabies, Skin Sores, </w:t>
      </w:r>
      <w:proofErr w:type="gramStart"/>
      <w:r w:rsidRPr="00854861">
        <w:rPr>
          <w:rStyle w:val="Emphasis"/>
          <w:rFonts w:eastAsia="Times New Roman"/>
          <w:b w:val="0"/>
          <w:bCs w:val="0"/>
        </w:rPr>
        <w:t>Tinea</w:t>
      </w:r>
      <w:proofErr w:type="gramEnd"/>
      <w:r w:rsidRPr="00854861">
        <w:rPr>
          <w:rStyle w:val="Emphasis"/>
          <w:rFonts w:eastAsia="Times New Roman"/>
          <w:b w:val="0"/>
          <w:bCs w:val="0"/>
        </w:rPr>
        <w:t xml:space="preserve"> and Crusted Scabies in the Northern Territory</w:t>
      </w:r>
      <w:r>
        <w:rPr>
          <w:rFonts w:eastAsia="Times New Roman"/>
        </w:rPr>
        <w:t xml:space="preserve"> (third edition). Darwin: Department of Health, Northern Territory; August 2015. [Accessed on 15 May 2023.] Available from: https://hdl.handle.net/10137/698. </w:t>
      </w:r>
    </w:p>
    <w:p w14:paraId="4B9D696B"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Thomson TN, Campbell PT, Gibney KB. The epidemiology of invasive group A streptococcal disease in Victoria, 2007–2017: an analysis of linked datasets. </w:t>
      </w:r>
      <w:r w:rsidRPr="00854861">
        <w:rPr>
          <w:rStyle w:val="Emphasis"/>
          <w:rFonts w:eastAsia="Times New Roman"/>
          <w:b w:val="0"/>
          <w:bCs w:val="0"/>
        </w:rPr>
        <w:t>Aust N Z J Public Health</w:t>
      </w:r>
      <w:r>
        <w:rPr>
          <w:rFonts w:eastAsia="Times New Roman"/>
        </w:rPr>
        <w:t xml:space="preserve">. 2022;46(6):878–83. </w:t>
      </w:r>
      <w:proofErr w:type="spellStart"/>
      <w:r>
        <w:rPr>
          <w:rFonts w:eastAsia="Times New Roman"/>
        </w:rPr>
        <w:t>doi</w:t>
      </w:r>
      <w:proofErr w:type="spellEnd"/>
      <w:r>
        <w:rPr>
          <w:rFonts w:eastAsia="Times New Roman"/>
        </w:rPr>
        <w:t xml:space="preserve">: https://doi.org/10.1111/1753-6405.13290. </w:t>
      </w:r>
    </w:p>
    <w:p w14:paraId="70E1FD38"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Romani L, Steer AC, Whitfield MJ, Kaldor JM. Prevalence of scabies and impetigo worldwide: a systematic review. </w:t>
      </w:r>
      <w:r w:rsidRPr="00854861">
        <w:rPr>
          <w:rStyle w:val="Emphasis"/>
          <w:rFonts w:eastAsia="Times New Roman"/>
          <w:b w:val="0"/>
          <w:bCs w:val="0"/>
        </w:rPr>
        <w:t>Lancet Infect Dis</w:t>
      </w:r>
      <w:r>
        <w:rPr>
          <w:rFonts w:eastAsia="Times New Roman"/>
        </w:rPr>
        <w:t xml:space="preserve">. 2015;15(8):960–7. </w:t>
      </w:r>
      <w:proofErr w:type="spellStart"/>
      <w:r>
        <w:rPr>
          <w:rFonts w:eastAsia="Times New Roman"/>
        </w:rPr>
        <w:t>doi</w:t>
      </w:r>
      <w:proofErr w:type="spellEnd"/>
      <w:r>
        <w:rPr>
          <w:rFonts w:eastAsia="Times New Roman"/>
        </w:rPr>
        <w:t xml:space="preserve">: https://doi.org/10.1016/s1473-3099(15)00132-2. </w:t>
      </w:r>
    </w:p>
    <w:p w14:paraId="28BC34E5" w14:textId="77777777" w:rsidR="00B86960" w:rsidRDefault="00B86960" w:rsidP="00B86960">
      <w:pPr>
        <w:numPr>
          <w:ilvl w:val="0"/>
          <w:numId w:val="8"/>
        </w:numPr>
        <w:spacing w:before="100" w:beforeAutospacing="1" w:after="100" w:afterAutospacing="1" w:line="240" w:lineRule="auto"/>
        <w:divId w:val="248467387"/>
        <w:rPr>
          <w:rFonts w:eastAsia="Times New Roman"/>
        </w:rPr>
      </w:pPr>
      <w:proofErr w:type="spellStart"/>
      <w:r>
        <w:rPr>
          <w:rFonts w:eastAsia="Times New Roman"/>
        </w:rPr>
        <w:t>Lydeamore</w:t>
      </w:r>
      <w:proofErr w:type="spellEnd"/>
      <w:r>
        <w:rPr>
          <w:rFonts w:eastAsia="Times New Roman"/>
        </w:rPr>
        <w:t xml:space="preserve"> MJ, Campbell PT, </w:t>
      </w:r>
      <w:proofErr w:type="spellStart"/>
      <w:r>
        <w:rPr>
          <w:rFonts w:eastAsia="Times New Roman"/>
        </w:rPr>
        <w:t>Cuningham</w:t>
      </w:r>
      <w:proofErr w:type="spellEnd"/>
      <w:r>
        <w:rPr>
          <w:rFonts w:eastAsia="Times New Roman"/>
        </w:rPr>
        <w:t xml:space="preserve"> W, Andrews RM, Kearns T, Clucas D et al. Calculation of the age of the first infection for skin sores and scabies in five remote communities in northern Australia. </w:t>
      </w:r>
      <w:r w:rsidRPr="00854861">
        <w:rPr>
          <w:rStyle w:val="Emphasis"/>
          <w:rFonts w:eastAsia="Times New Roman"/>
          <w:b w:val="0"/>
          <w:bCs w:val="0"/>
        </w:rPr>
        <w:t>Epidemiol Infect</w:t>
      </w:r>
      <w:r>
        <w:rPr>
          <w:rFonts w:eastAsia="Times New Roman"/>
        </w:rPr>
        <w:t xml:space="preserve">. 2018;146(9):1194–201. </w:t>
      </w:r>
      <w:proofErr w:type="spellStart"/>
      <w:r>
        <w:rPr>
          <w:rFonts w:eastAsia="Times New Roman"/>
        </w:rPr>
        <w:t>doi</w:t>
      </w:r>
      <w:proofErr w:type="spellEnd"/>
      <w:r>
        <w:rPr>
          <w:rFonts w:eastAsia="Times New Roman"/>
        </w:rPr>
        <w:t xml:space="preserve">: https://doi.org/10.1017/s0950268818001061. </w:t>
      </w:r>
    </w:p>
    <w:p w14:paraId="5746103A" w14:textId="77777777" w:rsidR="00B86960" w:rsidRDefault="00B86960" w:rsidP="00B86960">
      <w:pPr>
        <w:numPr>
          <w:ilvl w:val="0"/>
          <w:numId w:val="8"/>
        </w:numPr>
        <w:spacing w:before="100" w:beforeAutospacing="1" w:after="100" w:afterAutospacing="1" w:line="240" w:lineRule="auto"/>
        <w:divId w:val="248467387"/>
        <w:rPr>
          <w:rFonts w:eastAsia="Times New Roman"/>
        </w:rPr>
      </w:pPr>
      <w:r>
        <w:rPr>
          <w:rFonts w:eastAsia="Times New Roman"/>
        </w:rPr>
        <w:t xml:space="preserve">Campbell M, van der Linden N, Gardener K, Dickinson H, Agostino J, Dowden M et al. Health care cost of crusted scabies in Aboriginal communities in the Northern Territory, Australia. </w:t>
      </w:r>
      <w:proofErr w:type="spellStart"/>
      <w:r w:rsidRPr="00854861">
        <w:rPr>
          <w:rStyle w:val="Emphasis"/>
          <w:rFonts w:eastAsia="Times New Roman"/>
          <w:b w:val="0"/>
          <w:bCs w:val="0"/>
        </w:rPr>
        <w:t>PLoS</w:t>
      </w:r>
      <w:proofErr w:type="spellEnd"/>
      <w:r w:rsidRPr="00854861">
        <w:rPr>
          <w:rStyle w:val="Emphasis"/>
          <w:rFonts w:eastAsia="Times New Roman"/>
          <w:b w:val="0"/>
          <w:bCs w:val="0"/>
        </w:rPr>
        <w:t xml:space="preserve"> </w:t>
      </w:r>
      <w:proofErr w:type="spellStart"/>
      <w:r w:rsidRPr="00854861">
        <w:rPr>
          <w:rStyle w:val="Emphasis"/>
          <w:rFonts w:eastAsia="Times New Roman"/>
          <w:b w:val="0"/>
          <w:bCs w:val="0"/>
        </w:rPr>
        <w:t>Negl</w:t>
      </w:r>
      <w:proofErr w:type="spellEnd"/>
      <w:r w:rsidRPr="00854861">
        <w:rPr>
          <w:rStyle w:val="Emphasis"/>
          <w:rFonts w:eastAsia="Times New Roman"/>
          <w:b w:val="0"/>
          <w:bCs w:val="0"/>
        </w:rPr>
        <w:t xml:space="preserve"> Trop Dis</w:t>
      </w:r>
      <w:r>
        <w:rPr>
          <w:rFonts w:eastAsia="Times New Roman"/>
        </w:rPr>
        <w:t>. 2022;16(3</w:t>
      </w:r>
      <w:proofErr w:type="gramStart"/>
      <w:r>
        <w:rPr>
          <w:rFonts w:eastAsia="Times New Roman"/>
        </w:rPr>
        <w:t>):e</w:t>
      </w:r>
      <w:proofErr w:type="gramEnd"/>
      <w:r>
        <w:rPr>
          <w:rFonts w:eastAsia="Times New Roman"/>
        </w:rPr>
        <w:t xml:space="preserve">0010288. </w:t>
      </w:r>
      <w:proofErr w:type="spellStart"/>
      <w:r>
        <w:rPr>
          <w:rFonts w:eastAsia="Times New Roman"/>
        </w:rPr>
        <w:t>doi</w:t>
      </w:r>
      <w:proofErr w:type="spellEnd"/>
      <w:r>
        <w:rPr>
          <w:rFonts w:eastAsia="Times New Roman"/>
        </w:rPr>
        <w:t>: https://doi.org/10.1371/journal.pntd.0010288.</w:t>
      </w:r>
    </w:p>
    <w:p w14:paraId="514BE432" w14:textId="77777777" w:rsidR="008B5348" w:rsidRDefault="008B5348">
      <w:pPr>
        <w:rPr>
          <w:rStyle w:val="A10"/>
        </w:rPr>
        <w:sectPr w:rsidR="008B5348" w:rsidSect="00A30C3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1134" w:left="720" w:header="709" w:footer="284" w:gutter="0"/>
          <w:cols w:space="708"/>
          <w:titlePg/>
          <w:docGrid w:linePitch="360"/>
        </w:sectPr>
      </w:pPr>
    </w:p>
    <w:p w14:paraId="677E45B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244E7A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878B728" w14:textId="77777777" w:rsidR="000A5F42" w:rsidRPr="000606CC" w:rsidRDefault="000A5F42" w:rsidP="000A5F42">
      <w:pPr>
        <w:pStyle w:val="NoSpacing"/>
        <w:rPr>
          <w:rStyle w:val="URI"/>
          <w:rFonts w:cstheme="minorHAnsi"/>
          <w:sz w:val="20"/>
          <w:szCs w:val="18"/>
        </w:rPr>
      </w:pPr>
    </w:p>
    <w:p w14:paraId="2A17552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5C2B3214" w14:textId="77777777" w:rsidR="000A5F42" w:rsidRPr="000606CC" w:rsidRDefault="000A5F42" w:rsidP="000A5F42">
      <w:pPr>
        <w:pStyle w:val="NoSpacing"/>
        <w:rPr>
          <w:rStyle w:val="Strong"/>
          <w:rFonts w:cstheme="minorHAnsi"/>
          <w:sz w:val="20"/>
          <w:szCs w:val="18"/>
        </w:rPr>
      </w:pPr>
    </w:p>
    <w:p w14:paraId="002D12D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5C38995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25EC91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9563C1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4C4C4767" w14:textId="77777777" w:rsidR="000A5F42" w:rsidRPr="000606CC" w:rsidRDefault="000A5F42" w:rsidP="000A5F42">
      <w:pPr>
        <w:pStyle w:val="NoSpacing"/>
        <w:rPr>
          <w:rStyle w:val="Strong"/>
          <w:rFonts w:cstheme="minorHAnsi"/>
          <w:sz w:val="20"/>
          <w:szCs w:val="18"/>
        </w:rPr>
      </w:pPr>
    </w:p>
    <w:p w14:paraId="255C0D5B" w14:textId="317629C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9"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7792989" w14:textId="77777777" w:rsidR="000A5F42" w:rsidRPr="000606CC" w:rsidRDefault="000A5F42" w:rsidP="000A5F42">
      <w:pPr>
        <w:pStyle w:val="NoSpacing"/>
        <w:rPr>
          <w:rStyle w:val="Strong"/>
          <w:rFonts w:cstheme="minorHAnsi"/>
          <w:sz w:val="20"/>
          <w:szCs w:val="18"/>
        </w:rPr>
      </w:pPr>
    </w:p>
    <w:p w14:paraId="5E3B3F90"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22026C81" w14:textId="77777777" w:rsidR="000A5F42" w:rsidRPr="000606CC" w:rsidRDefault="000A5F42" w:rsidP="000A5F42">
      <w:pPr>
        <w:pStyle w:val="NoSpacing"/>
        <w:rPr>
          <w:rStyle w:val="Strong"/>
          <w:rFonts w:cstheme="minorHAnsi"/>
          <w:sz w:val="20"/>
          <w:szCs w:val="18"/>
        </w:rPr>
      </w:pPr>
    </w:p>
    <w:p w14:paraId="520947A3" w14:textId="102D56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20"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90E0996" w14:textId="77777777" w:rsidR="000A5F42" w:rsidRPr="000606CC" w:rsidRDefault="000A5F42" w:rsidP="000A5F42">
      <w:pPr>
        <w:pStyle w:val="NoSpacing"/>
        <w:rPr>
          <w:rStyle w:val="Strong"/>
          <w:rFonts w:cstheme="minorHAnsi"/>
          <w:sz w:val="20"/>
          <w:szCs w:val="18"/>
        </w:rPr>
      </w:pPr>
    </w:p>
    <w:p w14:paraId="3A92A35F" w14:textId="7F73550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21"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6925239" w14:textId="4D70E7D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22" w:history="1">
        <w:r w:rsidRPr="000606CC">
          <w:rPr>
            <w:rStyle w:val="Hyperlink"/>
            <w:rFonts w:cstheme="minorHAnsi"/>
            <w:sz w:val="20"/>
            <w:szCs w:val="18"/>
          </w:rPr>
          <w:t>cdi.editor@health.gov.au</w:t>
        </w:r>
      </w:hyperlink>
      <w:r w:rsidRPr="000606CC">
        <w:rPr>
          <w:rFonts w:cstheme="minorHAnsi"/>
          <w:sz w:val="20"/>
          <w:szCs w:val="18"/>
        </w:rPr>
        <w:t>.</w:t>
      </w:r>
    </w:p>
    <w:p w14:paraId="56691EF6" w14:textId="77777777" w:rsidR="000A5F42" w:rsidRPr="000606CC" w:rsidRDefault="000A5F42" w:rsidP="000A5F42">
      <w:pPr>
        <w:pStyle w:val="NoSpacing"/>
        <w:pBdr>
          <w:bottom w:val="single" w:sz="6" w:space="1" w:color="auto"/>
        </w:pBdr>
        <w:rPr>
          <w:rStyle w:val="Strong"/>
          <w:rFonts w:cstheme="minorHAnsi"/>
          <w:sz w:val="12"/>
          <w:szCs w:val="18"/>
        </w:rPr>
      </w:pPr>
    </w:p>
    <w:p w14:paraId="19D59D6F" w14:textId="77777777" w:rsidR="000A5F42" w:rsidRPr="000606CC" w:rsidRDefault="000A5F42" w:rsidP="000A5F42">
      <w:pPr>
        <w:pStyle w:val="NoSpacing"/>
        <w:rPr>
          <w:rFonts w:cstheme="minorHAnsi"/>
          <w:sz w:val="20"/>
          <w:szCs w:val="18"/>
        </w:rPr>
      </w:pPr>
    </w:p>
    <w:p w14:paraId="33056B8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1FB5A28" w14:textId="77777777" w:rsidR="000A5F42" w:rsidRPr="000606CC" w:rsidRDefault="000A5F42" w:rsidP="000A5F42">
      <w:pPr>
        <w:pStyle w:val="NoSpacing"/>
        <w:rPr>
          <w:rFonts w:cstheme="minorHAnsi"/>
          <w:sz w:val="20"/>
          <w:szCs w:val="18"/>
        </w:rPr>
      </w:pPr>
    </w:p>
    <w:p w14:paraId="52BEA63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6FC802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82243">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FCD13A9" w14:textId="48C48F0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3"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9781CEE" w14:textId="77777777" w:rsidR="000A5F42" w:rsidRPr="000606CC" w:rsidRDefault="000A5F42" w:rsidP="000A5F42">
      <w:pPr>
        <w:pStyle w:val="NoSpacing"/>
        <w:rPr>
          <w:rFonts w:cstheme="minorHAnsi"/>
          <w:sz w:val="20"/>
          <w:szCs w:val="18"/>
        </w:rPr>
      </w:pPr>
    </w:p>
    <w:p w14:paraId="5FFA847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8B8B74D" w14:textId="01898F2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4"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15CD84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71E28E7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B8111B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190D42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C287526" w14:textId="77777777" w:rsidR="000A5F42" w:rsidRPr="000606CC" w:rsidRDefault="000A5F42" w:rsidP="000A5F42">
      <w:pPr>
        <w:pStyle w:val="NoSpacing"/>
        <w:rPr>
          <w:rStyle w:val="Strong"/>
          <w:rFonts w:cstheme="minorHAnsi"/>
          <w:sz w:val="20"/>
          <w:szCs w:val="18"/>
        </w:rPr>
      </w:pPr>
    </w:p>
    <w:p w14:paraId="6723127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7891D9A" w14:textId="77777777" w:rsidR="000A5F42" w:rsidRPr="000606CC" w:rsidRDefault="000A5F42" w:rsidP="000A5F42">
      <w:pPr>
        <w:pStyle w:val="NoSpacing"/>
        <w:rPr>
          <w:rStyle w:val="Strong"/>
          <w:rFonts w:cstheme="minorHAnsi"/>
          <w:sz w:val="20"/>
          <w:szCs w:val="18"/>
        </w:rPr>
      </w:pPr>
    </w:p>
    <w:p w14:paraId="72416EC4" w14:textId="2B20D4D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5"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3433C87" w14:textId="77777777" w:rsidR="000A5F42" w:rsidRPr="000606CC" w:rsidRDefault="000A5F42" w:rsidP="000A5F42">
      <w:pPr>
        <w:pStyle w:val="NoSpacing"/>
        <w:rPr>
          <w:rStyle w:val="URI"/>
          <w:rFonts w:cstheme="minorHAnsi"/>
          <w:sz w:val="20"/>
          <w:szCs w:val="18"/>
        </w:rPr>
      </w:pPr>
    </w:p>
    <w:p w14:paraId="5575F377" w14:textId="41B5B70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6"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7"/>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A2B2" w14:textId="77777777" w:rsidR="00B82243" w:rsidRDefault="00B82243" w:rsidP="00E54DBA">
      <w:r>
        <w:separator/>
      </w:r>
    </w:p>
    <w:p w14:paraId="260C3426" w14:textId="77777777" w:rsidR="00B82243" w:rsidRDefault="00B82243"/>
    <w:p w14:paraId="3D395319" w14:textId="77777777" w:rsidR="00B82243" w:rsidRDefault="00B82243" w:rsidP="008714B0"/>
  </w:endnote>
  <w:endnote w:type="continuationSeparator" w:id="0">
    <w:p w14:paraId="35A96E15" w14:textId="77777777" w:rsidR="00B82243" w:rsidRDefault="00B82243" w:rsidP="00E54DBA">
      <w:r>
        <w:continuationSeparator/>
      </w:r>
    </w:p>
    <w:p w14:paraId="3FF0F492" w14:textId="77777777" w:rsidR="00B82243" w:rsidRDefault="00B82243"/>
    <w:p w14:paraId="19E34FD2" w14:textId="77777777" w:rsidR="00B82243" w:rsidRDefault="00B8224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A1CF" w14:textId="77777777" w:rsidR="00DA7236" w:rsidRDefault="00DA7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3238" w14:textId="3F05C20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854861">
      <w:rPr>
        <w:i/>
        <w:sz w:val="18"/>
      </w:rPr>
      <w:t>Commun</w:t>
    </w:r>
    <w:proofErr w:type="spellEnd"/>
    <w:r w:rsidR="00CE342B" w:rsidRPr="00854861">
      <w:rPr>
        <w:i/>
        <w:sz w:val="18"/>
      </w:rPr>
      <w:t xml:space="preserve"> Dis </w:t>
    </w:r>
    <w:proofErr w:type="spellStart"/>
    <w:r w:rsidR="00CE342B" w:rsidRPr="00854861">
      <w:rPr>
        <w:i/>
        <w:sz w:val="18"/>
      </w:rPr>
      <w:t>Intell</w:t>
    </w:r>
    <w:proofErr w:type="spellEnd"/>
    <w:r w:rsidR="00CE342B" w:rsidRPr="00854861">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82243">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82243">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A7236">
      <w:rPr>
        <w:sz w:val="18"/>
      </w:rPr>
      <w:t>https://doi.org/10.33321/cdi.2023.47.39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A7236">
      <w:rPr>
        <w:sz w:val="18"/>
      </w:rPr>
      <w:t>27/7/2023</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3D3F" w14:textId="35D621A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854861">
      <w:rPr>
        <w:i/>
        <w:sz w:val="18"/>
      </w:rPr>
      <w:t>Commun</w:t>
    </w:r>
    <w:proofErr w:type="spellEnd"/>
    <w:r w:rsidR="00A164D5" w:rsidRPr="00854861">
      <w:rPr>
        <w:i/>
        <w:sz w:val="18"/>
      </w:rPr>
      <w:t xml:space="preserve"> Dis </w:t>
    </w:r>
    <w:proofErr w:type="spellStart"/>
    <w:r w:rsidR="00A164D5" w:rsidRPr="00854861">
      <w:rPr>
        <w:i/>
        <w:sz w:val="18"/>
      </w:rPr>
      <w:t>Intell</w:t>
    </w:r>
    <w:proofErr w:type="spellEnd"/>
    <w:r w:rsidR="00A164D5" w:rsidRPr="00854861">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82243">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82243">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A7236">
      <w:rPr>
        <w:sz w:val="18"/>
      </w:rPr>
      <w:t>https://doi.org/10.33321/cdi.2023.47.39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DA7236">
      <w:rPr>
        <w:sz w:val="18"/>
      </w:rPr>
      <w:t>27/7/2023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EFB4" w14:textId="77777777" w:rsidR="00B82243" w:rsidRPr="00B91FB5" w:rsidRDefault="00B82243" w:rsidP="00B91FB5">
      <w:pPr>
        <w:spacing w:after="0" w:line="240" w:lineRule="auto"/>
        <w:rPr>
          <w:sz w:val="18"/>
          <w:szCs w:val="18"/>
        </w:rPr>
      </w:pPr>
      <w:r w:rsidRPr="00B91FB5">
        <w:rPr>
          <w:sz w:val="18"/>
          <w:szCs w:val="18"/>
        </w:rPr>
        <w:separator/>
      </w:r>
    </w:p>
  </w:footnote>
  <w:footnote w:type="continuationSeparator" w:id="0">
    <w:p w14:paraId="3D5EE24D" w14:textId="77777777" w:rsidR="00B82243" w:rsidRDefault="00B82243" w:rsidP="00E54DBA">
      <w:r>
        <w:continuationSeparator/>
      </w:r>
    </w:p>
  </w:footnote>
  <w:footnote w:type="continuationNotice" w:id="1">
    <w:p w14:paraId="6B4FEF07" w14:textId="77777777" w:rsidR="00B82243" w:rsidRPr="00224EFF" w:rsidRDefault="00B8224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E2D4" w14:textId="77777777" w:rsidR="00DA7236" w:rsidRDefault="00DA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0483" w14:textId="34EF0037" w:rsidR="00257484" w:rsidRPr="00A153B6" w:rsidRDefault="00F818A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B63AA">
          <w:t>Original article</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2616" w14:textId="77777777" w:rsidR="00DA7236" w:rsidRDefault="00DA72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4475"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4555701" wp14:editId="38F7ACE3">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384967"/>
    <w:multiLevelType w:val="multilevel"/>
    <w:tmpl w:val="6E3E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5635FD"/>
    <w:multiLevelType w:val="multilevel"/>
    <w:tmpl w:val="CD14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4346D0"/>
    <w:multiLevelType w:val="hybridMultilevel"/>
    <w:tmpl w:val="96443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6"/>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43"/>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86198"/>
    <w:rsid w:val="0018758E"/>
    <w:rsid w:val="001A4A96"/>
    <w:rsid w:val="001A5D05"/>
    <w:rsid w:val="001A796C"/>
    <w:rsid w:val="001B2614"/>
    <w:rsid w:val="001B37B8"/>
    <w:rsid w:val="001B552F"/>
    <w:rsid w:val="001C0893"/>
    <w:rsid w:val="001C1303"/>
    <w:rsid w:val="001C70B2"/>
    <w:rsid w:val="001D29B0"/>
    <w:rsid w:val="001D37C7"/>
    <w:rsid w:val="001D6888"/>
    <w:rsid w:val="001E4E1D"/>
    <w:rsid w:val="00205599"/>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49AB"/>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54861"/>
    <w:rsid w:val="008714B0"/>
    <w:rsid w:val="00876331"/>
    <w:rsid w:val="00880726"/>
    <w:rsid w:val="0088439D"/>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A58"/>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243"/>
    <w:rsid w:val="00B82C2C"/>
    <w:rsid w:val="00B86960"/>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12D9"/>
    <w:rsid w:val="00C7723C"/>
    <w:rsid w:val="00C838F5"/>
    <w:rsid w:val="00C841C0"/>
    <w:rsid w:val="00CA1AF4"/>
    <w:rsid w:val="00CA6068"/>
    <w:rsid w:val="00CB15E1"/>
    <w:rsid w:val="00CB3D46"/>
    <w:rsid w:val="00CB63AA"/>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23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86AE6"/>
  <w15:docId w15:val="{30CF9B1E-6D40-4A3D-98B4-8C7C8FA0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248467387">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health.gov.au/cdna" TargetMode="External"/><Relationship Id="rId3" Type="http://schemas.openxmlformats.org/officeDocument/2006/relationships/numbering" Target="numbering.xml"/><Relationship Id="rId21" Type="http://schemas.openxmlformats.org/officeDocument/2006/relationships/hyperlink" Target="http://health.gov.au/cdi"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mailto:copyright@health.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di.editor@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tsanhonour.gov.a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creativecommons.org/licenses/by-nc-nd/4.0/legalcod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eader" Target="header2.xml"/><Relationship Id="rId22" Type="http://schemas.openxmlformats.org/officeDocument/2006/relationships/hyperlink" Target="mailto:cdi.editor@health.gov.au" TargetMode="External"/><Relationship Id="rId27"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21</TotalTime>
  <Pages>14</Pages>
  <Words>5070</Words>
  <Characters>30847</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Communicable Diseases Intelligence - Socio-environmental and clinical features of invasive group A streptococcal disease in the Northern Territory of Australia</vt:lpstr>
    </vt:vector>
  </TitlesOfParts>
  <Company>Australian Government, Department of Health</Company>
  <LinksUpToDate>false</LinksUpToDate>
  <CharactersWithSpaces>35846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Socio-environmental and clinical features of invasive group A streptococcal disease in the Northern Territory of Australia</dc:title>
  <dc:subject>Invasive group A streptococcal (iGAS) disease has been notifiable in the Northern Territory (NT) since 2011. This article describes the socio-economic and remoteness profile, clinical features and impact of iGAS disease in the NT from 2011 to 2021.</dc:subject>
  <dc:creator>Johanna M Birrell; Rowena Boyd; Bart J Currie; Asanga Abeyaratne; Sandawana William Majoni; Vicki L Krause</dc:creator>
  <cp:keywords>streptococcus; epidemiology; public health; rural health; dialysis</cp:keywords>
  <dc:description>© Commonwealth of Australia CC BY-NC-ND ISSN: 2209-6051 (Online)</dc:description>
  <cp:lastModifiedBy>YOUSEFI, Kasra</cp:lastModifiedBy>
  <cp:revision>7</cp:revision>
  <cp:lastPrinted>2018-05-10T02:19:00Z</cp:lastPrinted>
  <dcterms:created xsi:type="dcterms:W3CDTF">2023-06-20T23:31:00Z</dcterms:created>
  <dcterms:modified xsi:type="dcterms:W3CDTF">2023-07-19T04:22:00Z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27/7/2023</vt:lpwstr>
  </property>
  <property fmtid="{D5CDD505-2E9C-101B-9397-08002B2CF9AE}" pid="5" name="DOI">
    <vt:lpwstr>https://doi.org/10.33321/cdi.2023.47.39</vt:lpwstr>
  </property>
</Properties>
</file>