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D65B2" w14:textId="30A3F91D" w:rsidR="00997519" w:rsidRPr="00CA03B0" w:rsidRDefault="00997519" w:rsidP="00B43A77">
      <w:pPr>
        <w:pStyle w:val="Title"/>
        <w:rPr>
          <w:rFonts w:eastAsia="Times New Roman"/>
          <w:b w:val="0"/>
          <w:bCs/>
          <w:sz w:val="32"/>
          <w:szCs w:val="32"/>
        </w:rPr>
      </w:pPr>
      <w:r w:rsidRPr="00CA03B0">
        <w:rPr>
          <w:rFonts w:eastAsia="Times New Roman"/>
          <w:b w:val="0"/>
          <w:bCs/>
          <w:sz w:val="32"/>
          <w:szCs w:val="32"/>
        </w:rPr>
        <w:t>Notice to readers</w:t>
      </w:r>
    </w:p>
    <w:p w14:paraId="766561BD" w14:textId="23DFA8DA" w:rsidR="00B43A77" w:rsidRDefault="00B43A77" w:rsidP="00B43A77">
      <w:pPr>
        <w:pStyle w:val="Title"/>
        <w:rPr>
          <w:rFonts w:eastAsia="Times New Roman"/>
          <w:sz w:val="48"/>
          <w:szCs w:val="48"/>
        </w:rPr>
      </w:pPr>
      <w:r>
        <w:rPr>
          <w:rFonts w:eastAsia="Times New Roman"/>
        </w:rPr>
        <w:t>ATAGI 2021 annual statement on immunisation</w:t>
      </w:r>
    </w:p>
    <w:p w14:paraId="2A6375A4" w14:textId="77777777" w:rsidR="00B43A77" w:rsidRDefault="00B43A77" w:rsidP="00B43A77">
      <w:pPr>
        <w:pStyle w:val="Subtitle"/>
        <w:rPr>
          <w:rFonts w:eastAsiaTheme="minorEastAsia"/>
        </w:rPr>
      </w:pPr>
      <w:r>
        <w:t>Last updated: 19 September 2021</w:t>
      </w:r>
    </w:p>
    <w:p w14:paraId="44A4D04C" w14:textId="2713B754" w:rsidR="00B43A77" w:rsidRDefault="00B43A77" w:rsidP="00B43A77">
      <w:r>
        <w:t>Catherine Tran, Clayton Chiu, Allen C Cheng, Nigel W Crawford, Michelle L Giles, Kristine K Macartney, Christopher</w:t>
      </w:r>
      <w:r w:rsidR="00AB18EE">
        <w:t> </w:t>
      </w:r>
      <w:r>
        <w:t>C</w:t>
      </w:r>
      <w:r w:rsidR="00AB18EE">
        <w:t> </w:t>
      </w:r>
      <w:r>
        <w:t>Blyth, on behalf of the Australian Technical Advisory Group on Immunisation</w:t>
      </w:r>
    </w:p>
    <w:p w14:paraId="7D109632" w14:textId="7B2AB2BD" w:rsidR="00280B58" w:rsidRDefault="00280B58" w:rsidP="00B43A77">
      <w:r>
        <w:rPr>
          <w:noProof/>
        </w:rPr>
        <mc:AlternateContent>
          <mc:Choice Requires="wps">
            <w:drawing>
              <wp:inline distT="0" distB="0" distL="0" distR="0" wp14:anchorId="3017F286" wp14:editId="0E990D69">
                <wp:extent cx="6625281" cy="7101016"/>
                <wp:effectExtent l="0" t="0" r="23495"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281" cy="7101016"/>
                        </a:xfrm>
                        <a:prstGeom prst="rect">
                          <a:avLst/>
                        </a:prstGeom>
                        <a:solidFill>
                          <a:srgbClr val="FFF1D0"/>
                        </a:solidFill>
                        <a:ln w="3175">
                          <a:solidFill>
                            <a:srgbClr val="FFC00F"/>
                          </a:solidFill>
                          <a:miter lim="800000"/>
                          <a:headEnd/>
                          <a:tailEnd/>
                        </a:ln>
                      </wps:spPr>
                      <wps:txbx>
                        <w:txbxContent>
                          <w:p w14:paraId="081844F6" w14:textId="77777777" w:rsidR="001A67F6" w:rsidRDefault="001A67F6" w:rsidP="00E245A7">
                            <w:pPr>
                              <w:spacing w:after="100"/>
                            </w:pPr>
                            <w:r>
                              <w:t xml:space="preserve">The Australian Technical Advisory Group on Immunisation (ATAGI) 2021 Annual Statement on Immunisation is the first publication in this series. It highlights the key successes, </w:t>
                            </w:r>
                            <w:proofErr w:type="gramStart"/>
                            <w:r>
                              <w:t>trends</w:t>
                            </w:r>
                            <w:proofErr w:type="gramEnd"/>
                            <w:r>
                              <w:t xml:space="preserve"> and challenges in the use of vaccines and control of vaccine preventable diseases (VPDs) in Australia in 2020. It also signals ATAGI’s priority actions for addressing key issues for 2021 and beyond.</w:t>
                            </w:r>
                          </w:p>
                          <w:p w14:paraId="261A3F86" w14:textId="77777777" w:rsidR="001A67F6" w:rsidRPr="001A67F6" w:rsidRDefault="001A67F6" w:rsidP="00E245A7">
                            <w:pPr>
                              <w:pStyle w:val="Heading1"/>
                              <w:spacing w:before="240"/>
                            </w:pPr>
                            <w:r w:rsidRPr="001A67F6">
                              <w:t>Summary</w:t>
                            </w:r>
                          </w:p>
                          <w:p w14:paraId="5803CD52" w14:textId="77777777" w:rsidR="001A67F6" w:rsidRDefault="001A67F6" w:rsidP="001A67F6">
                            <w:r>
                              <w:t xml:space="preserve">In 2020, many immunisation issues were shaped by the coronavirus disease 2019 </w:t>
                            </w:r>
                            <w:proofErr w:type="gramStart"/>
                            <w:r>
                              <w:t>( COVID</w:t>
                            </w:r>
                            <w:proofErr w:type="gramEnd"/>
                            <w:r>
                              <w:t>-19 ) pandemic. COVID-19 control measures contributed to lower rates of many VPDs in Australia. Preparation also began for Australia’s COVID-19 immunisation program, which commenced in February 2021.</w:t>
                            </w:r>
                          </w:p>
                          <w:p w14:paraId="24E8B43C" w14:textId="77777777" w:rsidR="001A67F6" w:rsidRPr="00B43A77" w:rsidRDefault="001A67F6" w:rsidP="001A67F6">
                            <w:pPr>
                              <w:pStyle w:val="Heading2"/>
                            </w:pPr>
                            <w:r w:rsidRPr="00B43A77">
                              <w:t>Key successes in immunisation in 2020</w:t>
                            </w:r>
                          </w:p>
                          <w:p w14:paraId="0E57156D" w14:textId="77777777" w:rsidR="001A67F6" w:rsidRPr="00B43A77" w:rsidRDefault="001A67F6" w:rsidP="001A67F6">
                            <w:pPr>
                              <w:pStyle w:val="ListParagraph"/>
                              <w:numPr>
                                <w:ilvl w:val="0"/>
                                <w:numId w:val="19"/>
                              </w:numPr>
                              <w:rPr>
                                <w:rFonts w:eastAsia="Times New Roman"/>
                              </w:rPr>
                            </w:pPr>
                            <w:r w:rsidRPr="00B43A77">
                              <w:rPr>
                                <w:rFonts w:eastAsia="Times New Roman"/>
                              </w:rPr>
                              <w:t xml:space="preserve">Rates of many VPDs, including influenza, measles, meningococcal disease, pneumococcal </w:t>
                            </w:r>
                            <w:proofErr w:type="gramStart"/>
                            <w:r w:rsidRPr="00B43A77">
                              <w:rPr>
                                <w:rFonts w:eastAsia="Times New Roman"/>
                              </w:rPr>
                              <w:t>disease</w:t>
                            </w:r>
                            <w:proofErr w:type="gramEnd"/>
                            <w:r w:rsidRPr="00B43A77">
                              <w:rPr>
                                <w:rFonts w:eastAsia="Times New Roman"/>
                              </w:rPr>
                              <w:t xml:space="preserve"> and pertussis, were much lower than usual. Control measures for COVID-19 (such as border closures, physical </w:t>
                            </w:r>
                            <w:proofErr w:type="gramStart"/>
                            <w:r w:rsidRPr="00B43A77">
                              <w:rPr>
                                <w:rFonts w:eastAsia="Times New Roman"/>
                              </w:rPr>
                              <w:t>distancing</w:t>
                            </w:r>
                            <w:proofErr w:type="gramEnd"/>
                            <w:r w:rsidRPr="00B43A77">
                              <w:rPr>
                                <w:rFonts w:eastAsia="Times New Roman"/>
                              </w:rPr>
                              <w:t xml:space="preserve"> and hand hygiene) likely contributed to this.</w:t>
                            </w:r>
                          </w:p>
                          <w:p w14:paraId="3DDDAFD8" w14:textId="77777777" w:rsidR="001A67F6" w:rsidRPr="00B43A77" w:rsidRDefault="001A67F6" w:rsidP="001A67F6">
                            <w:pPr>
                              <w:pStyle w:val="ListParagraph"/>
                              <w:numPr>
                                <w:ilvl w:val="0"/>
                                <w:numId w:val="19"/>
                              </w:numPr>
                              <w:rPr>
                                <w:rFonts w:eastAsia="Times New Roman"/>
                              </w:rPr>
                            </w:pPr>
                            <w:r w:rsidRPr="00B43A77">
                              <w:rPr>
                                <w:rFonts w:eastAsia="Times New Roman"/>
                              </w:rPr>
                              <w:t>A record high number of Australians had a seasonal influenza vaccine.</w:t>
                            </w:r>
                          </w:p>
                          <w:p w14:paraId="7CAFC29D" w14:textId="77777777" w:rsidR="001A67F6" w:rsidRPr="00B43A77" w:rsidRDefault="001A67F6" w:rsidP="001A67F6">
                            <w:pPr>
                              <w:pStyle w:val="ListParagraph"/>
                              <w:numPr>
                                <w:ilvl w:val="0"/>
                                <w:numId w:val="19"/>
                              </w:numPr>
                              <w:rPr>
                                <w:rFonts w:eastAsia="Times New Roman"/>
                              </w:rPr>
                            </w:pPr>
                            <w:r w:rsidRPr="00B43A77">
                              <w:rPr>
                                <w:rFonts w:eastAsia="Times New Roman"/>
                              </w:rPr>
                              <w:t>Australia’s National Immunisation Program (NIP) was expanded to include more vaccines and doses for people at higher risk of disease.</w:t>
                            </w:r>
                          </w:p>
                          <w:p w14:paraId="7DC9F65F" w14:textId="77777777" w:rsidR="001A67F6" w:rsidRPr="00B43A77" w:rsidRDefault="001A67F6" w:rsidP="001A67F6">
                            <w:pPr>
                              <w:pStyle w:val="ListParagraph"/>
                              <w:numPr>
                                <w:ilvl w:val="0"/>
                                <w:numId w:val="19"/>
                              </w:numPr>
                              <w:rPr>
                                <w:rFonts w:eastAsia="Times New Roman"/>
                              </w:rPr>
                            </w:pPr>
                            <w:r w:rsidRPr="00B43A77">
                              <w:rPr>
                                <w:rFonts w:eastAsia="Times New Roman"/>
                              </w:rPr>
                              <w:t>Australians kept having their routine immunisations. Immunisation coverage was high even during COVID-19 restrictions.</w:t>
                            </w:r>
                          </w:p>
                          <w:p w14:paraId="47FD85BC" w14:textId="77777777" w:rsidR="001A67F6" w:rsidRPr="00B43A77" w:rsidRDefault="001A67F6" w:rsidP="001A67F6">
                            <w:pPr>
                              <w:pStyle w:val="ListParagraph"/>
                              <w:numPr>
                                <w:ilvl w:val="0"/>
                                <w:numId w:val="19"/>
                              </w:numPr>
                              <w:rPr>
                                <w:rFonts w:eastAsia="Times New Roman"/>
                              </w:rPr>
                            </w:pPr>
                            <w:r w:rsidRPr="00B43A77">
                              <w:rPr>
                                <w:rFonts w:eastAsia="Times New Roman"/>
                              </w:rPr>
                              <w:t>The Australian Immunisation Handbook (the Handbook) had several updates to recommendations, including important updates to the chapters on pneumococcal disease and zoster (shingles). A new catch-up calculator, and a Handbook app, were also introduced.</w:t>
                            </w:r>
                          </w:p>
                          <w:p w14:paraId="64005470" w14:textId="77777777" w:rsidR="001A67F6" w:rsidRPr="00B43A77" w:rsidRDefault="001A67F6" w:rsidP="001A67F6">
                            <w:pPr>
                              <w:pStyle w:val="Heading2"/>
                            </w:pPr>
                            <w:r w:rsidRPr="00B43A77">
                              <w:t>Key challenges and priorities for immunisation in Australia in 2021 and beyond</w:t>
                            </w:r>
                          </w:p>
                          <w:p w14:paraId="7BB4300A" w14:textId="77777777" w:rsidR="001A67F6" w:rsidRPr="00B43A77" w:rsidRDefault="001A67F6" w:rsidP="001A67F6">
                            <w:pPr>
                              <w:pStyle w:val="ListParagraph"/>
                              <w:numPr>
                                <w:ilvl w:val="0"/>
                                <w:numId w:val="20"/>
                              </w:numPr>
                              <w:rPr>
                                <w:rFonts w:eastAsia="Times New Roman"/>
                              </w:rPr>
                            </w:pPr>
                            <w:r w:rsidRPr="00B43A77">
                              <w:rPr>
                                <w:rFonts w:eastAsia="Times New Roman"/>
                              </w:rPr>
                              <w:t>Implementing a national COVID-19 immunisation program, monitoring safety and effectiveness of COVID-19 vaccines, and evaluating the COVID-19 immunisation program.</w:t>
                            </w:r>
                          </w:p>
                          <w:p w14:paraId="4AA3EA4A"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community confidence in the NIP and in the national COVID-19 immunisation program.</w:t>
                            </w:r>
                          </w:p>
                          <w:p w14:paraId="0D600010"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routine vaccination under the NIP to protect against VPDs, especially if Australia has more outbreaks of COVID-19 that disrupt the way society functions.</w:t>
                            </w:r>
                          </w:p>
                          <w:p w14:paraId="36EF1DDC"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successful control or elimination of some VPDs, especially when international travel restrictions are lifted.</w:t>
                            </w:r>
                          </w:p>
                          <w:p w14:paraId="0E5955AB" w14:textId="77777777" w:rsidR="001A67F6" w:rsidRPr="00B43A77" w:rsidRDefault="001A67F6" w:rsidP="001A67F6">
                            <w:pPr>
                              <w:pStyle w:val="ListParagraph"/>
                              <w:numPr>
                                <w:ilvl w:val="0"/>
                                <w:numId w:val="20"/>
                              </w:numPr>
                              <w:rPr>
                                <w:rFonts w:eastAsia="Times New Roman"/>
                              </w:rPr>
                            </w:pPr>
                            <w:r w:rsidRPr="00B43A77">
                              <w:rPr>
                                <w:rFonts w:eastAsia="Times New Roman"/>
                              </w:rPr>
                              <w:t>Ensuring vaccine safety, particularly for live vaccines such as Zostavax (shingles vaccine).</w:t>
                            </w:r>
                          </w:p>
                          <w:p w14:paraId="1438454F" w14:textId="77777777" w:rsidR="001A67F6" w:rsidRPr="00B43A77" w:rsidRDefault="001A67F6" w:rsidP="001A67F6">
                            <w:pPr>
                              <w:pStyle w:val="ListParagraph"/>
                              <w:numPr>
                                <w:ilvl w:val="0"/>
                                <w:numId w:val="20"/>
                              </w:numPr>
                              <w:rPr>
                                <w:rFonts w:eastAsia="Times New Roman"/>
                              </w:rPr>
                            </w:pPr>
                            <w:r w:rsidRPr="00B43A77">
                              <w:rPr>
                                <w:rFonts w:eastAsia="Times New Roman"/>
                              </w:rPr>
                              <w:t>Ensuring equitable access to NIP-funded vaccines for people at risk of disease.</w:t>
                            </w:r>
                          </w:p>
                          <w:p w14:paraId="4DC7A66A" w14:textId="77777777" w:rsidR="001A67F6" w:rsidRPr="00B43A77" w:rsidRDefault="001A67F6" w:rsidP="001A67F6">
                            <w:pPr>
                              <w:pStyle w:val="ListParagraph"/>
                              <w:numPr>
                                <w:ilvl w:val="0"/>
                                <w:numId w:val="20"/>
                              </w:numPr>
                              <w:rPr>
                                <w:rFonts w:eastAsia="Times New Roman"/>
                              </w:rPr>
                            </w:pPr>
                            <w:r w:rsidRPr="00B43A77">
                              <w:rPr>
                                <w:rFonts w:eastAsia="Times New Roman"/>
                              </w:rPr>
                              <w:t>Closing the gap in VPD incidence in Aboriginal and Torres Strait Islander populations.</w:t>
                            </w:r>
                          </w:p>
                          <w:p w14:paraId="19C8F2C8" w14:textId="29619000" w:rsidR="00280B58" w:rsidRDefault="00280B58"/>
                        </w:txbxContent>
                      </wps:txbx>
                      <wps:bodyPr rot="0" vert="horz" wrap="square" lIns="91440" tIns="45720" rIns="91440" bIns="45720" anchor="t" anchorCtr="0">
                        <a:noAutofit/>
                      </wps:bodyPr>
                    </wps:wsp>
                  </a:graphicData>
                </a:graphic>
              </wp:inline>
            </w:drawing>
          </mc:Choice>
          <mc:Fallback>
            <w:pict>
              <v:shapetype w14:anchorId="3017F286" id="_x0000_t202" coordsize="21600,21600" o:spt="202" path="m,l,21600r21600,l21600,xe">
                <v:stroke joinstyle="miter"/>
                <v:path gradientshapeok="t" o:connecttype="rect"/>
              </v:shapetype>
              <v:shape id="Text Box 2" o:spid="_x0000_s1026" type="#_x0000_t202" style="width:521.7pt;height:55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QLAIAAEcEAAAOAAAAZHJzL2Uyb0RvYy54bWysU9tu2zAMfR+wfxD0vviy3GbEKbpkGQZ0&#10;F6DdB8iyHAuTRE9SYmdfX0pO03QD9jDMD4YoUoeHh+TqZtCKHIV1EkxJs0lKiTAcamn2Jf3+sHuz&#10;pMR5ZmqmwIiSnoSjN+vXr1Z9V4gcWlC1sARBjCv6rqSt912RJI63QjM3gU4YdDZgNfNo2n1SW9Yj&#10;ulZJnqbzpAdbdxa4cA5vt6OTriN+0wjuvzaNE56okiI3H/82/qvwT9YrVuwt61rJzzTYP7DQTBpM&#10;eoHaMs/Iwco/oLTkFhw0fsJBJ9A0kotYA1aTpb9Vc9+yTsRaUBzXXWRy/w+Wfzl+s0TWJc2zBSWG&#10;aWzSgxg8eQ8DyYM+fecKDLvvMNAPeI19jrW67g74D0cMbFpm9uLWWuhbwWrkl4WXydXTEccFkKr/&#10;DDWmYQcPEWhorA7ioRwE0bFPp0tvAhWOl/N5PsuXGSUcfYsMxcrmMQcrnp531vmPAjQJh5JabH6E&#10;Z8c75wMdVjyFhGwOlKx3Uqlo2H21UZYcGQ7KbrfLtnE28MmLMGVIX9K32WI2KvAXiE2a7s4EX0Bo&#10;6XHildQlXabhC0GsCLp9MHU8eybVeMb8ypyFDNqNKvqhGjAwqFtBfUJJLYyTjZuIhxbsL0p6nOqS&#10;up8HZgUl6pPBtrzLptOwBtGYzhY5GvbaU117mOEIVVJPyXjc+Lg6ga+BW2xfI6Owz0zOXHFao97n&#10;zQrrcG3HqOf9Xz8CAAD//wMAUEsDBBQABgAIAAAAIQDqwQLY3QAAAAcBAAAPAAAAZHJzL2Rvd25y&#10;ZXYueG1sTI9BT8MwDIXvSPyHyEjcWFo2QVeaTtMQArETZdKuXmOaao1TNdla/j0ZF7hYz3rWe5+L&#10;1WQ7cabBt44VpLMEBHHtdMuNgt3ny10GwgdkjZ1jUvBNHlbl9VWBuXYjf9C5Co2IIexzVGBC6HMp&#10;fW3Iop+5njh6X26wGOI6NFIPOMZw28n7JHmQFluODQZ72hiqj9XJKnjdmbcx2/Dx2b5X++0jL8N6&#10;v1Tq9mZaP4EINIW/Y7jgR3QoI9PBnVh70SmIj4TfefGSxXwB4hBVmmZzkGUh//OXPwAAAP//AwBQ&#10;SwECLQAUAAYACAAAACEAtoM4kv4AAADhAQAAEwAAAAAAAAAAAAAAAAAAAAAAW0NvbnRlbnRfVHlw&#10;ZXNdLnhtbFBLAQItABQABgAIAAAAIQA4/SH/1gAAAJQBAAALAAAAAAAAAAAAAAAAAC8BAABfcmVs&#10;cy8ucmVsc1BLAQItABQABgAIAAAAIQAGtO+QLAIAAEcEAAAOAAAAAAAAAAAAAAAAAC4CAABkcnMv&#10;ZTJvRG9jLnhtbFBLAQItABQABgAIAAAAIQDqwQLY3QAAAAcBAAAPAAAAAAAAAAAAAAAAAIYEAABk&#10;cnMvZG93bnJldi54bWxQSwUGAAAAAAQABADzAAAAkAUAAAAA&#10;" fillcolor="#fff1d0" strokecolor="#ffc00f" strokeweight=".25pt">
                <v:textbox>
                  <w:txbxContent>
                    <w:p w14:paraId="081844F6" w14:textId="77777777" w:rsidR="001A67F6" w:rsidRDefault="001A67F6" w:rsidP="00E245A7">
                      <w:pPr>
                        <w:spacing w:after="100"/>
                      </w:pPr>
                      <w:r>
                        <w:t xml:space="preserve">The Australian Technical Advisory Group on Immunisation (ATAGI) 2021 Annual Statement on Immunisation is the first publication in this series. It highlights the key successes, </w:t>
                      </w:r>
                      <w:proofErr w:type="gramStart"/>
                      <w:r>
                        <w:t>trends</w:t>
                      </w:r>
                      <w:proofErr w:type="gramEnd"/>
                      <w:r>
                        <w:t xml:space="preserve"> and challenges in the use of vaccines and control of vaccine preventable diseases (VPDs) in Australia in 2020. It also signals ATAGI’s priority actions for addressing key issues for 2021 and beyond.</w:t>
                      </w:r>
                    </w:p>
                    <w:p w14:paraId="261A3F86" w14:textId="77777777" w:rsidR="001A67F6" w:rsidRPr="001A67F6" w:rsidRDefault="001A67F6" w:rsidP="00E245A7">
                      <w:pPr>
                        <w:pStyle w:val="Heading1"/>
                        <w:spacing w:before="240"/>
                      </w:pPr>
                      <w:r w:rsidRPr="001A67F6">
                        <w:t>Summary</w:t>
                      </w:r>
                    </w:p>
                    <w:p w14:paraId="5803CD52" w14:textId="77777777" w:rsidR="001A67F6" w:rsidRDefault="001A67F6" w:rsidP="001A67F6">
                      <w:r>
                        <w:t xml:space="preserve">In 2020, many immunisation issues were shaped by the coronavirus disease 2019 </w:t>
                      </w:r>
                      <w:proofErr w:type="gramStart"/>
                      <w:r>
                        <w:t>( COVID</w:t>
                      </w:r>
                      <w:proofErr w:type="gramEnd"/>
                      <w:r>
                        <w:t>-19 ) pandemic. COVID-19 control measures contributed to lower rates of many VPDs in Australia. Preparation also began for Australia’s COVID-19 immunisation program, which commenced in February 2021.</w:t>
                      </w:r>
                    </w:p>
                    <w:p w14:paraId="24E8B43C" w14:textId="77777777" w:rsidR="001A67F6" w:rsidRPr="00B43A77" w:rsidRDefault="001A67F6" w:rsidP="001A67F6">
                      <w:pPr>
                        <w:pStyle w:val="Heading2"/>
                      </w:pPr>
                      <w:r w:rsidRPr="00B43A77">
                        <w:t>Key successes in immunisation in 2020</w:t>
                      </w:r>
                    </w:p>
                    <w:p w14:paraId="0E57156D" w14:textId="77777777" w:rsidR="001A67F6" w:rsidRPr="00B43A77" w:rsidRDefault="001A67F6" w:rsidP="001A67F6">
                      <w:pPr>
                        <w:pStyle w:val="ListParagraph"/>
                        <w:numPr>
                          <w:ilvl w:val="0"/>
                          <w:numId w:val="19"/>
                        </w:numPr>
                        <w:rPr>
                          <w:rFonts w:eastAsia="Times New Roman"/>
                        </w:rPr>
                      </w:pPr>
                      <w:r w:rsidRPr="00B43A77">
                        <w:rPr>
                          <w:rFonts w:eastAsia="Times New Roman"/>
                        </w:rPr>
                        <w:t xml:space="preserve">Rates of many VPDs, including influenza, measles, meningococcal disease, pneumococcal </w:t>
                      </w:r>
                      <w:proofErr w:type="gramStart"/>
                      <w:r w:rsidRPr="00B43A77">
                        <w:rPr>
                          <w:rFonts w:eastAsia="Times New Roman"/>
                        </w:rPr>
                        <w:t>disease</w:t>
                      </w:r>
                      <w:proofErr w:type="gramEnd"/>
                      <w:r w:rsidRPr="00B43A77">
                        <w:rPr>
                          <w:rFonts w:eastAsia="Times New Roman"/>
                        </w:rPr>
                        <w:t xml:space="preserve"> and pertussis, were much lower than usual. Control measures for COVID-19 (such as border closures, physical </w:t>
                      </w:r>
                      <w:proofErr w:type="gramStart"/>
                      <w:r w:rsidRPr="00B43A77">
                        <w:rPr>
                          <w:rFonts w:eastAsia="Times New Roman"/>
                        </w:rPr>
                        <w:t>distancing</w:t>
                      </w:r>
                      <w:proofErr w:type="gramEnd"/>
                      <w:r w:rsidRPr="00B43A77">
                        <w:rPr>
                          <w:rFonts w:eastAsia="Times New Roman"/>
                        </w:rPr>
                        <w:t xml:space="preserve"> and hand hygiene) likely contributed to this.</w:t>
                      </w:r>
                    </w:p>
                    <w:p w14:paraId="3DDDAFD8" w14:textId="77777777" w:rsidR="001A67F6" w:rsidRPr="00B43A77" w:rsidRDefault="001A67F6" w:rsidP="001A67F6">
                      <w:pPr>
                        <w:pStyle w:val="ListParagraph"/>
                        <w:numPr>
                          <w:ilvl w:val="0"/>
                          <w:numId w:val="19"/>
                        </w:numPr>
                        <w:rPr>
                          <w:rFonts w:eastAsia="Times New Roman"/>
                        </w:rPr>
                      </w:pPr>
                      <w:r w:rsidRPr="00B43A77">
                        <w:rPr>
                          <w:rFonts w:eastAsia="Times New Roman"/>
                        </w:rPr>
                        <w:t>A record high number of Australians had a seasonal influenza vaccine.</w:t>
                      </w:r>
                    </w:p>
                    <w:p w14:paraId="7CAFC29D" w14:textId="77777777" w:rsidR="001A67F6" w:rsidRPr="00B43A77" w:rsidRDefault="001A67F6" w:rsidP="001A67F6">
                      <w:pPr>
                        <w:pStyle w:val="ListParagraph"/>
                        <w:numPr>
                          <w:ilvl w:val="0"/>
                          <w:numId w:val="19"/>
                        </w:numPr>
                        <w:rPr>
                          <w:rFonts w:eastAsia="Times New Roman"/>
                        </w:rPr>
                      </w:pPr>
                      <w:r w:rsidRPr="00B43A77">
                        <w:rPr>
                          <w:rFonts w:eastAsia="Times New Roman"/>
                        </w:rPr>
                        <w:t>Australia’s National Immunisation Program (NIP) was expanded to include more vaccines and doses for people at higher risk of disease.</w:t>
                      </w:r>
                    </w:p>
                    <w:p w14:paraId="7DC9F65F" w14:textId="77777777" w:rsidR="001A67F6" w:rsidRPr="00B43A77" w:rsidRDefault="001A67F6" w:rsidP="001A67F6">
                      <w:pPr>
                        <w:pStyle w:val="ListParagraph"/>
                        <w:numPr>
                          <w:ilvl w:val="0"/>
                          <w:numId w:val="19"/>
                        </w:numPr>
                        <w:rPr>
                          <w:rFonts w:eastAsia="Times New Roman"/>
                        </w:rPr>
                      </w:pPr>
                      <w:r w:rsidRPr="00B43A77">
                        <w:rPr>
                          <w:rFonts w:eastAsia="Times New Roman"/>
                        </w:rPr>
                        <w:t>Australians kept having their routine immunisations. Immunisation coverage was high even during COVID-19 restrictions.</w:t>
                      </w:r>
                    </w:p>
                    <w:p w14:paraId="47FD85BC" w14:textId="77777777" w:rsidR="001A67F6" w:rsidRPr="00B43A77" w:rsidRDefault="001A67F6" w:rsidP="001A67F6">
                      <w:pPr>
                        <w:pStyle w:val="ListParagraph"/>
                        <w:numPr>
                          <w:ilvl w:val="0"/>
                          <w:numId w:val="19"/>
                        </w:numPr>
                        <w:rPr>
                          <w:rFonts w:eastAsia="Times New Roman"/>
                        </w:rPr>
                      </w:pPr>
                      <w:r w:rsidRPr="00B43A77">
                        <w:rPr>
                          <w:rFonts w:eastAsia="Times New Roman"/>
                        </w:rPr>
                        <w:t>The Australian Immunisation Handbook (the Handbook) had several updates to recommendations, including important updates to the chapters on pneumococcal disease and zoster (shingles). A new catch-up calculator, and a Handbook app, were also introduced.</w:t>
                      </w:r>
                    </w:p>
                    <w:p w14:paraId="64005470" w14:textId="77777777" w:rsidR="001A67F6" w:rsidRPr="00B43A77" w:rsidRDefault="001A67F6" w:rsidP="001A67F6">
                      <w:pPr>
                        <w:pStyle w:val="Heading2"/>
                      </w:pPr>
                      <w:r w:rsidRPr="00B43A77">
                        <w:t>Key challenges and priorities for immunisation in Australia in 2021 and beyond</w:t>
                      </w:r>
                    </w:p>
                    <w:p w14:paraId="7BB4300A" w14:textId="77777777" w:rsidR="001A67F6" w:rsidRPr="00B43A77" w:rsidRDefault="001A67F6" w:rsidP="001A67F6">
                      <w:pPr>
                        <w:pStyle w:val="ListParagraph"/>
                        <w:numPr>
                          <w:ilvl w:val="0"/>
                          <w:numId w:val="20"/>
                        </w:numPr>
                        <w:rPr>
                          <w:rFonts w:eastAsia="Times New Roman"/>
                        </w:rPr>
                      </w:pPr>
                      <w:r w:rsidRPr="00B43A77">
                        <w:rPr>
                          <w:rFonts w:eastAsia="Times New Roman"/>
                        </w:rPr>
                        <w:t>Implementing a national COVID-19 immunisation program, monitoring safety and effectiveness of COVID-19 vaccines, and evaluating the COVID-19 immunisation program.</w:t>
                      </w:r>
                    </w:p>
                    <w:p w14:paraId="4AA3EA4A"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community confidence in the NIP and in the national COVID-19 immunisation program.</w:t>
                      </w:r>
                    </w:p>
                    <w:p w14:paraId="0D600010"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routine vaccination under the NIP to protect against VPDs, especially if Australia has more outbreaks of COVID-19 that disrupt the way society functions.</w:t>
                      </w:r>
                    </w:p>
                    <w:p w14:paraId="36EF1DDC" w14:textId="77777777" w:rsidR="001A67F6" w:rsidRPr="00B43A77" w:rsidRDefault="001A67F6" w:rsidP="001A67F6">
                      <w:pPr>
                        <w:pStyle w:val="ListParagraph"/>
                        <w:numPr>
                          <w:ilvl w:val="0"/>
                          <w:numId w:val="20"/>
                        </w:numPr>
                        <w:rPr>
                          <w:rFonts w:eastAsia="Times New Roman"/>
                        </w:rPr>
                      </w:pPr>
                      <w:r w:rsidRPr="00B43A77">
                        <w:rPr>
                          <w:rFonts w:eastAsia="Times New Roman"/>
                        </w:rPr>
                        <w:t>Maintaining successful control or elimination of some VPDs, especially when international travel restrictions are lifted.</w:t>
                      </w:r>
                    </w:p>
                    <w:p w14:paraId="0E5955AB" w14:textId="77777777" w:rsidR="001A67F6" w:rsidRPr="00B43A77" w:rsidRDefault="001A67F6" w:rsidP="001A67F6">
                      <w:pPr>
                        <w:pStyle w:val="ListParagraph"/>
                        <w:numPr>
                          <w:ilvl w:val="0"/>
                          <w:numId w:val="20"/>
                        </w:numPr>
                        <w:rPr>
                          <w:rFonts w:eastAsia="Times New Roman"/>
                        </w:rPr>
                      </w:pPr>
                      <w:r w:rsidRPr="00B43A77">
                        <w:rPr>
                          <w:rFonts w:eastAsia="Times New Roman"/>
                        </w:rPr>
                        <w:t>Ensuring vaccine safety, particularly for live vaccines such as Zostavax (shingles vaccine).</w:t>
                      </w:r>
                    </w:p>
                    <w:p w14:paraId="1438454F" w14:textId="77777777" w:rsidR="001A67F6" w:rsidRPr="00B43A77" w:rsidRDefault="001A67F6" w:rsidP="001A67F6">
                      <w:pPr>
                        <w:pStyle w:val="ListParagraph"/>
                        <w:numPr>
                          <w:ilvl w:val="0"/>
                          <w:numId w:val="20"/>
                        </w:numPr>
                        <w:rPr>
                          <w:rFonts w:eastAsia="Times New Roman"/>
                        </w:rPr>
                      </w:pPr>
                      <w:r w:rsidRPr="00B43A77">
                        <w:rPr>
                          <w:rFonts w:eastAsia="Times New Roman"/>
                        </w:rPr>
                        <w:t>Ensuring equitable access to NIP-funded vaccines for people at risk of disease.</w:t>
                      </w:r>
                    </w:p>
                    <w:p w14:paraId="4DC7A66A" w14:textId="77777777" w:rsidR="001A67F6" w:rsidRPr="00B43A77" w:rsidRDefault="001A67F6" w:rsidP="001A67F6">
                      <w:pPr>
                        <w:pStyle w:val="ListParagraph"/>
                        <w:numPr>
                          <w:ilvl w:val="0"/>
                          <w:numId w:val="20"/>
                        </w:numPr>
                        <w:rPr>
                          <w:rFonts w:eastAsia="Times New Roman"/>
                        </w:rPr>
                      </w:pPr>
                      <w:r w:rsidRPr="00B43A77">
                        <w:rPr>
                          <w:rFonts w:eastAsia="Times New Roman"/>
                        </w:rPr>
                        <w:t>Closing the gap in VPD incidence in Aboriginal and Torres Strait Islander populations.</w:t>
                      </w:r>
                    </w:p>
                    <w:p w14:paraId="19C8F2C8" w14:textId="29619000" w:rsidR="00280B58" w:rsidRDefault="00280B58"/>
                  </w:txbxContent>
                </v:textbox>
                <w10:anchorlock/>
              </v:shape>
            </w:pict>
          </mc:Fallback>
        </mc:AlternateContent>
      </w:r>
    </w:p>
    <w:p w14:paraId="7D05594C" w14:textId="77777777" w:rsidR="001C0E33" w:rsidRDefault="001C0E33">
      <w:pPr>
        <w:rPr>
          <w:rFonts w:asciiTheme="majorHAnsi" w:eastAsiaTheme="majorEastAsia" w:hAnsiTheme="majorHAnsi" w:cstheme="majorBidi"/>
          <w:b/>
          <w:bCs/>
          <w:sz w:val="32"/>
          <w:szCs w:val="28"/>
        </w:rPr>
      </w:pPr>
      <w:r>
        <w:br w:type="page"/>
      </w:r>
    </w:p>
    <w:p w14:paraId="01D7C489" w14:textId="5C2470B9" w:rsidR="00B43A77" w:rsidRPr="00B43A77" w:rsidRDefault="00B43A77" w:rsidP="00B43A77">
      <w:pPr>
        <w:pStyle w:val="Heading1"/>
      </w:pPr>
      <w:r w:rsidRPr="00B43A77">
        <w:lastRenderedPageBreak/>
        <w:t>Immunisation issues in Australia in 2020</w:t>
      </w:r>
    </w:p>
    <w:p w14:paraId="4D9B75D7" w14:textId="77777777" w:rsidR="00B43A77" w:rsidRPr="00B43A77" w:rsidRDefault="00B43A77" w:rsidP="00B43A77">
      <w:pPr>
        <w:pStyle w:val="Heading2"/>
      </w:pPr>
      <w:r w:rsidRPr="00B43A77">
        <w:t>Prevention and control of vaccine-preventable diseases</w:t>
      </w:r>
    </w:p>
    <w:p w14:paraId="60048A2E" w14:textId="77777777" w:rsidR="00B43A77" w:rsidRDefault="00B43A77" w:rsidP="00B43A77">
      <w:r>
        <w:t xml:space="preserve">Rates of many vaccine-preventable diseases (VPDs) were lower in 2020, especially those that spread by the respiratory route. Control measures for coronavirus disease 2019 </w:t>
      </w:r>
      <w:proofErr w:type="gramStart"/>
      <w:r>
        <w:t>( COVID</w:t>
      </w:r>
      <w:proofErr w:type="gramEnd"/>
      <w:r>
        <w:t>-19 )—such as border closures, physical distancing and hand hygiene—have likely contributed to this. Disruption to the standard health care systems and practices may also have contributed to lower VPD notifications.</w:t>
      </w:r>
    </w:p>
    <w:p w14:paraId="2935E5B9" w14:textId="77777777" w:rsidR="00B43A77" w:rsidRDefault="00B43A77" w:rsidP="00B43A77">
      <w:r>
        <w:t xml:space="preserve">For influenza, disease rates were much lower throughout 2020 than in previous years. There was also a much lower rate of influenza-associated hospitalisations than in the previous 5 years, with no notable increase in cases during the usual peak winter season. With so few cases of influenza in 2020, it was difficult to assess the effectiveness of the year’s influenza vaccines. More details are in the national 2020 influenza season summary </w:t>
      </w:r>
      <w:r>
        <w:rPr>
          <w:vertAlign w:val="superscript"/>
        </w:rPr>
        <w:t>1</w:t>
      </w:r>
      <w:r>
        <w:t xml:space="preserve"> and in a study on the impact of COVID-19 on influenza circulation. </w:t>
      </w:r>
      <w:r>
        <w:rPr>
          <w:vertAlign w:val="superscript"/>
        </w:rPr>
        <w:t>2</w:t>
      </w:r>
      <w:r>
        <w:t xml:space="preserve"> </w:t>
      </w:r>
    </w:p>
    <w:p w14:paraId="13BAA9F9" w14:textId="46D45D94" w:rsidR="00B43A77" w:rsidRDefault="00B43A77" w:rsidP="00B43A77">
      <w:r>
        <w:t xml:space="preserve">For measles, 2020 saw a 91% decrease in notifications compared to 2019, with no cases </w:t>
      </w:r>
      <w:r w:rsidR="00CB1956" w:rsidRPr="00CB1956">
        <w:t>reported after March 2020</w:t>
      </w:r>
      <w:r>
        <w:t>. Measles cases in Australia are acquired overseas or linked to overseas travel. The decrease in cases was likely related to border closures from March 2020.</w:t>
      </w:r>
    </w:p>
    <w:p w14:paraId="7B177F09" w14:textId="77777777" w:rsidR="00B43A77" w:rsidRDefault="00B43A77" w:rsidP="00B43A77">
      <w:r>
        <w:t>There were 90 notifications of meningococcal disease in 2020, much lower than in 2019 (207 notifications) and lower than the 5-year mean. Similar decreases in notifications were seen in 2020 for invasive pneumococcal disease (48% fewer notifications than in 2019, and 41% fewer than the 5-year mean) and pertussis (with a 71% decrease in notifications in 2020 compared to 2019).</w:t>
      </w:r>
    </w:p>
    <w:p w14:paraId="4F716458" w14:textId="77777777" w:rsidR="00B43A77" w:rsidRPr="00B43A77" w:rsidRDefault="00B43A77" w:rsidP="00B43A77">
      <w:pPr>
        <w:pStyle w:val="Heading2"/>
      </w:pPr>
      <w:r w:rsidRPr="00B43A77">
        <w:t>National immunisation policy and practice</w:t>
      </w:r>
    </w:p>
    <w:p w14:paraId="4C236959" w14:textId="77777777" w:rsidR="00B43A77" w:rsidRPr="00B43A77" w:rsidRDefault="00B43A77" w:rsidP="00B43A77">
      <w:pPr>
        <w:pStyle w:val="Heading3"/>
      </w:pPr>
      <w:r w:rsidRPr="00B43A77">
        <w:t>Australian COVID-19 Vaccination Policy</w:t>
      </w:r>
    </w:p>
    <w:p w14:paraId="058D4BF5" w14:textId="77777777" w:rsidR="00B43A77" w:rsidRDefault="00B43A77" w:rsidP="00B43A77">
      <w:r>
        <w:t xml:space="preserve">The Australian COVID-19 Vaccination Policy was published in November 2020 and last updated in February 2021. </w:t>
      </w:r>
      <w:r>
        <w:rPr>
          <w:vertAlign w:val="superscript"/>
        </w:rPr>
        <w:t>3</w:t>
      </w:r>
      <w:r>
        <w:t xml:space="preserve"> It outlined the approach to providing COVID-19 vaccines in Australia. The policy describes the shared and separate responsibilities of the Australian Government and state and territory governments, as well as other key stakeholders in the COVID-19 vaccine rollout strategy. </w:t>
      </w:r>
      <w:r>
        <w:rPr>
          <w:vertAlign w:val="superscript"/>
        </w:rPr>
        <w:t>4</w:t>
      </w:r>
      <w:r>
        <w:t xml:space="preserve"> </w:t>
      </w:r>
    </w:p>
    <w:p w14:paraId="18A7BA91" w14:textId="24F10511" w:rsidR="00B43A77" w:rsidRDefault="00B43A77" w:rsidP="00B43A77">
      <w:r>
        <w:t xml:space="preserve">On 22 February 2021, the first doses of COVID-19 vaccines were made available for frontline health care workers, quarantine and border workers, and aged care and disability care residents and workers. </w:t>
      </w:r>
      <w:proofErr w:type="spellStart"/>
      <w:r>
        <w:t>Comirnaty</w:t>
      </w:r>
      <w:proofErr w:type="spellEnd"/>
      <w:r>
        <w:t xml:space="preserve"> (Pfizer/</w:t>
      </w:r>
      <w:proofErr w:type="spellStart"/>
      <w:r>
        <w:t>BioNTech</w:t>
      </w:r>
      <w:proofErr w:type="spellEnd"/>
      <w:r>
        <w:t xml:space="preserve">) </w:t>
      </w:r>
      <w:r>
        <w:rPr>
          <w:vertAlign w:val="superscript"/>
        </w:rPr>
        <w:t>5</w:t>
      </w:r>
      <w:r>
        <w:t xml:space="preserve"> and </w:t>
      </w:r>
      <w:proofErr w:type="spellStart"/>
      <w:r>
        <w:t>Vaxzevria</w:t>
      </w:r>
      <w:proofErr w:type="spellEnd"/>
      <w:r>
        <w:t xml:space="preserve"> (Oxford/AstraZeneca</w:t>
      </w:r>
      <w:r w:rsidR="005D258D">
        <w:t>)</w:t>
      </w:r>
      <w:r>
        <w:t xml:space="preserve"> </w:t>
      </w:r>
      <w:r>
        <w:rPr>
          <w:vertAlign w:val="superscript"/>
        </w:rPr>
        <w:t>6</w:t>
      </w:r>
      <w:r>
        <w:t xml:space="preserve"> COVID-19 vaccines are now being administered nationally.</w:t>
      </w:r>
    </w:p>
    <w:p w14:paraId="75AD07DE" w14:textId="77777777" w:rsidR="00B43A77" w:rsidRPr="00B43A77" w:rsidRDefault="00B43A77" w:rsidP="00B43A77">
      <w:pPr>
        <w:pStyle w:val="Heading3"/>
      </w:pPr>
      <w:r w:rsidRPr="00B43A77">
        <w:t>Changes to the National Immunisation Program</w:t>
      </w:r>
    </w:p>
    <w:p w14:paraId="0A13BC86" w14:textId="77777777" w:rsidR="00B43A77" w:rsidRDefault="00B43A77" w:rsidP="00B43A77">
      <w:r>
        <w:t xml:space="preserve">The National Immunisation Program (NIP) was expanded in 2020 to make some vaccines more readily available, and to further improve protection for people at higher risk of some diseases. </w:t>
      </w:r>
    </w:p>
    <w:p w14:paraId="3234114F" w14:textId="77777777" w:rsidR="00B43A77" w:rsidRDefault="00B43A77" w:rsidP="00B43A77">
      <w:r>
        <w:t>Changes included:</w:t>
      </w:r>
    </w:p>
    <w:p w14:paraId="1288D91F" w14:textId="69E81B2D" w:rsidR="00B43A77" w:rsidRPr="00B43A77" w:rsidRDefault="00B43A77" w:rsidP="00B43A77">
      <w:pPr>
        <w:pStyle w:val="ListParagraph"/>
        <w:numPr>
          <w:ilvl w:val="0"/>
          <w:numId w:val="14"/>
        </w:numPr>
        <w:rPr>
          <w:rFonts w:eastAsia="Times New Roman"/>
        </w:rPr>
      </w:pPr>
      <w:r w:rsidRPr="00B43A77">
        <w:rPr>
          <w:rFonts w:eastAsia="Times New Roman"/>
        </w:rPr>
        <w:t xml:space="preserve">influenza vaccine for all children aged 6 months to 5 years; </w:t>
      </w:r>
      <w:r w:rsidRPr="00B43A77">
        <w:rPr>
          <w:rFonts w:eastAsia="Times New Roman"/>
          <w:vertAlign w:val="superscript"/>
        </w:rPr>
        <w:t>7</w:t>
      </w:r>
      <w:r w:rsidRPr="00B43A77">
        <w:rPr>
          <w:rFonts w:eastAsia="Times New Roman"/>
        </w:rPr>
        <w:t xml:space="preserve"> </w:t>
      </w:r>
    </w:p>
    <w:p w14:paraId="26FE3070" w14:textId="4E54B91E" w:rsidR="00B43A77" w:rsidRPr="00B43A77" w:rsidRDefault="00B43A77" w:rsidP="00B43A77">
      <w:pPr>
        <w:pStyle w:val="ListParagraph"/>
        <w:numPr>
          <w:ilvl w:val="0"/>
          <w:numId w:val="14"/>
        </w:numPr>
        <w:rPr>
          <w:rFonts w:eastAsia="Times New Roman"/>
        </w:rPr>
      </w:pPr>
      <w:r w:rsidRPr="00B43A77">
        <w:rPr>
          <w:rFonts w:eastAsia="Times New Roman"/>
        </w:rPr>
        <w:t xml:space="preserve">pneumococcal vaccines (13-valent conjugate and 23-valent polysaccharide) for people with increased risk of disease, </w:t>
      </w:r>
      <w:r w:rsidRPr="00B43A77">
        <w:rPr>
          <w:rFonts w:eastAsia="Times New Roman"/>
          <w:vertAlign w:val="superscript"/>
        </w:rPr>
        <w:t>8</w:t>
      </w:r>
      <w:r w:rsidRPr="00B43A77">
        <w:rPr>
          <w:rFonts w:eastAsia="Times New Roman"/>
        </w:rPr>
        <w:t xml:space="preserve"> as well as changes to use these vaccines more effectively in people with medical </w:t>
      </w:r>
      <w:proofErr w:type="gramStart"/>
      <w:r w:rsidRPr="00B43A77">
        <w:rPr>
          <w:rFonts w:eastAsia="Times New Roman"/>
        </w:rPr>
        <w:t>conditions;</w:t>
      </w:r>
      <w:proofErr w:type="gramEnd"/>
      <w:r w:rsidRPr="00B43A77">
        <w:rPr>
          <w:rFonts w:eastAsia="Times New Roman"/>
        </w:rPr>
        <w:t xml:space="preserve"> </w:t>
      </w:r>
    </w:p>
    <w:p w14:paraId="0094F8AE" w14:textId="535FF01E" w:rsidR="00B43A77" w:rsidRPr="00B43A77" w:rsidRDefault="00B43A77" w:rsidP="00B43A77">
      <w:pPr>
        <w:pStyle w:val="ListParagraph"/>
        <w:numPr>
          <w:ilvl w:val="0"/>
          <w:numId w:val="14"/>
        </w:numPr>
        <w:rPr>
          <w:rFonts w:eastAsia="Times New Roman"/>
        </w:rPr>
      </w:pPr>
      <w:r w:rsidRPr="00B43A77">
        <w:rPr>
          <w:rFonts w:eastAsia="Times New Roman"/>
        </w:rPr>
        <w:t xml:space="preserve">meningococcal vaccines (for ACWY and B, respectively) for people with certain medical conditions, </w:t>
      </w:r>
      <w:r w:rsidRPr="00B43A77">
        <w:rPr>
          <w:rFonts w:eastAsia="Times New Roman"/>
          <w:vertAlign w:val="superscript"/>
        </w:rPr>
        <w:t>9</w:t>
      </w:r>
      <w:r w:rsidRPr="00B43A77">
        <w:rPr>
          <w:rFonts w:eastAsia="Times New Roman"/>
        </w:rPr>
        <w:t xml:space="preserve"> and meningococcal B vaccine for Aboriginal and Torres Strait Islander children; </w:t>
      </w:r>
      <w:r w:rsidRPr="00B43A77">
        <w:rPr>
          <w:rFonts w:eastAsia="Times New Roman"/>
          <w:vertAlign w:val="superscript"/>
        </w:rPr>
        <w:t>10</w:t>
      </w:r>
      <w:r w:rsidRPr="00B43A77">
        <w:rPr>
          <w:rFonts w:eastAsia="Times New Roman"/>
        </w:rPr>
        <w:t xml:space="preserve"> and </w:t>
      </w:r>
    </w:p>
    <w:p w14:paraId="6E14E354" w14:textId="27ADC3ED" w:rsidR="00B43A77" w:rsidRPr="00B43A77" w:rsidRDefault="00B43A77" w:rsidP="00B43A77">
      <w:pPr>
        <w:pStyle w:val="ListParagraph"/>
        <w:numPr>
          <w:ilvl w:val="0"/>
          <w:numId w:val="14"/>
        </w:numPr>
        <w:rPr>
          <w:rFonts w:eastAsia="Times New Roman"/>
        </w:rPr>
      </w:pPr>
      <w:r w:rsidRPr="00AF6A8B">
        <w:rPr>
          <w:rStyle w:val="Emphasis"/>
          <w:rFonts w:eastAsia="Times New Roman"/>
          <w:b w:val="0"/>
          <w:bCs w:val="0"/>
        </w:rPr>
        <w:t>Haemophilus influenzae</w:t>
      </w:r>
      <w:r w:rsidRPr="00B43A77">
        <w:rPr>
          <w:rFonts w:eastAsia="Times New Roman"/>
        </w:rPr>
        <w:t xml:space="preserve"> type b (Hib) vaccine for people with risk conditions for this disease. </w:t>
      </w:r>
      <w:r w:rsidRPr="00B43A77">
        <w:rPr>
          <w:rFonts w:eastAsia="Times New Roman"/>
          <w:vertAlign w:val="superscript"/>
        </w:rPr>
        <w:t>11</w:t>
      </w:r>
      <w:r w:rsidRPr="00B43A77">
        <w:rPr>
          <w:rFonts w:eastAsia="Times New Roman"/>
        </w:rPr>
        <w:t xml:space="preserve"> </w:t>
      </w:r>
    </w:p>
    <w:p w14:paraId="32620F98" w14:textId="77777777" w:rsidR="00B43A77" w:rsidRDefault="00B43A77" w:rsidP="00B43A77">
      <w:r>
        <w:t>The impact of these changes will be measured in future evaluations and will inform any further changes to the NIP to prevent these diseases.</w:t>
      </w:r>
    </w:p>
    <w:p w14:paraId="76FD05D2" w14:textId="77777777" w:rsidR="00B43A77" w:rsidRPr="00B43A77" w:rsidRDefault="00B43A77" w:rsidP="00B43A77">
      <w:pPr>
        <w:pStyle w:val="Heading3"/>
      </w:pPr>
      <w:r w:rsidRPr="00B43A77">
        <w:t>Immunisation coverage</w:t>
      </w:r>
    </w:p>
    <w:p w14:paraId="63D52DB1" w14:textId="77777777" w:rsidR="00B43A77" w:rsidRPr="00AF6A8B" w:rsidRDefault="00B43A77" w:rsidP="00B43A77">
      <w:pPr>
        <w:pStyle w:val="Heading4"/>
        <w:rPr>
          <w:b w:val="0"/>
          <w:bCs w:val="0"/>
        </w:rPr>
      </w:pPr>
      <w:r w:rsidRPr="00AF6A8B">
        <w:rPr>
          <w:b w:val="0"/>
          <w:bCs w:val="0"/>
        </w:rPr>
        <w:t>Influenza</w:t>
      </w:r>
    </w:p>
    <w:p w14:paraId="0446C86E" w14:textId="77777777" w:rsidR="00B43A77" w:rsidRDefault="00B43A77" w:rsidP="00B43A77">
      <w:r>
        <w:t>A record high number of 17.6 million influenza vaccine doses were distributed for use in Australia in 2020.</w:t>
      </w:r>
    </w:p>
    <w:p w14:paraId="2A83D15E" w14:textId="77777777" w:rsidR="00B43A77" w:rsidRDefault="00B43A77" w:rsidP="00B43A77">
      <w:r>
        <w:t>Data in the Australian Immunisation Register (AIR) has underestimated vaccine coverage for adult vaccines (</w:t>
      </w:r>
      <w:proofErr w:type="spellStart"/>
      <w:r>
        <w:t>ie</w:t>
      </w:r>
      <w:proofErr w:type="spellEnd"/>
      <w:r>
        <w:t xml:space="preserve">, the actual number of doses given) during 2016–2020 because of under-reporting. </w:t>
      </w:r>
    </w:p>
    <w:p w14:paraId="1E03DFD6" w14:textId="77777777" w:rsidR="00B43A77" w:rsidRDefault="00B43A77" w:rsidP="00B43A77">
      <w:r>
        <w:t>In 2020, AIR data showed:</w:t>
      </w:r>
    </w:p>
    <w:p w14:paraId="15AEE2AC" w14:textId="77777777" w:rsidR="00B43A77" w:rsidRPr="00B43A77" w:rsidRDefault="00B43A77" w:rsidP="00B43A77">
      <w:pPr>
        <w:pStyle w:val="ListParagraph"/>
        <w:numPr>
          <w:ilvl w:val="0"/>
          <w:numId w:val="15"/>
        </w:numPr>
        <w:rPr>
          <w:rFonts w:eastAsia="Times New Roman"/>
        </w:rPr>
      </w:pPr>
      <w:r w:rsidRPr="00B43A77">
        <w:rPr>
          <w:rFonts w:eastAsia="Times New Roman"/>
        </w:rPr>
        <w:t xml:space="preserve">the number of influenza vaccine doses recorded as given was higher in all age groups in 2020 than in previous years. This may be because of strong public health messaging for people to receive influenza vaccine during the COVID-19 </w:t>
      </w:r>
      <w:proofErr w:type="gramStart"/>
      <w:r w:rsidRPr="00B43A77">
        <w:rPr>
          <w:rFonts w:eastAsia="Times New Roman"/>
        </w:rPr>
        <w:t>pandemic;</w:t>
      </w:r>
      <w:proofErr w:type="gramEnd"/>
    </w:p>
    <w:p w14:paraId="713A905C" w14:textId="77777777" w:rsidR="00B43A77" w:rsidRPr="00B43A77" w:rsidRDefault="00B43A77" w:rsidP="00B43A77">
      <w:pPr>
        <w:pStyle w:val="ListParagraph"/>
        <w:numPr>
          <w:ilvl w:val="0"/>
          <w:numId w:val="15"/>
        </w:numPr>
        <w:rPr>
          <w:rFonts w:eastAsia="Times New Roman"/>
        </w:rPr>
      </w:pPr>
      <w:r w:rsidRPr="00B43A77">
        <w:rPr>
          <w:rFonts w:eastAsia="Times New Roman"/>
        </w:rPr>
        <w:t>32.5% of the population (8.6 million people) were reported as having received an influenza vaccine by 31 July 2020, compared with 25.2% at the same time in 2019; and</w:t>
      </w:r>
    </w:p>
    <w:p w14:paraId="6EC11C3F" w14:textId="77777777" w:rsidR="00B43A77" w:rsidRPr="00B43A77" w:rsidRDefault="00B43A77" w:rsidP="00B43A77">
      <w:pPr>
        <w:pStyle w:val="ListParagraph"/>
        <w:numPr>
          <w:ilvl w:val="0"/>
          <w:numId w:val="15"/>
        </w:numPr>
        <w:rPr>
          <w:rFonts w:eastAsia="Times New Roman"/>
        </w:rPr>
      </w:pPr>
      <w:r w:rsidRPr="00B43A77">
        <w:rPr>
          <w:rFonts w:eastAsia="Times New Roman"/>
        </w:rPr>
        <w:t>42.6% of children under 5 years old were reported as having received an influenza vaccine by 31 July 2020, compared with 38.2% at the same time in 2019. Influenza vaccine was also free for children under 5 years old for the first time in 2020.</w:t>
      </w:r>
    </w:p>
    <w:p w14:paraId="01657C6D" w14:textId="77777777" w:rsidR="00B43A77" w:rsidRPr="00AF6A8B" w:rsidRDefault="00B43A77" w:rsidP="00B43A77">
      <w:pPr>
        <w:pStyle w:val="Heading4"/>
        <w:rPr>
          <w:b w:val="0"/>
          <w:bCs w:val="0"/>
        </w:rPr>
      </w:pPr>
      <w:r w:rsidRPr="00AF6A8B">
        <w:rPr>
          <w:b w:val="0"/>
          <w:bCs w:val="0"/>
        </w:rPr>
        <w:t>Other National Immunisation Program vaccines</w:t>
      </w:r>
    </w:p>
    <w:p w14:paraId="2D63057D" w14:textId="77777777" w:rsidR="00B43A77" w:rsidRDefault="00B43A77" w:rsidP="00B43A77">
      <w:r>
        <w:t xml:space="preserve">COVID-19 control measures have not substantially affected the coverage of routine NIP vaccines in children. </w:t>
      </w:r>
      <w:r>
        <w:rPr>
          <w:vertAlign w:val="superscript"/>
        </w:rPr>
        <w:t>12</w:t>
      </w:r>
      <w:r>
        <w:t xml:space="preserve"> Even in Victoria, which had the longest period of COVID-19 restrictions in Australia during 2020, there was no impact on coverage rates in children. </w:t>
      </w:r>
      <w:r>
        <w:rPr>
          <w:vertAlign w:val="superscript"/>
        </w:rPr>
        <w:t>13</w:t>
      </w:r>
    </w:p>
    <w:p w14:paraId="4AD6667A" w14:textId="77777777" w:rsidR="00B43A77" w:rsidRPr="00B43A77" w:rsidRDefault="00B43A77" w:rsidP="00B43A77">
      <w:pPr>
        <w:pStyle w:val="Heading3"/>
      </w:pPr>
      <w:r w:rsidRPr="00B43A77">
        <w:t>Important changes to the Australian Immunisation Handbook</w:t>
      </w:r>
    </w:p>
    <w:p w14:paraId="1E26220A" w14:textId="77777777" w:rsidR="00B43A77" w:rsidRDefault="00B43A77" w:rsidP="00B43A77">
      <w:r>
        <w:t xml:space="preserve">Changes to the Handbook included: </w:t>
      </w:r>
      <w:r>
        <w:rPr>
          <w:vertAlign w:val="superscript"/>
        </w:rPr>
        <w:t>14</w:t>
      </w:r>
      <w:r>
        <w:t xml:space="preserve"> </w:t>
      </w:r>
    </w:p>
    <w:p w14:paraId="37F48EFC" w14:textId="65166D5E" w:rsidR="00B43A77" w:rsidRPr="00B43A77" w:rsidRDefault="00B43A77" w:rsidP="00B43A77">
      <w:pPr>
        <w:pStyle w:val="ListParagraph"/>
        <w:numPr>
          <w:ilvl w:val="0"/>
          <w:numId w:val="16"/>
        </w:numPr>
        <w:rPr>
          <w:rFonts w:eastAsia="Times New Roman"/>
        </w:rPr>
      </w:pPr>
      <w:r w:rsidRPr="00B43A77">
        <w:rPr>
          <w:rFonts w:eastAsia="Times New Roman"/>
        </w:rPr>
        <w:t>the pneumococcal disease chapter had major updates</w:t>
      </w:r>
      <w:r w:rsidR="005D258D">
        <w:rPr>
          <w:rFonts w:eastAsia="Times New Roman"/>
        </w:rPr>
        <w:t>,</w:t>
      </w:r>
      <w:r w:rsidR="004A3D45">
        <w:rPr>
          <w:rStyle w:val="FootnoteReference"/>
          <w:rFonts w:eastAsia="Times New Roman"/>
        </w:rPr>
        <w:footnoteReference w:id="2"/>
      </w:r>
      <w:r w:rsidRPr="00B43A77">
        <w:rPr>
          <w:rFonts w:eastAsia="Times New Roman"/>
        </w:rPr>
        <w:t xml:space="preserve"> with new recommendations for older adults, people with risk conditions, and Aboriginal and Torres Strait Islander people, and an updated list of risk conditions for pneumococcal disease;</w:t>
      </w:r>
      <w:r w:rsidR="004A3D45">
        <w:rPr>
          <w:rStyle w:val="FootnoteReference"/>
          <w:rFonts w:eastAsia="Times New Roman"/>
        </w:rPr>
        <w:footnoteReference w:id="3"/>
      </w:r>
      <w:r w:rsidRPr="00B43A77">
        <w:rPr>
          <w:rFonts w:eastAsia="Times New Roman"/>
        </w:rPr>
        <w:t xml:space="preserve"> </w:t>
      </w:r>
    </w:p>
    <w:p w14:paraId="3C1E199C" w14:textId="1FD38C47" w:rsidR="00B43A77" w:rsidRPr="00B43A77" w:rsidRDefault="00B43A77" w:rsidP="00B43A77">
      <w:pPr>
        <w:pStyle w:val="ListParagraph"/>
        <w:numPr>
          <w:ilvl w:val="0"/>
          <w:numId w:val="16"/>
        </w:numPr>
        <w:rPr>
          <w:rFonts w:eastAsia="Times New Roman"/>
        </w:rPr>
      </w:pPr>
      <w:r w:rsidRPr="00B43A77">
        <w:rPr>
          <w:rFonts w:eastAsia="Times New Roman"/>
        </w:rPr>
        <w:t>the zoster chapter was updated to help providers decide whether to give the live zoster vaccine (Zostavax) to people who are immunocompromised or on immunosuppressive therapy</w:t>
      </w:r>
      <w:r w:rsidR="0059551A">
        <w:rPr>
          <w:rStyle w:val="FootnoteReference"/>
          <w:rFonts w:eastAsia="Times New Roman"/>
        </w:rPr>
        <w:footnoteReference w:id="4"/>
      </w:r>
      <w:r w:rsidRPr="00B43A77">
        <w:rPr>
          <w:rFonts w:eastAsia="Times New Roman"/>
        </w:rPr>
        <w:t xml:space="preserve">, with new guidance on pre-vaccination screening and when it is safe to give live zoster vaccine to people on immunosuppressive therapy; </w:t>
      </w:r>
      <w:r w:rsidRPr="00B43A77">
        <w:rPr>
          <w:rFonts w:eastAsia="Times New Roman"/>
          <w:vertAlign w:val="superscript"/>
        </w:rPr>
        <w:t>15</w:t>
      </w:r>
      <w:r w:rsidRPr="00B43A77">
        <w:rPr>
          <w:rFonts w:eastAsia="Times New Roman"/>
        </w:rPr>
        <w:t xml:space="preserve"> </w:t>
      </w:r>
    </w:p>
    <w:p w14:paraId="69C95B1F" w14:textId="5870F59D" w:rsidR="00B43A77" w:rsidRPr="00B43A77" w:rsidRDefault="00B43A77" w:rsidP="00B43A77">
      <w:pPr>
        <w:pStyle w:val="ListParagraph"/>
        <w:numPr>
          <w:ilvl w:val="0"/>
          <w:numId w:val="16"/>
        </w:numPr>
        <w:rPr>
          <w:rFonts w:eastAsia="Times New Roman"/>
        </w:rPr>
      </w:pPr>
      <w:r w:rsidRPr="00B43A77">
        <w:rPr>
          <w:rFonts w:eastAsia="Times New Roman"/>
        </w:rPr>
        <w:t>the hepatitis A chapter was updated,</w:t>
      </w:r>
      <w:r w:rsidR="0093472B">
        <w:rPr>
          <w:rStyle w:val="FootnoteReference"/>
          <w:rFonts w:eastAsia="Times New Roman"/>
        </w:rPr>
        <w:footnoteReference w:id="5"/>
      </w:r>
      <w:r w:rsidRPr="00B43A77">
        <w:rPr>
          <w:rFonts w:eastAsia="Times New Roman"/>
        </w:rPr>
        <w:t xml:space="preserve"> with a new recommendation on the timing of the second dose for Aboriginal and Torres Strait Islander children in some states and </w:t>
      </w:r>
      <w:proofErr w:type="gramStart"/>
      <w:r w:rsidRPr="00B43A77">
        <w:rPr>
          <w:rFonts w:eastAsia="Times New Roman"/>
        </w:rPr>
        <w:t>territories;</w:t>
      </w:r>
      <w:proofErr w:type="gramEnd"/>
    </w:p>
    <w:p w14:paraId="6CB9B237" w14:textId="7F2ADF47" w:rsidR="00B43A77" w:rsidRPr="00B43A77" w:rsidRDefault="00B43A77" w:rsidP="00B43A77">
      <w:pPr>
        <w:pStyle w:val="ListParagraph"/>
        <w:numPr>
          <w:ilvl w:val="0"/>
          <w:numId w:val="16"/>
        </w:numPr>
        <w:rPr>
          <w:rFonts w:eastAsia="Times New Roman"/>
        </w:rPr>
      </w:pPr>
      <w:r w:rsidRPr="00B43A77">
        <w:rPr>
          <w:rFonts w:eastAsia="Times New Roman"/>
        </w:rPr>
        <w:t>the chapter on vaccination for special risk groups was updated in line with changes to disease chapters;</w:t>
      </w:r>
      <w:r w:rsidR="00B7540E">
        <w:rPr>
          <w:rStyle w:val="FootnoteReference"/>
          <w:rFonts w:eastAsia="Times New Roman"/>
        </w:rPr>
        <w:footnoteReference w:id="6"/>
      </w:r>
      <w:r w:rsidRPr="00B43A77">
        <w:rPr>
          <w:rFonts w:eastAsia="Times New Roman"/>
        </w:rPr>
        <w:t xml:space="preserve"> </w:t>
      </w:r>
    </w:p>
    <w:p w14:paraId="2AF6CEC9" w14:textId="338FE353" w:rsidR="00B43A77" w:rsidRPr="00B43A77" w:rsidRDefault="00B43A77" w:rsidP="00B43A77">
      <w:pPr>
        <w:pStyle w:val="ListParagraph"/>
        <w:numPr>
          <w:ilvl w:val="0"/>
          <w:numId w:val="16"/>
        </w:numPr>
        <w:rPr>
          <w:rFonts w:eastAsia="Times New Roman"/>
        </w:rPr>
      </w:pPr>
      <w:r w:rsidRPr="00B43A77">
        <w:rPr>
          <w:rFonts w:eastAsia="Times New Roman"/>
        </w:rPr>
        <w:t>an online catch-up calculator was released</w:t>
      </w:r>
      <w:r w:rsidR="005D258D">
        <w:rPr>
          <w:rFonts w:eastAsia="Times New Roman"/>
        </w:rPr>
        <w:t>,</w:t>
      </w:r>
      <w:r w:rsidR="009A761D">
        <w:rPr>
          <w:rStyle w:val="FootnoteReference"/>
          <w:rFonts w:eastAsia="Times New Roman"/>
        </w:rPr>
        <w:footnoteReference w:id="7"/>
      </w:r>
      <w:r w:rsidRPr="00B43A77">
        <w:rPr>
          <w:rFonts w:eastAsia="Times New Roman"/>
        </w:rPr>
        <w:t xml:space="preserve"> to assist immunisation providers in planning catch-up schedules for NIP vaccines for children under 10 years old; and</w:t>
      </w:r>
    </w:p>
    <w:p w14:paraId="5967B096" w14:textId="467B30F2" w:rsidR="00B43A77" w:rsidRPr="00B43A77" w:rsidRDefault="00B43A77" w:rsidP="00B43A77">
      <w:pPr>
        <w:pStyle w:val="ListParagraph"/>
        <w:numPr>
          <w:ilvl w:val="0"/>
          <w:numId w:val="16"/>
        </w:numPr>
        <w:rPr>
          <w:rFonts w:eastAsia="Times New Roman"/>
        </w:rPr>
      </w:pPr>
      <w:r w:rsidRPr="00B43A77">
        <w:rPr>
          <w:rFonts w:eastAsia="Times New Roman"/>
        </w:rPr>
        <w:t>a Handbook mobile app was released</w:t>
      </w:r>
      <w:r w:rsidR="005D258D">
        <w:rPr>
          <w:rFonts w:eastAsia="Times New Roman"/>
        </w:rPr>
        <w:t>,</w:t>
      </w:r>
      <w:r w:rsidR="009A761D">
        <w:rPr>
          <w:rStyle w:val="FootnoteReference"/>
          <w:rFonts w:eastAsia="Times New Roman"/>
        </w:rPr>
        <w:footnoteReference w:id="8"/>
      </w:r>
      <w:r w:rsidRPr="00B43A77">
        <w:rPr>
          <w:rFonts w:eastAsia="Times New Roman"/>
        </w:rPr>
        <w:t xml:space="preserve"> allowing providers to access up-to-date Handbook content on their smartphone or tablet, even when offline.</w:t>
      </w:r>
    </w:p>
    <w:p w14:paraId="79EE53D7" w14:textId="77777777" w:rsidR="00B43A77" w:rsidRPr="00B43A77" w:rsidRDefault="00B43A77" w:rsidP="00B43A77">
      <w:pPr>
        <w:pStyle w:val="Heading3"/>
      </w:pPr>
      <w:r w:rsidRPr="00B43A77">
        <w:t>Mandatory reporting to the Australian Immunisation Register</w:t>
      </w:r>
    </w:p>
    <w:p w14:paraId="471347C8" w14:textId="77777777" w:rsidR="00B43A77" w:rsidRDefault="00B43A77" w:rsidP="00B43A77">
      <w:r>
        <w:t xml:space="preserve">In February 2021, the </w:t>
      </w:r>
      <w:r w:rsidRPr="00AF6A8B">
        <w:rPr>
          <w:rStyle w:val="Emphasis"/>
          <w:b w:val="0"/>
          <w:bCs w:val="0"/>
        </w:rPr>
        <w:t>Australian Immunisation Register Amendment (Reporting) Act 2021</w:t>
      </w:r>
      <w:r>
        <w:t xml:space="preserve"> came into force. </w:t>
      </w:r>
      <w:r>
        <w:rPr>
          <w:vertAlign w:val="superscript"/>
        </w:rPr>
        <w:t>16</w:t>
      </w:r>
      <w:r>
        <w:t xml:space="preserve"> This Act makes it mandatory for all immunisation providers to report all administered doses of vaccines to the AIR.</w:t>
      </w:r>
    </w:p>
    <w:p w14:paraId="49B5940E" w14:textId="77777777" w:rsidR="00B43A77" w:rsidRDefault="00B43A77" w:rsidP="00B43A77">
      <w:r>
        <w:t>This change will help ensure everyone has a complete record of the vaccines they have received throughout their life. This is important to inform individual vaccination decisions, as well as in national management of VPD outbreaks.</w:t>
      </w:r>
    </w:p>
    <w:p w14:paraId="55FDB31A" w14:textId="4B4B8C27" w:rsidR="00B43A77" w:rsidRDefault="00B43A77" w:rsidP="00B43A77">
      <w:r>
        <w:t>This change will apply to all immunisation providers, including pharmacists. Pharmacists have had a growing role in providing vaccinations in recent years. This improves access to vaccination and expands the workforce of immunisation providers. However, a study in 2020 found that many pharmacists were not reporting vaccinations to the AIR.</w:t>
      </w:r>
      <w:r>
        <w:rPr>
          <w:vertAlign w:val="superscript"/>
        </w:rPr>
        <w:t>17</w:t>
      </w:r>
      <w:r>
        <w:t xml:space="preserve"> </w:t>
      </w:r>
    </w:p>
    <w:p w14:paraId="00CCDA5F" w14:textId="77777777" w:rsidR="00B43A77" w:rsidRPr="00B43A77" w:rsidRDefault="00B43A77" w:rsidP="00B43A77">
      <w:pPr>
        <w:pStyle w:val="Heading3"/>
      </w:pPr>
      <w:r w:rsidRPr="00B43A77">
        <w:t>‘No Jab, No Pay’ policy</w:t>
      </w:r>
    </w:p>
    <w:p w14:paraId="4DE20D88" w14:textId="77777777" w:rsidR="00B43A77" w:rsidRDefault="00B43A77" w:rsidP="00B43A77">
      <w:r>
        <w:t>The Australian Government’s ‘No Jab, No Pay’ policy was introduced in 2016. It aims to increase immunisation coverage in children. Children must be fully immunised before a family can receive family assistance payments from the government.</w:t>
      </w:r>
    </w:p>
    <w:p w14:paraId="742DFBE3" w14:textId="2C4C90C9" w:rsidR="00B43A77" w:rsidRDefault="00B43A77" w:rsidP="00B43A77">
      <w:r>
        <w:t>A study in 2020 found that the ‘No Jab, No Pay’ policy and associated program improvements have helped to increase catch-up vaccination,</w:t>
      </w:r>
      <w:r>
        <w:rPr>
          <w:vertAlign w:val="superscript"/>
        </w:rPr>
        <w:t>18</w:t>
      </w:r>
      <w:r>
        <w:t xml:space="preserve"> particularly in families of lower socioeconomic status.</w:t>
      </w:r>
    </w:p>
    <w:p w14:paraId="232524D5" w14:textId="77777777" w:rsidR="00B43A77" w:rsidRPr="00B43A77" w:rsidRDefault="00B43A77" w:rsidP="00B43A77">
      <w:pPr>
        <w:pStyle w:val="Heading2"/>
      </w:pPr>
      <w:r w:rsidRPr="00B43A77">
        <w:t>New vaccines</w:t>
      </w:r>
    </w:p>
    <w:p w14:paraId="6302D279" w14:textId="77777777" w:rsidR="00B43A77" w:rsidRDefault="00B43A77" w:rsidP="00B43A77">
      <w:r>
        <w:t>Several new vaccines were registered with Australia’s Therapeutic Goods Administration (TGA) in 2020 (Table 1).</w:t>
      </w:r>
    </w:p>
    <w:p w14:paraId="46A75F84" w14:textId="77777777" w:rsidR="002936F0" w:rsidRPr="003F65C7" w:rsidRDefault="002936F0" w:rsidP="002936F0">
      <w:pPr>
        <w:pStyle w:val="CDIFigures"/>
      </w:pPr>
      <w:r w:rsidRPr="003F65C7">
        <w:rPr>
          <w:rStyle w:val="Strong"/>
          <w:b/>
          <w:bCs w:val="0"/>
        </w:rPr>
        <w:t>Table 1: Vaccines newly registered with the TGA in 2020</w:t>
      </w:r>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left w:w="142" w:type="dxa"/>
          <w:bottom w:w="142" w:type="dxa"/>
          <w:right w:w="142" w:type="dxa"/>
        </w:tblCellMar>
        <w:tblLook w:val="04A0" w:firstRow="1" w:lastRow="0" w:firstColumn="1" w:lastColumn="0" w:noHBand="0" w:noVBand="1"/>
        <w:tblDescription w:val="A table of vaccines newly registered with the Therapeutic Goods Administration in 2020, listing the vaccines, the VPDs protected against by these vaccines, and the registered age ranges in whom they can be administered."/>
      </w:tblPr>
      <w:tblGrid>
        <w:gridCol w:w="2691"/>
        <w:gridCol w:w="4110"/>
        <w:gridCol w:w="1520"/>
        <w:gridCol w:w="2139"/>
      </w:tblGrid>
      <w:tr w:rsidR="002936F0" w:rsidRPr="002936F0" w14:paraId="73FA67A1" w14:textId="77777777" w:rsidTr="002936F0">
        <w:trPr>
          <w:cnfStyle w:val="100000000000" w:firstRow="1" w:lastRow="0" w:firstColumn="0" w:lastColumn="0" w:oddVBand="0" w:evenVBand="0" w:oddHBand="0" w:evenHBand="0" w:firstRowFirstColumn="0" w:firstRowLastColumn="0" w:lastRowFirstColumn="0" w:lastRowLastColumn="0"/>
        </w:trPr>
        <w:tc>
          <w:tcPr>
            <w:tcW w:w="2691" w:type="dxa"/>
            <w:hideMark/>
          </w:tcPr>
          <w:p w14:paraId="1E0831D5" w14:textId="77777777" w:rsidR="002936F0" w:rsidRPr="002936F0" w:rsidRDefault="002936F0" w:rsidP="001276B6">
            <w:pPr>
              <w:pStyle w:val="NormalWeb"/>
              <w:rPr>
                <w:color w:val="FFFFFF" w:themeColor="background1"/>
                <w:sz w:val="18"/>
                <w:szCs w:val="18"/>
              </w:rPr>
            </w:pPr>
            <w:r w:rsidRPr="002936F0">
              <w:rPr>
                <w:color w:val="FFFFFF" w:themeColor="background1"/>
                <w:sz w:val="18"/>
                <w:szCs w:val="18"/>
              </w:rPr>
              <w:t>Vaccine brand name</w:t>
            </w:r>
          </w:p>
        </w:tc>
        <w:tc>
          <w:tcPr>
            <w:tcW w:w="4110" w:type="dxa"/>
            <w:hideMark/>
          </w:tcPr>
          <w:p w14:paraId="3B6C7AEA" w14:textId="77777777" w:rsidR="002936F0" w:rsidRPr="002936F0" w:rsidRDefault="002936F0" w:rsidP="001276B6">
            <w:pPr>
              <w:pStyle w:val="NormalWeb"/>
              <w:jc w:val="center"/>
              <w:rPr>
                <w:color w:val="FFFFFF" w:themeColor="background1"/>
                <w:sz w:val="18"/>
                <w:szCs w:val="18"/>
              </w:rPr>
            </w:pPr>
            <w:r w:rsidRPr="002936F0">
              <w:rPr>
                <w:color w:val="FFFFFF" w:themeColor="background1"/>
                <w:sz w:val="18"/>
                <w:szCs w:val="18"/>
              </w:rPr>
              <w:t>Description</w:t>
            </w:r>
          </w:p>
        </w:tc>
        <w:tc>
          <w:tcPr>
            <w:tcW w:w="1520" w:type="dxa"/>
            <w:hideMark/>
          </w:tcPr>
          <w:p w14:paraId="4BB4483C" w14:textId="77777777" w:rsidR="002936F0" w:rsidRPr="002936F0" w:rsidRDefault="002936F0" w:rsidP="001276B6">
            <w:pPr>
              <w:pStyle w:val="NormalWeb"/>
              <w:jc w:val="center"/>
              <w:rPr>
                <w:color w:val="FFFFFF" w:themeColor="background1"/>
                <w:sz w:val="18"/>
                <w:szCs w:val="18"/>
              </w:rPr>
            </w:pPr>
            <w:r w:rsidRPr="002936F0">
              <w:rPr>
                <w:color w:val="FFFFFF" w:themeColor="background1"/>
                <w:sz w:val="18"/>
                <w:szCs w:val="18"/>
              </w:rPr>
              <w:t>Protects against</w:t>
            </w:r>
          </w:p>
        </w:tc>
        <w:tc>
          <w:tcPr>
            <w:tcW w:w="0" w:type="auto"/>
            <w:hideMark/>
          </w:tcPr>
          <w:p w14:paraId="5E440ED8" w14:textId="77777777" w:rsidR="002936F0" w:rsidRPr="002936F0" w:rsidRDefault="002936F0" w:rsidP="001276B6">
            <w:pPr>
              <w:pStyle w:val="NormalWeb"/>
              <w:jc w:val="center"/>
              <w:rPr>
                <w:color w:val="FFFFFF" w:themeColor="background1"/>
                <w:sz w:val="18"/>
                <w:szCs w:val="18"/>
              </w:rPr>
            </w:pPr>
            <w:r w:rsidRPr="002936F0">
              <w:rPr>
                <w:color w:val="FFFFFF" w:themeColor="background1"/>
                <w:sz w:val="18"/>
                <w:szCs w:val="18"/>
              </w:rPr>
              <w:t>Registered for use in ages</w:t>
            </w:r>
          </w:p>
        </w:tc>
      </w:tr>
      <w:tr w:rsidR="002936F0" w:rsidRPr="002936F0" w14:paraId="6D4ECE84" w14:textId="77777777" w:rsidTr="002936F0">
        <w:tc>
          <w:tcPr>
            <w:tcW w:w="2691" w:type="dxa"/>
            <w:hideMark/>
          </w:tcPr>
          <w:p w14:paraId="686692A8" w14:textId="77777777" w:rsidR="002936F0" w:rsidRPr="002936F0" w:rsidRDefault="002936F0" w:rsidP="001276B6">
            <w:pPr>
              <w:pStyle w:val="NormalWeb"/>
              <w:rPr>
                <w:sz w:val="18"/>
                <w:szCs w:val="18"/>
              </w:rPr>
            </w:pPr>
            <w:proofErr w:type="spellStart"/>
            <w:r w:rsidRPr="002936F0">
              <w:rPr>
                <w:sz w:val="18"/>
                <w:szCs w:val="18"/>
              </w:rPr>
              <w:t>Fluzone</w:t>
            </w:r>
            <w:proofErr w:type="spellEnd"/>
            <w:r w:rsidRPr="002936F0">
              <w:rPr>
                <w:sz w:val="18"/>
                <w:szCs w:val="18"/>
              </w:rPr>
              <w:t xml:space="preserve"> High-Dose Quadrivalent</w:t>
            </w:r>
          </w:p>
        </w:tc>
        <w:tc>
          <w:tcPr>
            <w:tcW w:w="4110" w:type="dxa"/>
            <w:hideMark/>
          </w:tcPr>
          <w:p w14:paraId="42152AF2" w14:textId="77777777" w:rsidR="002936F0" w:rsidRPr="002936F0" w:rsidRDefault="002936F0" w:rsidP="001276B6">
            <w:pPr>
              <w:pStyle w:val="NormalWeb"/>
              <w:jc w:val="center"/>
              <w:rPr>
                <w:sz w:val="18"/>
                <w:szCs w:val="18"/>
              </w:rPr>
            </w:pPr>
            <w:r w:rsidRPr="002936F0">
              <w:rPr>
                <w:sz w:val="18"/>
                <w:szCs w:val="18"/>
              </w:rPr>
              <w:t>Inactivated quadrivalent influenza vaccine</w:t>
            </w:r>
          </w:p>
        </w:tc>
        <w:tc>
          <w:tcPr>
            <w:tcW w:w="1520" w:type="dxa"/>
            <w:hideMark/>
          </w:tcPr>
          <w:p w14:paraId="411D5FAE" w14:textId="77777777" w:rsidR="002936F0" w:rsidRPr="002936F0" w:rsidRDefault="002936F0" w:rsidP="001276B6">
            <w:pPr>
              <w:pStyle w:val="NormalWeb"/>
              <w:jc w:val="center"/>
              <w:rPr>
                <w:sz w:val="18"/>
                <w:szCs w:val="18"/>
              </w:rPr>
            </w:pPr>
            <w:r w:rsidRPr="002936F0">
              <w:rPr>
                <w:sz w:val="18"/>
                <w:szCs w:val="18"/>
              </w:rPr>
              <w:t>Influenza</w:t>
            </w:r>
          </w:p>
        </w:tc>
        <w:tc>
          <w:tcPr>
            <w:tcW w:w="0" w:type="auto"/>
            <w:hideMark/>
          </w:tcPr>
          <w:p w14:paraId="1EEC60EB" w14:textId="77777777" w:rsidR="002936F0" w:rsidRPr="002936F0" w:rsidRDefault="002936F0" w:rsidP="001276B6">
            <w:pPr>
              <w:pStyle w:val="NormalWeb"/>
              <w:jc w:val="center"/>
              <w:rPr>
                <w:sz w:val="18"/>
                <w:szCs w:val="18"/>
              </w:rPr>
            </w:pPr>
            <w:r w:rsidRPr="002936F0">
              <w:rPr>
                <w:sz w:val="18"/>
                <w:szCs w:val="18"/>
              </w:rPr>
              <w:t>≥ 65 years</w:t>
            </w:r>
          </w:p>
        </w:tc>
      </w:tr>
      <w:tr w:rsidR="002936F0" w:rsidRPr="002936F0" w14:paraId="43A23A85" w14:textId="77777777" w:rsidTr="002936F0">
        <w:trPr>
          <w:cnfStyle w:val="000000010000" w:firstRow="0" w:lastRow="0" w:firstColumn="0" w:lastColumn="0" w:oddVBand="0" w:evenVBand="0" w:oddHBand="0" w:evenHBand="1" w:firstRowFirstColumn="0" w:firstRowLastColumn="0" w:lastRowFirstColumn="0" w:lastRowLastColumn="0"/>
        </w:trPr>
        <w:tc>
          <w:tcPr>
            <w:tcW w:w="2691" w:type="dxa"/>
            <w:hideMark/>
          </w:tcPr>
          <w:p w14:paraId="0355922C" w14:textId="77777777" w:rsidR="002936F0" w:rsidRPr="002936F0" w:rsidRDefault="002936F0" w:rsidP="001276B6">
            <w:pPr>
              <w:pStyle w:val="NormalWeb"/>
              <w:rPr>
                <w:sz w:val="18"/>
                <w:szCs w:val="18"/>
              </w:rPr>
            </w:pPr>
            <w:r w:rsidRPr="002936F0">
              <w:rPr>
                <w:sz w:val="18"/>
                <w:szCs w:val="18"/>
              </w:rPr>
              <w:t>Flucelvax Quad</w:t>
            </w:r>
          </w:p>
        </w:tc>
        <w:tc>
          <w:tcPr>
            <w:tcW w:w="4110" w:type="dxa"/>
            <w:hideMark/>
          </w:tcPr>
          <w:p w14:paraId="04D54AF9" w14:textId="77777777" w:rsidR="002936F0" w:rsidRPr="002936F0" w:rsidRDefault="002936F0" w:rsidP="001276B6">
            <w:pPr>
              <w:pStyle w:val="NormalWeb"/>
              <w:jc w:val="center"/>
              <w:rPr>
                <w:sz w:val="18"/>
                <w:szCs w:val="18"/>
              </w:rPr>
            </w:pPr>
            <w:r w:rsidRPr="002936F0">
              <w:rPr>
                <w:sz w:val="18"/>
                <w:szCs w:val="18"/>
              </w:rPr>
              <w:t>Quadrivalent influenza vaccine (surface antigen, inactivated)</w:t>
            </w:r>
          </w:p>
        </w:tc>
        <w:tc>
          <w:tcPr>
            <w:tcW w:w="1520" w:type="dxa"/>
            <w:hideMark/>
          </w:tcPr>
          <w:p w14:paraId="05A9F3A6" w14:textId="77777777" w:rsidR="002936F0" w:rsidRPr="002936F0" w:rsidRDefault="002936F0" w:rsidP="001276B6">
            <w:pPr>
              <w:pStyle w:val="NormalWeb"/>
              <w:jc w:val="center"/>
              <w:rPr>
                <w:sz w:val="18"/>
                <w:szCs w:val="18"/>
              </w:rPr>
            </w:pPr>
            <w:r w:rsidRPr="002936F0">
              <w:rPr>
                <w:sz w:val="18"/>
                <w:szCs w:val="18"/>
              </w:rPr>
              <w:t>Influenza</w:t>
            </w:r>
          </w:p>
        </w:tc>
        <w:tc>
          <w:tcPr>
            <w:tcW w:w="0" w:type="auto"/>
            <w:hideMark/>
          </w:tcPr>
          <w:p w14:paraId="63F4DBD4" w14:textId="77777777" w:rsidR="002936F0" w:rsidRPr="002936F0" w:rsidRDefault="002936F0" w:rsidP="001276B6">
            <w:pPr>
              <w:pStyle w:val="NormalWeb"/>
              <w:jc w:val="center"/>
              <w:rPr>
                <w:sz w:val="18"/>
                <w:szCs w:val="18"/>
              </w:rPr>
            </w:pPr>
            <w:r w:rsidRPr="002936F0">
              <w:rPr>
                <w:sz w:val="18"/>
                <w:szCs w:val="18"/>
              </w:rPr>
              <w:t>≥ 9 years</w:t>
            </w:r>
          </w:p>
        </w:tc>
      </w:tr>
      <w:tr w:rsidR="002936F0" w:rsidRPr="002936F0" w14:paraId="258C47D0" w14:textId="77777777" w:rsidTr="002936F0">
        <w:tc>
          <w:tcPr>
            <w:tcW w:w="2691" w:type="dxa"/>
            <w:hideMark/>
          </w:tcPr>
          <w:p w14:paraId="41ABC660" w14:textId="77777777" w:rsidR="002936F0" w:rsidRPr="002936F0" w:rsidRDefault="002936F0" w:rsidP="001276B6">
            <w:pPr>
              <w:pStyle w:val="NormalWeb"/>
              <w:rPr>
                <w:sz w:val="18"/>
                <w:szCs w:val="18"/>
              </w:rPr>
            </w:pPr>
            <w:proofErr w:type="spellStart"/>
            <w:r w:rsidRPr="002936F0">
              <w:rPr>
                <w:sz w:val="18"/>
                <w:szCs w:val="18"/>
              </w:rPr>
              <w:t>MenQuadfi</w:t>
            </w:r>
            <w:proofErr w:type="spellEnd"/>
          </w:p>
        </w:tc>
        <w:tc>
          <w:tcPr>
            <w:tcW w:w="4110" w:type="dxa"/>
            <w:hideMark/>
          </w:tcPr>
          <w:p w14:paraId="75E62458" w14:textId="77777777" w:rsidR="002936F0" w:rsidRPr="002936F0" w:rsidRDefault="002936F0" w:rsidP="001276B6">
            <w:pPr>
              <w:pStyle w:val="NormalWeb"/>
              <w:jc w:val="center"/>
              <w:rPr>
                <w:sz w:val="18"/>
                <w:szCs w:val="18"/>
              </w:rPr>
            </w:pPr>
            <w:r w:rsidRPr="002936F0">
              <w:rPr>
                <w:sz w:val="18"/>
                <w:szCs w:val="18"/>
              </w:rPr>
              <w:t>Meningococcal ACWY tetanus toxoid conjugate vaccine</w:t>
            </w:r>
          </w:p>
        </w:tc>
        <w:tc>
          <w:tcPr>
            <w:tcW w:w="1520" w:type="dxa"/>
            <w:hideMark/>
          </w:tcPr>
          <w:p w14:paraId="190D2B26" w14:textId="77777777" w:rsidR="002936F0" w:rsidRPr="002936F0" w:rsidRDefault="002936F0" w:rsidP="001276B6">
            <w:pPr>
              <w:pStyle w:val="NormalWeb"/>
              <w:jc w:val="center"/>
              <w:rPr>
                <w:sz w:val="18"/>
                <w:szCs w:val="18"/>
              </w:rPr>
            </w:pPr>
            <w:r w:rsidRPr="002936F0">
              <w:rPr>
                <w:sz w:val="18"/>
                <w:szCs w:val="18"/>
              </w:rPr>
              <w:t>Meningococcal disease</w:t>
            </w:r>
          </w:p>
        </w:tc>
        <w:tc>
          <w:tcPr>
            <w:tcW w:w="0" w:type="auto"/>
            <w:hideMark/>
          </w:tcPr>
          <w:p w14:paraId="293D08ED" w14:textId="77777777" w:rsidR="002936F0" w:rsidRPr="002936F0" w:rsidRDefault="002936F0" w:rsidP="001276B6">
            <w:pPr>
              <w:pStyle w:val="NormalWeb"/>
              <w:jc w:val="center"/>
              <w:rPr>
                <w:sz w:val="18"/>
                <w:szCs w:val="18"/>
              </w:rPr>
            </w:pPr>
            <w:r w:rsidRPr="002936F0">
              <w:rPr>
                <w:sz w:val="18"/>
                <w:szCs w:val="18"/>
              </w:rPr>
              <w:t>≥ 12 months</w:t>
            </w:r>
          </w:p>
        </w:tc>
      </w:tr>
    </w:tbl>
    <w:p w14:paraId="3D140561" w14:textId="77777777" w:rsidR="002936F0" w:rsidRDefault="002936F0" w:rsidP="00B43A77"/>
    <w:p w14:paraId="7E5156A7" w14:textId="7BF6908A" w:rsidR="00B43A77" w:rsidRDefault="00B43A77" w:rsidP="00B43A77">
      <w:r>
        <w:t>ATAGI monitors new vaccines for their potential to be included on the NIP. Vaccines recommended for the NIP need to show benefits for the Australian population or for high-risk groups. They also need to be cost-effective.</w:t>
      </w:r>
    </w:p>
    <w:p w14:paraId="117637B0" w14:textId="77777777" w:rsidR="00B43A77" w:rsidRPr="00B43A77" w:rsidRDefault="00B43A77" w:rsidP="00B43A77">
      <w:pPr>
        <w:pStyle w:val="Heading2"/>
      </w:pPr>
      <w:r w:rsidRPr="00B43A77">
        <w:t>Vaccine safety</w:t>
      </w:r>
    </w:p>
    <w:p w14:paraId="7F430784" w14:textId="5EBC2593" w:rsidR="00B43A77" w:rsidRDefault="00B43A77" w:rsidP="00B43A77">
      <w:r>
        <w:t>The TGA has overall responsibility for vaccine safety surveillance in Australia. Vaccine safety surveillance is conducted both passively and actively. Passive surveillance allows those vaccinated (and/or their carers) to report any vaccine side effects they have experienced.</w:t>
      </w:r>
      <w:r w:rsidR="0049022B">
        <w:rPr>
          <w:rStyle w:val="FootnoteReference"/>
        </w:rPr>
        <w:footnoteReference w:id="9"/>
      </w:r>
      <w:r>
        <w:t xml:space="preserve"> Reports can be made directly to the TGA or through a healthcare provider. Active surveillance involves effecting direct contact with those vaccinated (and/or their carers) to ask whether they have experienced any vaccine side effects. The current active vaccine safety surveillance is known as the </w:t>
      </w:r>
      <w:proofErr w:type="spellStart"/>
      <w:r>
        <w:t>AusVaxSafety</w:t>
      </w:r>
      <w:proofErr w:type="spellEnd"/>
      <w:r>
        <w:t xml:space="preserve"> system. </w:t>
      </w:r>
      <w:r>
        <w:rPr>
          <w:vertAlign w:val="superscript"/>
        </w:rPr>
        <w:t>19</w:t>
      </w:r>
      <w:r>
        <w:t xml:space="preserve"> </w:t>
      </w:r>
    </w:p>
    <w:p w14:paraId="49845614" w14:textId="77777777" w:rsidR="00B43A77" w:rsidRDefault="00B43A77" w:rsidP="00B43A77">
      <w:r>
        <w:t>ATAGI continues to work closely with the TGA to advise on and promote the safe use of all vaccines, including COVID-19 vaccines.</w:t>
      </w:r>
    </w:p>
    <w:p w14:paraId="74E7124E" w14:textId="77777777" w:rsidR="00B43A77" w:rsidRPr="00B43A77" w:rsidRDefault="00B43A77" w:rsidP="00B43A77">
      <w:pPr>
        <w:pStyle w:val="Heading3"/>
      </w:pPr>
      <w:r w:rsidRPr="00B43A77">
        <w:t>Safe use of Zostavax</w:t>
      </w:r>
    </w:p>
    <w:p w14:paraId="5FB640C1" w14:textId="77777777" w:rsidR="00B43A77" w:rsidRDefault="00B43A77" w:rsidP="00B43A77">
      <w:r>
        <w:t>Zostavax is a vaccine that protects older Australians from shingles (herpes zoster) and its complications.</w:t>
      </w:r>
    </w:p>
    <w:p w14:paraId="6DDF2738" w14:textId="77777777" w:rsidR="00B43A77" w:rsidRDefault="00B43A77" w:rsidP="00B43A77">
      <w:r>
        <w:t xml:space="preserve">In July 2020, the TGA published a safety advisory about Zostavax because of a serious adverse event. </w:t>
      </w:r>
      <w:r>
        <w:rPr>
          <w:vertAlign w:val="superscript"/>
        </w:rPr>
        <w:t>20</w:t>
      </w:r>
      <w:r>
        <w:t xml:space="preserve"> Another TGA safety advisory </w:t>
      </w:r>
      <w:r>
        <w:rPr>
          <w:vertAlign w:val="superscript"/>
        </w:rPr>
        <w:t>21</w:t>
      </w:r>
      <w:r>
        <w:t xml:space="preserve"> and a safety alert from the Chief Medical Officer </w:t>
      </w:r>
      <w:r>
        <w:rPr>
          <w:vertAlign w:val="superscript"/>
        </w:rPr>
        <w:t>22</w:t>
      </w:r>
      <w:r>
        <w:t xml:space="preserve"> were published in December 2020 after another serious adverse event.</w:t>
      </w:r>
    </w:p>
    <w:p w14:paraId="24F079E5" w14:textId="620D190A" w:rsidR="00B43A77" w:rsidRDefault="00B43A77" w:rsidP="00B43A77">
      <w:r>
        <w:t>As a result of these adverse events, ATAGI updated the zoster chapter in the Handbook</w:t>
      </w:r>
      <w:r w:rsidR="005D258D">
        <w:t>,</w:t>
      </w:r>
      <w:r w:rsidR="0049022B">
        <w:rPr>
          <w:rStyle w:val="FootnoteReference"/>
        </w:rPr>
        <w:footnoteReference w:id="10"/>
      </w:r>
      <w:r>
        <w:t xml:space="preserve"> and added the zoster screening tool to the Handbook website, </w:t>
      </w:r>
      <w:r>
        <w:rPr>
          <w:vertAlign w:val="superscript"/>
        </w:rPr>
        <w:t>15</w:t>
      </w:r>
      <w:r>
        <w:t xml:space="preserve"> to support providers to use Zostavax safely. Providers should advise people to see a doctor as soon as possible if they develop a chickenpox-like rash after receiving Zostavax.</w:t>
      </w:r>
    </w:p>
    <w:p w14:paraId="3881050F" w14:textId="77777777" w:rsidR="00B43A77" w:rsidRPr="00B43A77" w:rsidRDefault="00B43A77" w:rsidP="00B43A77">
      <w:pPr>
        <w:pStyle w:val="Heading3"/>
      </w:pPr>
      <w:r w:rsidRPr="00B43A77">
        <w:t>Influenza vaccines</w:t>
      </w:r>
    </w:p>
    <w:p w14:paraId="48ABD323" w14:textId="77777777" w:rsidR="00B43A77" w:rsidRDefault="00B43A77" w:rsidP="00B43A77">
      <w:proofErr w:type="spellStart"/>
      <w:r>
        <w:t>AusVaxSafety</w:t>
      </w:r>
      <w:proofErr w:type="spellEnd"/>
      <w:r>
        <w:t xml:space="preserve"> data show that 2020 seasonal influenza vaccines were very safe. </w:t>
      </w:r>
      <w:r>
        <w:rPr>
          <w:vertAlign w:val="superscript"/>
        </w:rPr>
        <w:t>19</w:t>
      </w:r>
      <w:r>
        <w:t xml:space="preserve"> The safety survey in 2020 had 289,513 participants, with 94.5% reporting no adverse events.</w:t>
      </w:r>
    </w:p>
    <w:p w14:paraId="02CFB285" w14:textId="7AC0B8A2" w:rsidR="00B43A77" w:rsidRPr="00B43A77" w:rsidRDefault="00B43A77" w:rsidP="00B43A77">
      <w:pPr>
        <w:pStyle w:val="Heading1"/>
      </w:pPr>
      <w:r w:rsidRPr="00B43A77">
        <w:t>Challenges and priorities for immunisation in Australia in 2021 and</w:t>
      </w:r>
      <w:r w:rsidR="002A6B46">
        <w:t> </w:t>
      </w:r>
      <w:r w:rsidRPr="00B43A77">
        <w:t>beyond</w:t>
      </w:r>
    </w:p>
    <w:p w14:paraId="750052C2" w14:textId="77777777" w:rsidR="00B43A77" w:rsidRDefault="00B43A77" w:rsidP="00B43A77">
      <w:r>
        <w:t xml:space="preserve">This document highlights the key successes, </w:t>
      </w:r>
      <w:proofErr w:type="gramStart"/>
      <w:r>
        <w:t>trends</w:t>
      </w:r>
      <w:proofErr w:type="gramEnd"/>
      <w:r>
        <w:t xml:space="preserve"> and challenges in the use of vaccines and control of VPDs in Australia in 2020. Many immunisation issues were shaped by the COVID-19 pandemic, including how COVID-19 control measures contributed to lower rates of many VPDs in Australia. Reassuringly, immunisation coverage was high even during COVID-19 restrictions and a record high number of Australians had a seasonal influenza vaccine. </w:t>
      </w:r>
    </w:p>
    <w:p w14:paraId="2873D065" w14:textId="77777777" w:rsidR="00B43A77" w:rsidRDefault="00B43A77" w:rsidP="00B43A77">
      <w:r>
        <w:t>A key success of 2020 was the expansion of Australia’s NIP to include more vaccines and doses for people at higher risk of disease.</w:t>
      </w:r>
    </w:p>
    <w:p w14:paraId="7E0E7D17" w14:textId="6FE4DE12" w:rsidR="00B43A77" w:rsidRDefault="00B43A77" w:rsidP="00B43A77">
      <w:r>
        <w:t>This document also signals key challenges for prevention and control of VPDs through immunisation for 2021 and beyond (Table 2</w:t>
      </w:r>
      <w:r w:rsidR="002A6B46">
        <w:t>).</w:t>
      </w:r>
      <w:r>
        <w:t xml:space="preserve"> These challenges include those relating to COVID-19 and to the implementation of a national COVID-19 immunisation program, as well as maintaining a strong NIP in Australia for prevention of other VPDs in the face of changing epidemiology.</w:t>
      </w:r>
    </w:p>
    <w:p w14:paraId="0CE1E9B9" w14:textId="50604C1E" w:rsidR="00B43A77" w:rsidRDefault="00B43A77" w:rsidP="00B43A77">
      <w:r>
        <w:t>ATAGI’s priority actions for 2021 and beyond (Table 3) include providing evidence-based advice to the Minister for Health and other key policymakers on strategies to implement a safe and effective national COVID-19 immunisation program, as well as advising on how to maintain on-time vaccinations according to the NIP schedule for all Australians in a COVID-safe way and on equitable access to NIP-funded vaccines for population groups with increased risks of some VPDs. Additional priority actions of ATAGI include advising on the safe use of all vaccines, and the need to evaluate existing immunisation programs.</w:t>
      </w:r>
    </w:p>
    <w:p w14:paraId="6E34A630" w14:textId="3D96371C" w:rsidR="001C0E33" w:rsidRPr="003F65C7" w:rsidRDefault="001C0E33" w:rsidP="001C0E33">
      <w:pPr>
        <w:pStyle w:val="CDIFigures"/>
      </w:pPr>
      <w:r w:rsidRPr="003F65C7">
        <w:rPr>
          <w:rStyle w:val="Strong"/>
          <w:b/>
          <w:bCs w:val="0"/>
        </w:rPr>
        <w:t>Table 2: Key challenges for prevention and control of vaccine-preventable diseases through immunisation</w:t>
      </w:r>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left w:w="142" w:type="dxa"/>
          <w:bottom w:w="142" w:type="dxa"/>
          <w:right w:w="142" w:type="dxa"/>
        </w:tblCellMar>
        <w:tblLook w:val="04A0" w:firstRow="1" w:lastRow="0" w:firstColumn="1" w:lastColumn="0" w:noHBand="0" w:noVBand="1"/>
        <w:tblDescription w:val="A table of the key challenges presented by vaccine-preventable diseases, in the contexts of COVID-19 immunisation as well as immunisation programs targeting other VPDs."/>
      </w:tblPr>
      <w:tblGrid>
        <w:gridCol w:w="10460"/>
      </w:tblGrid>
      <w:tr w:rsidR="001C0E33" w:rsidRPr="00C27911" w14:paraId="2E8360E6" w14:textId="77777777" w:rsidTr="001C0E33">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4D87167" w14:textId="77777777" w:rsidR="001C0E33" w:rsidRPr="00C27911" w:rsidRDefault="001C0E33" w:rsidP="001276B6">
            <w:pPr>
              <w:pStyle w:val="NormalWeb"/>
              <w:rPr>
                <w:color w:val="FFFFFF" w:themeColor="background1"/>
              </w:rPr>
            </w:pPr>
            <w:r w:rsidRPr="00C27911">
              <w:rPr>
                <w:color w:val="FFFFFF" w:themeColor="background1"/>
              </w:rPr>
              <w:t>For COVID-19</w:t>
            </w:r>
          </w:p>
        </w:tc>
      </w:tr>
      <w:tr w:rsidR="001C0E33" w14:paraId="063A2C50" w14:textId="77777777" w:rsidTr="001C0E33">
        <w:tc>
          <w:tcPr>
            <w:tcW w:w="0" w:type="auto"/>
            <w:hideMark/>
          </w:tcPr>
          <w:p w14:paraId="0129215D" w14:textId="77777777" w:rsidR="001C0E33" w:rsidRDefault="001C0E33" w:rsidP="001276B6">
            <w:pPr>
              <w:pStyle w:val="NormalWeb"/>
            </w:pPr>
            <w:r>
              <w:t>Implementing a national COVID-19 immunisation program. Specific challenges will include:</w:t>
            </w:r>
          </w:p>
          <w:p w14:paraId="21F19D0B" w14:textId="77777777" w:rsidR="001C0E33" w:rsidRDefault="001C0E33" w:rsidP="001C0E33">
            <w:pPr>
              <w:numPr>
                <w:ilvl w:val="0"/>
                <w:numId w:val="21"/>
              </w:numPr>
              <w:spacing w:before="100" w:beforeAutospacing="1" w:after="100" w:afterAutospacing="1"/>
              <w:rPr>
                <w:rFonts w:eastAsia="Times New Roman"/>
              </w:rPr>
            </w:pPr>
            <w:r>
              <w:rPr>
                <w:rFonts w:eastAsia="Times New Roman"/>
              </w:rPr>
              <w:t xml:space="preserve">immunising a large part of the Australian </w:t>
            </w:r>
            <w:proofErr w:type="gramStart"/>
            <w:r>
              <w:rPr>
                <w:rFonts w:eastAsia="Times New Roman"/>
              </w:rPr>
              <w:t>population;</w:t>
            </w:r>
            <w:proofErr w:type="gramEnd"/>
          </w:p>
          <w:p w14:paraId="4D226193" w14:textId="77777777" w:rsidR="001C0E33" w:rsidRDefault="001C0E33" w:rsidP="001C0E33">
            <w:pPr>
              <w:numPr>
                <w:ilvl w:val="0"/>
                <w:numId w:val="21"/>
              </w:numPr>
              <w:spacing w:before="100" w:beforeAutospacing="1" w:after="100" w:afterAutospacing="1"/>
              <w:rPr>
                <w:rFonts w:eastAsia="Times New Roman"/>
              </w:rPr>
            </w:pPr>
            <w:r>
              <w:rPr>
                <w:rFonts w:eastAsia="Times New Roman"/>
              </w:rPr>
              <w:t xml:space="preserve">ensuring that only safe and effective vaccines are </w:t>
            </w:r>
            <w:proofErr w:type="gramStart"/>
            <w:r>
              <w:rPr>
                <w:rFonts w:eastAsia="Times New Roman"/>
              </w:rPr>
              <w:t>used;</w:t>
            </w:r>
            <w:proofErr w:type="gramEnd"/>
          </w:p>
          <w:p w14:paraId="3B061AAF" w14:textId="77777777" w:rsidR="001C0E33" w:rsidRDefault="001C0E33" w:rsidP="001C0E33">
            <w:pPr>
              <w:numPr>
                <w:ilvl w:val="0"/>
                <w:numId w:val="21"/>
              </w:numPr>
              <w:spacing w:before="100" w:beforeAutospacing="1" w:after="100" w:afterAutospacing="1"/>
              <w:rPr>
                <w:rFonts w:eastAsia="Times New Roman"/>
              </w:rPr>
            </w:pPr>
            <w:r>
              <w:rPr>
                <w:rFonts w:eastAsia="Times New Roman"/>
              </w:rPr>
              <w:t xml:space="preserve">using multiple vaccines in the </w:t>
            </w:r>
            <w:proofErr w:type="gramStart"/>
            <w:r>
              <w:rPr>
                <w:rFonts w:eastAsia="Times New Roman"/>
              </w:rPr>
              <w:t>program;</w:t>
            </w:r>
            <w:proofErr w:type="gramEnd"/>
          </w:p>
          <w:p w14:paraId="743A784C" w14:textId="77777777" w:rsidR="001C0E33" w:rsidRDefault="001C0E33" w:rsidP="001C0E33">
            <w:pPr>
              <w:numPr>
                <w:ilvl w:val="0"/>
                <w:numId w:val="21"/>
              </w:numPr>
              <w:spacing w:before="100" w:beforeAutospacing="1" w:after="100" w:afterAutospacing="1"/>
              <w:rPr>
                <w:rFonts w:eastAsia="Times New Roman"/>
              </w:rPr>
            </w:pPr>
            <w:r>
              <w:rPr>
                <w:rFonts w:eastAsia="Times New Roman"/>
              </w:rPr>
              <w:t>involving a range of immunisation providers in different settings; and</w:t>
            </w:r>
          </w:p>
          <w:p w14:paraId="0225FBD1" w14:textId="77777777" w:rsidR="001C0E33" w:rsidRDefault="001C0E33" w:rsidP="001C0E33">
            <w:pPr>
              <w:numPr>
                <w:ilvl w:val="0"/>
                <w:numId w:val="21"/>
              </w:numPr>
              <w:spacing w:before="100" w:beforeAutospacing="1" w:after="100" w:afterAutospacing="1"/>
              <w:rPr>
                <w:rFonts w:eastAsia="Times New Roman"/>
              </w:rPr>
            </w:pPr>
            <w:r>
              <w:rPr>
                <w:rFonts w:eastAsia="Times New Roman"/>
              </w:rPr>
              <w:t>delivering the program in a short timeframe.</w:t>
            </w:r>
          </w:p>
        </w:tc>
      </w:tr>
      <w:tr w:rsidR="001C0E33" w14:paraId="485C278C"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00C2B310" w14:textId="77777777" w:rsidR="001C0E33" w:rsidRDefault="001C0E33" w:rsidP="001276B6">
            <w:pPr>
              <w:pStyle w:val="NormalWeb"/>
            </w:pPr>
            <w:r>
              <w:t>Ensuring confidence in the COVID-19 immunisation program through effective communication strategies.</w:t>
            </w:r>
          </w:p>
        </w:tc>
      </w:tr>
      <w:tr w:rsidR="001C0E33" w14:paraId="6E1BE69B" w14:textId="77777777" w:rsidTr="001C0E33">
        <w:tc>
          <w:tcPr>
            <w:tcW w:w="0" w:type="auto"/>
            <w:hideMark/>
          </w:tcPr>
          <w:p w14:paraId="12660008" w14:textId="77777777" w:rsidR="001C0E33" w:rsidRDefault="001C0E33" w:rsidP="001276B6">
            <w:pPr>
              <w:pStyle w:val="NormalWeb"/>
            </w:pPr>
            <w:r>
              <w:t>Monitoring the safety and effectiveness of each vaccine used in the Australian COVID-19 immunisation program, including among specific subpopulations, using a robust and functional system. This is an ongoing process undertaken in conjunction with the TGA.</w:t>
            </w:r>
          </w:p>
        </w:tc>
      </w:tr>
      <w:tr w:rsidR="001C0E33" w14:paraId="7AC40790"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3F6AAEE3" w14:textId="77777777" w:rsidR="001C0E33" w:rsidRDefault="001C0E33" w:rsidP="001276B6">
            <w:pPr>
              <w:pStyle w:val="NormalWeb"/>
            </w:pPr>
            <w:r>
              <w:t>Ensuring preparedness to respond to any safety signals or issues that arise from use of COVID-19 vaccines.</w:t>
            </w:r>
          </w:p>
        </w:tc>
      </w:tr>
      <w:tr w:rsidR="001C0E33" w14:paraId="6E35C2B3" w14:textId="77777777" w:rsidTr="001C0E33">
        <w:tc>
          <w:tcPr>
            <w:tcW w:w="0" w:type="auto"/>
            <w:hideMark/>
          </w:tcPr>
          <w:p w14:paraId="4D631BFE" w14:textId="77777777" w:rsidR="001C0E33" w:rsidRDefault="001C0E33" w:rsidP="001276B6">
            <w:pPr>
              <w:pStyle w:val="NormalWeb"/>
            </w:pPr>
            <w:r>
              <w:t>Evaluating the COVID-19 immunisation program.</w:t>
            </w:r>
          </w:p>
        </w:tc>
      </w:tr>
      <w:tr w:rsidR="00E577C1" w:rsidRPr="00E577C1" w14:paraId="58853FCC" w14:textId="77777777" w:rsidTr="00E577C1">
        <w:trPr>
          <w:cnfStyle w:val="000000010000" w:firstRow="0" w:lastRow="0" w:firstColumn="0" w:lastColumn="0" w:oddVBand="0" w:evenVBand="0" w:oddHBand="0" w:evenHBand="1" w:firstRowFirstColumn="0" w:firstRowLastColumn="0" w:lastRowFirstColumn="0" w:lastRowLastColumn="0"/>
        </w:trPr>
        <w:tc>
          <w:tcPr>
            <w:tcW w:w="0" w:type="auto"/>
            <w:shd w:val="clear" w:color="auto" w:fill="404040" w:themeFill="text1" w:themeFillTint="BF"/>
            <w:hideMark/>
          </w:tcPr>
          <w:p w14:paraId="1F7B4EA8" w14:textId="77777777" w:rsidR="001C0E33" w:rsidRPr="00E577C1" w:rsidRDefault="001C0E33" w:rsidP="001276B6">
            <w:pPr>
              <w:pStyle w:val="NormalWeb"/>
              <w:rPr>
                <w:b/>
                <w:bCs/>
                <w:color w:val="F2F2F2" w:themeColor="background1" w:themeShade="F2"/>
              </w:rPr>
            </w:pPr>
            <w:r w:rsidRPr="00E577C1">
              <w:rPr>
                <w:b/>
                <w:bCs/>
                <w:color w:val="F2F2F2" w:themeColor="background1" w:themeShade="F2"/>
              </w:rPr>
              <w:t>For other vaccine-preventable diseases</w:t>
            </w:r>
          </w:p>
        </w:tc>
      </w:tr>
      <w:tr w:rsidR="001C0E33" w14:paraId="4EC39D63" w14:textId="77777777" w:rsidTr="001C0E33">
        <w:tc>
          <w:tcPr>
            <w:tcW w:w="0" w:type="auto"/>
            <w:hideMark/>
          </w:tcPr>
          <w:p w14:paraId="0AED5ADE" w14:textId="77777777" w:rsidR="001C0E33" w:rsidRDefault="001C0E33" w:rsidP="001276B6">
            <w:pPr>
              <w:pStyle w:val="NormalWeb"/>
            </w:pPr>
            <w:r>
              <w:t>Maintaining a strong NIP in Australia in the face of changing epidemiology of VPDs. COVID-19 control measures may also disrupt immunisation programs.</w:t>
            </w:r>
          </w:p>
        </w:tc>
      </w:tr>
      <w:tr w:rsidR="001C0E33" w14:paraId="752C6E95"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4179B548" w14:textId="77777777" w:rsidR="001C0E33" w:rsidRDefault="001C0E33" w:rsidP="001276B6">
            <w:pPr>
              <w:pStyle w:val="NormalWeb"/>
            </w:pPr>
            <w:r>
              <w:t>Monitoring the changing epidemiology of measles, polio, diphtheria and other VPDs in the Western Pacific region due to disrupted immunisation programs.</w:t>
            </w:r>
          </w:p>
        </w:tc>
      </w:tr>
      <w:tr w:rsidR="001C0E33" w14:paraId="14B60E3F" w14:textId="77777777" w:rsidTr="001C0E33">
        <w:tc>
          <w:tcPr>
            <w:tcW w:w="0" w:type="auto"/>
            <w:hideMark/>
          </w:tcPr>
          <w:p w14:paraId="449B4BC1" w14:textId="77777777" w:rsidR="001C0E33" w:rsidRDefault="001C0E33" w:rsidP="001276B6">
            <w:pPr>
              <w:pStyle w:val="NormalWeb"/>
            </w:pPr>
            <w:r>
              <w:t>Preventing a surge in VPDs in Australia and our region when international travel restrictions are lifted.</w:t>
            </w:r>
          </w:p>
        </w:tc>
      </w:tr>
      <w:tr w:rsidR="001C0E33" w14:paraId="5A8DDEE5"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274D4647" w14:textId="77777777" w:rsidR="001C0E33" w:rsidRDefault="001C0E33" w:rsidP="001276B6">
            <w:pPr>
              <w:pStyle w:val="NormalWeb"/>
            </w:pPr>
            <w:r>
              <w:t xml:space="preserve">Increasing uptake of vaccines for population groups with a higher risk of some </w:t>
            </w:r>
            <w:proofErr w:type="gramStart"/>
            <w:r>
              <w:t>VPDs, and</w:t>
            </w:r>
            <w:proofErr w:type="gramEnd"/>
            <w:r>
              <w:t xml:space="preserve"> ensuring a reliable data system that captures this.</w:t>
            </w:r>
          </w:p>
        </w:tc>
      </w:tr>
      <w:tr w:rsidR="001C0E33" w14:paraId="7354D7A7" w14:textId="77777777" w:rsidTr="001C0E33">
        <w:tc>
          <w:tcPr>
            <w:tcW w:w="0" w:type="auto"/>
            <w:hideMark/>
          </w:tcPr>
          <w:p w14:paraId="0FACCD83" w14:textId="77777777" w:rsidR="001C0E33" w:rsidRDefault="001C0E33" w:rsidP="001276B6">
            <w:pPr>
              <w:pStyle w:val="NormalWeb"/>
            </w:pPr>
            <w:r>
              <w:t>Maintaining community confidence in Australia’s NIP through effective communication strategies.</w:t>
            </w:r>
          </w:p>
        </w:tc>
      </w:tr>
    </w:tbl>
    <w:p w14:paraId="14FB0B05" w14:textId="77777777" w:rsidR="001C0E33" w:rsidRDefault="001C0E33">
      <w:pPr>
        <w:rPr>
          <w:rFonts w:asciiTheme="majorHAnsi" w:eastAsiaTheme="majorEastAsia" w:hAnsiTheme="majorHAnsi" w:cstheme="majorBidi"/>
          <w:b/>
          <w:bCs/>
          <w:sz w:val="32"/>
          <w:szCs w:val="28"/>
        </w:rPr>
      </w:pPr>
      <w:r>
        <w:br w:type="page"/>
      </w:r>
    </w:p>
    <w:p w14:paraId="0B323063" w14:textId="77777777" w:rsidR="001C0E33" w:rsidRPr="003F65C7" w:rsidRDefault="001C0E33" w:rsidP="001C0E33">
      <w:pPr>
        <w:pStyle w:val="CDIFigures"/>
      </w:pPr>
      <w:r w:rsidRPr="003F65C7">
        <w:rPr>
          <w:rStyle w:val="Strong"/>
          <w:b/>
          <w:bCs w:val="0"/>
        </w:rPr>
        <w:t xml:space="preserve">Table 3: ATAGI’s priority actions for 2021 </w:t>
      </w:r>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left w:w="142" w:type="dxa"/>
          <w:bottom w:w="142" w:type="dxa"/>
          <w:right w:w="142" w:type="dxa"/>
        </w:tblCellMar>
        <w:tblLook w:val="04A0" w:firstRow="1" w:lastRow="0" w:firstColumn="1" w:lastColumn="0" w:noHBand="0" w:noVBand="1"/>
        <w:tblDescription w:val="A table summarising ATAGI's priority actions for 2021, in the categories of the COVID-19 immunisation program; routine vaccination in Australia and the region; vaccine safety; monitoring and evaluation; and evidence-based advice."/>
      </w:tblPr>
      <w:tblGrid>
        <w:gridCol w:w="10460"/>
      </w:tblGrid>
      <w:tr w:rsidR="0068759E" w:rsidRPr="00C27911" w14:paraId="60735E7E" w14:textId="77777777" w:rsidTr="0068759E">
        <w:trPr>
          <w:cnfStyle w:val="100000000000" w:firstRow="1" w:lastRow="0" w:firstColumn="0" w:lastColumn="0" w:oddVBand="0" w:evenVBand="0" w:oddHBand="0" w:evenHBand="0" w:firstRowFirstColumn="0" w:firstRowLastColumn="0" w:lastRowFirstColumn="0" w:lastRowLastColumn="0"/>
          <w:tblHeader/>
        </w:trPr>
        <w:tc>
          <w:tcPr>
            <w:tcW w:w="0" w:type="auto"/>
          </w:tcPr>
          <w:p w14:paraId="160BDEE9" w14:textId="0B781832" w:rsidR="0068759E" w:rsidRPr="00C27911" w:rsidRDefault="0068759E" w:rsidP="001276B6">
            <w:pPr>
              <w:pStyle w:val="NormalWeb"/>
              <w:rPr>
                <w:color w:val="FFFFFF" w:themeColor="background1"/>
              </w:rPr>
            </w:pPr>
            <w:r>
              <w:rPr>
                <w:color w:val="FFFFFF" w:themeColor="background1"/>
              </w:rPr>
              <w:t>ATAGI priority actions</w:t>
            </w:r>
          </w:p>
        </w:tc>
      </w:tr>
      <w:tr w:rsidR="001C0E33" w:rsidRPr="0070545A" w14:paraId="302A0E4C" w14:textId="77777777" w:rsidTr="0068759E">
        <w:tc>
          <w:tcPr>
            <w:tcW w:w="0" w:type="auto"/>
            <w:shd w:val="clear" w:color="auto" w:fill="7F7F7F" w:themeFill="text1" w:themeFillTint="80"/>
            <w:hideMark/>
          </w:tcPr>
          <w:p w14:paraId="1F76EB35" w14:textId="77777777" w:rsidR="001C0E33" w:rsidRPr="0070545A" w:rsidRDefault="001C0E33" w:rsidP="001276B6">
            <w:pPr>
              <w:pStyle w:val="NormalWeb"/>
              <w:rPr>
                <w:b/>
                <w:bCs/>
                <w:color w:val="FFFFFF" w:themeColor="background1"/>
              </w:rPr>
            </w:pPr>
            <w:r w:rsidRPr="0070545A">
              <w:rPr>
                <w:b/>
                <w:bCs/>
                <w:color w:val="FFFFFF" w:themeColor="background1"/>
              </w:rPr>
              <w:t>COVID-19 immunisation program</w:t>
            </w:r>
          </w:p>
        </w:tc>
      </w:tr>
      <w:tr w:rsidR="001C0E33" w14:paraId="57DFDC48"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58733C5F" w14:textId="77777777" w:rsidR="001C0E33" w:rsidRDefault="001C0E33" w:rsidP="001276B6">
            <w:pPr>
              <w:pStyle w:val="NormalWeb"/>
            </w:pPr>
            <w:r>
              <w:t>Providing technical advice to ensure delivery of a safe and effective national COVID-19 immunisation program, with public confidence and equitable access for priority populations. This is a key action to improve control of COVID-19 in 2021 and beyond.</w:t>
            </w:r>
          </w:p>
        </w:tc>
      </w:tr>
      <w:tr w:rsidR="001C0E33" w14:paraId="5D983665" w14:textId="77777777" w:rsidTr="001C0E33">
        <w:tc>
          <w:tcPr>
            <w:tcW w:w="0" w:type="auto"/>
            <w:hideMark/>
          </w:tcPr>
          <w:p w14:paraId="421292D8" w14:textId="77777777" w:rsidR="001C0E33" w:rsidRDefault="001C0E33" w:rsidP="001276B6">
            <w:pPr>
              <w:pStyle w:val="NormalWeb"/>
            </w:pPr>
            <w:r>
              <w:t>Advising on the ongoing evaluation of the COVID-19 immunisation program, and any issues with data and information sources on disease, vaccination uptake and vaccine safety. This will enable program monitoring and evaluation.</w:t>
            </w:r>
          </w:p>
        </w:tc>
      </w:tr>
      <w:tr w:rsidR="00E577C1" w:rsidRPr="00E577C1" w14:paraId="418A2B49" w14:textId="77777777" w:rsidTr="0068759E">
        <w:trPr>
          <w:cnfStyle w:val="000000010000" w:firstRow="0" w:lastRow="0" w:firstColumn="0" w:lastColumn="0" w:oddVBand="0" w:evenVBand="0" w:oddHBand="0" w:evenHBand="1" w:firstRowFirstColumn="0" w:firstRowLastColumn="0" w:lastRowFirstColumn="0" w:lastRowLastColumn="0"/>
        </w:trPr>
        <w:tc>
          <w:tcPr>
            <w:tcW w:w="0" w:type="auto"/>
            <w:shd w:val="clear" w:color="auto" w:fill="7F7F7F" w:themeFill="text1" w:themeFillTint="80"/>
            <w:hideMark/>
          </w:tcPr>
          <w:p w14:paraId="336B96EF" w14:textId="77777777" w:rsidR="001C0E33" w:rsidRPr="00E577C1" w:rsidRDefault="001C0E33" w:rsidP="001276B6">
            <w:pPr>
              <w:pStyle w:val="NormalWeb"/>
              <w:rPr>
                <w:b/>
                <w:bCs/>
                <w:color w:val="F2F2F2" w:themeColor="background1" w:themeShade="F2"/>
              </w:rPr>
            </w:pPr>
            <w:r w:rsidRPr="00E577C1">
              <w:rPr>
                <w:b/>
                <w:bCs/>
                <w:color w:val="F2F2F2" w:themeColor="background1" w:themeShade="F2"/>
              </w:rPr>
              <w:t>Routine vaccination in Australia and our region</w:t>
            </w:r>
          </w:p>
        </w:tc>
      </w:tr>
      <w:tr w:rsidR="001C0E33" w14:paraId="07CA7687" w14:textId="77777777" w:rsidTr="001C0E33">
        <w:tc>
          <w:tcPr>
            <w:tcW w:w="0" w:type="auto"/>
            <w:hideMark/>
          </w:tcPr>
          <w:p w14:paraId="6CAB6EE7" w14:textId="77777777" w:rsidR="001C0E33" w:rsidRDefault="001C0E33" w:rsidP="001276B6">
            <w:pPr>
              <w:pStyle w:val="NormalWeb"/>
            </w:pPr>
            <w:r>
              <w:t>Advising on how to maintain on-time vaccinations according to the NIP schedule for all Australians in a COVID-safe way. This is essential to protect individuals and the community from VPDs.</w:t>
            </w:r>
          </w:p>
        </w:tc>
      </w:tr>
      <w:tr w:rsidR="001C0E33" w14:paraId="7AB95966"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7D31CE04" w14:textId="77777777" w:rsidR="001C0E33" w:rsidRDefault="001C0E33" w:rsidP="001276B6">
            <w:pPr>
              <w:pStyle w:val="NormalWeb"/>
            </w:pPr>
            <w:r>
              <w:t>Advising on how to maintain a high proportion of the Australian population being vaccinated against influenza. This will reduce the risk of serious influenza-related disease, especially during the COVID-19 pandemic.</w:t>
            </w:r>
          </w:p>
        </w:tc>
      </w:tr>
      <w:tr w:rsidR="001C0E33" w14:paraId="3F892612" w14:textId="77777777" w:rsidTr="001C0E33">
        <w:tc>
          <w:tcPr>
            <w:tcW w:w="0" w:type="auto"/>
            <w:hideMark/>
          </w:tcPr>
          <w:p w14:paraId="33A79844" w14:textId="77777777" w:rsidR="001C0E33" w:rsidRDefault="001C0E33" w:rsidP="001276B6">
            <w:pPr>
              <w:pStyle w:val="NormalWeb"/>
            </w:pPr>
            <w:r>
              <w:t>Advising on how to prevent a potential surge in measles, diphtheria and polio in Australia as international travel restrictions are relaxed. COVID-19 has disrupted immunisation programs in many countries, and there is a risk of reintroducing these VPDs into Australia.</w:t>
            </w:r>
          </w:p>
        </w:tc>
      </w:tr>
      <w:tr w:rsidR="001C0E33" w14:paraId="09B53D22"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0B865151" w14:textId="77777777" w:rsidR="001C0E33" w:rsidRDefault="001C0E33" w:rsidP="001276B6">
            <w:pPr>
              <w:pStyle w:val="NormalWeb"/>
            </w:pPr>
            <w:r>
              <w:t>Advising on immunisation policies that enable equitable access to NIP-funded vaccines for population groups with increased risks of some VPDs, as well as reliable systems to capture uptake in these groups. Priorities for consideration are:</w:t>
            </w:r>
          </w:p>
          <w:p w14:paraId="3AEA3C8F" w14:textId="77777777" w:rsidR="001C0E33" w:rsidRDefault="001C0E33" w:rsidP="001C0E33">
            <w:pPr>
              <w:numPr>
                <w:ilvl w:val="0"/>
                <w:numId w:val="22"/>
              </w:numPr>
              <w:spacing w:before="100" w:beforeAutospacing="1" w:after="100" w:afterAutospacing="1"/>
              <w:rPr>
                <w:rFonts w:eastAsia="Times New Roman"/>
              </w:rPr>
            </w:pPr>
            <w:r>
              <w:rPr>
                <w:rFonts w:eastAsia="Times New Roman"/>
              </w:rPr>
              <w:t xml:space="preserve">hepatitis B vaccination for non-immune Aboriginal and Torres Strait Islander </w:t>
            </w:r>
            <w:proofErr w:type="gramStart"/>
            <w:r>
              <w:rPr>
                <w:rFonts w:eastAsia="Times New Roman"/>
              </w:rPr>
              <w:t>adults;</w:t>
            </w:r>
            <w:proofErr w:type="gramEnd"/>
          </w:p>
          <w:p w14:paraId="47221343" w14:textId="77777777" w:rsidR="001C0E33" w:rsidRDefault="001C0E33" w:rsidP="001C0E33">
            <w:pPr>
              <w:numPr>
                <w:ilvl w:val="0"/>
                <w:numId w:val="22"/>
              </w:numPr>
              <w:spacing w:before="100" w:beforeAutospacing="1" w:after="100" w:afterAutospacing="1"/>
              <w:rPr>
                <w:rFonts w:eastAsia="Times New Roman"/>
              </w:rPr>
            </w:pPr>
            <w:r>
              <w:rPr>
                <w:rFonts w:eastAsia="Times New Roman"/>
              </w:rPr>
              <w:t>pneumococcal vaccination for younger Aboriginal and Torres Strait Islander adults (age &lt; 50 years</w:t>
            </w:r>
            <w:proofErr w:type="gramStart"/>
            <w:r>
              <w:rPr>
                <w:rFonts w:eastAsia="Times New Roman"/>
              </w:rPr>
              <w:t>);</w:t>
            </w:r>
            <w:proofErr w:type="gramEnd"/>
          </w:p>
          <w:p w14:paraId="0149DEF7" w14:textId="77777777" w:rsidR="001C0E33" w:rsidRDefault="001C0E33" w:rsidP="001C0E33">
            <w:pPr>
              <w:numPr>
                <w:ilvl w:val="0"/>
                <w:numId w:val="22"/>
              </w:numPr>
              <w:spacing w:before="100" w:beforeAutospacing="1" w:after="100" w:afterAutospacing="1"/>
              <w:rPr>
                <w:rFonts w:eastAsia="Times New Roman"/>
              </w:rPr>
            </w:pPr>
            <w:r>
              <w:rPr>
                <w:rFonts w:eastAsia="Times New Roman"/>
              </w:rPr>
              <w:t>expansion of eligible medical risk conditions for receiving NIP-funded influenza vaccines; and</w:t>
            </w:r>
          </w:p>
          <w:p w14:paraId="09FB533F" w14:textId="77777777" w:rsidR="001C0E33" w:rsidRDefault="001C0E33" w:rsidP="001C0E33">
            <w:pPr>
              <w:numPr>
                <w:ilvl w:val="0"/>
                <w:numId w:val="22"/>
              </w:numPr>
              <w:spacing w:before="100" w:beforeAutospacing="1" w:after="100" w:afterAutospacing="1"/>
              <w:rPr>
                <w:rFonts w:eastAsia="Times New Roman"/>
              </w:rPr>
            </w:pPr>
            <w:r>
              <w:rPr>
                <w:rFonts w:eastAsia="Times New Roman"/>
              </w:rPr>
              <w:t>catch-up measles vaccination for non-immune people born since 1966.</w:t>
            </w:r>
          </w:p>
        </w:tc>
      </w:tr>
      <w:tr w:rsidR="001C0E33" w14:paraId="02AA06D2" w14:textId="77777777" w:rsidTr="001C0E33">
        <w:tc>
          <w:tcPr>
            <w:tcW w:w="0" w:type="auto"/>
            <w:hideMark/>
          </w:tcPr>
          <w:p w14:paraId="08F6E489" w14:textId="77777777" w:rsidR="001C0E33" w:rsidRDefault="001C0E33" w:rsidP="001276B6">
            <w:pPr>
              <w:pStyle w:val="NormalWeb"/>
            </w:pPr>
            <w:r>
              <w:t xml:space="preserve">Scoping new influenza and pneumococcal vaccines on the horizon for potential NIP consideration. The vaccines must show benefits to the Australian population or high-risk population </w:t>
            </w:r>
            <w:proofErr w:type="gramStart"/>
            <w:r>
              <w:t>groups, and</w:t>
            </w:r>
            <w:proofErr w:type="gramEnd"/>
            <w:r>
              <w:t xml:space="preserve"> be cost-effective.</w:t>
            </w:r>
          </w:p>
        </w:tc>
      </w:tr>
      <w:tr w:rsidR="00E577C1" w:rsidRPr="00E577C1" w14:paraId="1FAB7FA5" w14:textId="77777777" w:rsidTr="0068759E">
        <w:trPr>
          <w:cnfStyle w:val="000000010000" w:firstRow="0" w:lastRow="0" w:firstColumn="0" w:lastColumn="0" w:oddVBand="0" w:evenVBand="0" w:oddHBand="0" w:evenHBand="1" w:firstRowFirstColumn="0" w:firstRowLastColumn="0" w:lastRowFirstColumn="0" w:lastRowLastColumn="0"/>
        </w:trPr>
        <w:tc>
          <w:tcPr>
            <w:tcW w:w="0" w:type="auto"/>
            <w:shd w:val="clear" w:color="auto" w:fill="7F7F7F" w:themeFill="text1" w:themeFillTint="80"/>
            <w:hideMark/>
          </w:tcPr>
          <w:p w14:paraId="4FD4541B" w14:textId="77777777" w:rsidR="001C0E33" w:rsidRPr="00E577C1" w:rsidRDefault="001C0E33" w:rsidP="001276B6">
            <w:pPr>
              <w:pStyle w:val="NormalWeb"/>
              <w:rPr>
                <w:b/>
                <w:bCs/>
                <w:color w:val="F2F2F2" w:themeColor="background1" w:themeShade="F2"/>
              </w:rPr>
            </w:pPr>
            <w:r w:rsidRPr="00E577C1">
              <w:rPr>
                <w:b/>
                <w:bCs/>
                <w:color w:val="F2F2F2" w:themeColor="background1" w:themeShade="F2"/>
              </w:rPr>
              <w:t>Vaccine safety</w:t>
            </w:r>
          </w:p>
        </w:tc>
      </w:tr>
      <w:tr w:rsidR="001C0E33" w14:paraId="426F7D7B" w14:textId="77777777" w:rsidTr="001C0E33">
        <w:tc>
          <w:tcPr>
            <w:tcW w:w="0" w:type="auto"/>
            <w:hideMark/>
          </w:tcPr>
          <w:p w14:paraId="114C97FD" w14:textId="77777777" w:rsidR="001C0E33" w:rsidRDefault="001C0E33" w:rsidP="001276B6">
            <w:pPr>
              <w:pStyle w:val="NormalWeb"/>
            </w:pPr>
            <w:r>
              <w:t>Advising on and promote the safe use of all vaccines, including live vaccines such as Zostavax, and COVID-19 vaccines.</w:t>
            </w:r>
          </w:p>
        </w:tc>
      </w:tr>
      <w:tr w:rsidR="001C0E33" w14:paraId="56CC4A2B"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4A2DB6D8" w14:textId="77777777" w:rsidR="001C0E33" w:rsidRDefault="001C0E33" w:rsidP="001276B6">
            <w:pPr>
              <w:pStyle w:val="NormalWeb"/>
            </w:pPr>
            <w:r>
              <w:t>Advising on and promote support to immunisation providers on the safe and appropriate use of live vaccines, especially the live zoster vaccine (Zostavax).</w:t>
            </w:r>
          </w:p>
        </w:tc>
      </w:tr>
      <w:tr w:rsidR="00E577C1" w:rsidRPr="00E577C1" w14:paraId="7F5EA19C" w14:textId="77777777" w:rsidTr="0068759E">
        <w:tc>
          <w:tcPr>
            <w:tcW w:w="0" w:type="auto"/>
            <w:shd w:val="clear" w:color="auto" w:fill="7F7F7F" w:themeFill="text1" w:themeFillTint="80"/>
            <w:hideMark/>
          </w:tcPr>
          <w:p w14:paraId="76463B52" w14:textId="77777777" w:rsidR="001C0E33" w:rsidRPr="00E577C1" w:rsidRDefault="001C0E33" w:rsidP="001276B6">
            <w:pPr>
              <w:pStyle w:val="NormalWeb"/>
              <w:rPr>
                <w:b/>
                <w:bCs/>
                <w:color w:val="F2F2F2" w:themeColor="background1" w:themeShade="F2"/>
              </w:rPr>
            </w:pPr>
            <w:r w:rsidRPr="00E577C1">
              <w:rPr>
                <w:b/>
                <w:bCs/>
                <w:color w:val="F2F2F2" w:themeColor="background1" w:themeShade="F2"/>
              </w:rPr>
              <w:t>Monitoring and evaluation</w:t>
            </w:r>
          </w:p>
        </w:tc>
      </w:tr>
      <w:tr w:rsidR="001C0E33" w14:paraId="5B7B245C"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6C6AE25E" w14:textId="77777777" w:rsidR="001C0E33" w:rsidRDefault="001C0E33" w:rsidP="001276B6">
            <w:pPr>
              <w:pStyle w:val="NormalWeb"/>
            </w:pPr>
            <w:r>
              <w:t>Advising on the need to set up an end-to-end system that can track and record every dose of distributed and administered vaccines in national and state immunisation programs. This will improve vaccine allocation, minimise wastage and help the assessment of vaccine effectiveness.</w:t>
            </w:r>
          </w:p>
        </w:tc>
      </w:tr>
      <w:tr w:rsidR="001C0E33" w14:paraId="0566A6E8" w14:textId="77777777" w:rsidTr="001C0E33">
        <w:tc>
          <w:tcPr>
            <w:tcW w:w="0" w:type="auto"/>
            <w:hideMark/>
          </w:tcPr>
          <w:p w14:paraId="1E2ED323" w14:textId="77777777" w:rsidR="001C0E33" w:rsidRDefault="001C0E33" w:rsidP="001276B6">
            <w:pPr>
              <w:pStyle w:val="NormalWeb"/>
            </w:pPr>
            <w:r>
              <w:t>Advising on the need to evaluate existing immunisation programs, such as for zoster and influenza.</w:t>
            </w:r>
          </w:p>
        </w:tc>
      </w:tr>
      <w:tr w:rsidR="00F75116" w:rsidRPr="00F75116" w14:paraId="6760B356" w14:textId="77777777" w:rsidTr="0068759E">
        <w:trPr>
          <w:cnfStyle w:val="000000010000" w:firstRow="0" w:lastRow="0" w:firstColumn="0" w:lastColumn="0" w:oddVBand="0" w:evenVBand="0" w:oddHBand="0" w:evenHBand="1" w:firstRowFirstColumn="0" w:firstRowLastColumn="0" w:lastRowFirstColumn="0" w:lastRowLastColumn="0"/>
        </w:trPr>
        <w:tc>
          <w:tcPr>
            <w:tcW w:w="0" w:type="auto"/>
            <w:shd w:val="clear" w:color="auto" w:fill="7F7F7F" w:themeFill="text1" w:themeFillTint="80"/>
            <w:hideMark/>
          </w:tcPr>
          <w:p w14:paraId="4E1DC6CE" w14:textId="77777777" w:rsidR="001C0E33" w:rsidRPr="00F75116" w:rsidRDefault="001C0E33" w:rsidP="001276B6">
            <w:pPr>
              <w:pStyle w:val="NormalWeb"/>
              <w:rPr>
                <w:b/>
                <w:bCs/>
                <w:color w:val="F2F2F2" w:themeColor="background1" w:themeShade="F2"/>
              </w:rPr>
            </w:pPr>
            <w:r w:rsidRPr="00F75116">
              <w:rPr>
                <w:b/>
                <w:bCs/>
                <w:color w:val="F2F2F2" w:themeColor="background1" w:themeShade="F2"/>
              </w:rPr>
              <w:t>Evidence-based advice</w:t>
            </w:r>
          </w:p>
        </w:tc>
      </w:tr>
      <w:tr w:rsidR="001C0E33" w14:paraId="64540B3A" w14:textId="77777777" w:rsidTr="001C0E33">
        <w:tc>
          <w:tcPr>
            <w:tcW w:w="0" w:type="auto"/>
            <w:hideMark/>
          </w:tcPr>
          <w:p w14:paraId="03CCD6AB" w14:textId="77777777" w:rsidR="001C0E33" w:rsidRDefault="001C0E33" w:rsidP="001276B6">
            <w:pPr>
              <w:pStyle w:val="NormalWeb"/>
            </w:pPr>
            <w:r>
              <w:t>Strengthening the evaluation of evidence by using GRADE (Grading of Recommendations, Assessment, Development and Evaluations – a framework for making recommendations about best clinical practice that are informed by evidence). Continue publishing evidence-based immunisation recommendations through the Handbook.</w:t>
            </w:r>
            <w:r>
              <w:rPr>
                <w:lang w:val="en-US"/>
              </w:rPr>
              <w:t xml:space="preserve"> 14</w:t>
            </w:r>
          </w:p>
        </w:tc>
      </w:tr>
      <w:tr w:rsidR="001C0E33" w14:paraId="2D9A2A4C" w14:textId="77777777" w:rsidTr="001C0E33">
        <w:trPr>
          <w:cnfStyle w:val="000000010000" w:firstRow="0" w:lastRow="0" w:firstColumn="0" w:lastColumn="0" w:oddVBand="0" w:evenVBand="0" w:oddHBand="0" w:evenHBand="1" w:firstRowFirstColumn="0" w:firstRowLastColumn="0" w:lastRowFirstColumn="0" w:lastRowLastColumn="0"/>
        </w:trPr>
        <w:tc>
          <w:tcPr>
            <w:tcW w:w="0" w:type="auto"/>
            <w:hideMark/>
          </w:tcPr>
          <w:p w14:paraId="073F9740" w14:textId="77777777" w:rsidR="001C0E33" w:rsidRDefault="001C0E33" w:rsidP="001276B6">
            <w:pPr>
              <w:pStyle w:val="NormalWeb"/>
            </w:pPr>
            <w:r>
              <w:t>Continuing to monitor the development of new vaccines that may be considered for the NIP. These may include pneumococcal vaccines that cover more serotypes, and vaccines against respiratory syncytial virus and group A Streptococcus.</w:t>
            </w:r>
          </w:p>
        </w:tc>
      </w:tr>
    </w:tbl>
    <w:p w14:paraId="51D0162D" w14:textId="44087EF3" w:rsidR="00B43A77" w:rsidRPr="00B43A77" w:rsidRDefault="00B43A77" w:rsidP="00B43A77">
      <w:pPr>
        <w:pStyle w:val="Heading1"/>
      </w:pPr>
      <w:r w:rsidRPr="00B43A77">
        <w:t>Acknowledgements</w:t>
      </w:r>
    </w:p>
    <w:p w14:paraId="36EFB07D" w14:textId="77777777" w:rsidR="00B43A77" w:rsidRDefault="00B43A77" w:rsidP="00B43A77">
      <w:r>
        <w:t xml:space="preserve">The authors wish to thank the following additional ATAGI members for their contributions: Ms Karen Bellamy, Ms Kristy Cooper, Prof. Katie Flanagan, Dr Katherine Gibney, Prof. Cheryl Jones, A/Prof. Tony </w:t>
      </w:r>
      <w:proofErr w:type="spellStart"/>
      <w:r>
        <w:t>Korman</w:t>
      </w:r>
      <w:proofErr w:type="spellEnd"/>
      <w:r>
        <w:t xml:space="preserve">, A/Prof. Bette Liu, Ms Debra </w:t>
      </w:r>
      <w:proofErr w:type="spellStart"/>
      <w:r>
        <w:t>Petrys</w:t>
      </w:r>
      <w:proofErr w:type="spellEnd"/>
      <w:r>
        <w:t xml:space="preserve">, Dr Nicholas Silberstein, Prof. Tom Snelling, Dr James Wood and Ms Diane Walsh. </w:t>
      </w:r>
    </w:p>
    <w:p w14:paraId="6E6B5F93" w14:textId="77777777" w:rsidR="00F75116" w:rsidRDefault="00F75116">
      <w:pPr>
        <w:rPr>
          <w:rFonts w:asciiTheme="majorHAnsi" w:eastAsiaTheme="majorEastAsia" w:hAnsiTheme="majorHAnsi" w:cstheme="majorBidi"/>
          <w:b/>
          <w:bCs/>
          <w:sz w:val="32"/>
          <w:szCs w:val="28"/>
        </w:rPr>
      </w:pPr>
      <w:r>
        <w:br w:type="page"/>
      </w:r>
    </w:p>
    <w:p w14:paraId="245273B8" w14:textId="6D584567" w:rsidR="00B43A77" w:rsidRPr="00B43A77" w:rsidRDefault="00B43A77" w:rsidP="00B43A77">
      <w:pPr>
        <w:pStyle w:val="Heading1"/>
      </w:pPr>
      <w:r w:rsidRPr="00B43A77">
        <w:t>Author details</w:t>
      </w:r>
    </w:p>
    <w:p w14:paraId="008C42C0" w14:textId="77777777" w:rsidR="00F75116" w:rsidRDefault="00B43A77" w:rsidP="00B43A77">
      <w:r>
        <w:t xml:space="preserve">Catherine Tran </w:t>
      </w:r>
      <w:r>
        <w:rPr>
          <w:vertAlign w:val="superscript"/>
        </w:rPr>
        <w:t>1</w:t>
      </w:r>
      <w:r>
        <w:t xml:space="preserve"> </w:t>
      </w:r>
    </w:p>
    <w:p w14:paraId="5C045213" w14:textId="77777777" w:rsidR="00F75116" w:rsidRDefault="00B43A77" w:rsidP="00B43A77">
      <w:r>
        <w:t xml:space="preserve">Clayton Chiu </w:t>
      </w:r>
      <w:r>
        <w:rPr>
          <w:vertAlign w:val="superscript"/>
        </w:rPr>
        <w:t>1</w:t>
      </w:r>
      <w:r>
        <w:t xml:space="preserve"> </w:t>
      </w:r>
    </w:p>
    <w:p w14:paraId="17AC1BC3" w14:textId="77777777" w:rsidR="00F75116" w:rsidRDefault="00B43A77" w:rsidP="00B43A77">
      <w:r>
        <w:t xml:space="preserve">Allen C Cheng </w:t>
      </w:r>
      <w:r>
        <w:rPr>
          <w:vertAlign w:val="superscript"/>
        </w:rPr>
        <w:t>2,3,4</w:t>
      </w:r>
      <w:r>
        <w:t xml:space="preserve"> </w:t>
      </w:r>
    </w:p>
    <w:p w14:paraId="4EFF02B1" w14:textId="28170F21" w:rsidR="00F75116" w:rsidRDefault="00B43A77" w:rsidP="00B43A77">
      <w:r>
        <w:t xml:space="preserve">Nigel W Crawford </w:t>
      </w:r>
      <w:r>
        <w:rPr>
          <w:vertAlign w:val="superscript"/>
        </w:rPr>
        <w:t>2,5,6</w:t>
      </w:r>
      <w:r>
        <w:t xml:space="preserve"> </w:t>
      </w:r>
    </w:p>
    <w:p w14:paraId="77DAD68B" w14:textId="21658729" w:rsidR="00F75116" w:rsidRDefault="00B43A77" w:rsidP="00B43A77">
      <w:r>
        <w:t xml:space="preserve">Michelle L Giles </w:t>
      </w:r>
      <w:r>
        <w:rPr>
          <w:vertAlign w:val="superscript"/>
        </w:rPr>
        <w:t>2,7</w:t>
      </w:r>
      <w:r>
        <w:t xml:space="preserve"> </w:t>
      </w:r>
    </w:p>
    <w:p w14:paraId="28BEEFC2" w14:textId="4000C037" w:rsidR="00F75116" w:rsidRDefault="00B43A77" w:rsidP="00B43A77">
      <w:r>
        <w:t xml:space="preserve">Kristine K Macartney </w:t>
      </w:r>
      <w:r>
        <w:rPr>
          <w:vertAlign w:val="superscript"/>
        </w:rPr>
        <w:t>1,2,8</w:t>
      </w:r>
      <w:r>
        <w:t xml:space="preserve"> </w:t>
      </w:r>
    </w:p>
    <w:p w14:paraId="65D65CF3" w14:textId="6BB8B9DB" w:rsidR="00F75116" w:rsidRDefault="00B43A77" w:rsidP="00B43A77">
      <w:r>
        <w:t xml:space="preserve">Christopher C Blyth </w:t>
      </w:r>
      <w:r>
        <w:rPr>
          <w:vertAlign w:val="superscript"/>
        </w:rPr>
        <w:t>2,9,10</w:t>
      </w:r>
      <w:r>
        <w:t xml:space="preserve"> </w:t>
      </w:r>
    </w:p>
    <w:p w14:paraId="2562A1B6" w14:textId="2CCD94E8" w:rsidR="00B43A77" w:rsidRDefault="00B43A77" w:rsidP="00B43A77">
      <w:r>
        <w:t>on behalf of the Australian Technical Advisory Group on Immunisation.</w:t>
      </w:r>
    </w:p>
    <w:p w14:paraId="53E28667" w14:textId="77777777" w:rsidR="00B43A77" w:rsidRPr="00B43A77" w:rsidRDefault="00B43A77" w:rsidP="00B43A77">
      <w:pPr>
        <w:pStyle w:val="ListParagraph"/>
        <w:numPr>
          <w:ilvl w:val="0"/>
          <w:numId w:val="17"/>
        </w:numPr>
        <w:rPr>
          <w:rFonts w:eastAsia="Times New Roman"/>
        </w:rPr>
      </w:pPr>
      <w:r w:rsidRPr="00B43A77">
        <w:rPr>
          <w:rFonts w:eastAsia="Times New Roman"/>
        </w:rPr>
        <w:t>National Centre for Immunisation Research and Surveillance of Vaccine Preventable Diseases, University of Sydney, Sydney, New South Wales, Australia</w:t>
      </w:r>
    </w:p>
    <w:p w14:paraId="344AFB9B" w14:textId="77777777" w:rsidR="00B43A77" w:rsidRPr="00B43A77" w:rsidRDefault="00B43A77" w:rsidP="00B43A77">
      <w:pPr>
        <w:pStyle w:val="ListParagraph"/>
        <w:numPr>
          <w:ilvl w:val="0"/>
          <w:numId w:val="17"/>
        </w:numPr>
        <w:rPr>
          <w:rFonts w:eastAsia="Times New Roman"/>
        </w:rPr>
      </w:pPr>
      <w:r w:rsidRPr="00B43A77">
        <w:rPr>
          <w:rFonts w:eastAsia="Times New Roman"/>
        </w:rPr>
        <w:t>Australian Technical Advisory Group on Immunisation, Department of Health, Australian Government, Canberra, Australian Capital Territory, Australia</w:t>
      </w:r>
    </w:p>
    <w:p w14:paraId="3BA32926" w14:textId="77777777" w:rsidR="00B43A77" w:rsidRPr="00B43A77" w:rsidRDefault="00B43A77" w:rsidP="00B43A77">
      <w:pPr>
        <w:pStyle w:val="ListParagraph"/>
        <w:numPr>
          <w:ilvl w:val="0"/>
          <w:numId w:val="17"/>
        </w:numPr>
        <w:rPr>
          <w:rFonts w:eastAsia="Times New Roman"/>
        </w:rPr>
      </w:pPr>
      <w:r w:rsidRPr="00B43A77">
        <w:rPr>
          <w:rFonts w:eastAsia="Times New Roman"/>
        </w:rPr>
        <w:t>Infection Prevention and Healthcare Epidemiology Unit, Alfred Health, Melbourne, Victoria, Australia</w:t>
      </w:r>
    </w:p>
    <w:p w14:paraId="7D6E6759" w14:textId="77777777" w:rsidR="00B43A77" w:rsidRPr="00B43A77" w:rsidRDefault="00B43A77" w:rsidP="00B43A77">
      <w:pPr>
        <w:pStyle w:val="ListParagraph"/>
        <w:numPr>
          <w:ilvl w:val="0"/>
          <w:numId w:val="17"/>
        </w:numPr>
        <w:rPr>
          <w:rFonts w:eastAsia="Times New Roman"/>
        </w:rPr>
      </w:pPr>
      <w:r w:rsidRPr="00B43A77">
        <w:rPr>
          <w:rFonts w:eastAsia="Times New Roman"/>
        </w:rPr>
        <w:t>School of Public Health and Preventive Medicine, Monash University, Melbourne, Victoria, Australia</w:t>
      </w:r>
    </w:p>
    <w:p w14:paraId="0F7FCBA7" w14:textId="77777777" w:rsidR="00B43A77" w:rsidRPr="00B43A77" w:rsidRDefault="00B43A77" w:rsidP="00B43A77">
      <w:pPr>
        <w:pStyle w:val="ListParagraph"/>
        <w:numPr>
          <w:ilvl w:val="0"/>
          <w:numId w:val="17"/>
        </w:numPr>
        <w:rPr>
          <w:rFonts w:eastAsia="Times New Roman"/>
        </w:rPr>
      </w:pPr>
      <w:r w:rsidRPr="00B43A77">
        <w:rPr>
          <w:rFonts w:eastAsia="Times New Roman"/>
        </w:rPr>
        <w:t>Department of General Paediatrics, Royal Children’s Hospital, Melbourne, Victoria, Australia</w:t>
      </w:r>
    </w:p>
    <w:p w14:paraId="34B48522" w14:textId="77777777" w:rsidR="00B43A77" w:rsidRPr="00B43A77" w:rsidRDefault="00B43A77" w:rsidP="00B43A77">
      <w:pPr>
        <w:pStyle w:val="ListParagraph"/>
        <w:numPr>
          <w:ilvl w:val="0"/>
          <w:numId w:val="17"/>
        </w:numPr>
        <w:rPr>
          <w:rFonts w:eastAsia="Times New Roman"/>
        </w:rPr>
      </w:pPr>
      <w:r w:rsidRPr="00B43A77">
        <w:rPr>
          <w:rFonts w:eastAsia="Times New Roman"/>
        </w:rPr>
        <w:t>Infection and Immunity, Murdoch Children’s Research Institute and University of Melbourne, Victoria, Australia</w:t>
      </w:r>
    </w:p>
    <w:p w14:paraId="0C643D6D" w14:textId="77777777" w:rsidR="00B43A77" w:rsidRPr="00B43A77" w:rsidRDefault="00B43A77" w:rsidP="00B43A77">
      <w:pPr>
        <w:pStyle w:val="ListParagraph"/>
        <w:numPr>
          <w:ilvl w:val="0"/>
          <w:numId w:val="17"/>
        </w:numPr>
        <w:rPr>
          <w:rFonts w:eastAsia="Times New Roman"/>
        </w:rPr>
      </w:pPr>
      <w:r w:rsidRPr="00B43A77">
        <w:rPr>
          <w:rFonts w:eastAsia="Times New Roman"/>
        </w:rPr>
        <w:t>Department of Obstetrics and Gynaecology, Monash University, Melbourne, Victoria, Australia</w:t>
      </w:r>
    </w:p>
    <w:p w14:paraId="7C952A6D" w14:textId="77777777" w:rsidR="00B43A77" w:rsidRPr="00B43A77" w:rsidRDefault="00B43A77" w:rsidP="00B43A77">
      <w:pPr>
        <w:pStyle w:val="ListParagraph"/>
        <w:numPr>
          <w:ilvl w:val="0"/>
          <w:numId w:val="17"/>
        </w:numPr>
        <w:rPr>
          <w:rFonts w:eastAsia="Times New Roman"/>
        </w:rPr>
      </w:pPr>
      <w:r w:rsidRPr="00B43A77">
        <w:rPr>
          <w:rFonts w:eastAsia="Times New Roman"/>
        </w:rPr>
        <w:t>Discipline of Child and Adolescent Health, Sydney Medical School, Children’s Hospital at Westmead, Sydney, New South Wales, Australia</w:t>
      </w:r>
    </w:p>
    <w:p w14:paraId="0189A1C5" w14:textId="77777777" w:rsidR="00B43A77" w:rsidRPr="00B43A77" w:rsidRDefault="00B43A77" w:rsidP="00B43A77">
      <w:pPr>
        <w:pStyle w:val="ListParagraph"/>
        <w:numPr>
          <w:ilvl w:val="0"/>
          <w:numId w:val="17"/>
        </w:numPr>
        <w:rPr>
          <w:rFonts w:eastAsia="Times New Roman"/>
        </w:rPr>
      </w:pPr>
      <w:r w:rsidRPr="00B43A77">
        <w:rPr>
          <w:rFonts w:eastAsia="Times New Roman"/>
        </w:rPr>
        <w:t>Wesfarmers Centre of Vaccines and Infectious Diseases, Telethon Kids Institute and School of Medicine, University of Western Australia, Perth, Western Australia, Australia</w:t>
      </w:r>
    </w:p>
    <w:p w14:paraId="180FB3F2" w14:textId="77777777" w:rsidR="00B43A77" w:rsidRPr="00B43A77" w:rsidRDefault="00B43A77" w:rsidP="00B43A77">
      <w:pPr>
        <w:pStyle w:val="ListParagraph"/>
        <w:numPr>
          <w:ilvl w:val="0"/>
          <w:numId w:val="17"/>
        </w:numPr>
        <w:rPr>
          <w:rFonts w:eastAsia="Times New Roman"/>
        </w:rPr>
      </w:pPr>
      <w:r w:rsidRPr="00B43A77">
        <w:rPr>
          <w:rFonts w:eastAsia="Times New Roman"/>
        </w:rPr>
        <w:t xml:space="preserve">Department of Infectious Diseases, Perth Children’s Hospital and </w:t>
      </w:r>
      <w:proofErr w:type="spellStart"/>
      <w:r w:rsidRPr="00B43A77">
        <w:rPr>
          <w:rFonts w:eastAsia="Times New Roman"/>
        </w:rPr>
        <w:t>PathWest</w:t>
      </w:r>
      <w:proofErr w:type="spellEnd"/>
      <w:r w:rsidRPr="00B43A77">
        <w:rPr>
          <w:rFonts w:eastAsia="Times New Roman"/>
        </w:rPr>
        <w:t xml:space="preserve"> Laboratory Medicine, QEII Medical Centre, Perth, Western Australia, Australia</w:t>
      </w:r>
    </w:p>
    <w:p w14:paraId="30B25B6C" w14:textId="40B1D936" w:rsidR="001C0E33" w:rsidRDefault="001C0E33">
      <w:pPr>
        <w:rPr>
          <w:rFonts w:asciiTheme="majorHAnsi" w:eastAsiaTheme="majorEastAsia" w:hAnsiTheme="majorHAnsi" w:cstheme="majorBidi"/>
          <w:b/>
          <w:bCs/>
          <w:sz w:val="26"/>
          <w:szCs w:val="26"/>
        </w:rPr>
      </w:pPr>
    </w:p>
    <w:p w14:paraId="2D77194B" w14:textId="6848174A" w:rsidR="00B43A77" w:rsidRPr="00B43A77" w:rsidRDefault="00B43A77" w:rsidP="00B43A77">
      <w:pPr>
        <w:pStyle w:val="Heading2"/>
      </w:pPr>
      <w:r w:rsidRPr="00B43A77">
        <w:t>Corresponding author</w:t>
      </w:r>
    </w:p>
    <w:p w14:paraId="4D121113" w14:textId="77777777" w:rsidR="00B43A77" w:rsidRDefault="00B43A77" w:rsidP="00B43A77">
      <w:r>
        <w:t>Australian Technical Advisory Group on Immunisation (ATAGI) secretariat, Immunisation Branch, Australian Government Department of Health, GPO Box 9848 – MDP 13, Canberra ACT 2601</w:t>
      </w:r>
    </w:p>
    <w:p w14:paraId="4925D849" w14:textId="77777777" w:rsidR="00B43A77" w:rsidRDefault="00B43A77" w:rsidP="00B43A77">
      <w:r>
        <w:t>Email: atagi.secretariat@health.gov.au</w:t>
      </w:r>
    </w:p>
    <w:p w14:paraId="0ED976D9" w14:textId="77777777" w:rsidR="00F75116" w:rsidRDefault="00F75116">
      <w:pPr>
        <w:rPr>
          <w:rFonts w:asciiTheme="majorHAnsi" w:eastAsiaTheme="majorEastAsia" w:hAnsiTheme="majorHAnsi" w:cstheme="majorBidi"/>
          <w:b/>
          <w:bCs/>
          <w:sz w:val="32"/>
          <w:szCs w:val="28"/>
        </w:rPr>
      </w:pPr>
      <w:r>
        <w:br w:type="page"/>
      </w:r>
    </w:p>
    <w:p w14:paraId="4BE74A86" w14:textId="01E6D080" w:rsidR="00B43A77" w:rsidRPr="00B43A77" w:rsidRDefault="00B43A77" w:rsidP="00B43A77">
      <w:pPr>
        <w:pStyle w:val="Heading1"/>
      </w:pPr>
      <w:r w:rsidRPr="00B43A77">
        <w:t>References</w:t>
      </w:r>
    </w:p>
    <w:p w14:paraId="0322E700"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Australian Influenza Surveillance Report - 2020 National Influenza Season Summary. [Internet.] Canberra: Australian Government Department of Health; 18 December 2020. Available from: https://www1.health.gov.au/internet/main/publishing.nsf/Content/ozflu-surveil-season-summary-2020.htm.</w:t>
      </w:r>
    </w:p>
    <w:p w14:paraId="6D04A930"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Sullivan SG, Carlson S, Cheng AC, </w:t>
      </w:r>
      <w:proofErr w:type="spellStart"/>
      <w:r w:rsidRPr="00B43A77">
        <w:rPr>
          <w:rFonts w:eastAsia="Times New Roman"/>
        </w:rPr>
        <w:t>Chilver</w:t>
      </w:r>
      <w:proofErr w:type="spellEnd"/>
      <w:r w:rsidRPr="00B43A77">
        <w:rPr>
          <w:rFonts w:eastAsia="Times New Roman"/>
        </w:rPr>
        <w:t xml:space="preserve"> MBN, Dwyer DE, Irwin M et al. Where has all the influenza gone? The impact of COVID-19 on the circulation of influenza and other respiratory viruses, Australia, March to September 2020. </w:t>
      </w:r>
      <w:r w:rsidRPr="00AF6A8B">
        <w:rPr>
          <w:rStyle w:val="Emphasis"/>
          <w:rFonts w:eastAsia="Times New Roman"/>
          <w:b w:val="0"/>
          <w:bCs w:val="0"/>
        </w:rPr>
        <w:t xml:space="preserve">Euro </w:t>
      </w:r>
      <w:proofErr w:type="spellStart"/>
      <w:proofErr w:type="gramStart"/>
      <w:r w:rsidRPr="00AF6A8B">
        <w:rPr>
          <w:rStyle w:val="Emphasis"/>
          <w:rFonts w:eastAsia="Times New Roman"/>
          <w:b w:val="0"/>
          <w:bCs w:val="0"/>
        </w:rPr>
        <w:t>Surveil</w:t>
      </w:r>
      <w:proofErr w:type="spellEnd"/>
      <w:r w:rsidRPr="00B43A77">
        <w:rPr>
          <w:rFonts w:eastAsia="Times New Roman"/>
        </w:rPr>
        <w:t xml:space="preserve"> .</w:t>
      </w:r>
      <w:proofErr w:type="gramEnd"/>
      <w:r w:rsidRPr="00B43A77">
        <w:rPr>
          <w:rFonts w:eastAsia="Times New Roman"/>
        </w:rPr>
        <w:t xml:space="preserve"> 2020;25(47). </w:t>
      </w:r>
      <w:proofErr w:type="spellStart"/>
      <w:r w:rsidRPr="00B43A77">
        <w:rPr>
          <w:rFonts w:eastAsia="Times New Roman"/>
        </w:rPr>
        <w:t>doi</w:t>
      </w:r>
      <w:proofErr w:type="spellEnd"/>
      <w:r w:rsidRPr="00B43A77">
        <w:rPr>
          <w:rFonts w:eastAsia="Times New Roman"/>
        </w:rPr>
        <w:t>: https://doi.org/10.2807/1560-7917.ES.2020.25.47.2001847.</w:t>
      </w:r>
    </w:p>
    <w:p w14:paraId="66DB8D80"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COVID-19 vaccination – Australian COVID-19 Vaccination Policy. [Internet.] Canberra: Australian Government Department of Health; 17 February 2021. Available from: https://www.health.gov.au/resources/publications/ covid-19 -vaccination-</w:t>
      </w:r>
      <w:proofErr w:type="spellStart"/>
      <w:r w:rsidRPr="00B43A77">
        <w:rPr>
          <w:rFonts w:eastAsia="Times New Roman"/>
        </w:rPr>
        <w:t>australian</w:t>
      </w:r>
      <w:proofErr w:type="spellEnd"/>
      <w:r w:rsidRPr="00B43A77">
        <w:rPr>
          <w:rFonts w:eastAsia="Times New Roman"/>
        </w:rPr>
        <w:t>- covid-19 -vaccination-policy.</w:t>
      </w:r>
    </w:p>
    <w:p w14:paraId="0FD04A09"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COVID-19 vaccination – Australia’s COVID-19 vaccine national roll-out strategy. [Internet.] Canberra: Australian Government Department of Health; 17 February 2021. Available from: https://www.health.gov.au/resources/publications/ covid-19 -vaccination-</w:t>
      </w:r>
      <w:proofErr w:type="spellStart"/>
      <w:r w:rsidRPr="00B43A77">
        <w:rPr>
          <w:rFonts w:eastAsia="Times New Roman"/>
        </w:rPr>
        <w:t>australias</w:t>
      </w:r>
      <w:proofErr w:type="spellEnd"/>
      <w:r w:rsidRPr="00B43A77">
        <w:rPr>
          <w:rFonts w:eastAsia="Times New Roman"/>
        </w:rPr>
        <w:t>- covid-19 -vaccine-national-roll-out-strategy.</w:t>
      </w:r>
    </w:p>
    <w:p w14:paraId="44B4E947"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About the Pfizer/</w:t>
      </w:r>
      <w:proofErr w:type="spellStart"/>
      <w:r w:rsidRPr="00B43A77">
        <w:rPr>
          <w:rFonts w:eastAsia="Times New Roman"/>
        </w:rPr>
        <w:t>BioNTech</w:t>
      </w:r>
      <w:proofErr w:type="spellEnd"/>
      <w:r w:rsidRPr="00B43A77">
        <w:rPr>
          <w:rFonts w:eastAsia="Times New Roman"/>
        </w:rPr>
        <w:t xml:space="preserve"> COVID-19 vaccine. [Internet.] Canberra: Australian Government Department of Health; 6 May 2021. Available from: https://www.health.gov.au/initiatives-and-programs/ covid-19 -vaccines/learn-about- covid-19 -vaccines/about-the-</w:t>
      </w:r>
      <w:proofErr w:type="spellStart"/>
      <w:r w:rsidRPr="00B43A77">
        <w:rPr>
          <w:rFonts w:eastAsia="Times New Roman"/>
        </w:rPr>
        <w:t>pfizerbiontech</w:t>
      </w:r>
      <w:proofErr w:type="spellEnd"/>
      <w:r w:rsidRPr="00B43A77">
        <w:rPr>
          <w:rFonts w:eastAsia="Times New Roman"/>
        </w:rPr>
        <w:t>- covid-19 -vaccine.</w:t>
      </w:r>
    </w:p>
    <w:p w14:paraId="6B66107F"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About the AstraZeneca COVID-19 vaccine. [Internet.] Canberra: Australian Government Department of Health; 25 May 2021. Available from: https://www.health.gov.au/initiatives-and-programs/ covid-19 -vaccines/learn-about- covid-19 -vaccines/about-the-</w:t>
      </w:r>
      <w:proofErr w:type="spellStart"/>
      <w:r w:rsidRPr="00B43A77">
        <w:rPr>
          <w:rFonts w:eastAsia="Times New Roman"/>
        </w:rPr>
        <w:t>astrazeneca</w:t>
      </w:r>
      <w:proofErr w:type="spellEnd"/>
      <w:r w:rsidRPr="00B43A77">
        <w:rPr>
          <w:rFonts w:eastAsia="Times New Roman"/>
        </w:rPr>
        <w:t>- covid-19 -vaccine.</w:t>
      </w:r>
    </w:p>
    <w:p w14:paraId="4593D1D2"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Technical Advisory Group on Immunisation (ATAGI). ATAGI advice on seasonal influenza vaccines in 2020. [Internet.] Canberra: Australian Government Department of Health; 2 March 2020. Available from: https://www.health.gov.au/resources/publications/atagi-advice-on-seasonal-influenza-vaccines-in-2020.</w:t>
      </w:r>
    </w:p>
    <w:p w14:paraId="52E53E87" w14:textId="77777777" w:rsidR="00B43A77" w:rsidRPr="00B43A77" w:rsidRDefault="00B43A77" w:rsidP="00B43A77">
      <w:pPr>
        <w:pStyle w:val="ListParagraph"/>
        <w:numPr>
          <w:ilvl w:val="0"/>
          <w:numId w:val="18"/>
        </w:numPr>
        <w:rPr>
          <w:rFonts w:eastAsia="Times New Roman"/>
        </w:rPr>
      </w:pPr>
      <w:r w:rsidRPr="00B43A77">
        <w:rPr>
          <w:rFonts w:eastAsia="Times New Roman"/>
        </w:rPr>
        <w:t>ATAGI. ATAGI clinical advice on changes to recommendations for pneumococcal vaccines from 1 July 2020. [Internet.] Canberra: Australian Government Department of Health; 3 June 2020. Available from: https://www.health.gov.au/resources/publications/atagi-clinical-advice-on-changes-to-recommendations-for-pneumococcal-vaccines-from-1-july-2020.</w:t>
      </w:r>
    </w:p>
    <w:p w14:paraId="3F9CA7B2" w14:textId="77777777" w:rsidR="00B43A77" w:rsidRPr="00B43A77" w:rsidRDefault="00B43A77" w:rsidP="00B43A77">
      <w:pPr>
        <w:pStyle w:val="ListParagraph"/>
        <w:numPr>
          <w:ilvl w:val="0"/>
          <w:numId w:val="18"/>
        </w:numPr>
        <w:rPr>
          <w:rFonts w:eastAsia="Times New Roman"/>
        </w:rPr>
      </w:pPr>
      <w:r w:rsidRPr="00B43A77">
        <w:rPr>
          <w:rFonts w:eastAsia="Times New Roman"/>
        </w:rPr>
        <w:t>ATAGI. ATAGI clinical advice on changes to recommendations for meningococcal vaccines from 1 July 2020. [Internet.] Canberra: Australian Government Department of Health; 3 June 2020. Available from: https://www.health.gov.au/resources/publications/atagi-clinical-advice-on-changes-to-recommendations-for-meningococcal-vaccines-from-1-july-2020.</w:t>
      </w:r>
    </w:p>
    <w:p w14:paraId="77DA2BA8" w14:textId="77777777" w:rsidR="00B43A77" w:rsidRPr="00B43A77" w:rsidRDefault="00B43A77" w:rsidP="00B43A77">
      <w:pPr>
        <w:pStyle w:val="ListParagraph"/>
        <w:numPr>
          <w:ilvl w:val="0"/>
          <w:numId w:val="18"/>
        </w:numPr>
        <w:rPr>
          <w:rFonts w:eastAsia="Times New Roman"/>
        </w:rPr>
      </w:pPr>
      <w:r w:rsidRPr="00B43A77">
        <w:rPr>
          <w:rFonts w:eastAsia="Times New Roman"/>
        </w:rPr>
        <w:t>ATAGI. ATAGI clinical advice on vaccination recommendations for Aboriginal and Torres Strait Islander people from 1 July 2020. [Internet.] Canberra: Australian Government Department of Health; 3 June 2020. Available from: https://www.health.gov.au/resources/publications/atagi-clinical-advice-on-vaccination-recommendations-for-aboriginal-and-torres-strait-islander-people-from-1-july-2020.</w:t>
      </w:r>
    </w:p>
    <w:p w14:paraId="07C9BDA0" w14:textId="77777777" w:rsidR="00B43A77" w:rsidRPr="00B43A77" w:rsidRDefault="00B43A77" w:rsidP="00B43A77">
      <w:pPr>
        <w:pStyle w:val="ListParagraph"/>
        <w:numPr>
          <w:ilvl w:val="0"/>
          <w:numId w:val="18"/>
        </w:numPr>
        <w:rPr>
          <w:rFonts w:eastAsia="Times New Roman"/>
        </w:rPr>
      </w:pPr>
      <w:r w:rsidRPr="00B43A77">
        <w:rPr>
          <w:rFonts w:eastAsia="Times New Roman"/>
        </w:rPr>
        <w:t>ATAGI. ATAGI clinical advice on vaccination recommendations for people with risk conditions from 1 July 2020. [Internet.] Canberra: Australian Government Department of Health; 3 June 2020. Available from: https://www.health.gov.au/resources/publications/atagi-clinical-advice-on-vaccination-recommendations-for-people-with-risk-conditions-from-1-july-2020.</w:t>
      </w:r>
    </w:p>
    <w:p w14:paraId="617C64AF" w14:textId="77777777" w:rsidR="00B43A77" w:rsidRPr="00B43A77" w:rsidRDefault="00B43A77" w:rsidP="00B43A77">
      <w:pPr>
        <w:pStyle w:val="ListParagraph"/>
        <w:numPr>
          <w:ilvl w:val="0"/>
          <w:numId w:val="18"/>
        </w:numPr>
        <w:rPr>
          <w:rFonts w:eastAsia="Times New Roman"/>
        </w:rPr>
      </w:pPr>
      <w:r w:rsidRPr="00B43A77">
        <w:rPr>
          <w:rFonts w:eastAsia="Times New Roman"/>
        </w:rPr>
        <w:t>National Centre for Immunisation Research and Surveillance (NCIRS). Little impact of COVID-19 pandemic on routine childhood vaccination in Australia. [Internet.] Sydney: NCIRS; 19 November 2020. Available from: https://www.ncirs.org.au/little-impact- covid-19 -pandemic-routine-childhood-vaccination-</w:t>
      </w:r>
      <w:proofErr w:type="spellStart"/>
      <w:r w:rsidRPr="00B43A77">
        <w:rPr>
          <w:rFonts w:eastAsia="Times New Roman"/>
        </w:rPr>
        <w:t>australia</w:t>
      </w:r>
      <w:proofErr w:type="spellEnd"/>
      <w:r w:rsidRPr="00B43A77">
        <w:rPr>
          <w:rFonts w:eastAsia="Times New Roman"/>
        </w:rPr>
        <w:t>.</w:t>
      </w:r>
    </w:p>
    <w:p w14:paraId="7C2F8B4D"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Hull BP, Hendry AJ, Dey A, Bryant K, </w:t>
      </w:r>
      <w:proofErr w:type="spellStart"/>
      <w:r w:rsidRPr="00B43A77">
        <w:rPr>
          <w:rFonts w:eastAsia="Times New Roman"/>
        </w:rPr>
        <w:t>Radkowski</w:t>
      </w:r>
      <w:proofErr w:type="spellEnd"/>
      <w:r w:rsidRPr="00B43A77">
        <w:rPr>
          <w:rFonts w:eastAsia="Times New Roman"/>
        </w:rPr>
        <w:t xml:space="preserve"> C, </w:t>
      </w:r>
      <w:proofErr w:type="spellStart"/>
      <w:r w:rsidRPr="00B43A77">
        <w:rPr>
          <w:rFonts w:eastAsia="Times New Roman"/>
        </w:rPr>
        <w:t>Pellissier</w:t>
      </w:r>
      <w:proofErr w:type="spellEnd"/>
      <w:r w:rsidRPr="00B43A77">
        <w:rPr>
          <w:rFonts w:eastAsia="Times New Roman"/>
        </w:rPr>
        <w:t xml:space="preserve"> S et al. The impact of the COVID‐19 pandemic on routine vaccinations in Victoria. </w:t>
      </w:r>
      <w:r w:rsidRPr="00AF6A8B">
        <w:rPr>
          <w:rStyle w:val="Emphasis"/>
          <w:rFonts w:eastAsia="Times New Roman"/>
          <w:b w:val="0"/>
          <w:bCs w:val="0"/>
        </w:rPr>
        <w:t xml:space="preserve">Med J </w:t>
      </w:r>
      <w:proofErr w:type="gramStart"/>
      <w:r w:rsidRPr="00AF6A8B">
        <w:rPr>
          <w:rStyle w:val="Emphasis"/>
          <w:rFonts w:eastAsia="Times New Roman"/>
          <w:b w:val="0"/>
          <w:bCs w:val="0"/>
        </w:rPr>
        <w:t>Aust</w:t>
      </w:r>
      <w:r w:rsidRPr="00B43A77">
        <w:rPr>
          <w:rFonts w:eastAsia="Times New Roman"/>
        </w:rPr>
        <w:t xml:space="preserve"> .</w:t>
      </w:r>
      <w:proofErr w:type="gramEnd"/>
      <w:r w:rsidRPr="00B43A77">
        <w:rPr>
          <w:rFonts w:eastAsia="Times New Roman"/>
        </w:rPr>
        <w:t xml:space="preserve"> 2021;215(2):83–4. </w:t>
      </w:r>
      <w:proofErr w:type="spellStart"/>
      <w:r w:rsidRPr="00B43A77">
        <w:rPr>
          <w:rFonts w:eastAsia="Times New Roman"/>
        </w:rPr>
        <w:t>doi</w:t>
      </w:r>
      <w:proofErr w:type="spellEnd"/>
      <w:r w:rsidRPr="00B43A77">
        <w:rPr>
          <w:rFonts w:eastAsia="Times New Roman"/>
        </w:rPr>
        <w:t>: https://doi.org/10.5694/mja2.51145.</w:t>
      </w:r>
    </w:p>
    <w:p w14:paraId="4700013C"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Australian Immunisation Handbook. [Website.] Canberra: Australian Government Department of Health, ATAGI. Available from: https://immunisationhandbook.health.gov.au/.</w:t>
      </w:r>
    </w:p>
    <w:p w14:paraId="663C22CD"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Australian Immunisation Handbook. Table. Live shingles vaccine (Zostavax) screening for contraindications. [Webpage.] Canberra: Australian Government Department of Health, ATAGI; 13 January 2021. Available from: https://immunisationhandbook.health.gov.au/resources/handbook-tables/table-live-shingles-vaccine-zostavax-screening-for-contraindications.</w:t>
      </w:r>
    </w:p>
    <w:p w14:paraId="2C1001AB"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Federal Register of Legislation. </w:t>
      </w:r>
      <w:r w:rsidRPr="00AF6A8B">
        <w:rPr>
          <w:rStyle w:val="Emphasis"/>
          <w:rFonts w:eastAsia="Times New Roman"/>
          <w:b w:val="0"/>
          <w:bCs w:val="0"/>
        </w:rPr>
        <w:t xml:space="preserve">Australian Immunisation Register Amendment (Reporting) Act 2021. No. 1, </w:t>
      </w:r>
      <w:proofErr w:type="gramStart"/>
      <w:r w:rsidRPr="00AF6A8B">
        <w:rPr>
          <w:rStyle w:val="Emphasis"/>
          <w:rFonts w:eastAsia="Times New Roman"/>
          <w:b w:val="0"/>
          <w:bCs w:val="0"/>
        </w:rPr>
        <w:t>2021</w:t>
      </w:r>
      <w:r w:rsidRPr="00B43A77">
        <w:rPr>
          <w:rFonts w:eastAsia="Times New Roman"/>
        </w:rPr>
        <w:t xml:space="preserve"> .</w:t>
      </w:r>
      <w:proofErr w:type="gramEnd"/>
      <w:r w:rsidRPr="00B43A77">
        <w:rPr>
          <w:rFonts w:eastAsia="Times New Roman"/>
        </w:rPr>
        <w:t xml:space="preserve"> [Legislation.] Canberra: Australian Government, Federal Register of Legislation; 15 February 2021. Available from: https://www.legislation.gov.au/Details/C2021A00001.</w:t>
      </w:r>
    </w:p>
    <w:p w14:paraId="7D1CC5E0" w14:textId="77777777" w:rsidR="00B43A77" w:rsidRPr="00B43A77" w:rsidRDefault="00B43A77" w:rsidP="00B43A77">
      <w:pPr>
        <w:pStyle w:val="ListParagraph"/>
        <w:numPr>
          <w:ilvl w:val="0"/>
          <w:numId w:val="18"/>
        </w:numPr>
        <w:rPr>
          <w:rFonts w:eastAsia="Times New Roman"/>
        </w:rPr>
      </w:pPr>
      <w:r w:rsidRPr="00B43A77">
        <w:rPr>
          <w:rFonts w:eastAsia="Times New Roman"/>
        </w:rPr>
        <w:t>NCIRS. Pharmacies giving more vaccines but real number unknown. [Internet.] Sydney: NCIRS; 14 June 2020. Available from: https://www.ncirs.org.au/pharmacies-giving-more-vaccines-real-number-unknown.</w:t>
      </w:r>
    </w:p>
    <w:p w14:paraId="53E00A86"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Hull BP, Beard FH, Hendry AJ, Dey A, Macartney K. “No jab, no pay”: catch-up vaccination activity during its first two years. </w:t>
      </w:r>
      <w:r w:rsidRPr="00AF6A8B">
        <w:rPr>
          <w:rStyle w:val="Emphasis"/>
          <w:rFonts w:eastAsia="Times New Roman"/>
          <w:b w:val="0"/>
          <w:bCs w:val="0"/>
        </w:rPr>
        <w:t xml:space="preserve">Med J </w:t>
      </w:r>
      <w:proofErr w:type="gramStart"/>
      <w:r w:rsidRPr="00AF6A8B">
        <w:rPr>
          <w:rStyle w:val="Emphasis"/>
          <w:rFonts w:eastAsia="Times New Roman"/>
          <w:b w:val="0"/>
          <w:bCs w:val="0"/>
        </w:rPr>
        <w:t>Aust</w:t>
      </w:r>
      <w:r w:rsidRPr="00B43A77">
        <w:rPr>
          <w:rFonts w:eastAsia="Times New Roman"/>
        </w:rPr>
        <w:t xml:space="preserve"> .</w:t>
      </w:r>
      <w:proofErr w:type="gramEnd"/>
      <w:r w:rsidRPr="00B43A77">
        <w:rPr>
          <w:rFonts w:eastAsia="Times New Roman"/>
        </w:rPr>
        <w:t xml:space="preserve"> 2020;213(8):364–9. </w:t>
      </w:r>
      <w:proofErr w:type="spellStart"/>
      <w:r w:rsidRPr="00B43A77">
        <w:rPr>
          <w:rFonts w:eastAsia="Times New Roman"/>
        </w:rPr>
        <w:t>doi</w:t>
      </w:r>
      <w:proofErr w:type="spellEnd"/>
      <w:r w:rsidRPr="00B43A77">
        <w:rPr>
          <w:rFonts w:eastAsia="Times New Roman"/>
        </w:rPr>
        <w:t>: https://doi.org/10.5694/mja2.50780.</w:t>
      </w:r>
    </w:p>
    <w:p w14:paraId="5500A31A"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NCIRS. </w:t>
      </w:r>
      <w:proofErr w:type="spellStart"/>
      <w:r w:rsidRPr="00B43A77">
        <w:rPr>
          <w:rFonts w:eastAsia="Times New Roman"/>
        </w:rPr>
        <w:t>AusVaxSafety</w:t>
      </w:r>
      <w:proofErr w:type="spellEnd"/>
      <w:r w:rsidRPr="00B43A77">
        <w:rPr>
          <w:rFonts w:eastAsia="Times New Roman"/>
        </w:rPr>
        <w:t>: an NCIRS led collaboration. [Website.] Sydney: NCIRS; 2021. Available from: https://www.ausvaxsafety.org.au/.</w:t>
      </w:r>
    </w:p>
    <w:p w14:paraId="147DEFEB" w14:textId="77777777" w:rsidR="00B43A77" w:rsidRPr="00B43A77" w:rsidRDefault="00B43A77" w:rsidP="00B43A77">
      <w:pPr>
        <w:pStyle w:val="ListParagraph"/>
        <w:numPr>
          <w:ilvl w:val="0"/>
          <w:numId w:val="18"/>
        </w:numPr>
        <w:rPr>
          <w:rFonts w:eastAsia="Times New Roman"/>
        </w:rPr>
      </w:pPr>
      <w:r w:rsidRPr="00B43A77">
        <w:rPr>
          <w:rFonts w:eastAsia="Times New Roman"/>
        </w:rPr>
        <w:t>Therapeutic Goods Administration (TGA). Zostavax vaccine. Safety advisory - not to be used in people with compromised immune function. [Internet.] Canberra: Australian Government Department of Health, TGA; 6 July 2020. Available from: https://www.tga.gov.au/alert/zostavax-vaccine-0.</w:t>
      </w:r>
    </w:p>
    <w:p w14:paraId="3E69CB2F" w14:textId="77777777" w:rsidR="00B43A77" w:rsidRPr="00B43A77" w:rsidRDefault="00B43A77" w:rsidP="00B43A77">
      <w:pPr>
        <w:pStyle w:val="ListParagraph"/>
        <w:numPr>
          <w:ilvl w:val="0"/>
          <w:numId w:val="18"/>
        </w:numPr>
        <w:rPr>
          <w:rFonts w:eastAsia="Times New Roman"/>
        </w:rPr>
      </w:pPr>
      <w:r w:rsidRPr="00B43A77">
        <w:rPr>
          <w:rFonts w:eastAsia="Times New Roman"/>
        </w:rPr>
        <w:t>TGA. Zostavax vaccine. Safety advisory - risk of infection with the vaccine virus. [Internet.] Canberra: Australian Government Department of Health, TGA; 22 December 2020. Available from: https://www.tga.gov.au/alert/zostavax-vaccine-1.</w:t>
      </w:r>
    </w:p>
    <w:p w14:paraId="7BA4A87B" w14:textId="77777777" w:rsidR="00B43A77" w:rsidRPr="00B43A77" w:rsidRDefault="00B43A77" w:rsidP="00B43A77">
      <w:pPr>
        <w:pStyle w:val="ListParagraph"/>
        <w:numPr>
          <w:ilvl w:val="0"/>
          <w:numId w:val="18"/>
        </w:numPr>
        <w:rPr>
          <w:rFonts w:eastAsia="Times New Roman"/>
        </w:rPr>
      </w:pPr>
      <w:r w:rsidRPr="00B43A77">
        <w:rPr>
          <w:rFonts w:eastAsia="Times New Roman"/>
        </w:rPr>
        <w:t>Australasian Society of Clinical Immunology and Allergy (ASCIA). Information updates. Safety Alert: Zostavax Vaccine – NOT to be used in people with compromised immune function. [Internet.] Sydney: ASCIA; 23 December 2020. Available from: https://www.allergy.org.au/about-ascia/info-updates/safety-alert-zostavax-vaccine-not-to-be-used-in-people-with-compromised-immune-function.</w:t>
      </w:r>
    </w:p>
    <w:p w14:paraId="76E071CA" w14:textId="77777777" w:rsidR="00B43A77" w:rsidRPr="00B43A77" w:rsidRDefault="00B43A77" w:rsidP="00B43A77">
      <w:pPr>
        <w:pStyle w:val="ListParagraph"/>
        <w:numPr>
          <w:ilvl w:val="0"/>
          <w:numId w:val="18"/>
        </w:numPr>
        <w:rPr>
          <w:rFonts w:eastAsia="Times New Roman"/>
        </w:rPr>
      </w:pPr>
      <w:r w:rsidRPr="00B43A77">
        <w:rPr>
          <w:rFonts w:eastAsia="Times New Roman"/>
        </w:rPr>
        <w:t>Australian Government Department of Health. Australian Technical Advisory Group on Immunisation (ATAGI). [Internet.] Canberra: Australian Government Department of Health; 2021. Available from: https://www.health.gov.au/committees-and-groups/australian-technical-advisory-group-on-immunisation-atagi.</w:t>
      </w:r>
    </w:p>
    <w:p w14:paraId="1B7A3D02" w14:textId="77777777" w:rsidR="00B43A77" w:rsidRPr="00B43A77" w:rsidRDefault="00B43A77" w:rsidP="00B43A77">
      <w:pPr>
        <w:pStyle w:val="ListParagraph"/>
        <w:numPr>
          <w:ilvl w:val="0"/>
          <w:numId w:val="18"/>
        </w:numPr>
        <w:rPr>
          <w:rFonts w:eastAsia="Times New Roman"/>
        </w:rPr>
      </w:pPr>
      <w:r w:rsidRPr="00B43A77">
        <w:rPr>
          <w:rFonts w:eastAsia="Times New Roman"/>
        </w:rPr>
        <w:t xml:space="preserve">Australian Government Department of Health. </w:t>
      </w:r>
      <w:r w:rsidRPr="00AF6A8B">
        <w:rPr>
          <w:rStyle w:val="Emphasis"/>
          <w:rFonts w:eastAsia="Times New Roman"/>
          <w:b w:val="0"/>
          <w:bCs w:val="0"/>
        </w:rPr>
        <w:t xml:space="preserve">ATAGI strategic </w:t>
      </w:r>
      <w:proofErr w:type="gramStart"/>
      <w:r w:rsidRPr="00AF6A8B">
        <w:rPr>
          <w:rStyle w:val="Emphasis"/>
          <w:rFonts w:eastAsia="Times New Roman"/>
          <w:b w:val="0"/>
          <w:bCs w:val="0"/>
        </w:rPr>
        <w:t>intent</w:t>
      </w:r>
      <w:r w:rsidRPr="00B43A77">
        <w:rPr>
          <w:rFonts w:eastAsia="Times New Roman"/>
        </w:rPr>
        <w:t xml:space="preserve"> .</w:t>
      </w:r>
      <w:proofErr w:type="gramEnd"/>
      <w:r w:rsidRPr="00B43A77">
        <w:rPr>
          <w:rFonts w:eastAsia="Times New Roman"/>
        </w:rPr>
        <w:t xml:space="preserve"> Canberra: Australian Government Department of Health; 10 September 2020. Available from: https://www.health.gov.au/resources/publications/atagi-strategic-intent. </w:t>
      </w:r>
    </w:p>
    <w:p w14:paraId="731B960E" w14:textId="77777777" w:rsidR="00F75116" w:rsidRDefault="00F75116">
      <w:pPr>
        <w:rPr>
          <w:rFonts w:asciiTheme="majorHAnsi" w:eastAsiaTheme="majorEastAsia" w:hAnsiTheme="majorHAnsi" w:cstheme="majorBidi"/>
          <w:b/>
          <w:bCs/>
          <w:sz w:val="32"/>
          <w:szCs w:val="28"/>
        </w:rPr>
      </w:pPr>
      <w:r>
        <w:br w:type="page"/>
      </w:r>
    </w:p>
    <w:p w14:paraId="3B833B7C" w14:textId="47B12D17" w:rsidR="00B43A77" w:rsidRPr="00B43A77" w:rsidRDefault="00B43A77" w:rsidP="00B43A77">
      <w:pPr>
        <w:pStyle w:val="Heading1"/>
      </w:pPr>
      <w:r w:rsidRPr="00B43A77">
        <w:t>Appendix A: about ATAGI</w:t>
      </w:r>
    </w:p>
    <w:p w14:paraId="348DE202" w14:textId="77777777" w:rsidR="00B43A77" w:rsidRDefault="00B43A77" w:rsidP="00B43A77">
      <w:r>
        <w:t xml:space="preserve">The Australian Technical Advisory Group on Immunisation (ATAGI) </w:t>
      </w:r>
      <w:r>
        <w:rPr>
          <w:vertAlign w:val="superscript"/>
        </w:rPr>
        <w:t>23</w:t>
      </w:r>
      <w:r>
        <w:t xml:space="preserve"> advises the Minister for Health on the National Immunisation Program and other immunisation issues.</w:t>
      </w:r>
    </w:p>
    <w:p w14:paraId="42243806" w14:textId="77777777" w:rsidR="00B43A77" w:rsidRDefault="00B43A77" w:rsidP="00B43A77">
      <w:r>
        <w:t xml:space="preserve">ATAGI’s vision is to protect the Australian population from vaccine-preventable diseases (VPDs). This is shown in ATAGI’s strategic intent. </w:t>
      </w:r>
      <w:r>
        <w:rPr>
          <w:vertAlign w:val="superscript"/>
        </w:rPr>
        <w:t>24</w:t>
      </w:r>
      <w:r>
        <w:t xml:space="preserve"> </w:t>
      </w:r>
    </w:p>
    <w:p w14:paraId="02861B18" w14:textId="77777777" w:rsidR="00B43A77" w:rsidRDefault="00B43A77" w:rsidP="00B43A77">
      <w:r>
        <w:t>ATAGI’s purpose is to provide evidence-based advice to the Minister for Health and other key policymakers on immunisation policies, immunisation programs, and future research priorities. This includes identifying and prioritising gaps in the immunisation landscape to improve the impact of immunisation programs; to raise confidence in immunisation programs, as well as the vaccines used in the programs; and to boost equity in access to, and outcomes of, immunisation programs.</w:t>
      </w:r>
    </w:p>
    <w:p w14:paraId="50F60130" w14:textId="7841F7A3" w:rsidR="008B5348" w:rsidRPr="001C0E33" w:rsidRDefault="00B43A77" w:rsidP="001C0E33">
      <w:pPr>
        <w:rPr>
          <w:rStyle w:val="A10"/>
          <w:rFonts w:cstheme="minorBidi"/>
          <w:color w:val="auto"/>
        </w:rPr>
        <w:sectPr w:rsidR="008B5348" w:rsidRPr="001C0E33"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r>
        <w:t xml:space="preserve">ATAGI also develops and publishes the Australian Immunisation Handbook. </w:t>
      </w:r>
      <w:r>
        <w:rPr>
          <w:vertAlign w:val="superscript"/>
        </w:rPr>
        <w:t>14</w:t>
      </w:r>
      <w:r>
        <w:t xml:space="preserve"> </w:t>
      </w:r>
    </w:p>
    <w:p w14:paraId="089876AB"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5C0D24A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F4342A0" w14:textId="77777777" w:rsidR="000A5F42" w:rsidRPr="000606CC" w:rsidRDefault="000A5F42" w:rsidP="000A5F42">
      <w:pPr>
        <w:pStyle w:val="NoSpacing"/>
        <w:rPr>
          <w:rStyle w:val="URI"/>
          <w:rFonts w:cstheme="minorHAnsi"/>
          <w:sz w:val="20"/>
          <w:szCs w:val="18"/>
        </w:rPr>
      </w:pPr>
    </w:p>
    <w:p w14:paraId="525FE3E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3B78883" w14:textId="77777777" w:rsidR="000A5F42" w:rsidRPr="000606CC" w:rsidRDefault="000A5F42" w:rsidP="000A5F42">
      <w:pPr>
        <w:pStyle w:val="NoSpacing"/>
        <w:rPr>
          <w:rStyle w:val="Strong"/>
          <w:rFonts w:cstheme="minorHAnsi"/>
          <w:sz w:val="20"/>
          <w:szCs w:val="18"/>
        </w:rPr>
      </w:pPr>
    </w:p>
    <w:p w14:paraId="72FCD0C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67E204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4E0558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D3E7A22"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0E02C84" w14:textId="77777777" w:rsidR="000A5F42" w:rsidRPr="000606CC" w:rsidRDefault="000A5F42" w:rsidP="000A5F42">
      <w:pPr>
        <w:pStyle w:val="NoSpacing"/>
        <w:rPr>
          <w:rStyle w:val="Strong"/>
          <w:rFonts w:cstheme="minorHAnsi"/>
          <w:sz w:val="20"/>
          <w:szCs w:val="18"/>
        </w:rPr>
      </w:pPr>
    </w:p>
    <w:p w14:paraId="23188657" w14:textId="3AA2B13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EE68EE5" w14:textId="77777777" w:rsidR="000A5F42" w:rsidRPr="000606CC" w:rsidRDefault="000A5F42" w:rsidP="000A5F42">
      <w:pPr>
        <w:pStyle w:val="NoSpacing"/>
        <w:rPr>
          <w:rStyle w:val="Strong"/>
          <w:rFonts w:cstheme="minorHAnsi"/>
          <w:sz w:val="20"/>
          <w:szCs w:val="18"/>
        </w:rPr>
      </w:pPr>
    </w:p>
    <w:p w14:paraId="6E04D87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AF1D919" w14:textId="77777777" w:rsidR="000A5F42" w:rsidRPr="000606CC" w:rsidRDefault="000A5F42" w:rsidP="000A5F42">
      <w:pPr>
        <w:pStyle w:val="NoSpacing"/>
        <w:rPr>
          <w:rStyle w:val="Strong"/>
          <w:rFonts w:cstheme="minorHAnsi"/>
          <w:sz w:val="20"/>
          <w:szCs w:val="18"/>
        </w:rPr>
      </w:pPr>
    </w:p>
    <w:p w14:paraId="3B227C02" w14:textId="6067C41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4FC3018" w14:textId="77777777" w:rsidR="000A5F42" w:rsidRPr="000606CC" w:rsidRDefault="000A5F42" w:rsidP="000A5F42">
      <w:pPr>
        <w:pStyle w:val="NoSpacing"/>
        <w:rPr>
          <w:rStyle w:val="Strong"/>
          <w:rFonts w:cstheme="minorHAnsi"/>
          <w:sz w:val="20"/>
          <w:szCs w:val="18"/>
        </w:rPr>
      </w:pPr>
    </w:p>
    <w:p w14:paraId="49CDDA9D" w14:textId="7D65D35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948A754" w14:textId="39EE9B1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34829BD" w14:textId="77777777" w:rsidR="000A5F42" w:rsidRPr="000606CC" w:rsidRDefault="000A5F42" w:rsidP="000A5F42">
      <w:pPr>
        <w:pStyle w:val="NoSpacing"/>
        <w:pBdr>
          <w:bottom w:val="single" w:sz="6" w:space="1" w:color="auto"/>
        </w:pBdr>
        <w:rPr>
          <w:rStyle w:val="Strong"/>
          <w:rFonts w:cstheme="minorHAnsi"/>
          <w:sz w:val="12"/>
          <w:szCs w:val="18"/>
        </w:rPr>
      </w:pPr>
    </w:p>
    <w:p w14:paraId="32762AFA" w14:textId="77777777" w:rsidR="000A5F42" w:rsidRPr="000606CC" w:rsidRDefault="000A5F42" w:rsidP="000A5F42">
      <w:pPr>
        <w:pStyle w:val="NoSpacing"/>
        <w:rPr>
          <w:rFonts w:cstheme="minorHAnsi"/>
          <w:sz w:val="20"/>
          <w:szCs w:val="18"/>
        </w:rPr>
      </w:pPr>
    </w:p>
    <w:p w14:paraId="7A5B814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37B4D12" w14:textId="77777777" w:rsidR="000A5F42" w:rsidRPr="000606CC" w:rsidRDefault="000A5F42" w:rsidP="000A5F42">
      <w:pPr>
        <w:pStyle w:val="NoSpacing"/>
        <w:rPr>
          <w:rFonts w:cstheme="minorHAnsi"/>
          <w:sz w:val="20"/>
          <w:szCs w:val="18"/>
        </w:rPr>
      </w:pPr>
    </w:p>
    <w:p w14:paraId="4C48821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4B3319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3982AFD8" w14:textId="19180D8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5A0D592" w14:textId="77777777" w:rsidR="000A5F42" w:rsidRPr="000606CC" w:rsidRDefault="000A5F42" w:rsidP="000A5F42">
      <w:pPr>
        <w:pStyle w:val="NoSpacing"/>
        <w:rPr>
          <w:rFonts w:cstheme="minorHAnsi"/>
          <w:sz w:val="20"/>
          <w:szCs w:val="18"/>
        </w:rPr>
      </w:pPr>
    </w:p>
    <w:p w14:paraId="662E35A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5CD2BED" w14:textId="1C46502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B1AD7E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FDA54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5F1FF5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FDCE81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8C1C65A" w14:textId="77777777" w:rsidR="000A5F42" w:rsidRPr="000606CC" w:rsidRDefault="000A5F42" w:rsidP="000A5F42">
      <w:pPr>
        <w:pStyle w:val="NoSpacing"/>
        <w:rPr>
          <w:rStyle w:val="Strong"/>
          <w:rFonts w:cstheme="minorHAnsi"/>
          <w:sz w:val="20"/>
          <w:szCs w:val="18"/>
        </w:rPr>
      </w:pPr>
    </w:p>
    <w:p w14:paraId="4CE3436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59DEF62" w14:textId="77777777" w:rsidR="000A5F42" w:rsidRPr="000606CC" w:rsidRDefault="000A5F42" w:rsidP="000A5F42">
      <w:pPr>
        <w:pStyle w:val="NoSpacing"/>
        <w:rPr>
          <w:rStyle w:val="Strong"/>
          <w:rFonts w:cstheme="minorHAnsi"/>
          <w:sz w:val="20"/>
          <w:szCs w:val="18"/>
        </w:rPr>
      </w:pPr>
    </w:p>
    <w:p w14:paraId="56F54D14" w14:textId="183EF14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B9AE73D" w14:textId="77777777" w:rsidR="000A5F42" w:rsidRPr="000606CC" w:rsidRDefault="000A5F42" w:rsidP="000A5F42">
      <w:pPr>
        <w:pStyle w:val="NoSpacing"/>
        <w:rPr>
          <w:rStyle w:val="URI"/>
          <w:rFonts w:cstheme="minorHAnsi"/>
          <w:sz w:val="20"/>
          <w:szCs w:val="18"/>
        </w:rPr>
      </w:pPr>
    </w:p>
    <w:p w14:paraId="20A5C303" w14:textId="7B2B3EB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237183E"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940C1" w14:textId="77777777" w:rsidR="004E1C31" w:rsidRDefault="004E1C31" w:rsidP="00E54DBA">
      <w:r>
        <w:separator/>
      </w:r>
    </w:p>
    <w:p w14:paraId="5C75EF19" w14:textId="77777777" w:rsidR="004E1C31" w:rsidRDefault="004E1C31"/>
    <w:p w14:paraId="33627AC2" w14:textId="77777777" w:rsidR="004E1C31" w:rsidRDefault="004E1C31" w:rsidP="008714B0"/>
  </w:endnote>
  <w:endnote w:type="continuationSeparator" w:id="0">
    <w:p w14:paraId="43526B86" w14:textId="77777777" w:rsidR="004E1C31" w:rsidRDefault="004E1C31" w:rsidP="00E54DBA">
      <w:r>
        <w:continuationSeparator/>
      </w:r>
    </w:p>
    <w:p w14:paraId="4BF3BF5B" w14:textId="77777777" w:rsidR="004E1C31" w:rsidRDefault="004E1C31"/>
    <w:p w14:paraId="6100F16E" w14:textId="77777777" w:rsidR="004E1C31" w:rsidRDefault="004E1C3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7C72E" w14:textId="5E69EF3E"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F6A8B">
      <w:rPr>
        <w:i/>
        <w:sz w:val="18"/>
      </w:rPr>
      <w:t>Commun</w:t>
    </w:r>
    <w:proofErr w:type="spellEnd"/>
    <w:r w:rsidR="00CE342B" w:rsidRPr="00AF6A8B">
      <w:rPr>
        <w:i/>
        <w:sz w:val="18"/>
      </w:rPr>
      <w:t xml:space="preserve"> Dis </w:t>
    </w:r>
    <w:proofErr w:type="spellStart"/>
    <w:r w:rsidR="00CE342B" w:rsidRPr="00AF6A8B">
      <w:rPr>
        <w:i/>
        <w:sz w:val="18"/>
      </w:rPr>
      <w:t>Intell</w:t>
    </w:r>
    <w:proofErr w:type="spellEnd"/>
    <w:r w:rsidR="00CE342B" w:rsidRPr="00AF6A8B">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717F6">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717F6">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A6B46">
      <w:rPr>
        <w:sz w:val="18"/>
      </w:rPr>
      <w:t>https://doi.org/10.33321/cdi.2021.45.60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B18EE">
      <w:rPr>
        <w:sz w:val="18"/>
      </w:rPr>
      <w:t>28/10/2021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F057" w14:textId="1083F52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F6A8B">
      <w:rPr>
        <w:i/>
        <w:sz w:val="18"/>
      </w:rPr>
      <w:t>Commun</w:t>
    </w:r>
    <w:proofErr w:type="spellEnd"/>
    <w:r w:rsidR="00A164D5" w:rsidRPr="00AF6A8B">
      <w:rPr>
        <w:i/>
        <w:sz w:val="18"/>
      </w:rPr>
      <w:t xml:space="preserve"> Dis </w:t>
    </w:r>
    <w:proofErr w:type="spellStart"/>
    <w:r w:rsidR="00A164D5" w:rsidRPr="00AF6A8B">
      <w:rPr>
        <w:i/>
        <w:sz w:val="18"/>
      </w:rPr>
      <w:t>Intell</w:t>
    </w:r>
    <w:proofErr w:type="spellEnd"/>
    <w:r w:rsidR="00A164D5" w:rsidRPr="00AF6A8B">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717F6">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717F6">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B18EE">
      <w:rPr>
        <w:sz w:val="18"/>
      </w:rPr>
      <w:t>https://doi.org/10.33321/cdi.2021.45.60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AB18EE">
      <w:rPr>
        <w:sz w:val="18"/>
      </w:rPr>
      <w:t>28/10/2021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7B300" w14:textId="77777777" w:rsidR="004E1C31" w:rsidRPr="00B91FB5" w:rsidRDefault="004E1C31" w:rsidP="00B91FB5">
      <w:pPr>
        <w:spacing w:after="0" w:line="240" w:lineRule="auto"/>
        <w:rPr>
          <w:sz w:val="18"/>
          <w:szCs w:val="18"/>
        </w:rPr>
      </w:pPr>
      <w:r w:rsidRPr="00B91FB5">
        <w:rPr>
          <w:sz w:val="18"/>
          <w:szCs w:val="18"/>
        </w:rPr>
        <w:separator/>
      </w:r>
    </w:p>
  </w:footnote>
  <w:footnote w:type="continuationSeparator" w:id="0">
    <w:p w14:paraId="00D66FFD" w14:textId="77777777" w:rsidR="004E1C31" w:rsidRDefault="004E1C31" w:rsidP="00E54DBA">
      <w:r>
        <w:continuationSeparator/>
      </w:r>
    </w:p>
  </w:footnote>
  <w:footnote w:type="continuationNotice" w:id="1">
    <w:p w14:paraId="49F18E11" w14:textId="77777777" w:rsidR="004E1C31" w:rsidRPr="00224EFF" w:rsidRDefault="004E1C31" w:rsidP="00224EFF">
      <w:pPr>
        <w:pStyle w:val="Footer"/>
      </w:pPr>
    </w:p>
  </w:footnote>
  <w:footnote w:id="2">
    <w:p w14:paraId="679EF311" w14:textId="5E948869" w:rsidR="004A3D45" w:rsidRPr="0093472B" w:rsidRDefault="004A3D45" w:rsidP="0093472B">
      <w:pPr>
        <w:pStyle w:val="CDIfootnotes"/>
      </w:pPr>
      <w:r w:rsidRPr="0093472B">
        <w:rPr>
          <w:rStyle w:val="FootnoteReference"/>
          <w:vertAlign w:val="baseline"/>
        </w:rPr>
        <w:footnoteRef/>
      </w:r>
      <w:r w:rsidRPr="0093472B">
        <w:tab/>
        <w:t>https://immunisationhandbook.health.gov.au/vaccine-preventable-diseases/pneumococcal-disease.</w:t>
      </w:r>
    </w:p>
  </w:footnote>
  <w:footnote w:id="3">
    <w:p w14:paraId="0A23EE48" w14:textId="1534FFC5" w:rsidR="004A3D45" w:rsidRPr="0093472B" w:rsidRDefault="004A3D45" w:rsidP="0093472B">
      <w:pPr>
        <w:pStyle w:val="CDIfootnotes"/>
      </w:pPr>
      <w:r w:rsidRPr="0093472B">
        <w:rPr>
          <w:rStyle w:val="FootnoteReference"/>
          <w:vertAlign w:val="baseline"/>
        </w:rPr>
        <w:footnoteRef/>
      </w:r>
      <w:r w:rsidRPr="0093472B">
        <w:tab/>
        <w:t>https://immunisationhandbook.health.gov.au/resources/handbook-tables/list-risk-conditions-for-pneumococcal-disease.</w:t>
      </w:r>
    </w:p>
  </w:footnote>
  <w:footnote w:id="4">
    <w:p w14:paraId="11B936A5" w14:textId="59518B2F" w:rsidR="0059551A" w:rsidRPr="0093472B" w:rsidRDefault="0059551A" w:rsidP="0093472B">
      <w:pPr>
        <w:pStyle w:val="CDIfootnotes"/>
      </w:pPr>
      <w:r w:rsidRPr="0093472B">
        <w:rPr>
          <w:rStyle w:val="FootnoteReference"/>
          <w:vertAlign w:val="baseline"/>
        </w:rPr>
        <w:footnoteRef/>
      </w:r>
      <w:r w:rsidRPr="0093472B">
        <w:tab/>
        <w:t>https://immunisationhandbook.health.gov.au/vaccine-preventable-diseases/zoster-herpes-zoster.</w:t>
      </w:r>
    </w:p>
  </w:footnote>
  <w:footnote w:id="5">
    <w:p w14:paraId="008B75F6" w14:textId="6A0DE99A" w:rsidR="0093472B" w:rsidRDefault="0093472B" w:rsidP="0093472B">
      <w:pPr>
        <w:pStyle w:val="CDIfootnotes"/>
      </w:pPr>
      <w:r w:rsidRPr="0093472B">
        <w:rPr>
          <w:rStyle w:val="FootnoteReference"/>
          <w:vertAlign w:val="baseline"/>
        </w:rPr>
        <w:footnoteRef/>
      </w:r>
      <w:r w:rsidRPr="0093472B">
        <w:tab/>
        <w:t>https://immunisationhandbook.health.gov.au/vaccine-preventable-diseases/hepatitis-a.</w:t>
      </w:r>
    </w:p>
  </w:footnote>
  <w:footnote w:id="6">
    <w:p w14:paraId="2AC499BC" w14:textId="40C473E7" w:rsidR="00B7540E" w:rsidRPr="00B7540E" w:rsidRDefault="00B7540E" w:rsidP="00B7540E">
      <w:pPr>
        <w:pStyle w:val="CDIfootnotes"/>
      </w:pPr>
      <w:r w:rsidRPr="00B7540E">
        <w:rPr>
          <w:rStyle w:val="FootnoteReference"/>
          <w:vertAlign w:val="baseline"/>
        </w:rPr>
        <w:footnoteRef/>
      </w:r>
      <w:r>
        <w:tab/>
      </w:r>
      <w:r w:rsidRPr="00B7540E">
        <w:t>https://immunisationhandbook.health.gov.au/vaccination-for-special-risk-groups.</w:t>
      </w:r>
    </w:p>
  </w:footnote>
  <w:footnote w:id="7">
    <w:p w14:paraId="3AE20320" w14:textId="19211F4F" w:rsidR="009A761D" w:rsidRDefault="009A761D" w:rsidP="009A761D">
      <w:pPr>
        <w:pStyle w:val="CDIfootnotes"/>
      </w:pPr>
      <w:r>
        <w:rPr>
          <w:rStyle w:val="FootnoteReference"/>
        </w:rPr>
        <w:footnoteRef/>
      </w:r>
      <w:r>
        <w:tab/>
      </w:r>
      <w:r w:rsidRPr="009A761D">
        <w:t>https://immunisationhandbook.health.gov.au/catch-up-calculator/calculator.</w:t>
      </w:r>
    </w:p>
  </w:footnote>
  <w:footnote w:id="8">
    <w:p w14:paraId="5A3613AE" w14:textId="1FFDAE66" w:rsidR="009A761D" w:rsidRPr="0049022B" w:rsidRDefault="009A761D" w:rsidP="0049022B">
      <w:pPr>
        <w:pStyle w:val="CDIfootnotes"/>
      </w:pPr>
      <w:r w:rsidRPr="0049022B">
        <w:rPr>
          <w:rStyle w:val="FootnoteReference"/>
          <w:vertAlign w:val="baseline"/>
        </w:rPr>
        <w:footnoteRef/>
      </w:r>
      <w:r w:rsidRPr="0049022B">
        <w:tab/>
        <w:t>https://immunisationhandbook.health.gov.au/about-the-handbook/mobile-app.</w:t>
      </w:r>
    </w:p>
  </w:footnote>
  <w:footnote w:id="9">
    <w:p w14:paraId="72FA5B3B" w14:textId="4FDF3F49" w:rsidR="0049022B" w:rsidRPr="0049022B" w:rsidRDefault="0049022B" w:rsidP="0049022B">
      <w:pPr>
        <w:pStyle w:val="CDIfootnotes"/>
      </w:pPr>
      <w:r w:rsidRPr="0049022B">
        <w:rPr>
          <w:rStyle w:val="FootnoteReference"/>
          <w:vertAlign w:val="baseline"/>
        </w:rPr>
        <w:footnoteRef/>
      </w:r>
      <w:r w:rsidRPr="0049022B">
        <w:tab/>
        <w:t>https://www.tga.gov.au/reporting-problems.</w:t>
      </w:r>
    </w:p>
  </w:footnote>
  <w:footnote w:id="10">
    <w:p w14:paraId="25380F2B" w14:textId="6F4C7FC5" w:rsidR="0049022B" w:rsidRPr="0049022B" w:rsidRDefault="0049022B" w:rsidP="0049022B">
      <w:pPr>
        <w:pStyle w:val="CDIfootnotes"/>
      </w:pPr>
      <w:r w:rsidRPr="0049022B">
        <w:rPr>
          <w:rStyle w:val="FootnoteReference"/>
          <w:vertAlign w:val="baseline"/>
        </w:rPr>
        <w:footnoteRef/>
      </w:r>
      <w:r>
        <w:tab/>
      </w:r>
      <w:r w:rsidRPr="0049022B">
        <w:t>https://immunisationhandbook.health.gov.au/vaccine-preventable-diseases/zoster-herpes-zoster.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5CB4B" w14:textId="3479469F" w:rsidR="00257484" w:rsidRPr="00A153B6" w:rsidRDefault="004E1C3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816E1">
          <w:t>Notice to readers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5D0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5AEA9D2" wp14:editId="78B5CE81">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7031F"/>
    <w:multiLevelType w:val="hybridMultilevel"/>
    <w:tmpl w:val="25768888"/>
    <w:lvl w:ilvl="0" w:tplc="A7B8CA8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C3180"/>
    <w:multiLevelType w:val="hybridMultilevel"/>
    <w:tmpl w:val="58865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7E6E5E"/>
    <w:multiLevelType w:val="hybridMultilevel"/>
    <w:tmpl w:val="D702EE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B805E9"/>
    <w:multiLevelType w:val="multilevel"/>
    <w:tmpl w:val="F7CC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F2DF3"/>
    <w:multiLevelType w:val="multilevel"/>
    <w:tmpl w:val="126E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D19B0"/>
    <w:multiLevelType w:val="hybridMultilevel"/>
    <w:tmpl w:val="30B4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3A4EF3"/>
    <w:multiLevelType w:val="multilevel"/>
    <w:tmpl w:val="EB10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712F0"/>
    <w:multiLevelType w:val="multilevel"/>
    <w:tmpl w:val="818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A3020"/>
    <w:multiLevelType w:val="multilevel"/>
    <w:tmpl w:val="0BD2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557A0"/>
    <w:multiLevelType w:val="hybridMultilevel"/>
    <w:tmpl w:val="9BE657B6"/>
    <w:lvl w:ilvl="0" w:tplc="A7B8CA8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157E94"/>
    <w:multiLevelType w:val="multilevel"/>
    <w:tmpl w:val="A31A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656CB"/>
    <w:multiLevelType w:val="multilevel"/>
    <w:tmpl w:val="C96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55F8B"/>
    <w:multiLevelType w:val="multilevel"/>
    <w:tmpl w:val="5DF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E7F7A"/>
    <w:multiLevelType w:val="hybridMultilevel"/>
    <w:tmpl w:val="A5B0BD3C"/>
    <w:lvl w:ilvl="0" w:tplc="A7B8CA8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DE49F6"/>
    <w:multiLevelType w:val="hybridMultilevel"/>
    <w:tmpl w:val="36747F7A"/>
    <w:lvl w:ilvl="0" w:tplc="A7B8CA8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CB785E"/>
    <w:multiLevelType w:val="hybridMultilevel"/>
    <w:tmpl w:val="0D2218C4"/>
    <w:lvl w:ilvl="0" w:tplc="A7B8CA8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3"/>
  </w:num>
  <w:num w:numId="4">
    <w:abstractNumId w:val="5"/>
  </w:num>
  <w:num w:numId="5">
    <w:abstractNumId w:val="18"/>
  </w:num>
  <w:num w:numId="6">
    <w:abstractNumId w:val="19"/>
  </w:num>
  <w:num w:numId="7">
    <w:abstractNumId w:val="4"/>
  </w:num>
  <w:num w:numId="8">
    <w:abstractNumId w:val="14"/>
  </w:num>
  <w:num w:numId="9">
    <w:abstractNumId w:val="10"/>
  </w:num>
  <w:num w:numId="10">
    <w:abstractNumId w:val="16"/>
  </w:num>
  <w:num w:numId="11">
    <w:abstractNumId w:val="8"/>
  </w:num>
  <w:num w:numId="12">
    <w:abstractNumId w:val="9"/>
  </w:num>
  <w:num w:numId="13">
    <w:abstractNumId w:val="6"/>
  </w:num>
  <w:num w:numId="14">
    <w:abstractNumId w:val="0"/>
  </w:num>
  <w:num w:numId="15">
    <w:abstractNumId w:val="17"/>
  </w:num>
  <w:num w:numId="16">
    <w:abstractNumId w:val="21"/>
  </w:num>
  <w:num w:numId="17">
    <w:abstractNumId w:val="1"/>
  </w:num>
  <w:num w:numId="18">
    <w:abstractNumId w:val="2"/>
  </w:num>
  <w:num w:numId="19">
    <w:abstractNumId w:val="11"/>
  </w:num>
  <w:num w:numId="20">
    <w:abstractNumId w:val="20"/>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7F6"/>
    <w:rsid w:val="00171CC0"/>
    <w:rsid w:val="00175494"/>
    <w:rsid w:val="00175629"/>
    <w:rsid w:val="001830EC"/>
    <w:rsid w:val="00183534"/>
    <w:rsid w:val="001A4A96"/>
    <w:rsid w:val="001A5D05"/>
    <w:rsid w:val="001A67F6"/>
    <w:rsid w:val="001A796C"/>
    <w:rsid w:val="001B2614"/>
    <w:rsid w:val="001B37B8"/>
    <w:rsid w:val="001B552F"/>
    <w:rsid w:val="001C0893"/>
    <w:rsid w:val="001C0E3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0B58"/>
    <w:rsid w:val="00281EE3"/>
    <w:rsid w:val="00284E4A"/>
    <w:rsid w:val="002936F0"/>
    <w:rsid w:val="002A3799"/>
    <w:rsid w:val="002A3BCC"/>
    <w:rsid w:val="002A4516"/>
    <w:rsid w:val="002A569F"/>
    <w:rsid w:val="002A6B46"/>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A48EE"/>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9022B"/>
    <w:rsid w:val="004A2125"/>
    <w:rsid w:val="004A38F6"/>
    <w:rsid w:val="004A3D45"/>
    <w:rsid w:val="004B4EB6"/>
    <w:rsid w:val="004C083C"/>
    <w:rsid w:val="004C67C6"/>
    <w:rsid w:val="004D29DE"/>
    <w:rsid w:val="004E1C31"/>
    <w:rsid w:val="00510EAC"/>
    <w:rsid w:val="00542A57"/>
    <w:rsid w:val="00565974"/>
    <w:rsid w:val="005732C0"/>
    <w:rsid w:val="0057336D"/>
    <w:rsid w:val="0057489A"/>
    <w:rsid w:val="00574ACF"/>
    <w:rsid w:val="00581588"/>
    <w:rsid w:val="0058540B"/>
    <w:rsid w:val="00587C87"/>
    <w:rsid w:val="00590B80"/>
    <w:rsid w:val="0059551A"/>
    <w:rsid w:val="005B3134"/>
    <w:rsid w:val="005B4E61"/>
    <w:rsid w:val="005B595A"/>
    <w:rsid w:val="005B66C2"/>
    <w:rsid w:val="005C66A6"/>
    <w:rsid w:val="005D2465"/>
    <w:rsid w:val="005D258D"/>
    <w:rsid w:val="005E33DD"/>
    <w:rsid w:val="005E4229"/>
    <w:rsid w:val="005E540E"/>
    <w:rsid w:val="005E55FB"/>
    <w:rsid w:val="005F16BB"/>
    <w:rsid w:val="00607115"/>
    <w:rsid w:val="00620768"/>
    <w:rsid w:val="0062594B"/>
    <w:rsid w:val="00631406"/>
    <w:rsid w:val="006324FF"/>
    <w:rsid w:val="00632C37"/>
    <w:rsid w:val="006351D6"/>
    <w:rsid w:val="00636E0D"/>
    <w:rsid w:val="0064142F"/>
    <w:rsid w:val="00643CB4"/>
    <w:rsid w:val="00656427"/>
    <w:rsid w:val="00660255"/>
    <w:rsid w:val="0068759E"/>
    <w:rsid w:val="006971F3"/>
    <w:rsid w:val="006C74A3"/>
    <w:rsid w:val="006D1381"/>
    <w:rsid w:val="006D31BC"/>
    <w:rsid w:val="006E7943"/>
    <w:rsid w:val="006F24EA"/>
    <w:rsid w:val="00704CA9"/>
    <w:rsid w:val="0070545A"/>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816E1"/>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6EE0"/>
    <w:rsid w:val="0092746F"/>
    <w:rsid w:val="0093472B"/>
    <w:rsid w:val="00935DC9"/>
    <w:rsid w:val="009446C0"/>
    <w:rsid w:val="0096082E"/>
    <w:rsid w:val="00961347"/>
    <w:rsid w:val="00967410"/>
    <w:rsid w:val="00967D73"/>
    <w:rsid w:val="0098119A"/>
    <w:rsid w:val="00984AAF"/>
    <w:rsid w:val="00991B09"/>
    <w:rsid w:val="00993CB2"/>
    <w:rsid w:val="00997519"/>
    <w:rsid w:val="009A5166"/>
    <w:rsid w:val="009A761D"/>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18EE"/>
    <w:rsid w:val="00AB3472"/>
    <w:rsid w:val="00AD0762"/>
    <w:rsid w:val="00AE3DCF"/>
    <w:rsid w:val="00AE4452"/>
    <w:rsid w:val="00AE7C38"/>
    <w:rsid w:val="00AF6A8B"/>
    <w:rsid w:val="00B01F99"/>
    <w:rsid w:val="00B02B37"/>
    <w:rsid w:val="00B05276"/>
    <w:rsid w:val="00B132DB"/>
    <w:rsid w:val="00B31427"/>
    <w:rsid w:val="00B33861"/>
    <w:rsid w:val="00B40DE2"/>
    <w:rsid w:val="00B43A77"/>
    <w:rsid w:val="00B50210"/>
    <w:rsid w:val="00B53955"/>
    <w:rsid w:val="00B6408A"/>
    <w:rsid w:val="00B714B8"/>
    <w:rsid w:val="00B7540E"/>
    <w:rsid w:val="00B82C2C"/>
    <w:rsid w:val="00B8720B"/>
    <w:rsid w:val="00B876EF"/>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03B0"/>
    <w:rsid w:val="00CA1AF4"/>
    <w:rsid w:val="00CA6068"/>
    <w:rsid w:val="00CB15E1"/>
    <w:rsid w:val="00CB1956"/>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5A7"/>
    <w:rsid w:val="00E24DC0"/>
    <w:rsid w:val="00E2519C"/>
    <w:rsid w:val="00E25F2A"/>
    <w:rsid w:val="00E41455"/>
    <w:rsid w:val="00E42AD2"/>
    <w:rsid w:val="00E50856"/>
    <w:rsid w:val="00E538CC"/>
    <w:rsid w:val="00E54BBD"/>
    <w:rsid w:val="00E54DBA"/>
    <w:rsid w:val="00E577C1"/>
    <w:rsid w:val="00E63D7C"/>
    <w:rsid w:val="00E640D5"/>
    <w:rsid w:val="00E66E2E"/>
    <w:rsid w:val="00E67691"/>
    <w:rsid w:val="00E92237"/>
    <w:rsid w:val="00E951EF"/>
    <w:rsid w:val="00EA3D54"/>
    <w:rsid w:val="00EA56D9"/>
    <w:rsid w:val="00EA5CE3"/>
    <w:rsid w:val="00EA7600"/>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5116"/>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4C0D1"/>
  <w15:docId w15:val="{D435932A-275A-4806-B1AA-F59BDBE9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F6"/>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21</TotalTime>
  <Pages>13</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Communicable Diseases Intelligence 2021 - ATAGI 2021 annual statement on immunisation</vt:lpstr>
    </vt:vector>
  </TitlesOfParts>
  <Company>Australian Government, Department of Health</Company>
  <LinksUpToDate>false</LinksUpToDate>
  <CharactersWithSpaces>29954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ATAGI 2021 annual statement on immunisation</dc:title>
  <dc:subject>The Australian Technical Advisory Group on Immunisation (ATAGI) 2021 Annual Statement on Immunisation highlights the key successes, trends and challenges in the use of vaccines and control of vaccine preventable diseases (VPDs) in Australia in 2020. It also signals ATAGI’s priority actions for addressing key issues for 2021 and beyond.</dc:subject>
  <dc:creator>Catherine Tran; Clayton Chiu; Allen C Cheng; Nigel W Crawford; Michelle L Giles; Kristine K Macartney; Christopher C Blyth; on behalf of the Australian Technical Advisory Group on Immunisation</dc:creator>
  <cp:keywords>Australian Technical Advisory Group on Immunisation;ATAGI;Immunisation</cp:keywords>
  <dc:description>© Commonwealth of Australia CC BY-NC-ND ISSN: 2209-6051 (Online)</dc:description>
  <cp:lastModifiedBy>YOUSEFI, Kasra</cp:lastModifiedBy>
  <cp:revision>5</cp:revision>
  <cp:lastPrinted>2018-05-10T02:19:00Z</cp:lastPrinted>
  <dcterms:created xsi:type="dcterms:W3CDTF">2021-10-22T00:23:00Z</dcterms:created>
  <dcterms:modified xsi:type="dcterms:W3CDTF">2021-10-28T04:59:00Z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28/10/2021</vt:lpwstr>
  </property>
  <property fmtid="{D5CDD505-2E9C-101B-9397-08002B2CF9AE}" pid="5" name="DOI">
    <vt:lpwstr>https://doi.org/10.33321/cdi.2021.45.60</vt:lpwstr>
  </property>
</Properties>
</file>