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7765" w14:textId="5FBF6CD2"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B1770B">
          <w:t>2026</w:t>
        </w:r>
      </w:fldSimple>
      <w:r w:rsidR="00D22CC8" w:rsidRPr="00B85B74">
        <w:t xml:space="preserve"> • Volume </w:t>
      </w:r>
      <w:fldSimple w:instr=" DOCPROPERTY  Vol  \* MERGEFORMAT ">
        <w:r w:rsidR="00B1770B">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462E29">
          <w:t>20.10.2026</w:t>
        </w:r>
      </w:fldSimple>
      <w:r w:rsidR="00700338">
        <w:t xml:space="preserve"> </w:t>
      </w:r>
      <w:r w:rsidR="00700338" w:rsidRPr="00B85B74">
        <w:t xml:space="preserve">• </w:t>
      </w:r>
      <w:fldSimple w:instr=" DOCPROPERTY  DOI  \* MERGEFORMAT ">
        <w:r w:rsidR="00462E29">
          <w:t>doi.org/10.33321/cdi.2026.50.065</w:t>
        </w:r>
      </w:fldSimple>
    </w:p>
    <w:p w14:paraId="116717FD" w14:textId="751522E0" w:rsidR="006B16A5" w:rsidRPr="00142578" w:rsidRDefault="00462E29" w:rsidP="00CE2CC7">
      <w:pPr>
        <w:pStyle w:val="Title"/>
      </w:pPr>
      <w:r w:rsidRPr="00462E29">
        <w:t>Epidemiology of malaria in the Torres Strait Islands, Australia, 2000-2025 and the public health response to three recent outbreaks</w:t>
      </w:r>
    </w:p>
    <w:p w14:paraId="3B100487" w14:textId="711095F8" w:rsidR="00013B65" w:rsidRDefault="00462E29" w:rsidP="00BB3320">
      <w:pPr>
        <w:pStyle w:val="Subtitle"/>
      </w:pPr>
      <w:r w:rsidRPr="00462E29">
        <w:t xml:space="preserve">C Bowers, D Pourmarzi, J Hanson, A Hempenstall, P Dugdale, C Cashman, A </w:t>
      </w:r>
      <w:proofErr w:type="spellStart"/>
      <w:r w:rsidRPr="00462E29">
        <w:t>Fauid</w:t>
      </w:r>
      <w:proofErr w:type="spellEnd"/>
      <w:r w:rsidRPr="00462E29">
        <w:t xml:space="preserve">, G Ehlers, J Davis, D </w:t>
      </w:r>
      <w:proofErr w:type="spellStart"/>
      <w:r w:rsidRPr="00462E29">
        <w:t>Peniyamina</w:t>
      </w:r>
      <w:proofErr w:type="spellEnd"/>
      <w:r w:rsidRPr="00462E29">
        <w:t>, L Stephens, C Taunton</w:t>
      </w:r>
      <w:r w:rsidR="00013B65">
        <w:br w:type="page"/>
      </w:r>
    </w:p>
    <w:p w14:paraId="708A81B0"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B1770B">
          <w:t>2026</w:t>
        </w:r>
      </w:fldSimple>
      <w:r w:rsidRPr="0089025E">
        <w:t xml:space="preserve"> Commonwealth of Australia as represented by the </w:t>
      </w:r>
      <w:r w:rsidR="00C722FD">
        <w:t>Australian Centre for Disease Control</w:t>
      </w:r>
    </w:p>
    <w:p w14:paraId="0C9E2431" w14:textId="77777777" w:rsidR="00B52457" w:rsidRPr="0089025E" w:rsidRDefault="00B52457" w:rsidP="00087CC4">
      <w:pPr>
        <w:pStyle w:val="CDICopyright"/>
      </w:pPr>
      <w:r w:rsidRPr="0089025E">
        <w:t>ISSN: 2209-6051 Online</w:t>
      </w:r>
    </w:p>
    <w:p w14:paraId="29DF2AF8" w14:textId="77777777" w:rsidR="00B52457" w:rsidRDefault="00B52457" w:rsidP="00087CC4">
      <w:pPr>
        <w:pStyle w:val="CDICopyright"/>
      </w:pPr>
      <w:r w:rsidRPr="0089025E">
        <w:t>This journal is indexed by Index Medicus and Medline.</w:t>
      </w:r>
    </w:p>
    <w:p w14:paraId="7180244A" w14:textId="77777777" w:rsidR="00B52457" w:rsidRPr="007F2B27" w:rsidRDefault="00B52457" w:rsidP="00CC3648">
      <w:pPr>
        <w:pStyle w:val="CDICopyrightHeading"/>
      </w:pPr>
      <w:r w:rsidRPr="007F2B27">
        <w:t>Creative Commons Licence</w:t>
      </w:r>
    </w:p>
    <w:p w14:paraId="5BFD0D90"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15FE2FB2" w14:textId="77777777" w:rsidR="00B52457" w:rsidRPr="007F2B27" w:rsidRDefault="00B52457" w:rsidP="00CC3648">
      <w:pPr>
        <w:pStyle w:val="CDICopyrightHeading"/>
      </w:pPr>
      <w:r w:rsidRPr="007F2B27">
        <w:t>Restrictions</w:t>
      </w:r>
    </w:p>
    <w:p w14:paraId="53788619"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51BD3D08"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63DB2E7A"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6A92DE9A" w14:textId="77777777" w:rsidR="00B52457" w:rsidRPr="00E9313B" w:rsidRDefault="00B52457" w:rsidP="00E9313B">
      <w:pPr>
        <w:pStyle w:val="CDICopyrightBullets"/>
      </w:pPr>
      <w:r w:rsidRPr="00E9313B">
        <w:t xml:space="preserve">any photographs and images; </w:t>
      </w:r>
    </w:p>
    <w:p w14:paraId="1F72A372" w14:textId="77777777" w:rsidR="00B52457" w:rsidRPr="00E9313B" w:rsidRDefault="00B52457" w:rsidP="00E9313B">
      <w:pPr>
        <w:pStyle w:val="CDICopyrightBullets"/>
      </w:pPr>
      <w:r w:rsidRPr="00E9313B">
        <w:t>any signatures; and</w:t>
      </w:r>
    </w:p>
    <w:p w14:paraId="0BF51CAA" w14:textId="77777777" w:rsidR="00B52457" w:rsidRPr="003C23C9" w:rsidRDefault="00B52457" w:rsidP="00E9313B">
      <w:pPr>
        <w:pStyle w:val="CDICopyrightBullets"/>
      </w:pPr>
      <w:r w:rsidRPr="00E9313B">
        <w:t>any</w:t>
      </w:r>
      <w:r w:rsidRPr="003C23C9">
        <w:t xml:space="preserve"> material belonging to third parties.</w:t>
      </w:r>
    </w:p>
    <w:p w14:paraId="55596DD6" w14:textId="77777777" w:rsidR="00B52457" w:rsidRPr="00CC3648" w:rsidRDefault="00B52457" w:rsidP="00CC3648">
      <w:pPr>
        <w:pStyle w:val="CDICopyrightHeading"/>
      </w:pPr>
      <w:r w:rsidRPr="00CC3648">
        <w:t>Disclaimer</w:t>
      </w:r>
    </w:p>
    <w:p w14:paraId="62D7A0E7"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0544A8EB" w14:textId="77777777" w:rsidR="00B52457" w:rsidRPr="007F2B27" w:rsidRDefault="00B52457" w:rsidP="00CC3648">
      <w:pPr>
        <w:pStyle w:val="CDICopyrightHeading"/>
      </w:pPr>
      <w:r w:rsidRPr="007F2B27">
        <w:t>Enquiries</w:t>
      </w:r>
    </w:p>
    <w:p w14:paraId="36110189"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4574A728" w14:textId="77777777" w:rsidR="00B52457" w:rsidRPr="00596D1D" w:rsidRDefault="00B52457" w:rsidP="00596D1D">
      <w:pPr>
        <w:pStyle w:val="CDIAbout"/>
        <w:rPr>
          <w:b w:val="0"/>
          <w:bCs/>
        </w:rPr>
      </w:pPr>
      <w:bookmarkStart w:id="1" w:name="_Toc190257376"/>
      <w:r w:rsidRPr="00596D1D">
        <w:rPr>
          <w:b w:val="0"/>
          <w:bCs/>
        </w:rPr>
        <w:t xml:space="preserve">About </w:t>
      </w:r>
      <w:bookmarkEnd w:id="1"/>
      <w:r w:rsidR="0022524E" w:rsidRPr="00596D1D">
        <w:rPr>
          <w:b w:val="0"/>
          <w:bCs/>
        </w:rPr>
        <w:t>CDI</w:t>
      </w:r>
    </w:p>
    <w:p w14:paraId="273D80D3"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7D83E994"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48A4C52E"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742D5DA2"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0B6E0D96"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180BDF2E"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1A7D9738" w14:textId="77777777" w:rsidR="00B52457" w:rsidRPr="00B87589" w:rsidRDefault="00B52457" w:rsidP="00B87589">
      <w:pPr>
        <w:pStyle w:val="CDIAbouttext"/>
        <w:rPr>
          <w:b/>
          <w:bCs/>
        </w:rPr>
      </w:pPr>
      <w:r w:rsidRPr="00B87589">
        <w:rPr>
          <w:b/>
          <w:bCs/>
        </w:rPr>
        <w:t>Contact us</w:t>
      </w:r>
    </w:p>
    <w:p w14:paraId="5F1EF8F6" w14:textId="77777777" w:rsidR="00B52457" w:rsidRPr="00087CC4" w:rsidRDefault="00B52457" w:rsidP="00360B3A">
      <w:pPr>
        <w:pStyle w:val="CDIAbouttextLess"/>
      </w:pPr>
      <w:r w:rsidRPr="009572C6">
        <w:t>Communicable Diseases Intelligence</w:t>
      </w:r>
      <w:r w:rsidRPr="00087CC4">
        <w:t xml:space="preserve"> (CDI)</w:t>
      </w:r>
    </w:p>
    <w:p w14:paraId="4241E95B" w14:textId="77777777" w:rsidR="00B52457" w:rsidRPr="00087CC4" w:rsidRDefault="009572C6" w:rsidP="00360B3A">
      <w:pPr>
        <w:pStyle w:val="CDIAbouttextLess"/>
      </w:pPr>
      <w:r>
        <w:t>Australian Centre for Disease Control</w:t>
      </w:r>
    </w:p>
    <w:p w14:paraId="75A228CA"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6903BA54"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4F10068D"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34D8277D"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41653645"/>
      <w:bookmarkStart w:id="7" w:name="_Toc195530496"/>
      <w:r>
        <w:lastRenderedPageBreak/>
        <w:t>Contents</w:t>
      </w:r>
      <w:bookmarkEnd w:id="2"/>
      <w:bookmarkEnd w:id="3"/>
      <w:bookmarkEnd w:id="4"/>
      <w:bookmarkEnd w:id="5"/>
      <w:bookmarkEnd w:id="6"/>
    </w:p>
    <w:p w14:paraId="68665C8E" w14:textId="5D5FDCF2" w:rsidR="00596D1D" w:rsidRPr="00596D1D" w:rsidRDefault="005A4E9D" w:rsidP="00596D1D">
      <w:pPr>
        <w:pStyle w:val="TOC1"/>
        <w:spacing w:before="360"/>
        <w:rPr>
          <w:noProof/>
          <w:lang w:eastAsia="en-AU"/>
        </w:rPr>
      </w:pPr>
      <w:r>
        <w:fldChar w:fldCharType="begin"/>
      </w:r>
      <w:r>
        <w:instrText xml:space="preserve"> TOC \o "1-1" \h \z \t "Heading 2,2,Heading 2 - no space before,2,Heading 2 - less space before,2,Heading 2 - new page,2" </w:instrText>
      </w:r>
      <w:r>
        <w:fldChar w:fldCharType="separate"/>
      </w:r>
      <w:hyperlink w:anchor="_Toc241653646" w:history="1">
        <w:r w:rsidR="00596D1D" w:rsidRPr="00CD752B">
          <w:rPr>
            <w:rStyle w:val="Hyperlink"/>
            <w:noProof/>
          </w:rPr>
          <w:t>Abstract</w:t>
        </w:r>
        <w:r w:rsidR="00596D1D">
          <w:rPr>
            <w:noProof/>
            <w:webHidden/>
          </w:rPr>
          <w:tab/>
        </w:r>
        <w:r w:rsidR="00596D1D">
          <w:rPr>
            <w:noProof/>
            <w:webHidden/>
          </w:rPr>
          <w:fldChar w:fldCharType="begin"/>
        </w:r>
        <w:r w:rsidR="00596D1D">
          <w:rPr>
            <w:noProof/>
            <w:webHidden/>
          </w:rPr>
          <w:instrText xml:space="preserve"> PAGEREF _Toc241653646 \h </w:instrText>
        </w:r>
        <w:r w:rsidR="00596D1D">
          <w:rPr>
            <w:noProof/>
            <w:webHidden/>
          </w:rPr>
        </w:r>
        <w:r w:rsidR="00596D1D">
          <w:rPr>
            <w:noProof/>
            <w:webHidden/>
          </w:rPr>
          <w:fldChar w:fldCharType="separate"/>
        </w:r>
        <w:r w:rsidR="00431D74">
          <w:rPr>
            <w:noProof/>
            <w:webHidden/>
          </w:rPr>
          <w:t>4</w:t>
        </w:r>
        <w:r w:rsidR="00596D1D">
          <w:rPr>
            <w:noProof/>
            <w:webHidden/>
          </w:rPr>
          <w:fldChar w:fldCharType="end"/>
        </w:r>
      </w:hyperlink>
    </w:p>
    <w:p w14:paraId="39F9A16E" w14:textId="6429E0EC" w:rsidR="00596D1D" w:rsidRPr="00596D1D" w:rsidRDefault="00596D1D">
      <w:pPr>
        <w:pStyle w:val="TOC2"/>
        <w:tabs>
          <w:tab w:val="right" w:leader="dot" w:pos="9629"/>
        </w:tabs>
        <w:rPr>
          <w:noProof/>
          <w:lang w:eastAsia="en-AU"/>
        </w:rPr>
      </w:pPr>
      <w:hyperlink w:anchor="_Toc241653647" w:history="1">
        <w:r w:rsidRPr="00CD752B">
          <w:rPr>
            <w:rStyle w:val="Hyperlink"/>
            <w:noProof/>
            <w:lang w:val="en-GB"/>
          </w:rPr>
          <w:t>Background</w:t>
        </w:r>
        <w:r>
          <w:rPr>
            <w:noProof/>
            <w:webHidden/>
          </w:rPr>
          <w:tab/>
        </w:r>
        <w:r>
          <w:rPr>
            <w:noProof/>
            <w:webHidden/>
          </w:rPr>
          <w:fldChar w:fldCharType="begin"/>
        </w:r>
        <w:r>
          <w:rPr>
            <w:noProof/>
            <w:webHidden/>
          </w:rPr>
          <w:instrText xml:space="preserve"> PAGEREF _Toc241653647 \h </w:instrText>
        </w:r>
        <w:r>
          <w:rPr>
            <w:noProof/>
            <w:webHidden/>
          </w:rPr>
        </w:r>
        <w:r>
          <w:rPr>
            <w:noProof/>
            <w:webHidden/>
          </w:rPr>
          <w:fldChar w:fldCharType="separate"/>
        </w:r>
        <w:r w:rsidR="00431D74">
          <w:rPr>
            <w:noProof/>
            <w:webHidden/>
          </w:rPr>
          <w:t>4</w:t>
        </w:r>
        <w:r>
          <w:rPr>
            <w:noProof/>
            <w:webHidden/>
          </w:rPr>
          <w:fldChar w:fldCharType="end"/>
        </w:r>
      </w:hyperlink>
    </w:p>
    <w:p w14:paraId="38B2DDBE" w14:textId="21850D8C" w:rsidR="00596D1D" w:rsidRPr="00596D1D" w:rsidRDefault="00596D1D">
      <w:pPr>
        <w:pStyle w:val="TOC2"/>
        <w:tabs>
          <w:tab w:val="right" w:leader="dot" w:pos="9629"/>
        </w:tabs>
        <w:rPr>
          <w:noProof/>
          <w:lang w:eastAsia="en-AU"/>
        </w:rPr>
      </w:pPr>
      <w:hyperlink w:anchor="_Toc241653648" w:history="1">
        <w:r w:rsidRPr="00CD752B">
          <w:rPr>
            <w:rStyle w:val="Hyperlink"/>
            <w:noProof/>
            <w:lang w:val="en-GB"/>
          </w:rPr>
          <w:t>Methods</w:t>
        </w:r>
        <w:r>
          <w:rPr>
            <w:noProof/>
            <w:webHidden/>
          </w:rPr>
          <w:tab/>
        </w:r>
        <w:r>
          <w:rPr>
            <w:noProof/>
            <w:webHidden/>
          </w:rPr>
          <w:fldChar w:fldCharType="begin"/>
        </w:r>
        <w:r>
          <w:rPr>
            <w:noProof/>
            <w:webHidden/>
          </w:rPr>
          <w:instrText xml:space="preserve"> PAGEREF _Toc241653648 \h </w:instrText>
        </w:r>
        <w:r>
          <w:rPr>
            <w:noProof/>
            <w:webHidden/>
          </w:rPr>
        </w:r>
        <w:r>
          <w:rPr>
            <w:noProof/>
            <w:webHidden/>
          </w:rPr>
          <w:fldChar w:fldCharType="separate"/>
        </w:r>
        <w:r w:rsidR="00431D74">
          <w:rPr>
            <w:noProof/>
            <w:webHidden/>
          </w:rPr>
          <w:t>4</w:t>
        </w:r>
        <w:r>
          <w:rPr>
            <w:noProof/>
            <w:webHidden/>
          </w:rPr>
          <w:fldChar w:fldCharType="end"/>
        </w:r>
      </w:hyperlink>
    </w:p>
    <w:p w14:paraId="40F18143" w14:textId="04F0D8DB" w:rsidR="00596D1D" w:rsidRPr="00596D1D" w:rsidRDefault="00596D1D">
      <w:pPr>
        <w:pStyle w:val="TOC2"/>
        <w:tabs>
          <w:tab w:val="right" w:leader="dot" w:pos="9629"/>
        </w:tabs>
        <w:rPr>
          <w:noProof/>
          <w:lang w:eastAsia="en-AU"/>
        </w:rPr>
      </w:pPr>
      <w:hyperlink w:anchor="_Toc241653649" w:history="1">
        <w:r w:rsidRPr="00CD752B">
          <w:rPr>
            <w:rStyle w:val="Hyperlink"/>
            <w:noProof/>
            <w:lang w:val="en-GB"/>
          </w:rPr>
          <w:t>Results</w:t>
        </w:r>
        <w:r>
          <w:rPr>
            <w:noProof/>
            <w:webHidden/>
          </w:rPr>
          <w:tab/>
        </w:r>
        <w:r>
          <w:rPr>
            <w:noProof/>
            <w:webHidden/>
          </w:rPr>
          <w:fldChar w:fldCharType="begin"/>
        </w:r>
        <w:r>
          <w:rPr>
            <w:noProof/>
            <w:webHidden/>
          </w:rPr>
          <w:instrText xml:space="preserve"> PAGEREF _Toc241653649 \h </w:instrText>
        </w:r>
        <w:r>
          <w:rPr>
            <w:noProof/>
            <w:webHidden/>
          </w:rPr>
        </w:r>
        <w:r>
          <w:rPr>
            <w:noProof/>
            <w:webHidden/>
          </w:rPr>
          <w:fldChar w:fldCharType="separate"/>
        </w:r>
        <w:r w:rsidR="00431D74">
          <w:rPr>
            <w:noProof/>
            <w:webHidden/>
          </w:rPr>
          <w:t>4</w:t>
        </w:r>
        <w:r>
          <w:rPr>
            <w:noProof/>
            <w:webHidden/>
          </w:rPr>
          <w:fldChar w:fldCharType="end"/>
        </w:r>
      </w:hyperlink>
    </w:p>
    <w:p w14:paraId="0BF8CCDF" w14:textId="143AA702" w:rsidR="00596D1D" w:rsidRPr="00596D1D" w:rsidRDefault="00596D1D">
      <w:pPr>
        <w:pStyle w:val="TOC2"/>
        <w:tabs>
          <w:tab w:val="right" w:leader="dot" w:pos="9629"/>
        </w:tabs>
        <w:rPr>
          <w:noProof/>
          <w:lang w:eastAsia="en-AU"/>
        </w:rPr>
      </w:pPr>
      <w:hyperlink w:anchor="_Toc241653650" w:history="1">
        <w:r w:rsidRPr="00CD752B">
          <w:rPr>
            <w:rStyle w:val="Hyperlink"/>
            <w:noProof/>
            <w:lang w:val="en-GB"/>
          </w:rPr>
          <w:t>Discussion and conclusion</w:t>
        </w:r>
        <w:r>
          <w:rPr>
            <w:noProof/>
            <w:webHidden/>
          </w:rPr>
          <w:tab/>
        </w:r>
        <w:r>
          <w:rPr>
            <w:noProof/>
            <w:webHidden/>
          </w:rPr>
          <w:fldChar w:fldCharType="begin"/>
        </w:r>
        <w:r>
          <w:rPr>
            <w:noProof/>
            <w:webHidden/>
          </w:rPr>
          <w:instrText xml:space="preserve"> PAGEREF _Toc241653650 \h </w:instrText>
        </w:r>
        <w:r>
          <w:rPr>
            <w:noProof/>
            <w:webHidden/>
          </w:rPr>
        </w:r>
        <w:r>
          <w:rPr>
            <w:noProof/>
            <w:webHidden/>
          </w:rPr>
          <w:fldChar w:fldCharType="separate"/>
        </w:r>
        <w:r w:rsidR="00431D74">
          <w:rPr>
            <w:noProof/>
            <w:webHidden/>
          </w:rPr>
          <w:t>4</w:t>
        </w:r>
        <w:r>
          <w:rPr>
            <w:noProof/>
            <w:webHidden/>
          </w:rPr>
          <w:fldChar w:fldCharType="end"/>
        </w:r>
      </w:hyperlink>
    </w:p>
    <w:p w14:paraId="62D83F35" w14:textId="399E244D" w:rsidR="00596D1D" w:rsidRPr="00596D1D" w:rsidRDefault="00596D1D">
      <w:pPr>
        <w:pStyle w:val="TOC1"/>
        <w:rPr>
          <w:noProof/>
          <w:lang w:eastAsia="en-AU"/>
        </w:rPr>
      </w:pPr>
      <w:hyperlink w:anchor="_Toc241653651" w:history="1">
        <w:r w:rsidRPr="00CD752B">
          <w:rPr>
            <w:rStyle w:val="Hyperlink"/>
            <w:noProof/>
          </w:rPr>
          <w:t>Background</w:t>
        </w:r>
        <w:r>
          <w:rPr>
            <w:noProof/>
            <w:webHidden/>
          </w:rPr>
          <w:tab/>
        </w:r>
        <w:r>
          <w:rPr>
            <w:noProof/>
            <w:webHidden/>
          </w:rPr>
          <w:fldChar w:fldCharType="begin"/>
        </w:r>
        <w:r>
          <w:rPr>
            <w:noProof/>
            <w:webHidden/>
          </w:rPr>
          <w:instrText xml:space="preserve"> PAGEREF _Toc241653651 \h </w:instrText>
        </w:r>
        <w:r>
          <w:rPr>
            <w:noProof/>
            <w:webHidden/>
          </w:rPr>
        </w:r>
        <w:r>
          <w:rPr>
            <w:noProof/>
            <w:webHidden/>
          </w:rPr>
          <w:fldChar w:fldCharType="separate"/>
        </w:r>
        <w:r w:rsidR="00431D74">
          <w:rPr>
            <w:noProof/>
            <w:webHidden/>
          </w:rPr>
          <w:t>5</w:t>
        </w:r>
        <w:r>
          <w:rPr>
            <w:noProof/>
            <w:webHidden/>
          </w:rPr>
          <w:fldChar w:fldCharType="end"/>
        </w:r>
      </w:hyperlink>
    </w:p>
    <w:p w14:paraId="1CFDB6F0" w14:textId="5064D625" w:rsidR="00596D1D" w:rsidRPr="00596D1D" w:rsidRDefault="00596D1D">
      <w:pPr>
        <w:pStyle w:val="TOC1"/>
        <w:rPr>
          <w:noProof/>
          <w:lang w:eastAsia="en-AU"/>
        </w:rPr>
      </w:pPr>
      <w:hyperlink w:anchor="_Toc241653652" w:history="1">
        <w:r w:rsidRPr="00CD752B">
          <w:rPr>
            <w:rStyle w:val="Hyperlink"/>
            <w:noProof/>
            <w:lang w:val="en-GB"/>
          </w:rPr>
          <w:t>Methods</w:t>
        </w:r>
        <w:r>
          <w:rPr>
            <w:noProof/>
            <w:webHidden/>
          </w:rPr>
          <w:tab/>
        </w:r>
        <w:r>
          <w:rPr>
            <w:noProof/>
            <w:webHidden/>
          </w:rPr>
          <w:fldChar w:fldCharType="begin"/>
        </w:r>
        <w:r>
          <w:rPr>
            <w:noProof/>
            <w:webHidden/>
          </w:rPr>
          <w:instrText xml:space="preserve"> PAGEREF _Toc241653652 \h </w:instrText>
        </w:r>
        <w:r>
          <w:rPr>
            <w:noProof/>
            <w:webHidden/>
          </w:rPr>
        </w:r>
        <w:r>
          <w:rPr>
            <w:noProof/>
            <w:webHidden/>
          </w:rPr>
          <w:fldChar w:fldCharType="separate"/>
        </w:r>
        <w:r w:rsidR="00431D74">
          <w:rPr>
            <w:noProof/>
            <w:webHidden/>
          </w:rPr>
          <w:t>7</w:t>
        </w:r>
        <w:r>
          <w:rPr>
            <w:noProof/>
            <w:webHidden/>
          </w:rPr>
          <w:fldChar w:fldCharType="end"/>
        </w:r>
      </w:hyperlink>
    </w:p>
    <w:p w14:paraId="4C5FD121" w14:textId="5010885B" w:rsidR="00596D1D" w:rsidRPr="00596D1D" w:rsidRDefault="00596D1D">
      <w:pPr>
        <w:pStyle w:val="TOC2"/>
        <w:tabs>
          <w:tab w:val="right" w:leader="dot" w:pos="9629"/>
        </w:tabs>
        <w:rPr>
          <w:noProof/>
          <w:lang w:eastAsia="en-AU"/>
        </w:rPr>
      </w:pPr>
      <w:hyperlink w:anchor="_Toc241653653" w:history="1">
        <w:r w:rsidRPr="00CD752B">
          <w:rPr>
            <w:rStyle w:val="Hyperlink"/>
            <w:noProof/>
            <w:lang w:val="en-GB"/>
          </w:rPr>
          <w:t>Epidemiology of malaria, 2000–2025</w:t>
        </w:r>
        <w:r>
          <w:rPr>
            <w:noProof/>
            <w:webHidden/>
          </w:rPr>
          <w:tab/>
        </w:r>
        <w:r>
          <w:rPr>
            <w:noProof/>
            <w:webHidden/>
          </w:rPr>
          <w:fldChar w:fldCharType="begin"/>
        </w:r>
        <w:r>
          <w:rPr>
            <w:noProof/>
            <w:webHidden/>
          </w:rPr>
          <w:instrText xml:space="preserve"> PAGEREF _Toc241653653 \h </w:instrText>
        </w:r>
        <w:r>
          <w:rPr>
            <w:noProof/>
            <w:webHidden/>
          </w:rPr>
        </w:r>
        <w:r>
          <w:rPr>
            <w:noProof/>
            <w:webHidden/>
          </w:rPr>
          <w:fldChar w:fldCharType="separate"/>
        </w:r>
        <w:r w:rsidR="00431D74">
          <w:rPr>
            <w:noProof/>
            <w:webHidden/>
          </w:rPr>
          <w:t>7</w:t>
        </w:r>
        <w:r>
          <w:rPr>
            <w:noProof/>
            <w:webHidden/>
          </w:rPr>
          <w:fldChar w:fldCharType="end"/>
        </w:r>
      </w:hyperlink>
    </w:p>
    <w:p w14:paraId="12E6C4D2" w14:textId="2E9421C6" w:rsidR="00596D1D" w:rsidRPr="00596D1D" w:rsidRDefault="00596D1D">
      <w:pPr>
        <w:pStyle w:val="TOC2"/>
        <w:tabs>
          <w:tab w:val="right" w:leader="dot" w:pos="9629"/>
        </w:tabs>
        <w:rPr>
          <w:noProof/>
          <w:lang w:eastAsia="en-AU"/>
        </w:rPr>
      </w:pPr>
      <w:hyperlink w:anchor="_Toc241653654" w:history="1">
        <w:r w:rsidRPr="00CD752B">
          <w:rPr>
            <w:rStyle w:val="Hyperlink"/>
            <w:noProof/>
            <w:lang w:val="en-GB"/>
          </w:rPr>
          <w:t>Malaria outbreaks, 2023 and 2025</w:t>
        </w:r>
        <w:r>
          <w:rPr>
            <w:noProof/>
            <w:webHidden/>
          </w:rPr>
          <w:tab/>
        </w:r>
        <w:r>
          <w:rPr>
            <w:noProof/>
            <w:webHidden/>
          </w:rPr>
          <w:fldChar w:fldCharType="begin"/>
        </w:r>
        <w:r>
          <w:rPr>
            <w:noProof/>
            <w:webHidden/>
          </w:rPr>
          <w:instrText xml:space="preserve"> PAGEREF _Toc241653654 \h </w:instrText>
        </w:r>
        <w:r>
          <w:rPr>
            <w:noProof/>
            <w:webHidden/>
          </w:rPr>
        </w:r>
        <w:r>
          <w:rPr>
            <w:noProof/>
            <w:webHidden/>
          </w:rPr>
          <w:fldChar w:fldCharType="separate"/>
        </w:r>
        <w:r w:rsidR="00431D74">
          <w:rPr>
            <w:noProof/>
            <w:webHidden/>
          </w:rPr>
          <w:t>7</w:t>
        </w:r>
        <w:r>
          <w:rPr>
            <w:noProof/>
            <w:webHidden/>
          </w:rPr>
          <w:fldChar w:fldCharType="end"/>
        </w:r>
      </w:hyperlink>
    </w:p>
    <w:p w14:paraId="3A1959FF" w14:textId="735E646A" w:rsidR="00596D1D" w:rsidRPr="00596D1D" w:rsidRDefault="00596D1D">
      <w:pPr>
        <w:pStyle w:val="TOC2"/>
        <w:tabs>
          <w:tab w:val="right" w:leader="dot" w:pos="9629"/>
        </w:tabs>
        <w:rPr>
          <w:noProof/>
          <w:lang w:eastAsia="en-AU"/>
        </w:rPr>
      </w:pPr>
      <w:hyperlink w:anchor="_Toc241653655" w:history="1">
        <w:r w:rsidRPr="00CD752B">
          <w:rPr>
            <w:rStyle w:val="Hyperlink"/>
            <w:noProof/>
            <w:lang w:val="en-GB"/>
          </w:rPr>
          <w:t>Ethics</w:t>
        </w:r>
        <w:r>
          <w:rPr>
            <w:noProof/>
            <w:webHidden/>
          </w:rPr>
          <w:tab/>
        </w:r>
        <w:r>
          <w:rPr>
            <w:noProof/>
            <w:webHidden/>
          </w:rPr>
          <w:fldChar w:fldCharType="begin"/>
        </w:r>
        <w:r>
          <w:rPr>
            <w:noProof/>
            <w:webHidden/>
          </w:rPr>
          <w:instrText xml:space="preserve"> PAGEREF _Toc241653655 \h </w:instrText>
        </w:r>
        <w:r>
          <w:rPr>
            <w:noProof/>
            <w:webHidden/>
          </w:rPr>
        </w:r>
        <w:r>
          <w:rPr>
            <w:noProof/>
            <w:webHidden/>
          </w:rPr>
          <w:fldChar w:fldCharType="separate"/>
        </w:r>
        <w:r w:rsidR="00431D74">
          <w:rPr>
            <w:noProof/>
            <w:webHidden/>
          </w:rPr>
          <w:t>9</w:t>
        </w:r>
        <w:r>
          <w:rPr>
            <w:noProof/>
            <w:webHidden/>
          </w:rPr>
          <w:fldChar w:fldCharType="end"/>
        </w:r>
      </w:hyperlink>
    </w:p>
    <w:p w14:paraId="799E5DD4" w14:textId="7E54347D" w:rsidR="00596D1D" w:rsidRPr="00596D1D" w:rsidRDefault="00596D1D">
      <w:pPr>
        <w:pStyle w:val="TOC1"/>
        <w:rPr>
          <w:noProof/>
          <w:lang w:eastAsia="en-AU"/>
        </w:rPr>
      </w:pPr>
      <w:hyperlink w:anchor="_Toc241653656" w:history="1">
        <w:r w:rsidRPr="00CD752B">
          <w:rPr>
            <w:rStyle w:val="Hyperlink"/>
            <w:noProof/>
          </w:rPr>
          <w:t>Results</w:t>
        </w:r>
        <w:r>
          <w:rPr>
            <w:noProof/>
            <w:webHidden/>
          </w:rPr>
          <w:tab/>
        </w:r>
        <w:r>
          <w:rPr>
            <w:noProof/>
            <w:webHidden/>
          </w:rPr>
          <w:fldChar w:fldCharType="begin"/>
        </w:r>
        <w:r>
          <w:rPr>
            <w:noProof/>
            <w:webHidden/>
          </w:rPr>
          <w:instrText xml:space="preserve"> PAGEREF _Toc241653656 \h </w:instrText>
        </w:r>
        <w:r>
          <w:rPr>
            <w:noProof/>
            <w:webHidden/>
          </w:rPr>
        </w:r>
        <w:r>
          <w:rPr>
            <w:noProof/>
            <w:webHidden/>
          </w:rPr>
          <w:fldChar w:fldCharType="separate"/>
        </w:r>
        <w:r w:rsidR="00431D74">
          <w:rPr>
            <w:noProof/>
            <w:webHidden/>
          </w:rPr>
          <w:t>10</w:t>
        </w:r>
        <w:r>
          <w:rPr>
            <w:noProof/>
            <w:webHidden/>
          </w:rPr>
          <w:fldChar w:fldCharType="end"/>
        </w:r>
      </w:hyperlink>
    </w:p>
    <w:p w14:paraId="4B82982F" w14:textId="61188C81" w:rsidR="00596D1D" w:rsidRPr="00596D1D" w:rsidRDefault="00596D1D">
      <w:pPr>
        <w:pStyle w:val="TOC2"/>
        <w:tabs>
          <w:tab w:val="right" w:leader="dot" w:pos="9629"/>
        </w:tabs>
        <w:rPr>
          <w:noProof/>
          <w:lang w:eastAsia="en-AU"/>
        </w:rPr>
      </w:pPr>
      <w:hyperlink w:anchor="_Toc241653657" w:history="1">
        <w:r w:rsidRPr="00CD752B">
          <w:rPr>
            <w:rStyle w:val="Hyperlink"/>
            <w:noProof/>
            <w:lang w:val="en-GB"/>
          </w:rPr>
          <w:t>Malaria cases notified in the Torres Strait, 1 January 2000 to 31 December 2025</w:t>
        </w:r>
        <w:r>
          <w:rPr>
            <w:noProof/>
            <w:webHidden/>
          </w:rPr>
          <w:tab/>
        </w:r>
        <w:r>
          <w:rPr>
            <w:noProof/>
            <w:webHidden/>
          </w:rPr>
          <w:fldChar w:fldCharType="begin"/>
        </w:r>
        <w:r>
          <w:rPr>
            <w:noProof/>
            <w:webHidden/>
          </w:rPr>
          <w:instrText xml:space="preserve"> PAGEREF _Toc241653657 \h </w:instrText>
        </w:r>
        <w:r>
          <w:rPr>
            <w:noProof/>
            <w:webHidden/>
          </w:rPr>
        </w:r>
        <w:r>
          <w:rPr>
            <w:noProof/>
            <w:webHidden/>
          </w:rPr>
          <w:fldChar w:fldCharType="separate"/>
        </w:r>
        <w:r w:rsidR="00431D74">
          <w:rPr>
            <w:noProof/>
            <w:webHidden/>
          </w:rPr>
          <w:t>10</w:t>
        </w:r>
        <w:r>
          <w:rPr>
            <w:noProof/>
            <w:webHidden/>
          </w:rPr>
          <w:fldChar w:fldCharType="end"/>
        </w:r>
      </w:hyperlink>
    </w:p>
    <w:p w14:paraId="6C151AD0" w14:textId="14651B3D" w:rsidR="00596D1D" w:rsidRPr="00596D1D" w:rsidRDefault="00596D1D">
      <w:pPr>
        <w:pStyle w:val="TOC2"/>
        <w:tabs>
          <w:tab w:val="right" w:leader="dot" w:pos="9629"/>
        </w:tabs>
        <w:rPr>
          <w:noProof/>
          <w:lang w:eastAsia="en-AU"/>
        </w:rPr>
      </w:pPr>
      <w:hyperlink w:anchor="_Toc241653658" w:history="1">
        <w:r w:rsidRPr="00CD752B">
          <w:rPr>
            <w:rStyle w:val="Hyperlink"/>
            <w:noProof/>
            <w:lang w:val="en-GB"/>
          </w:rPr>
          <w:t>Public health response to three malaria outbreaks in the Torres Strait, 2023 to 2025</w:t>
        </w:r>
        <w:r>
          <w:rPr>
            <w:noProof/>
            <w:webHidden/>
          </w:rPr>
          <w:tab/>
        </w:r>
        <w:r>
          <w:rPr>
            <w:noProof/>
            <w:webHidden/>
          </w:rPr>
          <w:fldChar w:fldCharType="begin"/>
        </w:r>
        <w:r>
          <w:rPr>
            <w:noProof/>
            <w:webHidden/>
          </w:rPr>
          <w:instrText xml:space="preserve"> PAGEREF _Toc241653658 \h </w:instrText>
        </w:r>
        <w:r>
          <w:rPr>
            <w:noProof/>
            <w:webHidden/>
          </w:rPr>
        </w:r>
        <w:r>
          <w:rPr>
            <w:noProof/>
            <w:webHidden/>
          </w:rPr>
          <w:fldChar w:fldCharType="separate"/>
        </w:r>
        <w:r w:rsidR="00431D74">
          <w:rPr>
            <w:noProof/>
            <w:webHidden/>
          </w:rPr>
          <w:t>13</w:t>
        </w:r>
        <w:r>
          <w:rPr>
            <w:noProof/>
            <w:webHidden/>
          </w:rPr>
          <w:fldChar w:fldCharType="end"/>
        </w:r>
      </w:hyperlink>
    </w:p>
    <w:p w14:paraId="00B2924E" w14:textId="7050DBDA" w:rsidR="00596D1D" w:rsidRPr="00596D1D" w:rsidRDefault="00596D1D">
      <w:pPr>
        <w:pStyle w:val="TOC1"/>
        <w:rPr>
          <w:noProof/>
          <w:lang w:eastAsia="en-AU"/>
        </w:rPr>
      </w:pPr>
      <w:hyperlink w:anchor="_Toc241653659" w:history="1">
        <w:r w:rsidRPr="00CD752B">
          <w:rPr>
            <w:rStyle w:val="Hyperlink"/>
            <w:noProof/>
          </w:rPr>
          <w:t>Discussion</w:t>
        </w:r>
        <w:r>
          <w:rPr>
            <w:noProof/>
            <w:webHidden/>
          </w:rPr>
          <w:tab/>
        </w:r>
        <w:r>
          <w:rPr>
            <w:noProof/>
            <w:webHidden/>
          </w:rPr>
          <w:fldChar w:fldCharType="begin"/>
        </w:r>
        <w:r>
          <w:rPr>
            <w:noProof/>
            <w:webHidden/>
          </w:rPr>
          <w:instrText xml:space="preserve"> PAGEREF _Toc241653659 \h </w:instrText>
        </w:r>
        <w:r>
          <w:rPr>
            <w:noProof/>
            <w:webHidden/>
          </w:rPr>
        </w:r>
        <w:r>
          <w:rPr>
            <w:noProof/>
            <w:webHidden/>
          </w:rPr>
          <w:fldChar w:fldCharType="separate"/>
        </w:r>
        <w:r w:rsidR="00431D74">
          <w:rPr>
            <w:noProof/>
            <w:webHidden/>
          </w:rPr>
          <w:t>16</w:t>
        </w:r>
        <w:r>
          <w:rPr>
            <w:noProof/>
            <w:webHidden/>
          </w:rPr>
          <w:fldChar w:fldCharType="end"/>
        </w:r>
      </w:hyperlink>
    </w:p>
    <w:p w14:paraId="5DA36DCF" w14:textId="2839BD46" w:rsidR="00596D1D" w:rsidRPr="00596D1D" w:rsidRDefault="00596D1D">
      <w:pPr>
        <w:pStyle w:val="TOC1"/>
        <w:rPr>
          <w:noProof/>
          <w:lang w:eastAsia="en-AU"/>
        </w:rPr>
      </w:pPr>
      <w:hyperlink w:anchor="_Toc241653660" w:history="1">
        <w:r w:rsidRPr="00CD752B">
          <w:rPr>
            <w:rStyle w:val="Hyperlink"/>
            <w:noProof/>
          </w:rPr>
          <w:t>Conclusion</w:t>
        </w:r>
        <w:r>
          <w:rPr>
            <w:noProof/>
            <w:webHidden/>
          </w:rPr>
          <w:tab/>
        </w:r>
        <w:r>
          <w:rPr>
            <w:noProof/>
            <w:webHidden/>
          </w:rPr>
          <w:fldChar w:fldCharType="begin"/>
        </w:r>
        <w:r>
          <w:rPr>
            <w:noProof/>
            <w:webHidden/>
          </w:rPr>
          <w:instrText xml:space="preserve"> PAGEREF _Toc241653660 \h </w:instrText>
        </w:r>
        <w:r>
          <w:rPr>
            <w:noProof/>
            <w:webHidden/>
          </w:rPr>
        </w:r>
        <w:r>
          <w:rPr>
            <w:noProof/>
            <w:webHidden/>
          </w:rPr>
          <w:fldChar w:fldCharType="separate"/>
        </w:r>
        <w:r w:rsidR="00431D74">
          <w:rPr>
            <w:noProof/>
            <w:webHidden/>
          </w:rPr>
          <w:t>18</w:t>
        </w:r>
        <w:r>
          <w:rPr>
            <w:noProof/>
            <w:webHidden/>
          </w:rPr>
          <w:fldChar w:fldCharType="end"/>
        </w:r>
      </w:hyperlink>
    </w:p>
    <w:p w14:paraId="61B8963C" w14:textId="34B25177" w:rsidR="00596D1D" w:rsidRPr="00596D1D" w:rsidRDefault="00596D1D">
      <w:pPr>
        <w:pStyle w:val="TOC1"/>
        <w:rPr>
          <w:noProof/>
          <w:lang w:eastAsia="en-AU"/>
        </w:rPr>
      </w:pPr>
      <w:hyperlink w:anchor="_Toc241653661" w:history="1">
        <w:r w:rsidRPr="00CD752B">
          <w:rPr>
            <w:rStyle w:val="Hyperlink"/>
            <w:noProof/>
          </w:rPr>
          <w:t>Acknowledgments</w:t>
        </w:r>
        <w:r>
          <w:rPr>
            <w:noProof/>
            <w:webHidden/>
          </w:rPr>
          <w:tab/>
        </w:r>
        <w:r>
          <w:rPr>
            <w:noProof/>
            <w:webHidden/>
          </w:rPr>
          <w:fldChar w:fldCharType="begin"/>
        </w:r>
        <w:r>
          <w:rPr>
            <w:noProof/>
            <w:webHidden/>
          </w:rPr>
          <w:instrText xml:space="preserve"> PAGEREF _Toc241653661 \h </w:instrText>
        </w:r>
        <w:r>
          <w:rPr>
            <w:noProof/>
            <w:webHidden/>
          </w:rPr>
        </w:r>
        <w:r>
          <w:rPr>
            <w:noProof/>
            <w:webHidden/>
          </w:rPr>
          <w:fldChar w:fldCharType="separate"/>
        </w:r>
        <w:r w:rsidR="00431D74">
          <w:rPr>
            <w:noProof/>
            <w:webHidden/>
          </w:rPr>
          <w:t>19</w:t>
        </w:r>
        <w:r>
          <w:rPr>
            <w:noProof/>
            <w:webHidden/>
          </w:rPr>
          <w:fldChar w:fldCharType="end"/>
        </w:r>
      </w:hyperlink>
    </w:p>
    <w:p w14:paraId="016860A8" w14:textId="5F5948AC" w:rsidR="00596D1D" w:rsidRPr="00596D1D" w:rsidRDefault="00596D1D">
      <w:pPr>
        <w:pStyle w:val="TOC1"/>
        <w:rPr>
          <w:noProof/>
          <w:lang w:eastAsia="en-AU"/>
        </w:rPr>
      </w:pPr>
      <w:hyperlink w:anchor="_Toc241653662" w:history="1">
        <w:r w:rsidRPr="00CD752B">
          <w:rPr>
            <w:rStyle w:val="Hyperlink"/>
            <w:noProof/>
          </w:rPr>
          <w:t>Author details</w:t>
        </w:r>
        <w:r>
          <w:rPr>
            <w:noProof/>
            <w:webHidden/>
          </w:rPr>
          <w:tab/>
        </w:r>
        <w:r>
          <w:rPr>
            <w:noProof/>
            <w:webHidden/>
          </w:rPr>
          <w:fldChar w:fldCharType="begin"/>
        </w:r>
        <w:r>
          <w:rPr>
            <w:noProof/>
            <w:webHidden/>
          </w:rPr>
          <w:instrText xml:space="preserve"> PAGEREF _Toc241653662 \h </w:instrText>
        </w:r>
        <w:r>
          <w:rPr>
            <w:noProof/>
            <w:webHidden/>
          </w:rPr>
        </w:r>
        <w:r>
          <w:rPr>
            <w:noProof/>
            <w:webHidden/>
          </w:rPr>
          <w:fldChar w:fldCharType="separate"/>
        </w:r>
        <w:r w:rsidR="00431D74">
          <w:rPr>
            <w:noProof/>
            <w:webHidden/>
          </w:rPr>
          <w:t>20</w:t>
        </w:r>
        <w:r>
          <w:rPr>
            <w:noProof/>
            <w:webHidden/>
          </w:rPr>
          <w:fldChar w:fldCharType="end"/>
        </w:r>
      </w:hyperlink>
    </w:p>
    <w:p w14:paraId="1C50ACE1" w14:textId="52BEE469" w:rsidR="00596D1D" w:rsidRPr="00596D1D" w:rsidRDefault="00596D1D">
      <w:pPr>
        <w:pStyle w:val="TOC1"/>
        <w:rPr>
          <w:noProof/>
          <w:lang w:eastAsia="en-AU"/>
        </w:rPr>
      </w:pPr>
      <w:hyperlink w:anchor="_Toc241653663" w:history="1">
        <w:r w:rsidRPr="00CD752B">
          <w:rPr>
            <w:rStyle w:val="Hyperlink"/>
            <w:noProof/>
          </w:rPr>
          <w:t>References</w:t>
        </w:r>
        <w:r>
          <w:rPr>
            <w:noProof/>
            <w:webHidden/>
          </w:rPr>
          <w:tab/>
        </w:r>
        <w:r>
          <w:rPr>
            <w:noProof/>
            <w:webHidden/>
          </w:rPr>
          <w:fldChar w:fldCharType="begin"/>
        </w:r>
        <w:r>
          <w:rPr>
            <w:noProof/>
            <w:webHidden/>
          </w:rPr>
          <w:instrText xml:space="preserve"> PAGEREF _Toc241653663 \h </w:instrText>
        </w:r>
        <w:r>
          <w:rPr>
            <w:noProof/>
            <w:webHidden/>
          </w:rPr>
        </w:r>
        <w:r>
          <w:rPr>
            <w:noProof/>
            <w:webHidden/>
          </w:rPr>
          <w:fldChar w:fldCharType="separate"/>
        </w:r>
        <w:r w:rsidR="00431D74">
          <w:rPr>
            <w:noProof/>
            <w:webHidden/>
          </w:rPr>
          <w:t>21</w:t>
        </w:r>
        <w:r>
          <w:rPr>
            <w:noProof/>
            <w:webHidden/>
          </w:rPr>
          <w:fldChar w:fldCharType="end"/>
        </w:r>
      </w:hyperlink>
    </w:p>
    <w:p w14:paraId="5E04EEC8" w14:textId="486C38AA" w:rsidR="00596D1D" w:rsidRPr="00596D1D" w:rsidRDefault="00596D1D">
      <w:pPr>
        <w:pStyle w:val="TOC1"/>
        <w:rPr>
          <w:noProof/>
          <w:lang w:eastAsia="en-AU"/>
        </w:rPr>
      </w:pPr>
      <w:hyperlink w:anchor="_Toc241653664" w:history="1">
        <w:r w:rsidRPr="00CD752B">
          <w:rPr>
            <w:rStyle w:val="Hyperlink"/>
            <w:noProof/>
          </w:rPr>
          <w:t>Appendix A</w:t>
        </w:r>
        <w:r>
          <w:rPr>
            <w:noProof/>
            <w:webHidden/>
          </w:rPr>
          <w:tab/>
        </w:r>
        <w:r>
          <w:rPr>
            <w:noProof/>
            <w:webHidden/>
          </w:rPr>
          <w:fldChar w:fldCharType="begin"/>
        </w:r>
        <w:r>
          <w:rPr>
            <w:noProof/>
            <w:webHidden/>
          </w:rPr>
          <w:instrText xml:space="preserve"> PAGEREF _Toc241653664 \h </w:instrText>
        </w:r>
        <w:r>
          <w:rPr>
            <w:noProof/>
            <w:webHidden/>
          </w:rPr>
        </w:r>
        <w:r>
          <w:rPr>
            <w:noProof/>
            <w:webHidden/>
          </w:rPr>
          <w:fldChar w:fldCharType="separate"/>
        </w:r>
        <w:r w:rsidR="00431D74">
          <w:rPr>
            <w:noProof/>
            <w:webHidden/>
          </w:rPr>
          <w:t>25</w:t>
        </w:r>
        <w:r>
          <w:rPr>
            <w:noProof/>
            <w:webHidden/>
          </w:rPr>
          <w:fldChar w:fldCharType="end"/>
        </w:r>
      </w:hyperlink>
    </w:p>
    <w:p w14:paraId="1990AAE9" w14:textId="7E495917" w:rsidR="00F216F0" w:rsidRPr="00F216F0" w:rsidRDefault="005A4E9D" w:rsidP="00F216F0">
      <w:r>
        <w:rPr>
          <w:rFonts w:eastAsiaTheme="minorHAnsi" w:cstheme="minorHAnsi"/>
          <w:szCs w:val="24"/>
          <w:lang w:eastAsia="en-US"/>
        </w:rPr>
        <w:fldChar w:fldCharType="end"/>
      </w:r>
    </w:p>
    <w:p w14:paraId="5F2DB91D" w14:textId="77777777" w:rsidR="00F25C00" w:rsidRDefault="0098426C" w:rsidP="00A24E95">
      <w:pPr>
        <w:pStyle w:val="Heading1"/>
      </w:pPr>
      <w:bookmarkStart w:id="8" w:name="_Toc195530498"/>
      <w:bookmarkStart w:id="9" w:name="_Toc241653646"/>
      <w:bookmarkEnd w:id="7"/>
      <w:r>
        <w:lastRenderedPageBreak/>
        <w:t>Abstract</w:t>
      </w:r>
      <w:bookmarkEnd w:id="8"/>
      <w:bookmarkEnd w:id="9"/>
    </w:p>
    <w:p w14:paraId="027981D8" w14:textId="77777777" w:rsidR="00462E29" w:rsidRPr="00462E29" w:rsidRDefault="00462E29" w:rsidP="00462E29">
      <w:pPr>
        <w:pStyle w:val="Heading2"/>
        <w:rPr>
          <w:lang w:val="en-GB"/>
        </w:rPr>
      </w:pPr>
      <w:bookmarkStart w:id="10" w:name="_Toc241653647"/>
      <w:r w:rsidRPr="00462E29">
        <w:rPr>
          <w:lang w:val="en-GB"/>
        </w:rPr>
        <w:t>Background</w:t>
      </w:r>
      <w:bookmarkEnd w:id="10"/>
    </w:p>
    <w:p w14:paraId="0A76FA7D" w14:textId="77777777" w:rsidR="00462E29" w:rsidRPr="00462E29" w:rsidRDefault="00462E29" w:rsidP="00462E29">
      <w:pPr>
        <w:rPr>
          <w:lang w:val="en-GB"/>
        </w:rPr>
      </w:pPr>
      <w:r w:rsidRPr="00462E29">
        <w:rPr>
          <w:lang w:val="en-GB"/>
        </w:rPr>
        <w:t xml:space="preserve">Australia was declared malaria free in 1981. However, the proximity of Australia’s Torres Strait region to malaria-endemic Papua New Guinea (PNG), and the presence of the </w:t>
      </w:r>
      <w:r w:rsidRPr="00462E29">
        <w:rPr>
          <w:i/>
          <w:iCs/>
          <w:lang w:val="en-GB"/>
        </w:rPr>
        <w:t>Anopheles</w:t>
      </w:r>
      <w:r w:rsidRPr="00462E29">
        <w:rPr>
          <w:lang w:val="en-GB"/>
        </w:rPr>
        <w:t xml:space="preserve"> mosquito across Northern Australia, means there is an ongoing risk of malaria for many Australian residents. This paper describes the epidemiology of malaria in the Torres Strait region between 2000 and 2025 and reports the public health response to three malaria outbreaks between 2023 and 2025. </w:t>
      </w:r>
    </w:p>
    <w:p w14:paraId="117437AD" w14:textId="77777777" w:rsidR="00462E29" w:rsidRPr="00462E29" w:rsidRDefault="00462E29" w:rsidP="00462E29">
      <w:pPr>
        <w:pStyle w:val="Heading2"/>
        <w:rPr>
          <w:lang w:val="en-GB"/>
        </w:rPr>
      </w:pPr>
      <w:bookmarkStart w:id="11" w:name="_Toc241653648"/>
      <w:r w:rsidRPr="00462E29">
        <w:rPr>
          <w:lang w:val="en-GB"/>
        </w:rPr>
        <w:t>Methods</w:t>
      </w:r>
      <w:bookmarkEnd w:id="11"/>
    </w:p>
    <w:p w14:paraId="32889D0A" w14:textId="77777777" w:rsidR="00462E29" w:rsidRPr="00462E29" w:rsidRDefault="00462E29" w:rsidP="00462E29">
      <w:pPr>
        <w:rPr>
          <w:lang w:val="en-GB"/>
        </w:rPr>
      </w:pPr>
      <w:r w:rsidRPr="00462E29">
        <w:rPr>
          <w:lang w:val="en-GB"/>
        </w:rPr>
        <w:t xml:space="preserve">Case data from 1 January 2000 to 31 December 2025 were extracted from the Queensland Notifiable Conditions System to describe the epidemiology of malaria in the Torres Strait. The public health responses to each of the three recent outbreaks were reported against the Queensland Health Public Health Unit Guidelines for Malaria. </w:t>
      </w:r>
    </w:p>
    <w:p w14:paraId="3DFD51E0" w14:textId="77777777" w:rsidR="00462E29" w:rsidRPr="00462E29" w:rsidRDefault="00462E29" w:rsidP="00462E29">
      <w:pPr>
        <w:pStyle w:val="Heading2"/>
        <w:rPr>
          <w:lang w:val="en-GB"/>
        </w:rPr>
      </w:pPr>
      <w:bookmarkStart w:id="12" w:name="_Toc241653649"/>
      <w:r w:rsidRPr="00462E29">
        <w:rPr>
          <w:lang w:val="en-GB"/>
        </w:rPr>
        <w:t>Results</w:t>
      </w:r>
      <w:bookmarkEnd w:id="12"/>
    </w:p>
    <w:p w14:paraId="3A3ADA46" w14:textId="77777777" w:rsidR="00462E29" w:rsidRPr="00462E29" w:rsidRDefault="00462E29" w:rsidP="00462E29">
      <w:pPr>
        <w:rPr>
          <w:lang w:val="en-GB"/>
        </w:rPr>
      </w:pPr>
      <w:r w:rsidRPr="00462E29">
        <w:rPr>
          <w:lang w:val="en-GB"/>
        </w:rPr>
        <w:t xml:space="preserve">During the period 2000–2013, there were 171 cases of malaria reported in the Torres Strait region. Of these, 89 (52%) were positive for </w:t>
      </w:r>
      <w:r w:rsidRPr="00462E29">
        <w:rPr>
          <w:i/>
          <w:iCs/>
          <w:lang w:val="en-GB"/>
        </w:rPr>
        <w:t>Plasmodium falciparum</w:t>
      </w:r>
      <w:r w:rsidRPr="00462E29">
        <w:rPr>
          <w:lang w:val="en-GB"/>
        </w:rPr>
        <w:t xml:space="preserve"> and 82 (48%) for </w:t>
      </w:r>
      <w:r w:rsidRPr="00462E29">
        <w:rPr>
          <w:i/>
          <w:iCs/>
          <w:lang w:val="en-GB"/>
        </w:rPr>
        <w:t>P. vivax</w:t>
      </w:r>
      <w:r w:rsidRPr="00462E29">
        <w:rPr>
          <w:lang w:val="en-GB"/>
        </w:rPr>
        <w:t xml:space="preserve">. Of cases during this period, 130 (76%) were imported from PNG; 13 (8%) were acquired in Australia; and 28 (16%) had an unknown place of acquisition. After a nine-year period without any confirmed malaria cases in the region, eight cases were reported across three outbreaks between 2023 and 2025. In all six of the outbreak cases in which a species could be confirmed, </w:t>
      </w:r>
      <w:r w:rsidRPr="00462E29">
        <w:rPr>
          <w:i/>
          <w:iCs/>
          <w:lang w:val="en-GB"/>
        </w:rPr>
        <w:t>P. vivax</w:t>
      </w:r>
      <w:r w:rsidRPr="00462E29">
        <w:rPr>
          <w:lang w:val="en-GB"/>
        </w:rPr>
        <w:t xml:space="preserve"> was identified. The three outbreaks were managed effectively in partnership with local </w:t>
      </w:r>
      <w:proofErr w:type="gramStart"/>
      <w:r w:rsidRPr="00462E29">
        <w:rPr>
          <w:lang w:val="en-GB"/>
        </w:rPr>
        <w:t>leaders, and</w:t>
      </w:r>
      <w:proofErr w:type="gramEnd"/>
      <w:r w:rsidRPr="00462E29">
        <w:rPr>
          <w:lang w:val="en-GB"/>
        </w:rPr>
        <w:t xml:space="preserve"> included active case finding and vector control activities. </w:t>
      </w:r>
    </w:p>
    <w:p w14:paraId="7ED49421" w14:textId="77777777" w:rsidR="00462E29" w:rsidRPr="00462E29" w:rsidRDefault="00462E29" w:rsidP="00462E29">
      <w:pPr>
        <w:pStyle w:val="Heading2"/>
        <w:rPr>
          <w:lang w:val="en-GB"/>
        </w:rPr>
      </w:pPr>
      <w:bookmarkStart w:id="13" w:name="_Toc241653650"/>
      <w:r w:rsidRPr="00462E29">
        <w:rPr>
          <w:lang w:val="en-GB"/>
        </w:rPr>
        <w:t>Discussion and conclusion</w:t>
      </w:r>
      <w:bookmarkEnd w:id="13"/>
    </w:p>
    <w:p w14:paraId="3C43BAFD" w14:textId="77777777" w:rsidR="00462E29" w:rsidRPr="00462E29" w:rsidRDefault="00462E29" w:rsidP="00462E29">
      <w:pPr>
        <w:pStyle w:val="Normal-morespaceafter"/>
        <w:rPr>
          <w:lang w:val="en-GB"/>
        </w:rPr>
      </w:pPr>
      <w:r w:rsidRPr="00462E29">
        <w:rPr>
          <w:lang w:val="en-GB"/>
        </w:rPr>
        <w:t>The public health response successfully halted transmission of malaria during three separate outbreaks in the Torres Strait Islands. However, there is an ongoing local risk due to the high incidence of malaria in PNG and cross-border movement under the Torres Strait Treaty. Ongoing collaboration with PNG stakeholders and enhanced local surveillance are essential to minimise the future importation of malaria, and other potentially life-threatening pathogens, into mainland Australia.</w:t>
      </w:r>
    </w:p>
    <w:p w14:paraId="3D628E08" w14:textId="4F7F19F1" w:rsidR="00B73144" w:rsidRDefault="00B73144" w:rsidP="00E61A68">
      <w:pPr>
        <w:pStyle w:val="CDIBoxText"/>
        <w:rPr>
          <w:lang w:val="en-GB"/>
        </w:rPr>
      </w:pPr>
      <w:r w:rsidRPr="00E61A68">
        <w:t>Keywords</w:t>
      </w:r>
      <w:r w:rsidR="00BF1476">
        <w:t xml:space="preserve">: </w:t>
      </w:r>
      <w:r w:rsidR="00462E29" w:rsidRPr="00462E29">
        <w:t>malaria; outbreak; First Nations health; public health; Aboriginal and Torres Strait Islander people</w:t>
      </w:r>
    </w:p>
    <w:p w14:paraId="08EFAF43" w14:textId="35C520B2" w:rsidR="0037146D" w:rsidRDefault="00462E29" w:rsidP="00B73144">
      <w:pPr>
        <w:pStyle w:val="Heading1"/>
      </w:pPr>
      <w:bookmarkStart w:id="14" w:name="_Toc241653651"/>
      <w:r>
        <w:lastRenderedPageBreak/>
        <w:t>Background</w:t>
      </w:r>
      <w:bookmarkEnd w:id="14"/>
    </w:p>
    <w:p w14:paraId="2ED1DFC7" w14:textId="77777777" w:rsidR="00462E29" w:rsidRPr="00462E29" w:rsidRDefault="00462E29" w:rsidP="00462E29">
      <w:pPr>
        <w:pStyle w:val="Normal-Opening"/>
        <w:rPr>
          <w:lang w:val="en-GB"/>
        </w:rPr>
      </w:pPr>
      <w:r w:rsidRPr="00462E29">
        <w:rPr>
          <w:lang w:val="en-GB"/>
        </w:rPr>
        <w:t xml:space="preserve">Malaria is caused by protozoan parasites of the </w:t>
      </w:r>
      <w:r w:rsidRPr="00462E29">
        <w:rPr>
          <w:i/>
          <w:iCs/>
          <w:lang w:val="en-GB"/>
        </w:rPr>
        <w:t>Plasmodium</w:t>
      </w:r>
      <w:r w:rsidRPr="00462E29">
        <w:rPr>
          <w:lang w:val="en-GB"/>
        </w:rPr>
        <w:t xml:space="preserve"> genus and is transmitted by </w:t>
      </w:r>
      <w:r w:rsidRPr="00462E29">
        <w:rPr>
          <w:i/>
          <w:iCs/>
          <w:lang w:val="en-GB"/>
        </w:rPr>
        <w:t>Anopheles</w:t>
      </w:r>
      <w:r w:rsidRPr="00462E29">
        <w:rPr>
          <w:lang w:val="en-GB"/>
        </w:rPr>
        <w:t xml:space="preserve"> mosquitoes.</w:t>
      </w:r>
      <w:r w:rsidRPr="00462E29">
        <w:rPr>
          <w:vertAlign w:val="superscript"/>
          <w:lang w:val="en-GB"/>
        </w:rPr>
        <w:t>1</w:t>
      </w:r>
      <w:r w:rsidRPr="00462E29">
        <w:rPr>
          <w:lang w:val="en-GB"/>
        </w:rPr>
        <w:t xml:space="preserve"> At least six species of </w:t>
      </w:r>
      <w:r w:rsidRPr="00462E29">
        <w:rPr>
          <w:i/>
          <w:iCs/>
          <w:lang w:val="en-GB"/>
        </w:rPr>
        <w:t>Plasmodium</w:t>
      </w:r>
      <w:r w:rsidRPr="00462E29">
        <w:rPr>
          <w:lang w:val="en-GB"/>
        </w:rPr>
        <w:t xml:space="preserve"> infect humans: </w:t>
      </w:r>
      <w:r w:rsidRPr="00462E29">
        <w:rPr>
          <w:i/>
          <w:iCs/>
          <w:lang w:val="en-GB"/>
        </w:rPr>
        <w:t>P. falciparum</w:t>
      </w:r>
      <w:r w:rsidRPr="00462E29">
        <w:rPr>
          <w:lang w:val="en-GB"/>
        </w:rPr>
        <w:t xml:space="preserve">; </w:t>
      </w:r>
      <w:r w:rsidRPr="00462E29">
        <w:rPr>
          <w:i/>
          <w:iCs/>
          <w:lang w:val="en-GB"/>
        </w:rPr>
        <w:t>P. vivax</w:t>
      </w:r>
      <w:r w:rsidRPr="00462E29">
        <w:rPr>
          <w:lang w:val="en-GB"/>
        </w:rPr>
        <w:t xml:space="preserve">; </w:t>
      </w:r>
      <w:r w:rsidRPr="00462E29">
        <w:rPr>
          <w:i/>
          <w:iCs/>
          <w:lang w:val="en-GB"/>
        </w:rPr>
        <w:t xml:space="preserve">P. </w:t>
      </w:r>
      <w:proofErr w:type="spellStart"/>
      <w:r w:rsidRPr="00462E29">
        <w:rPr>
          <w:i/>
          <w:iCs/>
          <w:lang w:val="en-GB"/>
        </w:rPr>
        <w:t>ovale</w:t>
      </w:r>
      <w:proofErr w:type="spellEnd"/>
      <w:r w:rsidRPr="00462E29">
        <w:rPr>
          <w:i/>
          <w:iCs/>
          <w:lang w:val="en-GB"/>
        </w:rPr>
        <w:t xml:space="preserve"> </w:t>
      </w:r>
      <w:proofErr w:type="spellStart"/>
      <w:r w:rsidRPr="00462E29">
        <w:rPr>
          <w:i/>
          <w:iCs/>
          <w:lang w:val="en-GB"/>
        </w:rPr>
        <w:t>curtisi</w:t>
      </w:r>
      <w:proofErr w:type="spellEnd"/>
      <w:r w:rsidRPr="00462E29">
        <w:rPr>
          <w:lang w:val="en-GB"/>
        </w:rPr>
        <w:t xml:space="preserve"> and </w:t>
      </w:r>
      <w:proofErr w:type="spellStart"/>
      <w:r w:rsidRPr="00462E29">
        <w:rPr>
          <w:i/>
          <w:iCs/>
          <w:lang w:val="en-GB"/>
        </w:rPr>
        <w:t>ovale</w:t>
      </w:r>
      <w:proofErr w:type="spellEnd"/>
      <w:r w:rsidRPr="00462E29">
        <w:rPr>
          <w:i/>
          <w:iCs/>
          <w:lang w:val="en-GB"/>
        </w:rPr>
        <w:t xml:space="preserve"> </w:t>
      </w:r>
      <w:proofErr w:type="spellStart"/>
      <w:r w:rsidRPr="00462E29">
        <w:rPr>
          <w:i/>
          <w:iCs/>
          <w:lang w:val="en-GB"/>
        </w:rPr>
        <w:t>wallikeri</w:t>
      </w:r>
      <w:proofErr w:type="spellEnd"/>
      <w:r w:rsidRPr="00462E29">
        <w:rPr>
          <w:lang w:val="en-GB"/>
        </w:rPr>
        <w:t xml:space="preserve">; </w:t>
      </w:r>
      <w:r w:rsidRPr="00462E29">
        <w:rPr>
          <w:i/>
          <w:iCs/>
          <w:lang w:val="en-GB"/>
        </w:rPr>
        <w:t>P. malariae</w:t>
      </w:r>
      <w:r w:rsidRPr="00462E29">
        <w:rPr>
          <w:lang w:val="en-GB"/>
        </w:rPr>
        <w:t xml:space="preserve">; and </w:t>
      </w:r>
      <w:r w:rsidRPr="00462E29">
        <w:rPr>
          <w:i/>
          <w:iCs/>
          <w:lang w:val="en-GB"/>
        </w:rPr>
        <w:t>P. knowlesi</w:t>
      </w:r>
      <w:r w:rsidRPr="00462E29">
        <w:rPr>
          <w:lang w:val="en-GB"/>
        </w:rPr>
        <w:t>.</w:t>
      </w:r>
      <w:r w:rsidRPr="00462E29">
        <w:rPr>
          <w:vertAlign w:val="superscript"/>
          <w:lang w:val="en-GB"/>
        </w:rPr>
        <w:t>2, 3</w:t>
      </w:r>
      <w:r w:rsidRPr="00462E29">
        <w:rPr>
          <w:lang w:val="en-GB"/>
        </w:rPr>
        <w:t xml:space="preserve"> </w:t>
      </w:r>
      <w:r w:rsidRPr="00462E29">
        <w:rPr>
          <w:i/>
          <w:iCs/>
          <w:lang w:val="en-GB"/>
        </w:rPr>
        <w:t>P. falciparum</w:t>
      </w:r>
      <w:r w:rsidRPr="00462E29">
        <w:rPr>
          <w:lang w:val="en-GB"/>
        </w:rPr>
        <w:t xml:space="preserve"> and </w:t>
      </w:r>
      <w:r w:rsidRPr="00462E29">
        <w:rPr>
          <w:i/>
          <w:iCs/>
          <w:lang w:val="en-GB"/>
        </w:rPr>
        <w:t>P. vivax</w:t>
      </w:r>
      <w:r w:rsidRPr="00462E29">
        <w:rPr>
          <w:lang w:val="en-GB"/>
        </w:rPr>
        <w:t xml:space="preserve"> are responsible for 95% of global malaria cases, with </w:t>
      </w:r>
      <w:r w:rsidRPr="00462E29">
        <w:rPr>
          <w:i/>
          <w:iCs/>
          <w:lang w:val="en-GB"/>
        </w:rPr>
        <w:t>P. falciparum</w:t>
      </w:r>
      <w:r w:rsidRPr="00462E29">
        <w:rPr>
          <w:lang w:val="en-GB"/>
        </w:rPr>
        <w:t xml:space="preserve"> causing more than 95% of malaria deaths.</w:t>
      </w:r>
      <w:r w:rsidRPr="00462E29">
        <w:rPr>
          <w:vertAlign w:val="superscript"/>
          <w:lang w:val="en-GB"/>
        </w:rPr>
        <w:t>1</w:t>
      </w:r>
      <w:r w:rsidRPr="00462E29">
        <w:rPr>
          <w:lang w:val="en-GB"/>
        </w:rPr>
        <w:t xml:space="preserve"> </w:t>
      </w:r>
    </w:p>
    <w:p w14:paraId="4482ABC3" w14:textId="77777777" w:rsidR="00462E29" w:rsidRPr="00462E29" w:rsidRDefault="00462E29" w:rsidP="00462E29">
      <w:pPr>
        <w:rPr>
          <w:lang w:val="en-GB"/>
        </w:rPr>
      </w:pPr>
      <w:r w:rsidRPr="00462E29">
        <w:rPr>
          <w:lang w:val="en-GB"/>
        </w:rPr>
        <w:t>Australia was certified as free of endemic malaria by the World Health Organization in 1981.</w:t>
      </w:r>
      <w:r w:rsidRPr="00462E29">
        <w:rPr>
          <w:vertAlign w:val="superscript"/>
          <w:lang w:val="en-GB"/>
        </w:rPr>
        <w:t>4</w:t>
      </w:r>
      <w:r w:rsidRPr="00462E29">
        <w:rPr>
          <w:lang w:val="en-GB"/>
        </w:rPr>
        <w:t xml:space="preserve"> However, the </w:t>
      </w:r>
      <w:r w:rsidRPr="00462E29">
        <w:rPr>
          <w:i/>
          <w:iCs/>
          <w:lang w:val="en-GB"/>
        </w:rPr>
        <w:t>Anopheles</w:t>
      </w:r>
      <w:r w:rsidRPr="00462E29">
        <w:rPr>
          <w:lang w:val="en-GB"/>
        </w:rPr>
        <w:t xml:space="preserve"> mosquito vector is present in Australia. The </w:t>
      </w:r>
      <w:r w:rsidRPr="00462E29">
        <w:rPr>
          <w:i/>
          <w:iCs/>
          <w:lang w:val="en-GB"/>
        </w:rPr>
        <w:t xml:space="preserve">Anopheles </w:t>
      </w:r>
      <w:proofErr w:type="spellStart"/>
      <w:r w:rsidRPr="00462E29">
        <w:rPr>
          <w:i/>
          <w:iCs/>
          <w:lang w:val="en-GB"/>
        </w:rPr>
        <w:t>farauti</w:t>
      </w:r>
      <w:proofErr w:type="spellEnd"/>
      <w:r w:rsidRPr="00462E29">
        <w:rPr>
          <w:lang w:val="en-GB"/>
        </w:rPr>
        <w:t xml:space="preserve"> sensu lato mosquito is endemic in North Queensland, between Townsville and the Torres Strait Islands, and this region remains receptive to malaria transmission.</w:t>
      </w:r>
      <w:r w:rsidRPr="00462E29">
        <w:rPr>
          <w:vertAlign w:val="superscript"/>
          <w:lang w:val="en-GB"/>
        </w:rPr>
        <w:t>5</w:t>
      </w:r>
      <w:r w:rsidRPr="00462E29">
        <w:rPr>
          <w:lang w:val="en-GB"/>
        </w:rPr>
        <w:t xml:space="preserve"> The last outbreak of locally acquired malaria in mainland Australia occurred in North Queensland in 2002.</w:t>
      </w:r>
      <w:r w:rsidRPr="00462E29">
        <w:rPr>
          <w:vertAlign w:val="superscript"/>
          <w:lang w:val="en-GB"/>
        </w:rPr>
        <w:t>6</w:t>
      </w:r>
      <w:r w:rsidRPr="00462E29">
        <w:rPr>
          <w:lang w:val="en-GB"/>
        </w:rPr>
        <w:t xml:space="preserve"> </w:t>
      </w:r>
    </w:p>
    <w:p w14:paraId="640422D7" w14:textId="4DDA8812" w:rsidR="00462E29" w:rsidRPr="00462E29" w:rsidRDefault="00462E29" w:rsidP="00462E29">
      <w:pPr>
        <w:rPr>
          <w:lang w:val="en-GB"/>
        </w:rPr>
      </w:pPr>
      <w:r w:rsidRPr="00462E29">
        <w:rPr>
          <w:lang w:val="en-GB"/>
        </w:rPr>
        <w:t>The Torres Strait Islands are a group of 31 islands located between mainland Australia and Papua New Guinea (PNG) (Figure 1). Residents of the Torres Strait Islands often have close family and cultural ties to PNG. Under the Torres Strait Treaty, residents of villages in the Torres Strait and PNG can move freely throughout the region for traditional activities in the Torres Strait Protected Zone.</w:t>
      </w:r>
      <w:r w:rsidRPr="00462E29">
        <w:rPr>
          <w:vertAlign w:val="superscript"/>
          <w:lang w:val="en-GB"/>
        </w:rPr>
        <w:t>7</w:t>
      </w:r>
      <w:r w:rsidRPr="00462E29">
        <w:rPr>
          <w:lang w:val="en-GB"/>
        </w:rPr>
        <w:t xml:space="preserve"> Movement under the Torres Strait Treaty was suspended when the Australian border with PNG was closed from 22 March 2020 to 21 December 2022 due to the COVID-19 pandemic.</w:t>
      </w:r>
      <w:r w:rsidRPr="00462E29">
        <w:rPr>
          <w:vertAlign w:val="superscript"/>
          <w:lang w:val="en-GB"/>
        </w:rPr>
        <w:t>8</w:t>
      </w:r>
      <w:r w:rsidRPr="00462E29">
        <w:rPr>
          <w:lang w:val="en-GB"/>
        </w:rPr>
        <w:t xml:space="preserve"> Three islands across the Torres Strait, the top western cluster, are at particularly high risk of imported malaria cases due to their proximity to PNG, where malaria is endemic:</w:t>
      </w:r>
      <w:r w:rsidRPr="00462E29">
        <w:rPr>
          <w:vertAlign w:val="superscript"/>
          <w:lang w:val="en-GB"/>
        </w:rPr>
        <w:t>9</w:t>
      </w:r>
      <w:r w:rsidRPr="00462E29">
        <w:rPr>
          <w:lang w:val="en-GB"/>
        </w:rPr>
        <w:t xml:space="preserve"> Saibai Island, 4</w:t>
      </w:r>
      <w:r>
        <w:rPr>
          <w:lang w:val="en-GB"/>
        </w:rPr>
        <w:t> </w:t>
      </w:r>
      <w:r w:rsidRPr="00462E29">
        <w:rPr>
          <w:lang w:val="en-GB"/>
        </w:rPr>
        <w:t xml:space="preserve">km from the PNG mainland, with a population of 340 people; </w:t>
      </w:r>
      <w:proofErr w:type="spellStart"/>
      <w:r w:rsidRPr="00462E29">
        <w:rPr>
          <w:lang w:val="en-GB"/>
        </w:rPr>
        <w:t>Boigu</w:t>
      </w:r>
      <w:proofErr w:type="spellEnd"/>
      <w:r w:rsidRPr="00462E29">
        <w:rPr>
          <w:lang w:val="en-GB"/>
        </w:rPr>
        <w:t xml:space="preserve"> Island, 6 km from the PNG mainland, with a population of 200 people; and </w:t>
      </w:r>
      <w:proofErr w:type="spellStart"/>
      <w:r w:rsidRPr="00462E29">
        <w:rPr>
          <w:lang w:val="en-GB"/>
        </w:rPr>
        <w:t>Dauan</w:t>
      </w:r>
      <w:proofErr w:type="spellEnd"/>
      <w:r w:rsidRPr="00462E29">
        <w:rPr>
          <w:lang w:val="en-GB"/>
        </w:rPr>
        <w:t xml:space="preserve"> Island, 11 km from the PNG mainland, with a population of 130 people.</w:t>
      </w:r>
      <w:r w:rsidRPr="00462E29">
        <w:rPr>
          <w:vertAlign w:val="superscript"/>
          <w:lang w:val="en-GB"/>
        </w:rPr>
        <w:t>10–12</w:t>
      </w:r>
      <w:r w:rsidRPr="00462E29">
        <w:rPr>
          <w:lang w:val="en-GB"/>
        </w:rPr>
        <w:t xml:space="preserve"> Saibai and </w:t>
      </w:r>
      <w:proofErr w:type="spellStart"/>
      <w:r w:rsidRPr="00462E29">
        <w:rPr>
          <w:lang w:val="en-GB"/>
        </w:rPr>
        <w:t>Boigu</w:t>
      </w:r>
      <w:proofErr w:type="spellEnd"/>
      <w:r w:rsidRPr="00462E29">
        <w:rPr>
          <w:lang w:val="en-GB"/>
        </w:rPr>
        <w:t xml:space="preserve"> Islands are low-lying and prone to seasonal flooding, with extensive swampland areas, while </w:t>
      </w:r>
      <w:proofErr w:type="spellStart"/>
      <w:r w:rsidRPr="00462E29">
        <w:rPr>
          <w:lang w:val="en-GB"/>
        </w:rPr>
        <w:t>Dauan</w:t>
      </w:r>
      <w:proofErr w:type="spellEnd"/>
      <w:r w:rsidRPr="00462E29">
        <w:rPr>
          <w:lang w:val="en-GB"/>
        </w:rPr>
        <w:t xml:space="preserve"> Island has a steep granite peak surrounded by coastal lowland.</w:t>
      </w:r>
      <w:r w:rsidRPr="00462E29">
        <w:rPr>
          <w:vertAlign w:val="superscript"/>
          <w:lang w:val="en-GB"/>
        </w:rPr>
        <w:t>10–12</w:t>
      </w:r>
      <w:r w:rsidRPr="00462E29">
        <w:rPr>
          <w:lang w:val="en-GB"/>
        </w:rPr>
        <w:t xml:space="preserve"> </w:t>
      </w:r>
    </w:p>
    <w:p w14:paraId="0DB98B7E" w14:textId="30857C62" w:rsidR="00462E29" w:rsidRPr="00462E29" w:rsidRDefault="00462E29" w:rsidP="00462E29">
      <w:pPr>
        <w:rPr>
          <w:lang w:val="en-GB"/>
        </w:rPr>
      </w:pPr>
      <w:r w:rsidRPr="00462E29">
        <w:rPr>
          <w:lang w:val="en-GB"/>
        </w:rPr>
        <w:t xml:space="preserve">Here we describe the epidemiology of malaria in the Torres Strait between 1 January 2000 and </w:t>
      </w:r>
      <w:proofErr w:type="gramStart"/>
      <w:r w:rsidRPr="00462E29">
        <w:rPr>
          <w:lang w:val="en-GB"/>
        </w:rPr>
        <w:t>31</w:t>
      </w:r>
      <w:r>
        <w:rPr>
          <w:lang w:val="en-GB"/>
        </w:rPr>
        <w:t> </w:t>
      </w:r>
      <w:r w:rsidRPr="00462E29">
        <w:rPr>
          <w:lang w:val="en-GB"/>
        </w:rPr>
        <w:t>December 2025, and</w:t>
      </w:r>
      <w:proofErr w:type="gramEnd"/>
      <w:r w:rsidRPr="00462E29">
        <w:rPr>
          <w:lang w:val="en-GB"/>
        </w:rPr>
        <w:t xml:space="preserve"> report the response to three recent malaria outbreaks which occurred during the period 2023–2025.</w:t>
      </w:r>
    </w:p>
    <w:p w14:paraId="22291E24" w14:textId="0C017AD8" w:rsidR="00462E29" w:rsidRDefault="00462E29" w:rsidP="00462E29">
      <w:pPr>
        <w:pStyle w:val="CDIFigure-Title"/>
        <w:rPr>
          <w:lang w:val="en-GB"/>
        </w:rPr>
      </w:pPr>
      <w:r w:rsidRPr="00462E29">
        <w:rPr>
          <w:lang w:val="en-GB"/>
        </w:rPr>
        <w:lastRenderedPageBreak/>
        <w:t xml:space="preserve">Figure 1: Map of the Torres Strait </w:t>
      </w:r>
      <w:proofErr w:type="spellStart"/>
      <w:proofErr w:type="gramStart"/>
      <w:r w:rsidRPr="00462E29">
        <w:rPr>
          <w:lang w:val="en-GB"/>
        </w:rPr>
        <w:t>Islands,</w:t>
      </w:r>
      <w:r w:rsidRPr="00462E29">
        <w:rPr>
          <w:vertAlign w:val="superscript"/>
          <w:lang w:val="en-GB"/>
        </w:rPr>
        <w:t>a</w:t>
      </w:r>
      <w:proofErr w:type="spellEnd"/>
      <w:proofErr w:type="gramEnd"/>
      <w:r w:rsidRPr="00462E29">
        <w:rPr>
          <w:lang w:val="en-GB"/>
        </w:rPr>
        <w:t xml:space="preserve"> Australia</w:t>
      </w:r>
    </w:p>
    <w:p w14:paraId="2E9F10DD" w14:textId="322D5F83" w:rsidR="00462E29" w:rsidRPr="00462E29" w:rsidRDefault="00462E29" w:rsidP="00462E29">
      <w:pPr>
        <w:pStyle w:val="CDIFigure-Placeholder"/>
        <w:rPr>
          <w:lang w:val="en-GB"/>
        </w:rPr>
      </w:pPr>
      <w:r>
        <w:rPr>
          <w:noProof/>
          <w:lang w:val="en-GB"/>
          <w14:ligatures w14:val="none"/>
        </w:rPr>
        <w:drawing>
          <wp:inline distT="0" distB="0" distL="0" distR="0" wp14:anchorId="11B60194" wp14:editId="256037EF">
            <wp:extent cx="6120000" cy="4293542"/>
            <wp:effectExtent l="0" t="0" r="0" b="0"/>
            <wp:docPr id="1441212952" name="Picture 1" descr="Figure 1 illustrates a map of the Torres Strait Islands, Australia, showing the location of Saibai Island and Boigu Island, where three malaria outbreaks occurred in 2023 and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12952" name="Picture 1" descr="Figure 1 illustrates a map of the Torres Strait Islands, Australia, showing the location of Saibai Island and Boigu Island, where three malaria outbreaks occurred in 2023 and 2025. "/>
                    <pic:cNvPicPr/>
                  </pic:nvPicPr>
                  <pic:blipFill>
                    <a:blip r:embed="rId14">
                      <a:extLst>
                        <a:ext uri="{28A0092B-C50C-407E-A947-70E740481C1C}">
                          <a14:useLocalDpi xmlns:a14="http://schemas.microsoft.com/office/drawing/2010/main" val="0"/>
                        </a:ext>
                      </a:extLst>
                    </a:blip>
                    <a:stretch>
                      <a:fillRect/>
                    </a:stretch>
                  </pic:blipFill>
                  <pic:spPr>
                    <a:xfrm>
                      <a:off x="0" y="0"/>
                      <a:ext cx="6120000" cy="4293542"/>
                    </a:xfrm>
                    <a:prstGeom prst="rect">
                      <a:avLst/>
                    </a:prstGeom>
                  </pic:spPr>
                </pic:pic>
              </a:graphicData>
            </a:graphic>
          </wp:inline>
        </w:drawing>
      </w:r>
    </w:p>
    <w:p w14:paraId="26D1B931" w14:textId="47829687" w:rsidR="00AB455A" w:rsidRPr="00AC46DC" w:rsidRDefault="00462E29" w:rsidP="00AB455A">
      <w:pPr>
        <w:pStyle w:val="CDITable-FirstFootnote"/>
      </w:pPr>
      <w:proofErr w:type="spellStart"/>
      <w:proofErr w:type="gramStart"/>
      <w:r w:rsidRPr="00462E29">
        <w:rPr>
          <w:lang w:val="en-GB"/>
        </w:rPr>
        <w:t>a</w:t>
      </w:r>
      <w:proofErr w:type="spellEnd"/>
      <w:proofErr w:type="gramEnd"/>
      <w:r w:rsidRPr="00462E29">
        <w:rPr>
          <w:lang w:val="en-GB"/>
        </w:rPr>
        <w:tab/>
        <w:t xml:space="preserve">Image credit: this map has been provided by Torres and Cape Hospital and Health Service and permission for use has been granted. </w:t>
      </w:r>
    </w:p>
    <w:p w14:paraId="5C926B94" w14:textId="77777777" w:rsidR="00A24E95" w:rsidRDefault="00B73144" w:rsidP="00B73144">
      <w:pPr>
        <w:pStyle w:val="Heading1"/>
        <w:rPr>
          <w:lang w:val="en-GB"/>
        </w:rPr>
      </w:pPr>
      <w:bookmarkStart w:id="15" w:name="_Toc195530502"/>
      <w:bookmarkStart w:id="16" w:name="_Toc241653652"/>
      <w:r>
        <w:rPr>
          <w:lang w:val="en-GB"/>
        </w:rPr>
        <w:lastRenderedPageBreak/>
        <w:t>Methods</w:t>
      </w:r>
      <w:bookmarkEnd w:id="15"/>
      <w:bookmarkEnd w:id="16"/>
    </w:p>
    <w:p w14:paraId="54643559" w14:textId="77777777" w:rsidR="00AB455A" w:rsidRPr="00AB455A" w:rsidRDefault="00AB455A" w:rsidP="00AB455A">
      <w:pPr>
        <w:pStyle w:val="Heading2"/>
        <w:rPr>
          <w:lang w:val="en-GB"/>
        </w:rPr>
      </w:pPr>
      <w:bookmarkStart w:id="17" w:name="_Toc241653653"/>
      <w:r w:rsidRPr="00AB455A">
        <w:rPr>
          <w:lang w:val="en-GB"/>
        </w:rPr>
        <w:t>Epidemiology of malaria, 2000–2025</w:t>
      </w:r>
      <w:bookmarkEnd w:id="17"/>
    </w:p>
    <w:p w14:paraId="235F68DB" w14:textId="77777777" w:rsidR="00AB455A" w:rsidRPr="00AB455A" w:rsidRDefault="00AB455A" w:rsidP="00AB455A">
      <w:pPr>
        <w:rPr>
          <w:lang w:val="en-GB"/>
        </w:rPr>
      </w:pPr>
      <w:r w:rsidRPr="00AB455A">
        <w:rPr>
          <w:lang w:val="en-GB"/>
        </w:rPr>
        <w:t>Malaria has been a notifiable condition in Australia since 1991.</w:t>
      </w:r>
      <w:r w:rsidRPr="00AB455A">
        <w:rPr>
          <w:vertAlign w:val="superscript"/>
          <w:lang w:val="en-GB"/>
        </w:rPr>
        <w:t>13</w:t>
      </w:r>
      <w:r w:rsidRPr="00AB455A">
        <w:rPr>
          <w:lang w:val="en-GB"/>
        </w:rPr>
        <w:t xml:space="preserve"> We extracted confirmed and probable malaria cases, with a residential address in the Torres Strait Islands or PNG and an onset date between 1 January 2000 and 31 December 2025, from the Notifiable Conditions System (</w:t>
      </w:r>
      <w:proofErr w:type="spellStart"/>
      <w:r w:rsidRPr="00AB455A">
        <w:rPr>
          <w:lang w:val="en-GB"/>
        </w:rPr>
        <w:t>NoCS</w:t>
      </w:r>
      <w:proofErr w:type="spellEnd"/>
      <w:r w:rsidRPr="00AB455A">
        <w:rPr>
          <w:lang w:val="en-GB"/>
        </w:rPr>
        <w:t xml:space="preserve">) in Queensland. Available demographic (age, sex, residential location and report location), laboratory (nature of test, result and species), clinical (requirement for hospitalisation) and epidemiological (place of acquisition and case classification) data were reviewed. Locally acquired cases were defined as cases who were diagnosed with malaria in the Torres Strait Island region and who reported no overseas travel in the previous three months (a standard </w:t>
      </w:r>
      <w:proofErr w:type="spellStart"/>
      <w:r w:rsidRPr="00AB455A">
        <w:rPr>
          <w:lang w:val="en-GB"/>
        </w:rPr>
        <w:t>NoCS</w:t>
      </w:r>
      <w:proofErr w:type="spellEnd"/>
      <w:r w:rsidRPr="00AB455A">
        <w:rPr>
          <w:lang w:val="en-GB"/>
        </w:rPr>
        <w:t xml:space="preserve"> case investigation question). Details of previous malaria infection and extended travel history were not consistently available in </w:t>
      </w:r>
      <w:proofErr w:type="spellStart"/>
      <w:r w:rsidRPr="00AB455A">
        <w:rPr>
          <w:lang w:val="en-GB"/>
        </w:rPr>
        <w:t>NoCS</w:t>
      </w:r>
      <w:proofErr w:type="spellEnd"/>
      <w:r w:rsidRPr="00AB455A">
        <w:rPr>
          <w:lang w:val="en-GB"/>
        </w:rPr>
        <w:t xml:space="preserve">. Additionally, detailed demographic and clinical data were not consistently available before 2023. All requests for malaria testing in the Torres Strait Islands between 1 January 2000 and 31 December 2025 were extracted from the Pathology Queensland Information System (AUSLAB), which records all laboratory testing in the state’s public health system. </w:t>
      </w:r>
    </w:p>
    <w:p w14:paraId="1E466504" w14:textId="77777777" w:rsidR="00AB455A" w:rsidRPr="00AB455A" w:rsidRDefault="00AB455A" w:rsidP="00AB455A">
      <w:pPr>
        <w:pStyle w:val="Heading2"/>
        <w:rPr>
          <w:lang w:val="en-GB"/>
        </w:rPr>
      </w:pPr>
      <w:bookmarkStart w:id="18" w:name="_Toc241653654"/>
      <w:r w:rsidRPr="00AB455A">
        <w:rPr>
          <w:lang w:val="en-GB"/>
        </w:rPr>
        <w:t>Malaria outbreaks, 2023 and 2025</w:t>
      </w:r>
      <w:bookmarkEnd w:id="18"/>
    </w:p>
    <w:p w14:paraId="0D9DFA8F" w14:textId="77777777" w:rsidR="00AB455A" w:rsidRPr="00AB455A" w:rsidRDefault="00AB455A" w:rsidP="00D07D4F">
      <w:pPr>
        <w:pStyle w:val="Heading3-lessspacebefore"/>
        <w:rPr>
          <w:lang w:val="en-GB"/>
        </w:rPr>
      </w:pPr>
      <w:r w:rsidRPr="00AB455A">
        <w:rPr>
          <w:lang w:val="en-GB"/>
        </w:rPr>
        <w:t>Case definitions</w:t>
      </w:r>
    </w:p>
    <w:p w14:paraId="00A20AF5" w14:textId="77777777" w:rsidR="00AB455A" w:rsidRDefault="00AB455A" w:rsidP="00AB455A">
      <w:pPr>
        <w:rPr>
          <w:lang w:val="en-GB"/>
        </w:rPr>
      </w:pPr>
      <w:r w:rsidRPr="00AB455A">
        <w:rPr>
          <w:lang w:val="en-GB"/>
        </w:rPr>
        <w:t>Responses to the three most recent malaria outbreaks in Australia were described in accordance with the Queensland Health Public Health Unit Guidelines for Malaria.</w:t>
      </w:r>
      <w:r w:rsidRPr="00AB455A">
        <w:rPr>
          <w:vertAlign w:val="superscript"/>
          <w:lang w:val="en-GB"/>
        </w:rPr>
        <w:t>14</w:t>
      </w:r>
      <w:r w:rsidRPr="00AB455A">
        <w:rPr>
          <w:lang w:val="en-GB"/>
        </w:rPr>
        <w:t xml:space="preserve"> The Torres and Cape Public Health Unit (TCPHU) successfully advocated for the probable malaria case definition to be added to the Guidelines on 1 April 2023,</w:t>
      </w:r>
      <w:r w:rsidRPr="00AB455A">
        <w:rPr>
          <w:vertAlign w:val="superscript"/>
          <w:lang w:val="en-GB"/>
        </w:rPr>
        <w:t>14</w:t>
      </w:r>
      <w:r w:rsidRPr="00AB455A">
        <w:rPr>
          <w:lang w:val="en-GB"/>
        </w:rPr>
        <w:t xml:space="preserve"> and this was used to define outbreak cases (Box 1). Confirmed and probable cases were reported to </w:t>
      </w:r>
      <w:proofErr w:type="spellStart"/>
      <w:r w:rsidRPr="00AB455A">
        <w:rPr>
          <w:lang w:val="en-GB"/>
        </w:rPr>
        <w:t>NoCS</w:t>
      </w:r>
      <w:proofErr w:type="spellEnd"/>
      <w:r w:rsidRPr="00AB455A">
        <w:rPr>
          <w:lang w:val="en-GB"/>
        </w:rPr>
        <w:t xml:space="preserve"> at the time of each outbreak.</w:t>
      </w:r>
    </w:p>
    <w:p w14:paraId="5E3674F3" w14:textId="77777777" w:rsidR="00AB455A" w:rsidRPr="00AB455A" w:rsidRDefault="00AB455A" w:rsidP="00AB455A">
      <w:pPr>
        <w:pStyle w:val="Heading3"/>
        <w:rPr>
          <w:lang w:val="en-GB"/>
        </w:rPr>
      </w:pPr>
      <w:r w:rsidRPr="00AB455A">
        <w:rPr>
          <w:lang w:val="en-GB"/>
        </w:rPr>
        <w:t>Data sources</w:t>
      </w:r>
    </w:p>
    <w:p w14:paraId="68CA1469" w14:textId="6F5D5A91" w:rsidR="00AB455A" w:rsidRDefault="00AB455A" w:rsidP="00AB455A">
      <w:pPr>
        <w:rPr>
          <w:lang w:val="en-GB"/>
        </w:rPr>
      </w:pPr>
      <w:r w:rsidRPr="00AB455A">
        <w:rPr>
          <w:lang w:val="en-GB"/>
        </w:rPr>
        <w:t xml:space="preserve">The outbreak cases and public health response were retrospectively described using TCPHU line lists and </w:t>
      </w:r>
      <w:proofErr w:type="spellStart"/>
      <w:r w:rsidRPr="00AB455A">
        <w:rPr>
          <w:lang w:val="en-GB"/>
        </w:rPr>
        <w:t>NoCS</w:t>
      </w:r>
      <w:proofErr w:type="spellEnd"/>
      <w:r w:rsidRPr="00AB455A">
        <w:rPr>
          <w:lang w:val="en-GB"/>
        </w:rPr>
        <w:t xml:space="preserve">. Laboratory results were cross-checked with AUSLAB, while treatment and hospitalisations were cross-checked with the patients’ electronic medical record. </w:t>
      </w:r>
      <w:r>
        <w:rPr>
          <w:lang w:val="en-GB"/>
        </w:rPr>
        <w:br w:type="page"/>
      </w:r>
    </w:p>
    <w:p w14:paraId="29F58FDD" w14:textId="3DD68345" w:rsidR="00AB455A" w:rsidRPr="00AB455A" w:rsidRDefault="00AB455A" w:rsidP="00AB455A">
      <w:pPr>
        <w:pStyle w:val="CDIBoxHeading"/>
        <w:rPr>
          <w:lang w:val="en-GB"/>
        </w:rPr>
      </w:pPr>
      <w:r w:rsidRPr="00AB455A">
        <w:rPr>
          <w:lang w:val="en-GB"/>
        </w:rPr>
        <w:lastRenderedPageBreak/>
        <w:t>Box 1: Outbreak case definitions</w:t>
      </w:r>
    </w:p>
    <w:p w14:paraId="4C9CDBC3" w14:textId="77777777" w:rsidR="00AB455A" w:rsidRPr="00AB455A" w:rsidRDefault="00AB455A" w:rsidP="00AB455A">
      <w:pPr>
        <w:pStyle w:val="CDIBoxText"/>
        <w:rPr>
          <w:lang w:val="en-GB"/>
        </w:rPr>
      </w:pPr>
      <w:r w:rsidRPr="00AB455A">
        <w:rPr>
          <w:lang w:val="en-GB"/>
        </w:rPr>
        <w:t xml:space="preserve">Outbreak cases were those that met the confirmed or probable case definition, reported no overseas travel during the exposure period and spent some, or all, of their exposure period on Saibai or </w:t>
      </w:r>
      <w:proofErr w:type="spellStart"/>
      <w:r w:rsidRPr="00AB455A">
        <w:rPr>
          <w:lang w:val="en-GB"/>
        </w:rPr>
        <w:t>Boigu</w:t>
      </w:r>
      <w:proofErr w:type="spellEnd"/>
      <w:r w:rsidRPr="00AB455A">
        <w:rPr>
          <w:lang w:val="en-GB"/>
        </w:rPr>
        <w:t xml:space="preserve"> Islands respectively, and reported onset between:</w:t>
      </w:r>
    </w:p>
    <w:p w14:paraId="38A7B6CF" w14:textId="77777777" w:rsidR="00AB455A" w:rsidRPr="00AB455A" w:rsidRDefault="00AB455A" w:rsidP="00AB455A">
      <w:pPr>
        <w:pStyle w:val="CDIBoxBullet"/>
        <w:rPr>
          <w:lang w:val="en-GB"/>
        </w:rPr>
      </w:pPr>
      <w:r w:rsidRPr="00AB455A">
        <w:rPr>
          <w:lang w:val="en-GB"/>
        </w:rPr>
        <w:t>1 July and 18 September 2023 [</w:t>
      </w:r>
      <w:proofErr w:type="spellStart"/>
      <w:r w:rsidRPr="00AB455A">
        <w:rPr>
          <w:lang w:val="en-GB"/>
        </w:rPr>
        <w:t>Boigu</w:t>
      </w:r>
      <w:proofErr w:type="spellEnd"/>
      <w:r w:rsidRPr="00AB455A">
        <w:rPr>
          <w:lang w:val="en-GB"/>
        </w:rPr>
        <w:t xml:space="preserve"> Island 2023 outbreak]; </w:t>
      </w:r>
    </w:p>
    <w:p w14:paraId="151CFD6A" w14:textId="77777777" w:rsidR="00AB455A" w:rsidRPr="00AB455A" w:rsidRDefault="00AB455A" w:rsidP="00AB455A">
      <w:pPr>
        <w:pStyle w:val="CDIBoxBullet"/>
        <w:rPr>
          <w:lang w:val="en-GB"/>
        </w:rPr>
      </w:pPr>
      <w:r w:rsidRPr="00AB455A">
        <w:rPr>
          <w:lang w:val="en-GB"/>
        </w:rPr>
        <w:t>1 July and 18 September 2023 [Saibai Island 2023 outbreak]; or</w:t>
      </w:r>
    </w:p>
    <w:p w14:paraId="143299A9" w14:textId="77777777" w:rsidR="00AB455A" w:rsidRPr="00AB455A" w:rsidRDefault="00AB455A" w:rsidP="00AB455A">
      <w:pPr>
        <w:pStyle w:val="CDIBoxBullet"/>
        <w:rPr>
          <w:lang w:val="en-GB"/>
        </w:rPr>
      </w:pPr>
      <w:r w:rsidRPr="00AB455A">
        <w:rPr>
          <w:lang w:val="en-GB"/>
        </w:rPr>
        <w:t>17 April and 13 July 2025 [Saibai Island 2025 outbreak].</w:t>
      </w:r>
    </w:p>
    <w:p w14:paraId="743DAD2D" w14:textId="77777777" w:rsidR="00AB455A" w:rsidRPr="00AB455A" w:rsidRDefault="00AB455A" w:rsidP="00AB455A">
      <w:pPr>
        <w:pStyle w:val="CDIBoxText"/>
        <w:rPr>
          <w:b/>
          <w:bCs/>
          <w:lang w:val="en-GB"/>
        </w:rPr>
      </w:pPr>
      <w:r w:rsidRPr="00AB455A">
        <w:rPr>
          <w:b/>
          <w:bCs/>
          <w:lang w:val="en-GB"/>
        </w:rPr>
        <w:t>Confirmed case</w:t>
      </w:r>
    </w:p>
    <w:p w14:paraId="7D298DCE" w14:textId="77777777" w:rsidR="00AB455A" w:rsidRPr="00AB455A" w:rsidRDefault="00AB455A" w:rsidP="00AB455A">
      <w:pPr>
        <w:pStyle w:val="CDIBoxBullet"/>
        <w:rPr>
          <w:lang w:val="en-GB"/>
        </w:rPr>
      </w:pPr>
      <w:r w:rsidRPr="00AB455A">
        <w:rPr>
          <w:lang w:val="en-GB"/>
        </w:rPr>
        <w:t>detection and specific identification of malaria parasites by microscopy on blood film with confirmation of species by the Queensland Public Health Reference Laboratory; or</w:t>
      </w:r>
    </w:p>
    <w:p w14:paraId="3E321EC8" w14:textId="77777777" w:rsidR="00AB455A" w:rsidRPr="00AB455A" w:rsidRDefault="00AB455A" w:rsidP="00AB455A">
      <w:pPr>
        <w:pStyle w:val="CDIBoxBullet"/>
        <w:rPr>
          <w:lang w:val="en-GB"/>
        </w:rPr>
      </w:pPr>
      <w:r w:rsidRPr="00AB455A">
        <w:rPr>
          <w:lang w:val="en-GB"/>
        </w:rPr>
        <w:t xml:space="preserve">detection of </w:t>
      </w:r>
      <w:r w:rsidRPr="00AB455A">
        <w:rPr>
          <w:i/>
          <w:iCs/>
          <w:lang w:val="en-GB"/>
        </w:rPr>
        <w:t>Plasmodium</w:t>
      </w:r>
      <w:r w:rsidRPr="00AB455A">
        <w:rPr>
          <w:lang w:val="en-GB"/>
        </w:rPr>
        <w:t xml:space="preserve"> species by nucleic acid testing.</w:t>
      </w:r>
    </w:p>
    <w:p w14:paraId="23D3BDBE" w14:textId="77777777" w:rsidR="00AB455A" w:rsidRPr="00AB455A" w:rsidRDefault="00AB455A" w:rsidP="00AB455A">
      <w:pPr>
        <w:pStyle w:val="CDIBoxText"/>
        <w:rPr>
          <w:b/>
          <w:bCs/>
          <w:lang w:val="en-GB"/>
        </w:rPr>
      </w:pPr>
      <w:r w:rsidRPr="00AB455A">
        <w:rPr>
          <w:b/>
          <w:bCs/>
          <w:lang w:val="en-GB"/>
        </w:rPr>
        <w:t>Probable case</w:t>
      </w:r>
    </w:p>
    <w:p w14:paraId="0D22E8C2" w14:textId="77777777" w:rsidR="00AB455A" w:rsidRPr="00AB455A" w:rsidRDefault="00AB455A" w:rsidP="00AB455A">
      <w:pPr>
        <w:pStyle w:val="CDIBoxBullet"/>
        <w:rPr>
          <w:lang w:val="en-GB"/>
        </w:rPr>
      </w:pPr>
      <w:r w:rsidRPr="00AB455A">
        <w:rPr>
          <w:lang w:val="en-GB"/>
        </w:rPr>
        <w:t>detection and specific identification of malaria parasites by microscopy at a non-reference laboratory (Pathology Queensland laboratory); or</w:t>
      </w:r>
    </w:p>
    <w:p w14:paraId="0F481FF0" w14:textId="77777777" w:rsidR="00AB455A" w:rsidRPr="00AB455A" w:rsidRDefault="00AB455A" w:rsidP="00AB455A">
      <w:pPr>
        <w:pStyle w:val="CDIBoxBullet"/>
        <w:rPr>
          <w:lang w:val="en-GB"/>
        </w:rPr>
      </w:pPr>
      <w:r w:rsidRPr="00AB455A">
        <w:rPr>
          <w:lang w:val="en-GB"/>
        </w:rPr>
        <w:t>a positive result with a rapid antigen, immunodiagnostic or immunochromatography test.</w:t>
      </w:r>
    </w:p>
    <w:p w14:paraId="09A070D1" w14:textId="6F0046E6" w:rsidR="00AB455A" w:rsidRPr="00AB455A" w:rsidRDefault="00AB455A" w:rsidP="00AB455A">
      <w:pPr>
        <w:pStyle w:val="Heading3"/>
        <w:rPr>
          <w:lang w:val="en-GB"/>
        </w:rPr>
      </w:pPr>
      <w:r w:rsidRPr="00AB455A">
        <w:rPr>
          <w:lang w:val="en-GB"/>
        </w:rPr>
        <w:t>Active case finding and testing</w:t>
      </w:r>
    </w:p>
    <w:p w14:paraId="6B14A571" w14:textId="77777777" w:rsidR="00AB455A" w:rsidRPr="00AB455A" w:rsidRDefault="00AB455A" w:rsidP="00AB455A">
      <w:pPr>
        <w:rPr>
          <w:lang w:val="en-GB"/>
        </w:rPr>
      </w:pPr>
      <w:r w:rsidRPr="00AB455A">
        <w:rPr>
          <w:lang w:val="en-GB"/>
        </w:rPr>
        <w:t>Active case finding was conducted during each outbreak response. To support this, the local population for each outbreak was determined from active patient medical records, with the list reviewed by local clinic staff to identify those not currently on the island. Paper-based forms were developed to screen household contacts of cases and community residents for malaria symptoms and to collect information about any overseas travel within the prior three months. Household contacts were asked to visit the clinic and were offered blood specimen collection for laboratory testing. Residents reporting current or recent malaria symptoms were also invited to the clinic for blood specimen collection for laboratory testing. To expedite commencement of treatment, symptomatic household contacts and residents were offered a rapid diagnostic test (RDT) at the clinic, which returned results within 15 minutes. More information about the active case finding strategy is outlined in Appendix A, Figure A.1.</w:t>
      </w:r>
    </w:p>
    <w:p w14:paraId="121BBDA4" w14:textId="77777777" w:rsidR="00AB455A" w:rsidRPr="00AB455A" w:rsidRDefault="00AB455A" w:rsidP="00AB455A">
      <w:pPr>
        <w:rPr>
          <w:lang w:val="en-GB"/>
        </w:rPr>
      </w:pPr>
      <w:r w:rsidRPr="00AB455A">
        <w:rPr>
          <w:lang w:val="en-GB"/>
        </w:rPr>
        <w:t xml:space="preserve">The Abbott BinaxNOW™ RDT was used at the point-of-care during the outbreaks. The screening test targets the </w:t>
      </w:r>
      <w:r w:rsidRPr="00AB455A">
        <w:rPr>
          <w:i/>
          <w:iCs/>
          <w:lang w:val="en-GB"/>
        </w:rPr>
        <w:t>P. falciparum</w:t>
      </w:r>
      <w:r w:rsidRPr="00AB455A">
        <w:rPr>
          <w:lang w:val="en-GB"/>
        </w:rPr>
        <w:t xml:space="preserve"> histidine rich protein-2 (PfHRP2) antigen and a pan-malarial antigen found in </w:t>
      </w:r>
      <w:r w:rsidRPr="00AB455A">
        <w:rPr>
          <w:i/>
          <w:iCs/>
          <w:lang w:val="en-GB"/>
        </w:rPr>
        <w:t>P. falciparum</w:t>
      </w:r>
      <w:r w:rsidRPr="00AB455A">
        <w:rPr>
          <w:lang w:val="en-GB"/>
        </w:rPr>
        <w:t xml:space="preserve">, </w:t>
      </w:r>
      <w:r w:rsidRPr="00AB455A">
        <w:rPr>
          <w:i/>
          <w:iCs/>
          <w:lang w:val="en-GB"/>
        </w:rPr>
        <w:t>P. vivax</w:t>
      </w:r>
      <w:r w:rsidRPr="00AB455A">
        <w:rPr>
          <w:lang w:val="en-GB"/>
        </w:rPr>
        <w:t xml:space="preserve">, </w:t>
      </w:r>
      <w:r w:rsidRPr="00AB455A">
        <w:rPr>
          <w:i/>
          <w:iCs/>
          <w:lang w:val="en-GB"/>
        </w:rPr>
        <w:t>P. malariae</w:t>
      </w:r>
      <w:r w:rsidRPr="00AB455A">
        <w:rPr>
          <w:lang w:val="en-GB"/>
        </w:rPr>
        <w:t xml:space="preserve"> and </w:t>
      </w:r>
      <w:r w:rsidRPr="00AB455A">
        <w:rPr>
          <w:i/>
          <w:iCs/>
          <w:lang w:val="en-GB"/>
        </w:rPr>
        <w:t>P. ovale</w:t>
      </w:r>
      <w:r w:rsidRPr="00AB455A">
        <w:rPr>
          <w:lang w:val="en-GB"/>
        </w:rPr>
        <w:t>.</w:t>
      </w:r>
      <w:r w:rsidRPr="00AB455A">
        <w:rPr>
          <w:vertAlign w:val="superscript"/>
          <w:lang w:val="en-GB"/>
        </w:rPr>
        <w:t>15</w:t>
      </w:r>
      <w:r w:rsidRPr="00AB455A">
        <w:rPr>
          <w:lang w:val="en-GB"/>
        </w:rPr>
        <w:t xml:space="preserve"> </w:t>
      </w:r>
    </w:p>
    <w:p w14:paraId="4D46EB1C" w14:textId="77777777" w:rsidR="00AB455A" w:rsidRPr="00AB455A" w:rsidRDefault="00AB455A" w:rsidP="00AB455A">
      <w:pPr>
        <w:rPr>
          <w:lang w:val="en-GB"/>
        </w:rPr>
      </w:pPr>
      <w:r w:rsidRPr="00AB455A">
        <w:rPr>
          <w:lang w:val="en-GB"/>
        </w:rPr>
        <w:t>Blood samples for laboratory testing were sent for Giemsa-stained thick and thin blood films and loop-mediated isothermal amplification (LAMP) (Alethia</w:t>
      </w:r>
      <w:r w:rsidRPr="00AB455A">
        <w:rPr>
          <w:vertAlign w:val="superscript"/>
          <w:lang w:val="en-GB"/>
        </w:rPr>
        <w:t>®</w:t>
      </w:r>
      <w:r w:rsidRPr="00AB455A">
        <w:rPr>
          <w:lang w:val="en-GB"/>
        </w:rPr>
        <w:t xml:space="preserve">, Meridian Bioscience) testing at the Thursday Island Hospital laboratory (~150 km and a 40-minute charter flight and 15-minute ferry from the top western cluster islands) and the Cairns Hospital laboratory (~900 km and a five-hour trip with two connecting flights from the islands). Positive laboratory specimens were then forwarded to the Public and Environmental Health Reference Laboratory (PEHRL) in Brisbane (~1,400 km and a </w:t>
      </w:r>
      <w:proofErr w:type="gramStart"/>
      <w:r w:rsidRPr="00AB455A">
        <w:rPr>
          <w:lang w:val="en-GB"/>
        </w:rPr>
        <w:t>2.5 hour</w:t>
      </w:r>
      <w:proofErr w:type="gramEnd"/>
      <w:r w:rsidRPr="00AB455A">
        <w:rPr>
          <w:lang w:val="en-GB"/>
        </w:rPr>
        <w:t xml:space="preserve"> flight from Cairns) for confirmatory microscopy and polymerase chain reaction (PCR) testing. The </w:t>
      </w:r>
      <w:r w:rsidRPr="00AB455A">
        <w:rPr>
          <w:i/>
          <w:iCs/>
          <w:lang w:val="en-GB"/>
        </w:rPr>
        <w:t>Plasmodium</w:t>
      </w:r>
      <w:r w:rsidRPr="00AB455A">
        <w:rPr>
          <w:lang w:val="en-GB"/>
        </w:rPr>
        <w:t xml:space="preserve"> species was determined by microscopy, or from PCR if microscopy was non-diagnostic.</w:t>
      </w:r>
      <w:r w:rsidRPr="00AB455A">
        <w:rPr>
          <w:vertAlign w:val="superscript"/>
          <w:lang w:val="en-GB"/>
        </w:rPr>
        <w:t>16</w:t>
      </w:r>
      <w:r w:rsidRPr="00AB455A">
        <w:rPr>
          <w:lang w:val="en-GB"/>
        </w:rPr>
        <w:t xml:space="preserve"> The RDT was used to report the species when microscopy was non-diagnostic and when PCR was not performed. </w:t>
      </w:r>
    </w:p>
    <w:p w14:paraId="34B6634B" w14:textId="77777777" w:rsidR="00AB455A" w:rsidRPr="00AB455A" w:rsidRDefault="00AB455A" w:rsidP="00AB455A">
      <w:pPr>
        <w:pStyle w:val="Heading2"/>
        <w:rPr>
          <w:lang w:val="en-GB"/>
        </w:rPr>
      </w:pPr>
      <w:bookmarkStart w:id="19" w:name="_Toc241653655"/>
      <w:r w:rsidRPr="00AB455A">
        <w:rPr>
          <w:lang w:val="en-GB"/>
        </w:rPr>
        <w:lastRenderedPageBreak/>
        <w:t>Ethics</w:t>
      </w:r>
      <w:bookmarkEnd w:id="19"/>
    </w:p>
    <w:p w14:paraId="043D198D" w14:textId="38D692BD" w:rsidR="00AB455A" w:rsidRPr="00BE73E6" w:rsidRDefault="00AB455A" w:rsidP="00BE73E6">
      <w:pPr>
        <w:rPr>
          <w:lang w:val="en-GB"/>
        </w:rPr>
      </w:pPr>
      <w:r w:rsidRPr="00AB455A">
        <w:rPr>
          <w:lang w:val="en-GB"/>
        </w:rPr>
        <w:t>The report was granted an ethics exemption by the Far North Queensland Human Research Ethics Committee and received ethics approval from the Australian National University Human Research Ethics Committee (Protocol 2017/909).</w:t>
      </w:r>
    </w:p>
    <w:p w14:paraId="48BF8441" w14:textId="77777777" w:rsidR="008A0736" w:rsidRDefault="000073ED" w:rsidP="005A4E9D">
      <w:pPr>
        <w:pStyle w:val="Heading1"/>
      </w:pPr>
      <w:bookmarkStart w:id="20" w:name="_Toc195530503"/>
      <w:bookmarkStart w:id="21" w:name="_Toc241653656"/>
      <w:r>
        <w:lastRenderedPageBreak/>
        <w:t>Results</w:t>
      </w:r>
      <w:bookmarkEnd w:id="20"/>
      <w:bookmarkEnd w:id="21"/>
    </w:p>
    <w:p w14:paraId="2EE01779" w14:textId="5BD1DE9E" w:rsidR="000362BF" w:rsidRPr="000362BF" w:rsidRDefault="000362BF" w:rsidP="000362BF">
      <w:pPr>
        <w:pStyle w:val="Heading2"/>
        <w:rPr>
          <w:lang w:val="en-GB"/>
        </w:rPr>
      </w:pPr>
      <w:bookmarkStart w:id="22" w:name="_Toc241653657"/>
      <w:r w:rsidRPr="000362BF">
        <w:rPr>
          <w:lang w:val="en-GB"/>
        </w:rPr>
        <w:t>Malaria cases notified in the Torres Strait, 1</w:t>
      </w:r>
      <w:r>
        <w:rPr>
          <w:lang w:val="en-GB"/>
        </w:rPr>
        <w:t> </w:t>
      </w:r>
      <w:r w:rsidRPr="000362BF">
        <w:rPr>
          <w:lang w:val="en-GB"/>
        </w:rPr>
        <w:t>January</w:t>
      </w:r>
      <w:r>
        <w:rPr>
          <w:lang w:val="en-GB"/>
        </w:rPr>
        <w:t> </w:t>
      </w:r>
      <w:r w:rsidRPr="000362BF">
        <w:rPr>
          <w:lang w:val="en-GB"/>
        </w:rPr>
        <w:t>2000 to 31 December 2025</w:t>
      </w:r>
      <w:bookmarkEnd w:id="22"/>
    </w:p>
    <w:p w14:paraId="65F15765" w14:textId="77777777" w:rsidR="000362BF" w:rsidRPr="000362BF" w:rsidRDefault="000362BF" w:rsidP="00D07D4F">
      <w:pPr>
        <w:pStyle w:val="Heading3"/>
        <w:rPr>
          <w:lang w:val="en-GB"/>
        </w:rPr>
      </w:pPr>
      <w:r w:rsidRPr="000362BF">
        <w:rPr>
          <w:lang w:val="en-GB"/>
        </w:rPr>
        <w:t>2000–2013</w:t>
      </w:r>
    </w:p>
    <w:p w14:paraId="76B2A0BE" w14:textId="77777777" w:rsidR="000362BF" w:rsidRPr="000362BF" w:rsidRDefault="000362BF" w:rsidP="000362BF">
      <w:pPr>
        <w:rPr>
          <w:lang w:val="en-GB"/>
        </w:rPr>
      </w:pPr>
      <w:r w:rsidRPr="000362BF">
        <w:rPr>
          <w:lang w:val="en-GB"/>
        </w:rPr>
        <w:t xml:space="preserve">A total of 171 cases of malaria were notified among Torres Strait Island and PNG residents in the Torres Strait Islands between 2000 and 2013. Of these, 89 (52%) were positive for </w:t>
      </w:r>
      <w:r w:rsidRPr="000362BF">
        <w:rPr>
          <w:i/>
          <w:iCs/>
          <w:lang w:val="en-GB"/>
        </w:rPr>
        <w:t>P. falciparum</w:t>
      </w:r>
      <w:r w:rsidRPr="000362BF">
        <w:rPr>
          <w:lang w:val="en-GB"/>
        </w:rPr>
        <w:t xml:space="preserve"> and 82 (48%) for </w:t>
      </w:r>
      <w:r w:rsidRPr="000362BF">
        <w:rPr>
          <w:i/>
          <w:iCs/>
          <w:lang w:val="en-GB"/>
        </w:rPr>
        <w:t>P. vivax</w:t>
      </w:r>
      <w:r w:rsidRPr="000362BF">
        <w:rPr>
          <w:lang w:val="en-GB"/>
        </w:rPr>
        <w:t xml:space="preserve"> (Figure 2a). Of the 171 cases, 130 (76%) were acquired in PNG; 13 (8%) in Australia; and 28 (16%) in Torres Strait Island residents with an unknown place of acquisition (Figure 2b). The median age was 24 years (interquartile range: 14–35 years) and 72 cases (42%) were female. One case required hospitalisation, with no deaths recorded.</w:t>
      </w:r>
    </w:p>
    <w:p w14:paraId="3DCD9E2C" w14:textId="77777777" w:rsidR="000362BF" w:rsidRPr="000362BF" w:rsidRDefault="000362BF" w:rsidP="000362BF">
      <w:pPr>
        <w:pStyle w:val="Heading3"/>
        <w:rPr>
          <w:lang w:val="en-GB"/>
        </w:rPr>
      </w:pPr>
      <w:r w:rsidRPr="000362BF">
        <w:rPr>
          <w:lang w:val="en-GB"/>
        </w:rPr>
        <w:t>2014–2022</w:t>
      </w:r>
    </w:p>
    <w:p w14:paraId="1439CF49" w14:textId="77777777" w:rsidR="000362BF" w:rsidRPr="000362BF" w:rsidRDefault="000362BF" w:rsidP="000362BF">
      <w:pPr>
        <w:rPr>
          <w:lang w:val="en-GB"/>
        </w:rPr>
      </w:pPr>
      <w:r w:rsidRPr="000362BF">
        <w:rPr>
          <w:lang w:val="en-GB"/>
        </w:rPr>
        <w:t xml:space="preserve">No cases were notified between 2014 and 2022 (Figure 2a). Malaria testing declined during this period; </w:t>
      </w:r>
      <w:proofErr w:type="gramStart"/>
      <w:r w:rsidRPr="000362BF">
        <w:rPr>
          <w:lang w:val="en-GB"/>
        </w:rPr>
        <w:t>however</w:t>
      </w:r>
      <w:proofErr w:type="gramEnd"/>
      <w:r w:rsidRPr="000362BF">
        <w:rPr>
          <w:lang w:val="en-GB"/>
        </w:rPr>
        <w:t xml:space="preserve"> a small number of tests were conducted each year (Figure 2b). </w:t>
      </w:r>
    </w:p>
    <w:p w14:paraId="08D1DA12" w14:textId="77777777" w:rsidR="000362BF" w:rsidRPr="000362BF" w:rsidRDefault="000362BF" w:rsidP="000362BF">
      <w:pPr>
        <w:pStyle w:val="Heading3"/>
        <w:rPr>
          <w:lang w:val="en-GB"/>
        </w:rPr>
      </w:pPr>
      <w:r w:rsidRPr="000362BF">
        <w:rPr>
          <w:lang w:val="en-GB"/>
        </w:rPr>
        <w:t>2023–2025</w:t>
      </w:r>
    </w:p>
    <w:p w14:paraId="75A7A101" w14:textId="77777777" w:rsidR="000362BF" w:rsidRPr="000362BF" w:rsidRDefault="000362BF" w:rsidP="000362BF">
      <w:pPr>
        <w:rPr>
          <w:lang w:val="en-GB"/>
        </w:rPr>
      </w:pPr>
      <w:r w:rsidRPr="000362BF">
        <w:rPr>
          <w:lang w:val="en-GB"/>
        </w:rPr>
        <w:t xml:space="preserve">Between 2023 and 2025, there were 30 cases reported. Of these, 22 cases (73%) were acquired in </w:t>
      </w:r>
      <w:proofErr w:type="gramStart"/>
      <w:r w:rsidRPr="000362BF">
        <w:rPr>
          <w:lang w:val="en-GB"/>
        </w:rPr>
        <w:t>PNG</w:t>
      </w:r>
      <w:proofErr w:type="gramEnd"/>
      <w:r w:rsidRPr="000362BF">
        <w:rPr>
          <w:lang w:val="en-GB"/>
        </w:rPr>
        <w:t xml:space="preserve"> and eight cases (27%) were acquired in Australia, with all eight Australia-acquired outbreak cases described in the next section. Of the 30 cases, 17 (57%) were positive for </w:t>
      </w:r>
      <w:r w:rsidRPr="000362BF">
        <w:rPr>
          <w:i/>
          <w:iCs/>
          <w:lang w:val="en-GB"/>
        </w:rPr>
        <w:t>P. vivax</w:t>
      </w:r>
      <w:r w:rsidRPr="000362BF">
        <w:rPr>
          <w:lang w:val="en-GB"/>
        </w:rPr>
        <w:t xml:space="preserve">; ten (33%) were RDT positive for non-falciparum malaria; one was positive for </w:t>
      </w:r>
      <w:r w:rsidRPr="000362BF">
        <w:rPr>
          <w:i/>
          <w:iCs/>
          <w:lang w:val="en-GB"/>
        </w:rPr>
        <w:t>P. falciparum</w:t>
      </w:r>
      <w:r w:rsidRPr="000362BF">
        <w:rPr>
          <w:lang w:val="en-GB"/>
        </w:rPr>
        <w:t xml:space="preserve">; one was positive for </w:t>
      </w:r>
      <w:r w:rsidRPr="000362BF">
        <w:rPr>
          <w:i/>
          <w:iCs/>
          <w:lang w:val="en-GB"/>
        </w:rPr>
        <w:t>P. malariae</w:t>
      </w:r>
      <w:r w:rsidRPr="000362BF">
        <w:rPr>
          <w:lang w:val="en-GB"/>
        </w:rPr>
        <w:t>; and one did not have a species identified (Figure 2a). The median age was 32 years (interquartile range 13–45 years) and 14 cases (47%) were female. Four cases (13%) were hospitalised, with no deaths recorded. Malaria testing increased across the region from 2023 (Figure 2b).</w:t>
      </w:r>
    </w:p>
    <w:p w14:paraId="3AD8939B" w14:textId="77777777" w:rsidR="000362BF" w:rsidRPr="000362BF" w:rsidRDefault="000362BF" w:rsidP="000362BF">
      <w:pPr>
        <w:rPr>
          <w:lang w:val="en-GB"/>
        </w:rPr>
      </w:pPr>
      <w:r w:rsidRPr="000362BF">
        <w:rPr>
          <w:lang w:val="en-GB"/>
        </w:rPr>
        <w:t xml:space="preserve">Of the 22 imported cases, nine presented to </w:t>
      </w:r>
      <w:proofErr w:type="spellStart"/>
      <w:r w:rsidRPr="000362BF">
        <w:rPr>
          <w:lang w:val="en-GB"/>
        </w:rPr>
        <w:t>Boigu</w:t>
      </w:r>
      <w:proofErr w:type="spellEnd"/>
      <w:r w:rsidRPr="000362BF">
        <w:rPr>
          <w:lang w:val="en-GB"/>
        </w:rPr>
        <w:t xml:space="preserve"> Island (five in 2023 and four in 2025); seven presented to Saibai Island (three in 2023, two each in 2024 and 2025); two presented to Masig Island (2023); two to </w:t>
      </w:r>
      <w:proofErr w:type="spellStart"/>
      <w:r w:rsidRPr="000362BF">
        <w:rPr>
          <w:lang w:val="en-GB"/>
        </w:rPr>
        <w:t>Dauan</w:t>
      </w:r>
      <w:proofErr w:type="spellEnd"/>
      <w:r w:rsidRPr="000362BF">
        <w:rPr>
          <w:lang w:val="en-GB"/>
        </w:rPr>
        <w:t xml:space="preserve"> Island (2024); one to Mer Island (2025); and one to </w:t>
      </w:r>
      <w:proofErr w:type="spellStart"/>
      <w:r w:rsidRPr="000362BF">
        <w:rPr>
          <w:lang w:val="en-GB"/>
        </w:rPr>
        <w:t>Mabuiag</w:t>
      </w:r>
      <w:proofErr w:type="spellEnd"/>
      <w:r w:rsidRPr="000362BF">
        <w:rPr>
          <w:lang w:val="en-GB"/>
        </w:rPr>
        <w:t xml:space="preserve"> Island (2025) (Figure 3). </w:t>
      </w:r>
    </w:p>
    <w:p w14:paraId="21A37F0C" w14:textId="77777777" w:rsidR="000362BF" w:rsidRPr="000362BF" w:rsidRDefault="000362BF" w:rsidP="000362BF">
      <w:pPr>
        <w:rPr>
          <w:lang w:val="en-GB"/>
        </w:rPr>
      </w:pPr>
      <w:r w:rsidRPr="000362BF">
        <w:rPr>
          <w:lang w:val="en-GB"/>
        </w:rPr>
        <w:t xml:space="preserve">Since the introduction, on 1 April 2023, of the probable case definition, 9/28 notified malaria cases (32%) have been classified as probable, meaning they were positive on RDT without laboratory confirmation. All nine probable cases were imported, with six not having a blood specimen collected for laboratory testing in Australia; two testing </w:t>
      </w:r>
      <w:proofErr w:type="gramStart"/>
      <w:r w:rsidRPr="000362BF">
        <w:rPr>
          <w:lang w:val="en-GB"/>
        </w:rPr>
        <w:t>negative</w:t>
      </w:r>
      <w:proofErr w:type="gramEnd"/>
      <w:r w:rsidRPr="000362BF">
        <w:rPr>
          <w:lang w:val="en-GB"/>
        </w:rPr>
        <w:t xml:space="preserve"> on microscopy (without PCR confirmation); and one returning a nondiagnostic laboratory result due to a degraded specimen. Probable cases were referred to the </w:t>
      </w:r>
      <w:proofErr w:type="spellStart"/>
      <w:r w:rsidRPr="000362BF">
        <w:rPr>
          <w:lang w:val="en-GB"/>
        </w:rPr>
        <w:t>Mabudawan</w:t>
      </w:r>
      <w:proofErr w:type="spellEnd"/>
      <w:r w:rsidRPr="000362BF">
        <w:rPr>
          <w:lang w:val="en-GB"/>
        </w:rPr>
        <w:t xml:space="preserve"> Health Centre in PNG for ongoing treatment in line with the Torres Strait Treaty.</w:t>
      </w:r>
    </w:p>
    <w:p w14:paraId="184DABC1" w14:textId="77777777" w:rsidR="000362BF" w:rsidRPr="000362BF" w:rsidRDefault="000362BF" w:rsidP="000362BF">
      <w:pPr>
        <w:pStyle w:val="CDIFigure-Title"/>
        <w:rPr>
          <w:lang w:val="en-GB"/>
        </w:rPr>
      </w:pPr>
      <w:r w:rsidRPr="000362BF">
        <w:rPr>
          <w:lang w:val="en-GB"/>
        </w:rPr>
        <w:lastRenderedPageBreak/>
        <w:t xml:space="preserve">Figure 2a: Annual malaria notifications in the Torres Strait Islands, by </w:t>
      </w:r>
      <w:r w:rsidRPr="000362BF">
        <w:rPr>
          <w:i/>
          <w:iCs/>
          <w:lang w:val="en-GB"/>
        </w:rPr>
        <w:t>Plasmodium</w:t>
      </w:r>
      <w:r w:rsidRPr="000362BF">
        <w:rPr>
          <w:lang w:val="en-GB"/>
        </w:rPr>
        <w:t xml:space="preserve"> species, 1 January 2000 to 31 December 2025 (includes residents of the Torres Strait Islands and Papua New Guinea)</w:t>
      </w:r>
    </w:p>
    <w:p w14:paraId="5EB08EEE" w14:textId="774BD34B" w:rsidR="00AC46DC" w:rsidRPr="000362BF" w:rsidRDefault="000362BF" w:rsidP="000362BF">
      <w:pPr>
        <w:pStyle w:val="CDIFigure-Placeholder"/>
      </w:pPr>
      <w:r>
        <w:rPr>
          <w:noProof/>
          <w14:ligatures w14:val="none"/>
        </w:rPr>
        <w:drawing>
          <wp:inline distT="0" distB="0" distL="0" distR="0" wp14:anchorId="32F5DEC1" wp14:editId="45498579">
            <wp:extent cx="6102000" cy="3052800"/>
            <wp:effectExtent l="0" t="0" r="0" b="0"/>
            <wp:docPr id="893313473" name="Picture 5" descr="Figure 2(a) is a stacked bar chart of malaria cases in the Torres Strait Islands between 2000 and 2025, classified by Plasmodium species. A total of 201 cases were notified among Torres Strait Island and PNG residents. The number of cases varies by year and species. 25 cases were reported in 2001. No cases were reported between 2014 and 2022, including closure of the Australian and Papua New Guinea (PNG) border during the COVID-19 pandemic. 28 cases were reported after the introduction of the probable malaria case definition in April 2023. Of 201 cases, 49% were P. vivax, 45% were P. falciparum, and 5% were non-falciparum malaria. One case in 2025 was infected with P. malariae and the infecting species could not be determined for one other case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13473" name="Picture 5" descr="Figure 2(a) is a stacked bar chart of malaria cases in the Torres Strait Islands between 2000 and 2025, classified by Plasmodium species. A total of 201 cases were notified among Torres Strait Island and PNG residents. The number of cases varies by year and species. 25 cases were reported in 2001. No cases were reported between 2014 and 2022, including closure of the Australian and Papua New Guinea (PNG) border during the COVID-19 pandemic. 28 cases were reported after the introduction of the probable malaria case definition in April 2023. Of 201 cases, 49% were P. vivax, 45% were P. falciparum, and 5% were non-falciparum malaria. One case in 2025 was infected with P. malariae and the infecting species could not be determined for one other case in 2025.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02000" cy="3052800"/>
                    </a:xfrm>
                    <a:prstGeom prst="rect">
                      <a:avLst/>
                    </a:prstGeom>
                  </pic:spPr>
                </pic:pic>
              </a:graphicData>
            </a:graphic>
          </wp:inline>
        </w:drawing>
      </w:r>
    </w:p>
    <w:p w14:paraId="61047998" w14:textId="77777777" w:rsidR="000362BF" w:rsidRPr="000362BF" w:rsidRDefault="000362BF" w:rsidP="000362BF">
      <w:pPr>
        <w:pStyle w:val="CDIFigure-Title"/>
        <w:spacing w:before="720"/>
        <w:rPr>
          <w:lang w:val="en-GB"/>
        </w:rPr>
      </w:pPr>
      <w:r w:rsidRPr="000362BF">
        <w:rPr>
          <w:lang w:val="en-GB"/>
        </w:rPr>
        <w:t>Figure 2b: Annual number of malaria tests and notifications by place of acquisition in the Torres Strait Islands, 1 January 2000 to 31 December 2025 (includes residents of the Torres Strait Islands and Papua New Guinea)</w:t>
      </w:r>
    </w:p>
    <w:p w14:paraId="60204CE5" w14:textId="4F10ED1F" w:rsidR="00AC46DC" w:rsidRDefault="000362BF" w:rsidP="000362BF">
      <w:pPr>
        <w:pStyle w:val="CDIFigure-Placeholder"/>
      </w:pPr>
      <w:r>
        <w:rPr>
          <w:noProof/>
          <w14:ligatures w14:val="none"/>
        </w:rPr>
        <w:drawing>
          <wp:inline distT="0" distB="0" distL="0" distR="0" wp14:anchorId="57659840" wp14:editId="0877062D">
            <wp:extent cx="6102000" cy="3052800"/>
            <wp:effectExtent l="0" t="0" r="0" b="0"/>
            <wp:docPr id="467057891" name="Picture 4" descr="Figure 2(b) is a stacked bar chart of malaria cases classified by place of acquisition in the Torres Strait Islands between 2000 and 2025, with a secondary axis line depicting the number of patients tested for malaria. Figure 2(b) reflects the same number of cases as Figure 2(a). Of 201 cases, 76% were acquired in PNG, 10% were acquired in Australia and 14% were in Torres Strait Island residents with an unknown place of acquisition. Locally acquired cases were reported in 2002, 2004, 2011, 2013, 2023 and 2025. Testing decreased over the time period, with noticeably fewer tests between 2013 and 2022. There were periods of increased testing corresponding to malaria outbreaks in 2011 and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57891" name="Picture 4" descr="Figure 2(b) is a stacked bar chart of malaria cases classified by place of acquisition in the Torres Strait Islands between 2000 and 2025, with a secondary axis line depicting the number of patients tested for malaria. Figure 2(b) reflects the same number of cases as Figure 2(a). Of 201 cases, 76% were acquired in PNG, 10% were acquired in Australia and 14% were in Torres Strait Island residents with an unknown place of acquisition. Locally acquired cases were reported in 2002, 2004, 2011, 2013, 2023 and 2025. Testing decreased over the time period, with noticeably fewer tests between 2013 and 2022. There were periods of increased testing corresponding to malaria outbreaks in 2011 and 20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02000" cy="3052800"/>
                    </a:xfrm>
                    <a:prstGeom prst="rect">
                      <a:avLst/>
                    </a:prstGeom>
                  </pic:spPr>
                </pic:pic>
              </a:graphicData>
            </a:graphic>
          </wp:inline>
        </w:drawing>
      </w:r>
    </w:p>
    <w:p w14:paraId="65A3AF1F" w14:textId="77777777" w:rsidR="000362BF" w:rsidRPr="000362BF" w:rsidRDefault="000362BF" w:rsidP="000362BF">
      <w:pPr>
        <w:pStyle w:val="CDIFigure-Title"/>
        <w:rPr>
          <w:lang w:val="en-GB"/>
        </w:rPr>
      </w:pPr>
      <w:r w:rsidRPr="000362BF">
        <w:rPr>
          <w:lang w:val="en-GB"/>
        </w:rPr>
        <w:lastRenderedPageBreak/>
        <w:t xml:space="preserve">Figure 3: Malaria notifications, by month, on </w:t>
      </w:r>
      <w:proofErr w:type="spellStart"/>
      <w:r w:rsidRPr="000362BF">
        <w:rPr>
          <w:lang w:val="en-GB"/>
        </w:rPr>
        <w:t>Boigu</w:t>
      </w:r>
      <w:proofErr w:type="spellEnd"/>
      <w:r w:rsidRPr="000362BF">
        <w:rPr>
          <w:lang w:val="en-GB"/>
        </w:rPr>
        <w:t xml:space="preserve"> and Saibai Islands during recent outbreak years (</w:t>
      </w:r>
      <w:proofErr w:type="spellStart"/>
      <w:r w:rsidRPr="000362BF">
        <w:rPr>
          <w:lang w:val="en-GB"/>
        </w:rPr>
        <w:t>Boigu</w:t>
      </w:r>
      <w:proofErr w:type="spellEnd"/>
      <w:r w:rsidRPr="000362BF">
        <w:rPr>
          <w:lang w:val="en-GB"/>
        </w:rPr>
        <w:t xml:space="preserve"> Island: 2023; Saibai Island: 2023 and 2025</w:t>
      </w:r>
      <w:proofErr w:type="gramStart"/>
      <w:r w:rsidRPr="000362BF">
        <w:rPr>
          <w:lang w:val="en-GB"/>
        </w:rPr>
        <w:t>),</w:t>
      </w:r>
      <w:r w:rsidRPr="000362BF">
        <w:rPr>
          <w:vertAlign w:val="superscript"/>
          <w:lang w:val="en-GB"/>
        </w:rPr>
        <w:t>a</w:t>
      </w:r>
      <w:proofErr w:type="gramEnd"/>
      <w:r w:rsidRPr="000362BF">
        <w:rPr>
          <w:lang w:val="en-GB"/>
        </w:rPr>
        <w:t xml:space="preserve"> stratified by place of acquisition</w:t>
      </w:r>
    </w:p>
    <w:p w14:paraId="0101AFF8" w14:textId="016FFEA6" w:rsidR="00AC46DC" w:rsidRDefault="000362BF" w:rsidP="000362BF">
      <w:pPr>
        <w:pStyle w:val="CDIFigure-Placeholder"/>
        <w:rPr>
          <w:lang w:val="en-GB"/>
        </w:rPr>
      </w:pPr>
      <w:r>
        <w:rPr>
          <w:noProof/>
          <w:lang w:val="en-GB"/>
          <w14:ligatures w14:val="none"/>
        </w:rPr>
        <w:drawing>
          <wp:inline distT="0" distB="0" distL="0" distR="0" wp14:anchorId="4088D1D7" wp14:editId="1146F93E">
            <wp:extent cx="5997600" cy="7736400"/>
            <wp:effectExtent l="0" t="0" r="3175" b="0"/>
            <wp:docPr id="1384012110" name="Picture 6" descr="Figure 3 is a set of three stacked bar chart of malaria cases on Boigu Island and Saibai Island in the years of the 2023 and 2025 outbreaks. The cases are classified as locally acquired or acquired in Papua New Guinea. Four malaria cases were imported from PNG within five months of the Boigu Island outbreak in 2023. One imported case was reported three months before the Saibai Island outbreak in 2023, and one imported case was reported five months before the 2025 Saibai Island outbreak. No locally acquired cases were reported after each outbr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12110" name="Picture 6" descr="Figure 3 is a set of three stacked bar chart of malaria cases on Boigu Island and Saibai Island in the years of the 2023 and 2025 outbreaks. The cases are classified as locally acquired or acquired in Papua New Guinea. Four malaria cases were imported from PNG within five months of the Boigu Island outbreak in 2023. One imported case was reported three months before the Saibai Island outbreak in 2023, and one imported case was reported five months before the 2025 Saibai Island outbreak. No locally acquired cases were reported after each outbreak."/>
                    <pic:cNvPicPr/>
                  </pic:nvPicPr>
                  <pic:blipFill rotWithShape="1">
                    <a:blip r:embed="rId17">
                      <a:extLst>
                        <a:ext uri="{28A0092B-C50C-407E-A947-70E740481C1C}">
                          <a14:useLocalDpi xmlns:a14="http://schemas.microsoft.com/office/drawing/2010/main" val="0"/>
                        </a:ext>
                      </a:extLst>
                    </a:blip>
                    <a:srcRect t="356" b="1180"/>
                    <a:stretch>
                      <a:fillRect/>
                    </a:stretch>
                  </pic:blipFill>
                  <pic:spPr bwMode="auto">
                    <a:xfrm>
                      <a:off x="0" y="0"/>
                      <a:ext cx="5997600" cy="7736400"/>
                    </a:xfrm>
                    <a:prstGeom prst="rect">
                      <a:avLst/>
                    </a:prstGeom>
                    <a:ln>
                      <a:noFill/>
                    </a:ln>
                    <a:extLst>
                      <a:ext uri="{53640926-AAD7-44D8-BBD7-CCE9431645EC}">
                        <a14:shadowObscured xmlns:a14="http://schemas.microsoft.com/office/drawing/2010/main"/>
                      </a:ext>
                    </a:extLst>
                  </pic:spPr>
                </pic:pic>
              </a:graphicData>
            </a:graphic>
          </wp:inline>
        </w:drawing>
      </w:r>
    </w:p>
    <w:p w14:paraId="49923C6E" w14:textId="77777777" w:rsidR="000362BF" w:rsidRPr="000362BF" w:rsidRDefault="000362BF" w:rsidP="000362BF">
      <w:pPr>
        <w:pStyle w:val="CDITable-FirstFootnote"/>
        <w:rPr>
          <w:lang w:val="en-GB"/>
        </w:rPr>
      </w:pPr>
      <w:proofErr w:type="spellStart"/>
      <w:r w:rsidRPr="000362BF">
        <w:rPr>
          <w:lang w:val="en-GB"/>
        </w:rPr>
        <w:t>a</w:t>
      </w:r>
      <w:proofErr w:type="spellEnd"/>
      <w:r w:rsidRPr="000362BF">
        <w:rPr>
          <w:lang w:val="en-GB"/>
        </w:rPr>
        <w:tab/>
        <w:t xml:space="preserve">On </w:t>
      </w:r>
      <w:proofErr w:type="spellStart"/>
      <w:r w:rsidRPr="000362BF">
        <w:rPr>
          <w:lang w:val="en-GB"/>
        </w:rPr>
        <w:t>Boigu</w:t>
      </w:r>
      <w:proofErr w:type="spellEnd"/>
      <w:r w:rsidRPr="000362BF">
        <w:rPr>
          <w:lang w:val="en-GB"/>
        </w:rPr>
        <w:t xml:space="preserve"> Island in 2023, three imported cases were </w:t>
      </w:r>
      <w:r w:rsidRPr="000362BF">
        <w:rPr>
          <w:i/>
          <w:iCs/>
          <w:lang w:val="en-GB"/>
        </w:rPr>
        <w:t>P. vivax</w:t>
      </w:r>
      <w:r w:rsidRPr="000362BF">
        <w:rPr>
          <w:lang w:val="en-GB"/>
        </w:rPr>
        <w:t xml:space="preserve"> and two were RDT positive for non-falciparum malaria. On Saibai Island in 2023, one imported case was </w:t>
      </w:r>
      <w:r w:rsidRPr="000362BF">
        <w:rPr>
          <w:i/>
          <w:iCs/>
          <w:lang w:val="en-GB"/>
        </w:rPr>
        <w:t>P. vivax</w:t>
      </w:r>
      <w:r w:rsidRPr="000362BF">
        <w:rPr>
          <w:lang w:val="en-GB"/>
        </w:rPr>
        <w:t xml:space="preserve"> and two were RDT positive for non-falciparum malaria. On Saibai Island in 2025, one imported case was </w:t>
      </w:r>
      <w:r w:rsidRPr="000362BF">
        <w:rPr>
          <w:i/>
          <w:iCs/>
          <w:lang w:val="en-GB"/>
        </w:rPr>
        <w:t xml:space="preserve">P. </w:t>
      </w:r>
      <w:proofErr w:type="gramStart"/>
      <w:r w:rsidRPr="000362BF">
        <w:rPr>
          <w:i/>
          <w:iCs/>
          <w:lang w:val="en-GB"/>
        </w:rPr>
        <w:t>vivax</w:t>
      </w:r>
      <w:proofErr w:type="gramEnd"/>
      <w:r w:rsidRPr="000362BF">
        <w:rPr>
          <w:lang w:val="en-GB"/>
        </w:rPr>
        <w:t xml:space="preserve"> and one was RDT positive for non-falciparum malaria. For speciation of locally acquired cases, please see text and Table 1.</w:t>
      </w:r>
    </w:p>
    <w:p w14:paraId="3530EBCA" w14:textId="77777777" w:rsidR="000362BF" w:rsidRPr="000362BF" w:rsidRDefault="000362BF" w:rsidP="000362BF">
      <w:pPr>
        <w:pStyle w:val="Heading2"/>
        <w:rPr>
          <w:lang w:val="en-GB"/>
        </w:rPr>
      </w:pPr>
      <w:bookmarkStart w:id="23" w:name="_Toc241653658"/>
      <w:r w:rsidRPr="000362BF">
        <w:rPr>
          <w:lang w:val="en-GB"/>
        </w:rPr>
        <w:lastRenderedPageBreak/>
        <w:t>Public health response to three malaria outbreaks in the Torres Strait, 2023 to 2025</w:t>
      </w:r>
      <w:bookmarkEnd w:id="23"/>
    </w:p>
    <w:p w14:paraId="30D2809F" w14:textId="77777777" w:rsidR="000362BF" w:rsidRPr="000362BF" w:rsidRDefault="000362BF" w:rsidP="00D07D4F">
      <w:pPr>
        <w:pStyle w:val="Heading3"/>
        <w:rPr>
          <w:lang w:val="en-GB"/>
        </w:rPr>
      </w:pPr>
      <w:r w:rsidRPr="000362BF">
        <w:rPr>
          <w:lang w:val="en-GB"/>
        </w:rPr>
        <w:t>Pre-outbreak preparation</w:t>
      </w:r>
    </w:p>
    <w:p w14:paraId="169D1E3E" w14:textId="77777777" w:rsidR="000362BF" w:rsidRPr="000362BF" w:rsidRDefault="000362BF" w:rsidP="000362BF">
      <w:pPr>
        <w:rPr>
          <w:lang w:val="en-GB"/>
        </w:rPr>
      </w:pPr>
      <w:r w:rsidRPr="000362BF">
        <w:rPr>
          <w:lang w:val="en-GB"/>
        </w:rPr>
        <w:t xml:space="preserve">After the detection of five imported malaria cases to Saibai and </w:t>
      </w:r>
      <w:proofErr w:type="spellStart"/>
      <w:r w:rsidRPr="000362BF">
        <w:rPr>
          <w:lang w:val="en-GB"/>
        </w:rPr>
        <w:t>Boigu</w:t>
      </w:r>
      <w:proofErr w:type="spellEnd"/>
      <w:r w:rsidRPr="000362BF">
        <w:rPr>
          <w:lang w:val="en-GB"/>
        </w:rPr>
        <w:t xml:space="preserve"> Islands in early 2023, the TCPHU collaborated with local primary healthcare services to preposition resources and implement readiness measures. Several education sessions about malaria testing and management were provided to local clinicians. To support timely diagnosis and treatment, malaria RDTs and artemether-lumefantrine medications were deployed to the primary health care clinics (PHCCs) of the islands that had received PNG visitors since the border reopened after the COVID-19 pandemic. </w:t>
      </w:r>
    </w:p>
    <w:p w14:paraId="249DF922" w14:textId="77777777" w:rsidR="000362BF" w:rsidRPr="000362BF" w:rsidRDefault="000362BF" w:rsidP="00D07D4F">
      <w:pPr>
        <w:pStyle w:val="Heading3"/>
        <w:rPr>
          <w:lang w:val="en-GB"/>
        </w:rPr>
      </w:pPr>
      <w:r w:rsidRPr="000362BF">
        <w:rPr>
          <w:lang w:val="en-GB"/>
        </w:rPr>
        <w:t>Description of outbreak cases</w:t>
      </w:r>
    </w:p>
    <w:p w14:paraId="5B6B4133" w14:textId="3FD92148" w:rsidR="000362BF" w:rsidRPr="000362BF" w:rsidRDefault="000362BF" w:rsidP="000362BF">
      <w:pPr>
        <w:rPr>
          <w:lang w:val="en-GB"/>
        </w:rPr>
      </w:pPr>
      <w:r w:rsidRPr="000362BF">
        <w:rPr>
          <w:lang w:val="en-GB"/>
        </w:rPr>
        <w:t>A total of eight locally acquired, confirmed cases were identified across the three outbreaks between 2023 and 2025 (Table 1). The median time from symptom onset to case detection was 6</w:t>
      </w:r>
      <w:r w:rsidR="00D07D4F">
        <w:rPr>
          <w:lang w:val="en-GB"/>
        </w:rPr>
        <w:t> </w:t>
      </w:r>
      <w:r w:rsidRPr="000362BF">
        <w:rPr>
          <w:lang w:val="en-GB"/>
        </w:rPr>
        <w:t xml:space="preserve">days (range: 4–41 days). The median age was 25 years (range: 11–49 years). In six of the eight locally acquired cases, </w:t>
      </w:r>
      <w:r w:rsidRPr="000362BF">
        <w:rPr>
          <w:i/>
          <w:iCs/>
          <w:lang w:val="en-GB"/>
        </w:rPr>
        <w:t>P. vivax</w:t>
      </w:r>
      <w:r w:rsidRPr="000362BF">
        <w:rPr>
          <w:lang w:val="en-GB"/>
        </w:rPr>
        <w:t xml:space="preserve"> was detected as the infecting species, with the species unable to be determined in 2/8 cases due to sample degradation. Two cases reported no previous travel to </w:t>
      </w:r>
      <w:proofErr w:type="gramStart"/>
      <w:r w:rsidRPr="000362BF">
        <w:rPr>
          <w:lang w:val="en-GB"/>
        </w:rPr>
        <w:t>PNG</w:t>
      </w:r>
      <w:proofErr w:type="gramEnd"/>
      <w:r w:rsidRPr="000362BF">
        <w:rPr>
          <w:lang w:val="en-GB"/>
        </w:rPr>
        <w:t xml:space="preserve"> and five cases reported no travel to PNG in the preceding three months.</w:t>
      </w:r>
      <w:r w:rsidRPr="000362BF">
        <w:rPr>
          <w:vertAlign w:val="superscript"/>
          <w:lang w:val="en-GB"/>
        </w:rPr>
        <w:footnoteReference w:id="2"/>
      </w:r>
      <w:r w:rsidRPr="000362BF">
        <w:rPr>
          <w:lang w:val="en-GB"/>
        </w:rPr>
        <w:t xml:space="preserve"> One case reported a prior malaria infection acquired in PNG some years ago; however, the specific year, species, and treatment received </w:t>
      </w:r>
      <w:proofErr w:type="gramStart"/>
      <w:r w:rsidRPr="000362BF">
        <w:rPr>
          <w:lang w:val="en-GB"/>
        </w:rPr>
        <w:t>were not able to</w:t>
      </w:r>
      <w:proofErr w:type="gramEnd"/>
      <w:r w:rsidRPr="000362BF">
        <w:rPr>
          <w:lang w:val="en-GB"/>
        </w:rPr>
        <w:t xml:space="preserve"> be ascertained. </w:t>
      </w:r>
    </w:p>
    <w:p w14:paraId="3CB1360B" w14:textId="77777777" w:rsidR="000362BF" w:rsidRPr="000362BF" w:rsidRDefault="000362BF" w:rsidP="000362BF">
      <w:pPr>
        <w:rPr>
          <w:lang w:val="en-GB"/>
        </w:rPr>
      </w:pPr>
      <w:r w:rsidRPr="000362BF">
        <w:rPr>
          <w:lang w:val="en-GB"/>
        </w:rPr>
        <w:t xml:space="preserve">All cases reported at least two malaria symptoms (fever, headache, chills and/or nausea), with 7/8 reporting fever and 5/8 reporting chills and nausea. Three cases were hospitalised for a median of four days (range: 2–4 days), with no deaths, acute complications or relapses reported. Seven cases received artemether-lumefantrine and one received atovaquone-proguanil treatment within a median of one day of blood specimen collection (range: -2 to 21 days) (Table 1). All cases returned normal glucose-6-phosphate dehydrogenase (G6PD) enzyme levels and received primaquine within a median of 8 days of G6PD testing (range: 1–23 days). There was no recurrence among cases who received primaquine treatment. </w:t>
      </w:r>
    </w:p>
    <w:p w14:paraId="757308C7" w14:textId="77777777" w:rsidR="000362BF" w:rsidRPr="000362BF" w:rsidRDefault="000362BF" w:rsidP="000362BF">
      <w:pPr>
        <w:rPr>
          <w:lang w:val="en-GB"/>
        </w:rPr>
      </w:pPr>
      <w:r w:rsidRPr="000362BF">
        <w:rPr>
          <w:lang w:val="en-GB"/>
        </w:rPr>
        <w:t xml:space="preserve">Of 790 people present on the three islands at the time of each outbreak, 478 (61%) were screened, with 14/478 (3%) reporting symptoms, 10/14 (71%) were tested (four did not present to the clinic) and 3/10 (30%) were confirmed as malaria cases. The remaining five outbreak cases self-presented to health services. Across the three outbreaks, one non-symptomatic household contact declined testing, and one resident declined screening and testing. No household contacts of the eight cases tested positive to malaria. </w:t>
      </w:r>
    </w:p>
    <w:p w14:paraId="5924B0C1" w14:textId="77777777" w:rsidR="000362BF" w:rsidRPr="000362BF" w:rsidRDefault="000362BF" w:rsidP="00D07D4F">
      <w:pPr>
        <w:pStyle w:val="Heading3"/>
        <w:rPr>
          <w:lang w:val="en-GB"/>
        </w:rPr>
      </w:pPr>
      <w:r w:rsidRPr="000362BF">
        <w:rPr>
          <w:lang w:val="en-GB"/>
        </w:rPr>
        <w:t>Outbreak response</w:t>
      </w:r>
    </w:p>
    <w:p w14:paraId="6F9DBCB1" w14:textId="77777777" w:rsidR="000362BF" w:rsidRPr="000362BF" w:rsidRDefault="000362BF" w:rsidP="000362BF">
      <w:pPr>
        <w:rPr>
          <w:lang w:val="en-GB"/>
        </w:rPr>
      </w:pPr>
      <w:r w:rsidRPr="000362BF">
        <w:rPr>
          <w:lang w:val="en-GB"/>
        </w:rPr>
        <w:t xml:space="preserve">On 7 July 2023, the TCPHU was notified of a positive </w:t>
      </w:r>
      <w:r w:rsidRPr="000362BF">
        <w:rPr>
          <w:i/>
          <w:iCs/>
          <w:lang w:val="en-GB"/>
        </w:rPr>
        <w:t>P. vivax</w:t>
      </w:r>
      <w:r w:rsidRPr="000362BF">
        <w:rPr>
          <w:lang w:val="en-GB"/>
        </w:rPr>
        <w:t xml:space="preserve"> case in a </w:t>
      </w:r>
      <w:proofErr w:type="spellStart"/>
      <w:r w:rsidRPr="000362BF">
        <w:rPr>
          <w:lang w:val="en-GB"/>
        </w:rPr>
        <w:t>Boigu</w:t>
      </w:r>
      <w:proofErr w:type="spellEnd"/>
      <w:r w:rsidRPr="000362BF">
        <w:rPr>
          <w:lang w:val="en-GB"/>
        </w:rPr>
        <w:t xml:space="preserve"> Island resident with no previous overseas travel. The TCPHU declared an outbreak in response to the confirmed case of locally transmitted malaria.</w:t>
      </w:r>
      <w:r w:rsidRPr="000362BF">
        <w:rPr>
          <w:vertAlign w:val="superscript"/>
          <w:lang w:val="en-GB"/>
        </w:rPr>
        <w:t>14</w:t>
      </w:r>
      <w:r w:rsidRPr="000362BF">
        <w:rPr>
          <w:lang w:val="en-GB"/>
        </w:rPr>
        <w:t xml:space="preserve"> </w:t>
      </w:r>
    </w:p>
    <w:p w14:paraId="115CD7AD" w14:textId="77777777" w:rsidR="000362BF" w:rsidRPr="000362BF" w:rsidRDefault="000362BF" w:rsidP="00D07D4F">
      <w:pPr>
        <w:keepLines/>
        <w:rPr>
          <w:lang w:val="en-GB"/>
        </w:rPr>
      </w:pPr>
      <w:r w:rsidRPr="000362BF">
        <w:rPr>
          <w:lang w:val="en-GB"/>
        </w:rPr>
        <w:lastRenderedPageBreak/>
        <w:t xml:space="preserve">A response team arrived within four days of the notification and included a Public Health Medical Officer, a Public Health Nurse, a Cross Border Communications Officer and Vector Control Officers. The public health response included active case finding, education and vector control activities and was led by local Torres Strait Island Health Workers in partnership with the visiting public health staff and Torres Strait Island Regional Council (TSIRC). This collaboration enabled culturally considered engagement, including adapting response activities during periods of Sorry News. </w:t>
      </w:r>
    </w:p>
    <w:p w14:paraId="31CAC79D" w14:textId="00126927" w:rsidR="000362BF" w:rsidRPr="000362BF" w:rsidRDefault="000362BF" w:rsidP="000362BF">
      <w:pPr>
        <w:rPr>
          <w:lang w:val="en-GB"/>
        </w:rPr>
      </w:pPr>
      <w:r w:rsidRPr="000362BF">
        <w:rPr>
          <w:lang w:val="en-GB"/>
        </w:rPr>
        <w:t xml:space="preserve">The response provided education to households and the local primary school in English and </w:t>
      </w:r>
      <w:proofErr w:type="spellStart"/>
      <w:r w:rsidRPr="000362BF">
        <w:rPr>
          <w:lang w:val="en-GB"/>
        </w:rPr>
        <w:t>Yumplatok</w:t>
      </w:r>
      <w:proofErr w:type="spellEnd"/>
      <w:r w:rsidRPr="000362BF">
        <w:rPr>
          <w:lang w:val="en-GB"/>
        </w:rPr>
        <w:t xml:space="preserve"> (Torres Strait Creole). Mosquito repellent containing diethyltoluamide (DEET) or picaridin and ‘Stop the Bite’ information leaflets were handed out within the community (Appendix</w:t>
      </w:r>
      <w:r w:rsidR="00D07D4F">
        <w:rPr>
          <w:lang w:val="en-GB"/>
        </w:rPr>
        <w:t> </w:t>
      </w:r>
      <w:r w:rsidRPr="000362BF">
        <w:rPr>
          <w:lang w:val="en-GB"/>
        </w:rPr>
        <w:t xml:space="preserve">A, Figure A.2). Radio and media messages were broadcast in English during the response to remind residents across the Torres Strait to take precautions against mosquito bites. Vector control staff conducted harbourage spraying with a residual pyrethroid insecticide around houses, shops, community areas and nearby vegetation, starting with the residence of the case and expanding outwards. </w:t>
      </w:r>
    </w:p>
    <w:p w14:paraId="4B589B9D" w14:textId="77777777" w:rsidR="000362BF" w:rsidRPr="000362BF" w:rsidRDefault="000362BF" w:rsidP="000362BF">
      <w:pPr>
        <w:rPr>
          <w:lang w:val="en-GB"/>
        </w:rPr>
      </w:pPr>
      <w:r w:rsidRPr="000362BF">
        <w:rPr>
          <w:lang w:val="en-GB"/>
        </w:rPr>
        <w:t xml:space="preserve">On 15 July 2023, another locally acquired </w:t>
      </w:r>
      <w:r w:rsidRPr="000362BF">
        <w:rPr>
          <w:i/>
          <w:iCs/>
          <w:lang w:val="en-GB"/>
        </w:rPr>
        <w:t>P. vivax</w:t>
      </w:r>
      <w:r w:rsidRPr="000362BF">
        <w:rPr>
          <w:lang w:val="en-GB"/>
        </w:rPr>
        <w:t xml:space="preserve"> case was detected on neighbouring Saibai Island. A second outbreak was declared, and a similar outbreak response conducted. No locally acquired cases were notified during 2024. On 18 May 2025, a locally acquired case was detected on Saibai Island, and a third response implemented. </w:t>
      </w:r>
    </w:p>
    <w:p w14:paraId="2156BE1D" w14:textId="77777777" w:rsidR="000362BF" w:rsidRPr="000362BF" w:rsidRDefault="000362BF" w:rsidP="00D07D4F">
      <w:pPr>
        <w:pStyle w:val="Heading3"/>
        <w:rPr>
          <w:lang w:val="en-GB"/>
        </w:rPr>
      </w:pPr>
      <w:r w:rsidRPr="000362BF">
        <w:rPr>
          <w:lang w:val="en-GB"/>
        </w:rPr>
        <w:t>Outbreak closure</w:t>
      </w:r>
    </w:p>
    <w:p w14:paraId="2E947A95" w14:textId="77777777" w:rsidR="00D07D4F" w:rsidRDefault="000362BF" w:rsidP="000362BF">
      <w:pPr>
        <w:rPr>
          <w:lang w:val="en-GB"/>
        </w:rPr>
        <w:sectPr w:rsidR="00D07D4F" w:rsidSect="001E3ECB">
          <w:headerReference w:type="even" r:id="rId18"/>
          <w:footerReference w:type="even" r:id="rId19"/>
          <w:footerReference w:type="default" r:id="rId20"/>
          <w:headerReference w:type="first" r:id="rId21"/>
          <w:footerReference w:type="first" r:id="rId22"/>
          <w:footnotePr>
            <w:numFmt w:val="lowerRoman"/>
          </w:footnotePr>
          <w:pgSz w:w="11907" w:h="16840" w:code="9"/>
          <w:pgMar w:top="1134" w:right="1134" w:bottom="1134" w:left="1134" w:header="709" w:footer="567" w:gutter="0"/>
          <w:cols w:space="708"/>
          <w:docGrid w:linePitch="360"/>
        </w:sectPr>
      </w:pPr>
      <w:r w:rsidRPr="000362BF">
        <w:rPr>
          <w:lang w:val="en-GB"/>
        </w:rPr>
        <w:t xml:space="preserve">The outbreaks closed after two </w:t>
      </w:r>
      <w:r w:rsidRPr="000362BF">
        <w:rPr>
          <w:i/>
          <w:iCs/>
          <w:lang w:val="en-GB"/>
        </w:rPr>
        <w:t>P. vivax</w:t>
      </w:r>
      <w:r w:rsidRPr="000362BF">
        <w:rPr>
          <w:lang w:val="en-GB"/>
        </w:rPr>
        <w:t xml:space="preserve"> incubation periods (maximum extrinsic period of 10 days and maximum intrinsic period of 18 days) had passed with no additional locally acquired cases identified. The first outbreak closed after 73 days, the second after 65 days and the third after 56</w:t>
      </w:r>
      <w:r w:rsidR="00D07D4F">
        <w:rPr>
          <w:lang w:val="en-GB"/>
        </w:rPr>
        <w:t> </w:t>
      </w:r>
      <w:r w:rsidRPr="000362BF">
        <w:rPr>
          <w:lang w:val="en-GB"/>
        </w:rPr>
        <w:t xml:space="preserve">days. </w:t>
      </w:r>
    </w:p>
    <w:p w14:paraId="65FC3C06" w14:textId="77777777" w:rsidR="00D07D4F" w:rsidRPr="00D07D4F" w:rsidRDefault="00D07D4F" w:rsidP="00D07D4F">
      <w:pPr>
        <w:pStyle w:val="CDITable-Title"/>
        <w:spacing w:before="0"/>
        <w:rPr>
          <w:lang w:val="en-GB"/>
        </w:rPr>
      </w:pPr>
      <w:r w:rsidRPr="00D07D4F">
        <w:rPr>
          <w:lang w:val="en-GB"/>
        </w:rPr>
        <w:lastRenderedPageBreak/>
        <w:t>Table 1: Characteristics of malaria outbreak confirmed cases, Torres Strait Islands, Australia 2023–2025</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Characteristics of malaria outbreak confirmed cases, Torres Strait Islands, Australia 2023–2025"/>
        <w:tblDescription w:val="Table 1 describes the characteristics of malaria cases in three outbreaks in the Torres Strait Islands in 2023 and 2025. Plasmodium vivax was the infecting species in six of eight outbreak cases, and three of eight cases were hospitalised."/>
      </w:tblPr>
      <w:tblGrid>
        <w:gridCol w:w="1134"/>
        <w:gridCol w:w="1077"/>
        <w:gridCol w:w="1323"/>
        <w:gridCol w:w="850"/>
        <w:gridCol w:w="850"/>
        <w:gridCol w:w="1304"/>
        <w:gridCol w:w="851"/>
        <w:gridCol w:w="964"/>
        <w:gridCol w:w="1133"/>
        <w:gridCol w:w="1361"/>
        <w:gridCol w:w="1323"/>
        <w:gridCol w:w="1134"/>
        <w:gridCol w:w="1323"/>
      </w:tblGrid>
      <w:tr w:rsidR="00D07D4F" w:rsidRPr="00D07D4F" w14:paraId="7E7CB96D" w14:textId="77777777" w:rsidTr="00D07D4F">
        <w:trPr>
          <w:trHeight w:val="60"/>
          <w:tblHeader/>
        </w:trPr>
        <w:tc>
          <w:tcPr>
            <w:tcW w:w="1134" w:type="dxa"/>
            <w:vMerge w:val="restart"/>
            <w:shd w:val="clear" w:color="auto" w:fill="1E4496" w:themeFill="text2"/>
            <w:tcMar>
              <w:top w:w="102" w:type="dxa"/>
              <w:left w:w="113" w:type="dxa"/>
              <w:bottom w:w="102" w:type="dxa"/>
              <w:right w:w="113" w:type="dxa"/>
            </w:tcMar>
            <w:vAlign w:val="bottom"/>
          </w:tcPr>
          <w:p w14:paraId="1897971C" w14:textId="77777777" w:rsidR="00D07D4F" w:rsidRPr="00D07D4F" w:rsidRDefault="00D07D4F" w:rsidP="00D07D4F">
            <w:pPr>
              <w:pStyle w:val="CDITable-HeaderRowCentre"/>
            </w:pPr>
            <w:proofErr w:type="spellStart"/>
            <w:r w:rsidRPr="00D07D4F">
              <w:t>Outbreak</w:t>
            </w:r>
            <w:r w:rsidRPr="00D07D4F">
              <w:rPr>
                <w:vertAlign w:val="superscript"/>
              </w:rPr>
              <w:t>a</w:t>
            </w:r>
            <w:proofErr w:type="spellEnd"/>
          </w:p>
        </w:tc>
        <w:tc>
          <w:tcPr>
            <w:tcW w:w="1077" w:type="dxa"/>
            <w:vMerge w:val="restart"/>
            <w:shd w:val="clear" w:color="auto" w:fill="1E4496" w:themeFill="text2"/>
            <w:tcMar>
              <w:top w:w="102" w:type="dxa"/>
              <w:left w:w="113" w:type="dxa"/>
              <w:bottom w:w="102" w:type="dxa"/>
              <w:right w:w="113" w:type="dxa"/>
            </w:tcMar>
            <w:vAlign w:val="bottom"/>
          </w:tcPr>
          <w:p w14:paraId="0A8CDA5A" w14:textId="77777777" w:rsidR="00D07D4F" w:rsidRPr="00D07D4F" w:rsidRDefault="00D07D4F" w:rsidP="00D07D4F">
            <w:pPr>
              <w:pStyle w:val="CDITable-HeaderRowCentre"/>
            </w:pPr>
            <w:r w:rsidRPr="00D07D4F">
              <w:t xml:space="preserve">Case detection </w:t>
            </w:r>
            <w:proofErr w:type="spellStart"/>
            <w:r w:rsidRPr="00D07D4F">
              <w:t>method</w:t>
            </w:r>
            <w:r w:rsidRPr="00D07D4F">
              <w:rPr>
                <w:vertAlign w:val="superscript"/>
              </w:rPr>
              <w:t>b</w:t>
            </w:r>
            <w:proofErr w:type="spellEnd"/>
          </w:p>
        </w:tc>
        <w:tc>
          <w:tcPr>
            <w:tcW w:w="1323" w:type="dxa"/>
            <w:vMerge w:val="restart"/>
            <w:shd w:val="clear" w:color="auto" w:fill="1E4496" w:themeFill="text2"/>
            <w:tcMar>
              <w:top w:w="102" w:type="dxa"/>
              <w:left w:w="113" w:type="dxa"/>
              <w:bottom w:w="102" w:type="dxa"/>
              <w:right w:w="113" w:type="dxa"/>
            </w:tcMar>
            <w:vAlign w:val="bottom"/>
          </w:tcPr>
          <w:p w14:paraId="58A1659E" w14:textId="77777777" w:rsidR="00D07D4F" w:rsidRPr="00D07D4F" w:rsidRDefault="00D07D4F" w:rsidP="00D07D4F">
            <w:pPr>
              <w:pStyle w:val="CDITable-HeaderRowCentre"/>
            </w:pPr>
            <w:r w:rsidRPr="00D07D4F">
              <w:t>Interval between symptom onset and notification (days)</w:t>
            </w:r>
          </w:p>
        </w:tc>
        <w:tc>
          <w:tcPr>
            <w:tcW w:w="5952" w:type="dxa"/>
            <w:gridSpan w:val="6"/>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42C43DB5" w14:textId="77777777" w:rsidR="00D07D4F" w:rsidRPr="00D07D4F" w:rsidRDefault="00D07D4F" w:rsidP="00D07D4F">
            <w:pPr>
              <w:pStyle w:val="CDITable-HeaderRowCentre"/>
            </w:pPr>
            <w:r w:rsidRPr="00D07D4F">
              <w:t xml:space="preserve">Results of </w:t>
            </w:r>
            <w:proofErr w:type="spellStart"/>
            <w:proofErr w:type="gramStart"/>
            <w:r w:rsidRPr="00D07D4F">
              <w:t>testing</w:t>
            </w:r>
            <w:r w:rsidRPr="00D07D4F">
              <w:rPr>
                <w:vertAlign w:val="superscript"/>
              </w:rPr>
              <w:t>c,d</w:t>
            </w:r>
            <w:proofErr w:type="spellEnd"/>
            <w:proofErr w:type="gramEnd"/>
          </w:p>
        </w:tc>
        <w:tc>
          <w:tcPr>
            <w:tcW w:w="1361" w:type="dxa"/>
            <w:vMerge w:val="restart"/>
            <w:shd w:val="clear" w:color="auto" w:fill="1E4496" w:themeFill="text2"/>
            <w:tcMar>
              <w:top w:w="102" w:type="dxa"/>
              <w:left w:w="113" w:type="dxa"/>
              <w:bottom w:w="102" w:type="dxa"/>
              <w:right w:w="113" w:type="dxa"/>
            </w:tcMar>
            <w:vAlign w:val="bottom"/>
          </w:tcPr>
          <w:p w14:paraId="7D802463" w14:textId="77777777" w:rsidR="00D07D4F" w:rsidRPr="00D07D4F" w:rsidRDefault="00D07D4F" w:rsidP="00D07D4F">
            <w:pPr>
              <w:pStyle w:val="CDITable-HeaderRowCentre"/>
            </w:pPr>
            <w:r w:rsidRPr="00D07D4F">
              <w:t>Hospitalised</w:t>
            </w:r>
          </w:p>
        </w:tc>
        <w:tc>
          <w:tcPr>
            <w:tcW w:w="1323" w:type="dxa"/>
            <w:vMerge w:val="restart"/>
            <w:shd w:val="clear" w:color="auto" w:fill="1E4496" w:themeFill="text2"/>
            <w:tcMar>
              <w:top w:w="102" w:type="dxa"/>
              <w:left w:w="113" w:type="dxa"/>
              <w:bottom w:w="102" w:type="dxa"/>
              <w:right w:w="113" w:type="dxa"/>
            </w:tcMar>
            <w:vAlign w:val="bottom"/>
          </w:tcPr>
          <w:p w14:paraId="3800EFCA" w14:textId="77777777" w:rsidR="00D07D4F" w:rsidRPr="00D07D4F" w:rsidRDefault="00D07D4F" w:rsidP="00D07D4F">
            <w:pPr>
              <w:pStyle w:val="CDITable-HeaderRowCentre"/>
            </w:pPr>
            <w:r w:rsidRPr="00D07D4F">
              <w:t>Interval between outbreak declaration and case detection (days)</w:t>
            </w:r>
          </w:p>
        </w:tc>
        <w:tc>
          <w:tcPr>
            <w:tcW w:w="1134" w:type="dxa"/>
            <w:vMerge w:val="restart"/>
            <w:shd w:val="clear" w:color="auto" w:fill="1E4496" w:themeFill="text2"/>
            <w:tcMar>
              <w:top w:w="102" w:type="dxa"/>
              <w:left w:w="113" w:type="dxa"/>
              <w:bottom w:w="102" w:type="dxa"/>
              <w:right w:w="113" w:type="dxa"/>
            </w:tcMar>
            <w:vAlign w:val="bottom"/>
          </w:tcPr>
          <w:p w14:paraId="16FBDBBF" w14:textId="77777777" w:rsidR="00D07D4F" w:rsidRPr="00D07D4F" w:rsidRDefault="00D07D4F" w:rsidP="00D07D4F">
            <w:pPr>
              <w:pStyle w:val="CDITable-HeaderRowCentre"/>
            </w:pPr>
            <w:r w:rsidRPr="00D07D4F">
              <w:t xml:space="preserve">Treatment </w:t>
            </w:r>
            <w:proofErr w:type="spellStart"/>
            <w:r w:rsidRPr="00D07D4F">
              <w:t>received</w:t>
            </w:r>
            <w:r w:rsidRPr="00D07D4F">
              <w:rPr>
                <w:vertAlign w:val="superscript"/>
              </w:rPr>
              <w:t>e</w:t>
            </w:r>
            <w:proofErr w:type="spellEnd"/>
          </w:p>
        </w:tc>
        <w:tc>
          <w:tcPr>
            <w:tcW w:w="1323" w:type="dxa"/>
            <w:vMerge w:val="restart"/>
            <w:shd w:val="clear" w:color="auto" w:fill="1E4496" w:themeFill="text2"/>
            <w:tcMar>
              <w:top w:w="102" w:type="dxa"/>
              <w:left w:w="113" w:type="dxa"/>
              <w:bottom w:w="102" w:type="dxa"/>
              <w:right w:w="113" w:type="dxa"/>
            </w:tcMar>
            <w:vAlign w:val="bottom"/>
          </w:tcPr>
          <w:p w14:paraId="5729ED2D" w14:textId="77777777" w:rsidR="00D07D4F" w:rsidRPr="00D07D4F" w:rsidRDefault="00D07D4F" w:rsidP="00D07D4F">
            <w:pPr>
              <w:pStyle w:val="CDITable-HeaderRowCentre"/>
            </w:pPr>
            <w:r w:rsidRPr="00D07D4F">
              <w:t>Interval between BSC and treatment (days)</w:t>
            </w:r>
            <w:proofErr w:type="spellStart"/>
            <w:proofErr w:type="gramStart"/>
            <w:r w:rsidRPr="00D07D4F">
              <w:rPr>
                <w:vertAlign w:val="superscript"/>
              </w:rPr>
              <w:t>f,g</w:t>
            </w:r>
            <w:proofErr w:type="spellEnd"/>
            <w:proofErr w:type="gramEnd"/>
          </w:p>
        </w:tc>
      </w:tr>
      <w:tr w:rsidR="00D07D4F" w:rsidRPr="00D07D4F" w14:paraId="49304FFE" w14:textId="77777777" w:rsidTr="00D07D4F">
        <w:trPr>
          <w:trHeight w:val="60"/>
          <w:tblHeader/>
        </w:trPr>
        <w:tc>
          <w:tcPr>
            <w:tcW w:w="1134" w:type="dxa"/>
            <w:vMerge/>
          </w:tcPr>
          <w:p w14:paraId="11E281E3" w14:textId="77777777" w:rsidR="00D07D4F" w:rsidRPr="00D07D4F" w:rsidRDefault="00D07D4F" w:rsidP="00D07D4F">
            <w:pPr>
              <w:pStyle w:val="CDITable-HeaderRowCentre"/>
              <w:rPr>
                <w:lang w:val="en-AU"/>
              </w:rPr>
            </w:pPr>
          </w:p>
        </w:tc>
        <w:tc>
          <w:tcPr>
            <w:tcW w:w="1077" w:type="dxa"/>
            <w:vMerge/>
          </w:tcPr>
          <w:p w14:paraId="399D9B89" w14:textId="77777777" w:rsidR="00D07D4F" w:rsidRPr="00D07D4F" w:rsidRDefault="00D07D4F" w:rsidP="00D07D4F">
            <w:pPr>
              <w:pStyle w:val="CDITable-HeaderRowCentre"/>
              <w:rPr>
                <w:lang w:val="en-AU"/>
              </w:rPr>
            </w:pPr>
          </w:p>
        </w:tc>
        <w:tc>
          <w:tcPr>
            <w:tcW w:w="1323" w:type="dxa"/>
            <w:vMerge/>
          </w:tcPr>
          <w:p w14:paraId="6E64A7D7" w14:textId="77777777" w:rsidR="00D07D4F" w:rsidRPr="00D07D4F" w:rsidRDefault="00D07D4F" w:rsidP="00D07D4F">
            <w:pPr>
              <w:pStyle w:val="CDITable-HeaderRowCentre"/>
              <w:rPr>
                <w:lang w:val="en-AU"/>
              </w:rPr>
            </w:pPr>
          </w:p>
        </w:tc>
        <w:tc>
          <w:tcPr>
            <w:tcW w:w="850" w:type="dxa"/>
            <w:tcBorders>
              <w:top w:val="single" w:sz="6" w:space="0" w:color="FFFFFF" w:themeColor="background1"/>
            </w:tcBorders>
            <w:shd w:val="solid" w:color="1E4496" w:fill="auto"/>
            <w:tcMar>
              <w:top w:w="102" w:type="dxa"/>
              <w:left w:w="113" w:type="dxa"/>
              <w:bottom w:w="102" w:type="dxa"/>
              <w:right w:w="113" w:type="dxa"/>
            </w:tcMar>
            <w:vAlign w:val="bottom"/>
          </w:tcPr>
          <w:p w14:paraId="2687D17A" w14:textId="77777777" w:rsidR="00D07D4F" w:rsidRPr="00D07D4F" w:rsidRDefault="00D07D4F" w:rsidP="00D07D4F">
            <w:pPr>
              <w:pStyle w:val="CDITable-HeaderRowCentre"/>
            </w:pPr>
            <w:r w:rsidRPr="00D07D4F">
              <w:t>RDT</w:t>
            </w:r>
          </w:p>
        </w:tc>
        <w:tc>
          <w:tcPr>
            <w:tcW w:w="850" w:type="dxa"/>
            <w:tcBorders>
              <w:top w:val="single" w:sz="6" w:space="0" w:color="FFFFFF" w:themeColor="background1"/>
            </w:tcBorders>
            <w:shd w:val="solid" w:color="1E4496" w:fill="auto"/>
            <w:tcMar>
              <w:top w:w="102" w:type="dxa"/>
              <w:left w:w="113" w:type="dxa"/>
              <w:bottom w:w="102" w:type="dxa"/>
              <w:right w:w="113" w:type="dxa"/>
            </w:tcMar>
            <w:vAlign w:val="bottom"/>
          </w:tcPr>
          <w:p w14:paraId="437BFE3A" w14:textId="77777777" w:rsidR="00D07D4F" w:rsidRPr="00D07D4F" w:rsidRDefault="00D07D4F" w:rsidP="00D07D4F">
            <w:pPr>
              <w:pStyle w:val="CDITable-HeaderRowCentre"/>
            </w:pPr>
            <w:r w:rsidRPr="00D07D4F">
              <w:t>LAMP</w:t>
            </w:r>
          </w:p>
        </w:tc>
        <w:tc>
          <w:tcPr>
            <w:tcW w:w="1304" w:type="dxa"/>
            <w:tcBorders>
              <w:top w:val="single" w:sz="6" w:space="0" w:color="FFFFFF" w:themeColor="background1"/>
            </w:tcBorders>
            <w:shd w:val="solid" w:color="1E4496" w:fill="auto"/>
            <w:tcMar>
              <w:top w:w="102" w:type="dxa"/>
              <w:left w:w="113" w:type="dxa"/>
              <w:bottom w:w="102" w:type="dxa"/>
              <w:right w:w="113" w:type="dxa"/>
            </w:tcMar>
            <w:vAlign w:val="bottom"/>
          </w:tcPr>
          <w:p w14:paraId="06D4C6CC" w14:textId="77777777" w:rsidR="00D07D4F" w:rsidRPr="00D07D4F" w:rsidRDefault="00D07D4F" w:rsidP="00D07D4F">
            <w:pPr>
              <w:pStyle w:val="CDITable-HeaderRowCentre"/>
            </w:pPr>
            <w:r w:rsidRPr="00D07D4F">
              <w:t>Microscopy</w:t>
            </w:r>
          </w:p>
        </w:tc>
        <w:tc>
          <w:tcPr>
            <w:tcW w:w="851" w:type="dxa"/>
            <w:tcBorders>
              <w:top w:val="single" w:sz="6" w:space="0" w:color="FFFFFF" w:themeColor="background1"/>
            </w:tcBorders>
            <w:shd w:val="solid" w:color="1E4496" w:fill="auto"/>
            <w:tcMar>
              <w:top w:w="102" w:type="dxa"/>
              <w:left w:w="113" w:type="dxa"/>
              <w:bottom w:w="102" w:type="dxa"/>
              <w:right w:w="113" w:type="dxa"/>
            </w:tcMar>
            <w:vAlign w:val="bottom"/>
          </w:tcPr>
          <w:p w14:paraId="2BDB3DC7" w14:textId="77777777" w:rsidR="00D07D4F" w:rsidRPr="00D07D4F" w:rsidRDefault="00D07D4F" w:rsidP="00D07D4F">
            <w:pPr>
              <w:pStyle w:val="CDITable-HeaderRowCentre"/>
            </w:pPr>
            <w:r w:rsidRPr="00D07D4F">
              <w:t>PCR</w:t>
            </w:r>
          </w:p>
        </w:tc>
        <w:tc>
          <w:tcPr>
            <w:tcW w:w="964" w:type="dxa"/>
            <w:tcBorders>
              <w:top w:val="single" w:sz="6" w:space="0" w:color="FFFFFF" w:themeColor="background1"/>
            </w:tcBorders>
            <w:shd w:val="solid" w:color="1E4496" w:fill="auto"/>
            <w:tcMar>
              <w:top w:w="102" w:type="dxa"/>
              <w:left w:w="113" w:type="dxa"/>
              <w:bottom w:w="102" w:type="dxa"/>
              <w:right w:w="113" w:type="dxa"/>
            </w:tcMar>
            <w:vAlign w:val="bottom"/>
          </w:tcPr>
          <w:p w14:paraId="14DDC194" w14:textId="77777777" w:rsidR="00D07D4F" w:rsidRPr="00D07D4F" w:rsidRDefault="00D07D4F" w:rsidP="00D07D4F">
            <w:pPr>
              <w:pStyle w:val="CDITable-HeaderRowCentre"/>
            </w:pPr>
            <w:r w:rsidRPr="00D07D4F">
              <w:t>Species</w:t>
            </w:r>
          </w:p>
        </w:tc>
        <w:tc>
          <w:tcPr>
            <w:tcW w:w="1133" w:type="dxa"/>
            <w:tcBorders>
              <w:top w:val="single" w:sz="6" w:space="0" w:color="FFFFFF" w:themeColor="background1"/>
            </w:tcBorders>
            <w:shd w:val="solid" w:color="1E4496" w:fill="auto"/>
            <w:tcMar>
              <w:top w:w="102" w:type="dxa"/>
              <w:left w:w="113" w:type="dxa"/>
              <w:bottom w:w="102" w:type="dxa"/>
              <w:right w:w="113" w:type="dxa"/>
            </w:tcMar>
            <w:vAlign w:val="bottom"/>
          </w:tcPr>
          <w:p w14:paraId="1A580CC8" w14:textId="77777777" w:rsidR="00D07D4F" w:rsidRPr="00D07D4F" w:rsidRDefault="00D07D4F" w:rsidP="00D07D4F">
            <w:pPr>
              <w:pStyle w:val="CDITable-HeaderRowCentre"/>
            </w:pPr>
            <w:r w:rsidRPr="00D07D4F">
              <w:t>Parasite count /µL</w:t>
            </w:r>
          </w:p>
        </w:tc>
        <w:tc>
          <w:tcPr>
            <w:tcW w:w="1361" w:type="dxa"/>
            <w:vMerge/>
          </w:tcPr>
          <w:p w14:paraId="3EEF091B" w14:textId="77777777" w:rsidR="00D07D4F" w:rsidRPr="00D07D4F" w:rsidRDefault="00D07D4F" w:rsidP="00D07D4F">
            <w:pPr>
              <w:pStyle w:val="CDITable-RowCentre"/>
            </w:pPr>
          </w:p>
        </w:tc>
        <w:tc>
          <w:tcPr>
            <w:tcW w:w="1323" w:type="dxa"/>
            <w:vMerge/>
          </w:tcPr>
          <w:p w14:paraId="733D3057" w14:textId="77777777" w:rsidR="00D07D4F" w:rsidRPr="00D07D4F" w:rsidRDefault="00D07D4F" w:rsidP="00D07D4F">
            <w:pPr>
              <w:pStyle w:val="CDITable-RowCentre"/>
            </w:pPr>
          </w:p>
        </w:tc>
        <w:tc>
          <w:tcPr>
            <w:tcW w:w="1134" w:type="dxa"/>
            <w:vMerge/>
          </w:tcPr>
          <w:p w14:paraId="0D746A27" w14:textId="77777777" w:rsidR="00D07D4F" w:rsidRPr="00D07D4F" w:rsidRDefault="00D07D4F" w:rsidP="00D07D4F">
            <w:pPr>
              <w:pStyle w:val="CDITable-RowCentre"/>
            </w:pPr>
          </w:p>
        </w:tc>
        <w:tc>
          <w:tcPr>
            <w:tcW w:w="1323" w:type="dxa"/>
            <w:vMerge/>
          </w:tcPr>
          <w:p w14:paraId="4619070D" w14:textId="77777777" w:rsidR="00D07D4F" w:rsidRPr="00D07D4F" w:rsidRDefault="00D07D4F" w:rsidP="00D07D4F">
            <w:pPr>
              <w:pStyle w:val="CDITable-RowCentre"/>
            </w:pPr>
          </w:p>
        </w:tc>
      </w:tr>
      <w:tr w:rsidR="00D07D4F" w:rsidRPr="00D07D4F" w14:paraId="7A87E016"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5D79AE0B" w14:textId="77777777" w:rsidR="00D07D4F" w:rsidRPr="00D07D4F" w:rsidRDefault="00D07D4F" w:rsidP="00D07D4F">
            <w:pPr>
              <w:pStyle w:val="CDITable-RowCentre"/>
              <w:rPr>
                <w:b/>
                <w:bCs/>
                <w:lang w:val="en-GB"/>
              </w:rPr>
            </w:pPr>
            <w:r w:rsidRPr="00D07D4F">
              <w:rPr>
                <w:b/>
                <w:bCs/>
                <w:lang w:val="en-GB"/>
              </w:rPr>
              <w:t>1</w:t>
            </w:r>
          </w:p>
        </w:tc>
        <w:tc>
          <w:tcPr>
            <w:tcW w:w="1077" w:type="dxa"/>
            <w:shd w:val="solid" w:color="FFFFFF" w:fill="auto"/>
            <w:tcMar>
              <w:top w:w="102" w:type="dxa"/>
              <w:left w:w="113" w:type="dxa"/>
              <w:bottom w:w="102" w:type="dxa"/>
              <w:right w:w="113" w:type="dxa"/>
            </w:tcMar>
            <w:vAlign w:val="center"/>
          </w:tcPr>
          <w:p w14:paraId="2016D5FB" w14:textId="77777777" w:rsidR="00D07D4F" w:rsidRPr="00D07D4F" w:rsidRDefault="00D07D4F" w:rsidP="00D07D4F">
            <w:pPr>
              <w:pStyle w:val="CDITable-RowCentre"/>
              <w:rPr>
                <w:lang w:val="en-GB"/>
              </w:rPr>
            </w:pPr>
            <w:r w:rsidRPr="00D07D4F">
              <w:rPr>
                <w:lang w:val="en-GB"/>
              </w:rPr>
              <w:t>SR</w:t>
            </w:r>
          </w:p>
        </w:tc>
        <w:tc>
          <w:tcPr>
            <w:tcW w:w="1323" w:type="dxa"/>
            <w:shd w:val="solid" w:color="FFFFFF" w:fill="auto"/>
            <w:tcMar>
              <w:top w:w="102" w:type="dxa"/>
              <w:left w:w="113" w:type="dxa"/>
              <w:bottom w:w="102" w:type="dxa"/>
              <w:right w:w="113" w:type="dxa"/>
            </w:tcMar>
            <w:vAlign w:val="center"/>
          </w:tcPr>
          <w:p w14:paraId="271BCCEF" w14:textId="77777777" w:rsidR="00D07D4F" w:rsidRPr="00D07D4F" w:rsidRDefault="00D07D4F" w:rsidP="00D07D4F">
            <w:pPr>
              <w:pStyle w:val="CDITable-RowCentre"/>
              <w:rPr>
                <w:lang w:val="en-GB"/>
              </w:rPr>
            </w:pPr>
            <w:r w:rsidRPr="00D07D4F">
              <w:rPr>
                <w:lang w:val="en-GB"/>
              </w:rPr>
              <w:t>6</w:t>
            </w:r>
          </w:p>
        </w:tc>
        <w:tc>
          <w:tcPr>
            <w:tcW w:w="850" w:type="dxa"/>
            <w:shd w:val="solid" w:color="FFFFFF" w:fill="auto"/>
            <w:tcMar>
              <w:top w:w="102" w:type="dxa"/>
              <w:left w:w="113" w:type="dxa"/>
              <w:bottom w:w="102" w:type="dxa"/>
              <w:right w:w="113" w:type="dxa"/>
            </w:tcMar>
            <w:vAlign w:val="center"/>
          </w:tcPr>
          <w:p w14:paraId="7091C2FD" w14:textId="77777777" w:rsidR="00D07D4F" w:rsidRPr="00D07D4F" w:rsidRDefault="00D07D4F" w:rsidP="00D07D4F">
            <w:pPr>
              <w:pStyle w:val="CDITable-RowCentre"/>
              <w:rPr>
                <w:lang w:val="en-GB"/>
              </w:rPr>
            </w:pPr>
            <w:r w:rsidRPr="00D07D4F">
              <w:rPr>
                <w:lang w:val="en-GB"/>
              </w:rPr>
              <w:t>Pos.</w:t>
            </w:r>
          </w:p>
        </w:tc>
        <w:tc>
          <w:tcPr>
            <w:tcW w:w="850" w:type="dxa"/>
            <w:shd w:val="solid" w:color="FFFFFF" w:fill="auto"/>
            <w:tcMar>
              <w:top w:w="102" w:type="dxa"/>
              <w:left w:w="113" w:type="dxa"/>
              <w:bottom w:w="102" w:type="dxa"/>
              <w:right w:w="113" w:type="dxa"/>
            </w:tcMar>
            <w:vAlign w:val="center"/>
          </w:tcPr>
          <w:p w14:paraId="22F25FC5" w14:textId="77777777" w:rsidR="00D07D4F" w:rsidRPr="00D07D4F" w:rsidRDefault="00D07D4F" w:rsidP="00D07D4F">
            <w:pPr>
              <w:pStyle w:val="CDITable-RowCentre"/>
              <w:rPr>
                <w:lang w:val="en-GB"/>
              </w:rPr>
            </w:pPr>
            <w:r w:rsidRPr="00D07D4F">
              <w:rPr>
                <w:lang w:val="en-GB"/>
              </w:rPr>
              <w:t>—</w:t>
            </w:r>
          </w:p>
        </w:tc>
        <w:tc>
          <w:tcPr>
            <w:tcW w:w="1304" w:type="dxa"/>
            <w:shd w:val="solid" w:color="FFFFFF" w:fill="auto"/>
            <w:tcMar>
              <w:top w:w="102" w:type="dxa"/>
              <w:left w:w="113" w:type="dxa"/>
              <w:bottom w:w="102" w:type="dxa"/>
              <w:right w:w="113" w:type="dxa"/>
            </w:tcMar>
            <w:vAlign w:val="center"/>
          </w:tcPr>
          <w:p w14:paraId="4750C5C8" w14:textId="77777777" w:rsidR="00D07D4F" w:rsidRPr="00D07D4F" w:rsidRDefault="00D07D4F" w:rsidP="00D07D4F">
            <w:pPr>
              <w:pStyle w:val="CDITable-RowCentre"/>
              <w:rPr>
                <w:lang w:val="en-GB"/>
              </w:rPr>
            </w:pPr>
            <w:r w:rsidRPr="00D07D4F">
              <w:rPr>
                <w:lang w:val="en-GB"/>
              </w:rPr>
              <w:t>Pos.</w:t>
            </w:r>
          </w:p>
        </w:tc>
        <w:tc>
          <w:tcPr>
            <w:tcW w:w="851" w:type="dxa"/>
            <w:shd w:val="solid" w:color="FFFFFF" w:fill="auto"/>
            <w:tcMar>
              <w:top w:w="102" w:type="dxa"/>
              <w:left w:w="113" w:type="dxa"/>
              <w:bottom w:w="102" w:type="dxa"/>
              <w:right w:w="113" w:type="dxa"/>
            </w:tcMar>
            <w:vAlign w:val="center"/>
          </w:tcPr>
          <w:p w14:paraId="00C072DC" w14:textId="77777777" w:rsidR="00D07D4F" w:rsidRPr="00D07D4F" w:rsidRDefault="00D07D4F" w:rsidP="00D07D4F">
            <w:pPr>
              <w:pStyle w:val="CDITable-RowCentre"/>
              <w:rPr>
                <w:lang w:val="en-GB"/>
              </w:rPr>
            </w:pPr>
            <w:r w:rsidRPr="00D07D4F">
              <w:rPr>
                <w:lang w:val="en-GB"/>
              </w:rPr>
              <w:t>—</w:t>
            </w:r>
          </w:p>
        </w:tc>
        <w:tc>
          <w:tcPr>
            <w:tcW w:w="964" w:type="dxa"/>
            <w:shd w:val="solid" w:color="FFFFFF" w:fill="auto"/>
            <w:tcMar>
              <w:top w:w="102" w:type="dxa"/>
              <w:left w:w="113" w:type="dxa"/>
              <w:bottom w:w="102" w:type="dxa"/>
              <w:right w:w="113" w:type="dxa"/>
            </w:tcMar>
            <w:vAlign w:val="center"/>
          </w:tcPr>
          <w:p w14:paraId="7203164B" w14:textId="77777777" w:rsidR="00D07D4F" w:rsidRPr="00D07D4F" w:rsidRDefault="00D07D4F" w:rsidP="00D07D4F">
            <w:pPr>
              <w:pStyle w:val="CDITable-RowCentre"/>
              <w:rPr>
                <w:lang w:val="en-GB"/>
              </w:rPr>
            </w:pPr>
            <w:r w:rsidRPr="00D07D4F">
              <w:rPr>
                <w:i/>
                <w:iCs/>
                <w:lang w:val="en-GB"/>
              </w:rPr>
              <w:t>P. vivax</w:t>
            </w:r>
          </w:p>
        </w:tc>
        <w:tc>
          <w:tcPr>
            <w:tcW w:w="1133" w:type="dxa"/>
            <w:shd w:val="solid" w:color="FFFFFF" w:fill="auto"/>
            <w:tcMar>
              <w:top w:w="102" w:type="dxa"/>
              <w:left w:w="113" w:type="dxa"/>
              <w:bottom w:w="102" w:type="dxa"/>
              <w:right w:w="113" w:type="dxa"/>
            </w:tcMar>
            <w:vAlign w:val="center"/>
          </w:tcPr>
          <w:p w14:paraId="7B7B3A2C" w14:textId="77777777" w:rsidR="00D07D4F" w:rsidRPr="00D07D4F" w:rsidRDefault="00D07D4F" w:rsidP="00D07D4F">
            <w:pPr>
              <w:pStyle w:val="CDITable-RowCentre"/>
              <w:rPr>
                <w:lang w:val="en-GB"/>
              </w:rPr>
            </w:pPr>
            <w:r w:rsidRPr="00D07D4F">
              <w:rPr>
                <w:lang w:val="en-GB"/>
              </w:rPr>
              <w:t>15,000</w:t>
            </w:r>
          </w:p>
        </w:tc>
        <w:tc>
          <w:tcPr>
            <w:tcW w:w="1361" w:type="dxa"/>
            <w:shd w:val="solid" w:color="FFFFFF" w:fill="auto"/>
            <w:tcMar>
              <w:top w:w="102" w:type="dxa"/>
              <w:left w:w="113" w:type="dxa"/>
              <w:bottom w:w="102" w:type="dxa"/>
              <w:right w:w="113" w:type="dxa"/>
            </w:tcMar>
            <w:vAlign w:val="center"/>
          </w:tcPr>
          <w:p w14:paraId="4173AA30" w14:textId="77777777" w:rsidR="00D07D4F" w:rsidRPr="00D07D4F" w:rsidRDefault="00D07D4F" w:rsidP="00D07D4F">
            <w:pPr>
              <w:pStyle w:val="CDITable-RowCentre"/>
              <w:rPr>
                <w:lang w:val="en-GB"/>
              </w:rPr>
            </w:pPr>
            <w:r w:rsidRPr="00D07D4F">
              <w:rPr>
                <w:lang w:val="en-GB"/>
              </w:rPr>
              <w:t>Yes</w:t>
            </w:r>
          </w:p>
        </w:tc>
        <w:tc>
          <w:tcPr>
            <w:tcW w:w="1323" w:type="dxa"/>
            <w:shd w:val="solid" w:color="FFFFFF" w:fill="auto"/>
            <w:tcMar>
              <w:top w:w="102" w:type="dxa"/>
              <w:left w:w="113" w:type="dxa"/>
              <w:bottom w:w="102" w:type="dxa"/>
              <w:right w:w="113" w:type="dxa"/>
            </w:tcMar>
            <w:vAlign w:val="center"/>
          </w:tcPr>
          <w:p w14:paraId="0D54C530" w14:textId="77777777" w:rsidR="00D07D4F" w:rsidRPr="00D07D4F" w:rsidRDefault="00D07D4F" w:rsidP="00D07D4F">
            <w:pPr>
              <w:pStyle w:val="CDITable-RowCentre"/>
              <w:rPr>
                <w:lang w:val="en-GB"/>
              </w:rPr>
            </w:pPr>
            <w:r w:rsidRPr="00D07D4F">
              <w:rPr>
                <w:lang w:val="en-GB"/>
              </w:rPr>
              <w:t>0</w:t>
            </w:r>
          </w:p>
        </w:tc>
        <w:tc>
          <w:tcPr>
            <w:tcW w:w="1134" w:type="dxa"/>
            <w:shd w:val="solid" w:color="FFFFFF" w:fill="auto"/>
            <w:tcMar>
              <w:top w:w="102" w:type="dxa"/>
              <w:left w:w="113" w:type="dxa"/>
              <w:bottom w:w="102" w:type="dxa"/>
              <w:right w:w="113" w:type="dxa"/>
            </w:tcMar>
            <w:vAlign w:val="center"/>
          </w:tcPr>
          <w:p w14:paraId="081D7C70" w14:textId="77777777" w:rsidR="00D07D4F" w:rsidRPr="00D07D4F" w:rsidRDefault="00D07D4F" w:rsidP="00D07D4F">
            <w:pPr>
              <w:pStyle w:val="CDITable-RowCentre"/>
              <w:rPr>
                <w:lang w:val="en-GB"/>
              </w:rPr>
            </w:pPr>
            <w:r w:rsidRPr="00D07D4F">
              <w:rPr>
                <w:lang w:val="en-GB"/>
              </w:rPr>
              <w:t>AL</w:t>
            </w:r>
          </w:p>
        </w:tc>
        <w:tc>
          <w:tcPr>
            <w:tcW w:w="1323" w:type="dxa"/>
            <w:shd w:val="solid" w:color="FFFFFF" w:fill="auto"/>
            <w:tcMar>
              <w:top w:w="102" w:type="dxa"/>
              <w:left w:w="113" w:type="dxa"/>
              <w:bottom w:w="102" w:type="dxa"/>
              <w:right w:w="113" w:type="dxa"/>
            </w:tcMar>
            <w:vAlign w:val="center"/>
          </w:tcPr>
          <w:p w14:paraId="6E3B786D" w14:textId="77777777" w:rsidR="00D07D4F" w:rsidRPr="00D07D4F" w:rsidRDefault="00D07D4F" w:rsidP="00D07D4F">
            <w:pPr>
              <w:pStyle w:val="CDITable-RowCentre"/>
              <w:rPr>
                <w:lang w:val="en-GB"/>
              </w:rPr>
            </w:pPr>
            <w:r w:rsidRPr="00D07D4F">
              <w:rPr>
                <w:lang w:val="en-GB"/>
              </w:rPr>
              <w:t>0</w:t>
            </w:r>
          </w:p>
        </w:tc>
      </w:tr>
      <w:tr w:rsidR="00D07D4F" w:rsidRPr="00D07D4F" w14:paraId="748288A3"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49AC9AD0" w14:textId="77777777" w:rsidR="00D07D4F" w:rsidRPr="00D07D4F" w:rsidRDefault="00D07D4F" w:rsidP="00D07D4F">
            <w:pPr>
              <w:pStyle w:val="CDITable-RowCentre"/>
              <w:rPr>
                <w:b/>
                <w:bCs/>
                <w:lang w:val="en-GB"/>
              </w:rPr>
            </w:pPr>
            <w:r w:rsidRPr="00D07D4F">
              <w:rPr>
                <w:b/>
                <w:bCs/>
                <w:lang w:val="en-GB"/>
              </w:rPr>
              <w:t>2</w:t>
            </w:r>
          </w:p>
        </w:tc>
        <w:tc>
          <w:tcPr>
            <w:tcW w:w="1077" w:type="dxa"/>
            <w:tcMar>
              <w:top w:w="102" w:type="dxa"/>
              <w:left w:w="113" w:type="dxa"/>
              <w:bottom w:w="102" w:type="dxa"/>
              <w:right w:w="113" w:type="dxa"/>
            </w:tcMar>
            <w:vAlign w:val="center"/>
          </w:tcPr>
          <w:p w14:paraId="7DBBE9E9" w14:textId="77777777" w:rsidR="00D07D4F" w:rsidRPr="00D07D4F" w:rsidRDefault="00D07D4F" w:rsidP="00D07D4F">
            <w:pPr>
              <w:pStyle w:val="CDITable-RowCentre"/>
              <w:rPr>
                <w:lang w:val="en-GB"/>
              </w:rPr>
            </w:pPr>
            <w:r w:rsidRPr="00D07D4F">
              <w:rPr>
                <w:lang w:val="en-GB"/>
              </w:rPr>
              <w:t>SR</w:t>
            </w:r>
          </w:p>
        </w:tc>
        <w:tc>
          <w:tcPr>
            <w:tcW w:w="1323" w:type="dxa"/>
            <w:tcMar>
              <w:top w:w="102" w:type="dxa"/>
              <w:left w:w="113" w:type="dxa"/>
              <w:bottom w:w="102" w:type="dxa"/>
              <w:right w:w="113" w:type="dxa"/>
            </w:tcMar>
            <w:vAlign w:val="center"/>
          </w:tcPr>
          <w:p w14:paraId="2D09935F" w14:textId="77777777" w:rsidR="00D07D4F" w:rsidRPr="00D07D4F" w:rsidRDefault="00D07D4F" w:rsidP="00D07D4F">
            <w:pPr>
              <w:pStyle w:val="CDITable-RowCentre"/>
              <w:rPr>
                <w:lang w:val="en-GB"/>
              </w:rPr>
            </w:pPr>
            <w:r w:rsidRPr="00D07D4F">
              <w:rPr>
                <w:lang w:val="en-GB"/>
              </w:rPr>
              <w:t>6</w:t>
            </w:r>
          </w:p>
        </w:tc>
        <w:tc>
          <w:tcPr>
            <w:tcW w:w="850" w:type="dxa"/>
            <w:tcMar>
              <w:top w:w="102" w:type="dxa"/>
              <w:left w:w="113" w:type="dxa"/>
              <w:bottom w:w="102" w:type="dxa"/>
              <w:right w:w="113" w:type="dxa"/>
            </w:tcMar>
            <w:vAlign w:val="center"/>
          </w:tcPr>
          <w:p w14:paraId="63676393" w14:textId="77777777" w:rsidR="00D07D4F" w:rsidRPr="00D07D4F" w:rsidRDefault="00D07D4F" w:rsidP="00D07D4F">
            <w:pPr>
              <w:pStyle w:val="CDITable-RowCentre"/>
              <w:rPr>
                <w:lang w:val="en-GB"/>
              </w:rPr>
            </w:pPr>
            <w:r w:rsidRPr="00D07D4F">
              <w:rPr>
                <w:lang w:val="en-GB"/>
              </w:rPr>
              <w:t>Pos.</w:t>
            </w:r>
          </w:p>
        </w:tc>
        <w:tc>
          <w:tcPr>
            <w:tcW w:w="850" w:type="dxa"/>
            <w:tcMar>
              <w:top w:w="102" w:type="dxa"/>
              <w:left w:w="113" w:type="dxa"/>
              <w:bottom w:w="102" w:type="dxa"/>
              <w:right w:w="113" w:type="dxa"/>
            </w:tcMar>
            <w:vAlign w:val="center"/>
          </w:tcPr>
          <w:p w14:paraId="1063E3DC" w14:textId="77777777" w:rsidR="00D07D4F" w:rsidRPr="00D07D4F" w:rsidRDefault="00D07D4F" w:rsidP="00D07D4F">
            <w:pPr>
              <w:pStyle w:val="CDITable-RowCentre"/>
              <w:rPr>
                <w:lang w:val="en-GB"/>
              </w:rPr>
            </w:pPr>
            <w:r w:rsidRPr="00D07D4F">
              <w:rPr>
                <w:lang w:val="en-GB"/>
              </w:rPr>
              <w:t>—</w:t>
            </w:r>
          </w:p>
        </w:tc>
        <w:tc>
          <w:tcPr>
            <w:tcW w:w="1304" w:type="dxa"/>
            <w:tcMar>
              <w:top w:w="102" w:type="dxa"/>
              <w:left w:w="113" w:type="dxa"/>
              <w:bottom w:w="102" w:type="dxa"/>
              <w:right w:w="113" w:type="dxa"/>
            </w:tcMar>
            <w:vAlign w:val="center"/>
          </w:tcPr>
          <w:p w14:paraId="63292026" w14:textId="77777777" w:rsidR="00D07D4F" w:rsidRPr="00D07D4F" w:rsidRDefault="00D07D4F" w:rsidP="00D07D4F">
            <w:pPr>
              <w:pStyle w:val="CDITable-RowCentre"/>
              <w:rPr>
                <w:lang w:val="en-GB"/>
              </w:rPr>
            </w:pPr>
            <w:r w:rsidRPr="00D07D4F">
              <w:rPr>
                <w:lang w:val="en-GB"/>
              </w:rPr>
              <w:t>Neg.</w:t>
            </w:r>
          </w:p>
        </w:tc>
        <w:tc>
          <w:tcPr>
            <w:tcW w:w="851" w:type="dxa"/>
            <w:tcMar>
              <w:top w:w="102" w:type="dxa"/>
              <w:left w:w="113" w:type="dxa"/>
              <w:bottom w:w="102" w:type="dxa"/>
              <w:right w:w="113" w:type="dxa"/>
            </w:tcMar>
            <w:vAlign w:val="center"/>
          </w:tcPr>
          <w:p w14:paraId="3BC3389B" w14:textId="77777777" w:rsidR="00D07D4F" w:rsidRPr="00D07D4F" w:rsidRDefault="00D07D4F" w:rsidP="00D07D4F">
            <w:pPr>
              <w:pStyle w:val="CDITable-RowCentre"/>
              <w:rPr>
                <w:lang w:val="en-GB"/>
              </w:rPr>
            </w:pPr>
            <w:r w:rsidRPr="00D07D4F">
              <w:rPr>
                <w:lang w:val="en-GB"/>
              </w:rPr>
              <w:t>Pos.</w:t>
            </w:r>
          </w:p>
        </w:tc>
        <w:tc>
          <w:tcPr>
            <w:tcW w:w="964" w:type="dxa"/>
            <w:tcMar>
              <w:top w:w="102" w:type="dxa"/>
              <w:left w:w="113" w:type="dxa"/>
              <w:bottom w:w="102" w:type="dxa"/>
              <w:right w:w="113" w:type="dxa"/>
            </w:tcMar>
            <w:vAlign w:val="center"/>
          </w:tcPr>
          <w:p w14:paraId="4B5F743D" w14:textId="77777777" w:rsidR="00D07D4F" w:rsidRPr="00D07D4F" w:rsidRDefault="00D07D4F" w:rsidP="00D07D4F">
            <w:pPr>
              <w:pStyle w:val="CDITable-RowCentre"/>
              <w:rPr>
                <w:lang w:val="en-GB"/>
              </w:rPr>
            </w:pPr>
            <w:r w:rsidRPr="00D07D4F">
              <w:rPr>
                <w:i/>
                <w:iCs/>
                <w:lang w:val="en-GB"/>
              </w:rPr>
              <w:t>P. vivax</w:t>
            </w:r>
          </w:p>
        </w:tc>
        <w:tc>
          <w:tcPr>
            <w:tcW w:w="1133" w:type="dxa"/>
            <w:tcMar>
              <w:top w:w="102" w:type="dxa"/>
              <w:left w:w="113" w:type="dxa"/>
              <w:bottom w:w="102" w:type="dxa"/>
              <w:right w:w="113" w:type="dxa"/>
            </w:tcMar>
            <w:vAlign w:val="center"/>
          </w:tcPr>
          <w:p w14:paraId="27FB3183" w14:textId="77777777" w:rsidR="00D07D4F" w:rsidRPr="00D07D4F" w:rsidRDefault="00D07D4F" w:rsidP="00D07D4F">
            <w:pPr>
              <w:pStyle w:val="CDITable-RowCentre"/>
              <w:rPr>
                <w:lang w:val="en-GB"/>
              </w:rPr>
            </w:pPr>
            <w:r w:rsidRPr="00D07D4F">
              <w:rPr>
                <w:lang w:val="en-GB"/>
              </w:rPr>
              <w:t>N/A</w:t>
            </w:r>
          </w:p>
        </w:tc>
        <w:tc>
          <w:tcPr>
            <w:tcW w:w="1361" w:type="dxa"/>
            <w:tcMar>
              <w:top w:w="102" w:type="dxa"/>
              <w:left w:w="113" w:type="dxa"/>
              <w:bottom w:w="102" w:type="dxa"/>
              <w:right w:w="113" w:type="dxa"/>
            </w:tcMar>
            <w:vAlign w:val="center"/>
          </w:tcPr>
          <w:p w14:paraId="6AA730E6" w14:textId="77777777" w:rsidR="00D07D4F" w:rsidRPr="00D07D4F" w:rsidRDefault="00D07D4F" w:rsidP="00D07D4F">
            <w:pPr>
              <w:pStyle w:val="CDITable-RowCentre"/>
              <w:rPr>
                <w:lang w:val="en-GB"/>
              </w:rPr>
            </w:pPr>
            <w:r w:rsidRPr="00D07D4F">
              <w:rPr>
                <w:lang w:val="en-GB"/>
              </w:rPr>
              <w:t>No</w:t>
            </w:r>
          </w:p>
        </w:tc>
        <w:tc>
          <w:tcPr>
            <w:tcW w:w="1323" w:type="dxa"/>
            <w:tcMar>
              <w:top w:w="102" w:type="dxa"/>
              <w:left w:w="113" w:type="dxa"/>
              <w:bottom w:w="102" w:type="dxa"/>
              <w:right w:w="113" w:type="dxa"/>
            </w:tcMar>
            <w:vAlign w:val="center"/>
          </w:tcPr>
          <w:p w14:paraId="2B0BDE3E" w14:textId="77777777" w:rsidR="00D07D4F" w:rsidRPr="00D07D4F" w:rsidRDefault="00D07D4F" w:rsidP="00D07D4F">
            <w:pPr>
              <w:pStyle w:val="CDITable-RowCentre"/>
              <w:rPr>
                <w:lang w:val="en-GB"/>
              </w:rPr>
            </w:pPr>
            <w:r w:rsidRPr="00D07D4F">
              <w:rPr>
                <w:lang w:val="en-GB"/>
              </w:rPr>
              <w:t>0</w:t>
            </w:r>
          </w:p>
        </w:tc>
        <w:tc>
          <w:tcPr>
            <w:tcW w:w="1134" w:type="dxa"/>
            <w:tcMar>
              <w:top w:w="102" w:type="dxa"/>
              <w:left w:w="113" w:type="dxa"/>
              <w:bottom w:w="102" w:type="dxa"/>
              <w:right w:w="113" w:type="dxa"/>
            </w:tcMar>
            <w:vAlign w:val="center"/>
          </w:tcPr>
          <w:p w14:paraId="0159BF94"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6B173614" w14:textId="77777777" w:rsidR="00D07D4F" w:rsidRPr="00D07D4F" w:rsidRDefault="00D07D4F" w:rsidP="00D07D4F">
            <w:pPr>
              <w:pStyle w:val="CDITable-RowCentre"/>
              <w:rPr>
                <w:lang w:val="en-GB"/>
              </w:rPr>
            </w:pPr>
            <w:r w:rsidRPr="00D07D4F">
              <w:rPr>
                <w:lang w:val="en-GB"/>
              </w:rPr>
              <w:t>-2</w:t>
            </w:r>
          </w:p>
        </w:tc>
      </w:tr>
      <w:tr w:rsidR="00D07D4F" w:rsidRPr="00D07D4F" w14:paraId="6B281A09"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4EC0C5D5" w14:textId="77777777" w:rsidR="00D07D4F" w:rsidRPr="00D07D4F" w:rsidRDefault="00D07D4F" w:rsidP="00D07D4F">
            <w:pPr>
              <w:pStyle w:val="CDITable-RowCentre"/>
              <w:rPr>
                <w:b/>
                <w:bCs/>
                <w:lang w:val="en-GB"/>
              </w:rPr>
            </w:pPr>
            <w:r w:rsidRPr="00D07D4F">
              <w:rPr>
                <w:b/>
                <w:bCs/>
                <w:lang w:val="en-GB"/>
              </w:rPr>
              <w:t>2</w:t>
            </w:r>
          </w:p>
        </w:tc>
        <w:tc>
          <w:tcPr>
            <w:tcW w:w="1077" w:type="dxa"/>
            <w:tcMar>
              <w:top w:w="102" w:type="dxa"/>
              <w:left w:w="113" w:type="dxa"/>
              <w:bottom w:w="102" w:type="dxa"/>
              <w:right w:w="113" w:type="dxa"/>
            </w:tcMar>
            <w:vAlign w:val="center"/>
          </w:tcPr>
          <w:p w14:paraId="54725684" w14:textId="77777777" w:rsidR="00D07D4F" w:rsidRPr="00D07D4F" w:rsidRDefault="00D07D4F" w:rsidP="00D07D4F">
            <w:pPr>
              <w:pStyle w:val="CDITable-RowCentre"/>
              <w:rPr>
                <w:lang w:val="en-GB"/>
              </w:rPr>
            </w:pPr>
            <w:r w:rsidRPr="00D07D4F">
              <w:rPr>
                <w:lang w:val="en-GB"/>
              </w:rPr>
              <w:t>ACF</w:t>
            </w:r>
          </w:p>
        </w:tc>
        <w:tc>
          <w:tcPr>
            <w:tcW w:w="1323" w:type="dxa"/>
            <w:tcMar>
              <w:top w:w="102" w:type="dxa"/>
              <w:left w:w="113" w:type="dxa"/>
              <w:bottom w:w="102" w:type="dxa"/>
              <w:right w:w="113" w:type="dxa"/>
            </w:tcMar>
            <w:vAlign w:val="center"/>
          </w:tcPr>
          <w:p w14:paraId="416DF380" w14:textId="77777777" w:rsidR="00D07D4F" w:rsidRPr="00D07D4F" w:rsidRDefault="00D07D4F" w:rsidP="00D07D4F">
            <w:pPr>
              <w:pStyle w:val="CDITable-RowCentre"/>
              <w:rPr>
                <w:lang w:val="en-GB"/>
              </w:rPr>
            </w:pPr>
            <w:r w:rsidRPr="00D07D4F">
              <w:rPr>
                <w:lang w:val="en-GB"/>
              </w:rPr>
              <w:t>4</w:t>
            </w:r>
          </w:p>
        </w:tc>
        <w:tc>
          <w:tcPr>
            <w:tcW w:w="850" w:type="dxa"/>
            <w:tcMar>
              <w:top w:w="102" w:type="dxa"/>
              <w:left w:w="113" w:type="dxa"/>
              <w:bottom w:w="102" w:type="dxa"/>
              <w:right w:w="113" w:type="dxa"/>
            </w:tcMar>
            <w:vAlign w:val="center"/>
          </w:tcPr>
          <w:p w14:paraId="32233E68" w14:textId="77777777" w:rsidR="00D07D4F" w:rsidRPr="00D07D4F" w:rsidRDefault="00D07D4F" w:rsidP="00D07D4F">
            <w:pPr>
              <w:pStyle w:val="CDITable-RowCentre"/>
              <w:rPr>
                <w:lang w:val="en-GB"/>
              </w:rPr>
            </w:pPr>
            <w:r w:rsidRPr="00D07D4F">
              <w:rPr>
                <w:lang w:val="en-GB"/>
              </w:rPr>
              <w:t>Neg.</w:t>
            </w:r>
          </w:p>
        </w:tc>
        <w:tc>
          <w:tcPr>
            <w:tcW w:w="850" w:type="dxa"/>
            <w:tcMar>
              <w:top w:w="102" w:type="dxa"/>
              <w:left w:w="113" w:type="dxa"/>
              <w:bottom w:w="102" w:type="dxa"/>
              <w:right w:w="113" w:type="dxa"/>
            </w:tcMar>
            <w:vAlign w:val="center"/>
          </w:tcPr>
          <w:p w14:paraId="0D1DEB82" w14:textId="77777777" w:rsidR="00D07D4F" w:rsidRPr="00D07D4F" w:rsidRDefault="00D07D4F" w:rsidP="00D07D4F">
            <w:pPr>
              <w:pStyle w:val="CDITable-RowCentre"/>
              <w:rPr>
                <w:lang w:val="en-GB"/>
              </w:rPr>
            </w:pPr>
            <w:r w:rsidRPr="00D07D4F">
              <w:rPr>
                <w:lang w:val="en-GB"/>
              </w:rPr>
              <w:t>—</w:t>
            </w:r>
          </w:p>
        </w:tc>
        <w:tc>
          <w:tcPr>
            <w:tcW w:w="1304" w:type="dxa"/>
            <w:tcMar>
              <w:top w:w="102" w:type="dxa"/>
              <w:left w:w="113" w:type="dxa"/>
              <w:bottom w:w="102" w:type="dxa"/>
              <w:right w:w="113" w:type="dxa"/>
            </w:tcMar>
            <w:vAlign w:val="center"/>
          </w:tcPr>
          <w:p w14:paraId="4FE097E4" w14:textId="77777777" w:rsidR="00D07D4F" w:rsidRPr="00D07D4F" w:rsidRDefault="00D07D4F" w:rsidP="00D07D4F">
            <w:pPr>
              <w:pStyle w:val="CDITable-RowCentre"/>
              <w:rPr>
                <w:lang w:val="en-GB"/>
              </w:rPr>
            </w:pPr>
            <w:r w:rsidRPr="00D07D4F">
              <w:rPr>
                <w:lang w:val="en-GB"/>
              </w:rPr>
              <w:t>Pos.</w:t>
            </w:r>
          </w:p>
        </w:tc>
        <w:tc>
          <w:tcPr>
            <w:tcW w:w="851" w:type="dxa"/>
            <w:tcMar>
              <w:top w:w="102" w:type="dxa"/>
              <w:left w:w="113" w:type="dxa"/>
              <w:bottom w:w="102" w:type="dxa"/>
              <w:right w:w="113" w:type="dxa"/>
            </w:tcMar>
            <w:vAlign w:val="center"/>
          </w:tcPr>
          <w:p w14:paraId="762FF279" w14:textId="77777777" w:rsidR="00D07D4F" w:rsidRPr="00D07D4F" w:rsidRDefault="00D07D4F" w:rsidP="00D07D4F">
            <w:pPr>
              <w:pStyle w:val="CDITable-RowCentre"/>
              <w:rPr>
                <w:lang w:val="en-GB"/>
              </w:rPr>
            </w:pPr>
            <w:r w:rsidRPr="00D07D4F">
              <w:rPr>
                <w:lang w:val="en-GB"/>
              </w:rPr>
              <w:t>—</w:t>
            </w:r>
          </w:p>
        </w:tc>
        <w:tc>
          <w:tcPr>
            <w:tcW w:w="964" w:type="dxa"/>
            <w:tcMar>
              <w:top w:w="102" w:type="dxa"/>
              <w:left w:w="113" w:type="dxa"/>
              <w:bottom w:w="102" w:type="dxa"/>
              <w:right w:w="113" w:type="dxa"/>
            </w:tcMar>
            <w:vAlign w:val="center"/>
          </w:tcPr>
          <w:p w14:paraId="2875F455" w14:textId="77777777" w:rsidR="00D07D4F" w:rsidRPr="00D07D4F" w:rsidRDefault="00D07D4F" w:rsidP="00D07D4F">
            <w:pPr>
              <w:pStyle w:val="CDITable-RowCentre"/>
              <w:rPr>
                <w:lang w:val="en-GB"/>
              </w:rPr>
            </w:pPr>
            <w:r w:rsidRPr="00D07D4F">
              <w:rPr>
                <w:i/>
                <w:iCs/>
                <w:lang w:val="en-GB"/>
              </w:rPr>
              <w:t>P. vivax</w:t>
            </w:r>
          </w:p>
        </w:tc>
        <w:tc>
          <w:tcPr>
            <w:tcW w:w="1133" w:type="dxa"/>
            <w:tcMar>
              <w:top w:w="102" w:type="dxa"/>
              <w:left w:w="113" w:type="dxa"/>
              <w:bottom w:w="102" w:type="dxa"/>
              <w:right w:w="113" w:type="dxa"/>
            </w:tcMar>
            <w:vAlign w:val="center"/>
          </w:tcPr>
          <w:p w14:paraId="502B3BC4" w14:textId="77777777" w:rsidR="00D07D4F" w:rsidRPr="00D07D4F" w:rsidRDefault="00D07D4F" w:rsidP="00D07D4F">
            <w:pPr>
              <w:pStyle w:val="CDITable-RowCentre"/>
              <w:rPr>
                <w:lang w:val="en-GB"/>
              </w:rPr>
            </w:pPr>
            <w:r w:rsidRPr="00D07D4F">
              <w:rPr>
                <w:lang w:val="en-GB"/>
              </w:rPr>
              <w:t>900</w:t>
            </w:r>
          </w:p>
        </w:tc>
        <w:tc>
          <w:tcPr>
            <w:tcW w:w="1361" w:type="dxa"/>
            <w:tcMar>
              <w:top w:w="102" w:type="dxa"/>
              <w:left w:w="113" w:type="dxa"/>
              <w:bottom w:w="102" w:type="dxa"/>
              <w:right w:w="113" w:type="dxa"/>
            </w:tcMar>
            <w:vAlign w:val="center"/>
          </w:tcPr>
          <w:p w14:paraId="25A0B4B5" w14:textId="77777777" w:rsidR="00D07D4F" w:rsidRPr="00D07D4F" w:rsidRDefault="00D07D4F" w:rsidP="00D07D4F">
            <w:pPr>
              <w:pStyle w:val="CDITable-RowCentre"/>
              <w:rPr>
                <w:lang w:val="en-GB"/>
              </w:rPr>
            </w:pPr>
            <w:r w:rsidRPr="00D07D4F">
              <w:rPr>
                <w:lang w:val="en-GB"/>
              </w:rPr>
              <w:t>No</w:t>
            </w:r>
          </w:p>
        </w:tc>
        <w:tc>
          <w:tcPr>
            <w:tcW w:w="1323" w:type="dxa"/>
            <w:tcMar>
              <w:top w:w="102" w:type="dxa"/>
              <w:left w:w="113" w:type="dxa"/>
              <w:bottom w:w="102" w:type="dxa"/>
              <w:right w:w="113" w:type="dxa"/>
            </w:tcMar>
            <w:vAlign w:val="center"/>
          </w:tcPr>
          <w:p w14:paraId="214149D0" w14:textId="77777777" w:rsidR="00D07D4F" w:rsidRPr="00D07D4F" w:rsidRDefault="00D07D4F" w:rsidP="00D07D4F">
            <w:pPr>
              <w:pStyle w:val="CDITable-RowCentre"/>
              <w:rPr>
                <w:lang w:val="en-GB"/>
              </w:rPr>
            </w:pPr>
            <w:r w:rsidRPr="00D07D4F">
              <w:rPr>
                <w:lang w:val="en-GB"/>
              </w:rPr>
              <w:t>7</w:t>
            </w:r>
          </w:p>
        </w:tc>
        <w:tc>
          <w:tcPr>
            <w:tcW w:w="1134" w:type="dxa"/>
            <w:tcMar>
              <w:top w:w="102" w:type="dxa"/>
              <w:left w:w="113" w:type="dxa"/>
              <w:bottom w:w="102" w:type="dxa"/>
              <w:right w:w="113" w:type="dxa"/>
            </w:tcMar>
            <w:vAlign w:val="center"/>
          </w:tcPr>
          <w:p w14:paraId="60B98408"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480B0E15" w14:textId="77777777" w:rsidR="00D07D4F" w:rsidRPr="00D07D4F" w:rsidRDefault="00D07D4F" w:rsidP="00D07D4F">
            <w:pPr>
              <w:pStyle w:val="CDITable-RowCentre"/>
              <w:rPr>
                <w:lang w:val="en-GB"/>
              </w:rPr>
            </w:pPr>
            <w:r w:rsidRPr="00D07D4F">
              <w:rPr>
                <w:lang w:val="en-GB"/>
              </w:rPr>
              <w:t>1</w:t>
            </w:r>
          </w:p>
        </w:tc>
      </w:tr>
      <w:tr w:rsidR="00D07D4F" w:rsidRPr="00D07D4F" w14:paraId="6844F6E5"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7C7BC660" w14:textId="77777777" w:rsidR="00D07D4F" w:rsidRPr="00D07D4F" w:rsidRDefault="00D07D4F" w:rsidP="00D07D4F">
            <w:pPr>
              <w:pStyle w:val="CDITable-RowCentre"/>
              <w:rPr>
                <w:b/>
                <w:bCs/>
                <w:lang w:val="en-GB"/>
              </w:rPr>
            </w:pPr>
            <w:r w:rsidRPr="00D07D4F">
              <w:rPr>
                <w:b/>
                <w:bCs/>
                <w:lang w:val="en-GB"/>
              </w:rPr>
              <w:t>2</w:t>
            </w:r>
          </w:p>
        </w:tc>
        <w:tc>
          <w:tcPr>
            <w:tcW w:w="1077" w:type="dxa"/>
            <w:tcMar>
              <w:top w:w="102" w:type="dxa"/>
              <w:left w:w="113" w:type="dxa"/>
              <w:bottom w:w="102" w:type="dxa"/>
              <w:right w:w="113" w:type="dxa"/>
            </w:tcMar>
            <w:vAlign w:val="center"/>
          </w:tcPr>
          <w:p w14:paraId="33763B80" w14:textId="77777777" w:rsidR="00D07D4F" w:rsidRPr="00D07D4F" w:rsidRDefault="00D07D4F" w:rsidP="00D07D4F">
            <w:pPr>
              <w:pStyle w:val="CDITable-RowCentre"/>
              <w:rPr>
                <w:lang w:val="en-GB"/>
              </w:rPr>
            </w:pPr>
            <w:r w:rsidRPr="00D07D4F">
              <w:rPr>
                <w:lang w:val="en-GB"/>
              </w:rPr>
              <w:t>ACF</w:t>
            </w:r>
          </w:p>
        </w:tc>
        <w:tc>
          <w:tcPr>
            <w:tcW w:w="1323" w:type="dxa"/>
            <w:tcMar>
              <w:top w:w="102" w:type="dxa"/>
              <w:left w:w="113" w:type="dxa"/>
              <w:bottom w:w="102" w:type="dxa"/>
              <w:right w:w="113" w:type="dxa"/>
            </w:tcMar>
            <w:vAlign w:val="center"/>
          </w:tcPr>
          <w:p w14:paraId="59D56342" w14:textId="77777777" w:rsidR="00D07D4F" w:rsidRPr="00D07D4F" w:rsidRDefault="00D07D4F" w:rsidP="00D07D4F">
            <w:pPr>
              <w:pStyle w:val="CDITable-RowCentre"/>
              <w:rPr>
                <w:lang w:val="en-GB"/>
              </w:rPr>
            </w:pPr>
            <w:r w:rsidRPr="00D07D4F">
              <w:rPr>
                <w:lang w:val="en-GB"/>
              </w:rPr>
              <w:t>5</w:t>
            </w:r>
          </w:p>
        </w:tc>
        <w:tc>
          <w:tcPr>
            <w:tcW w:w="850" w:type="dxa"/>
            <w:tcMar>
              <w:top w:w="102" w:type="dxa"/>
              <w:left w:w="113" w:type="dxa"/>
              <w:bottom w:w="102" w:type="dxa"/>
              <w:right w:w="113" w:type="dxa"/>
            </w:tcMar>
            <w:vAlign w:val="center"/>
          </w:tcPr>
          <w:p w14:paraId="6A4DB8EF" w14:textId="77777777" w:rsidR="00D07D4F" w:rsidRPr="00D07D4F" w:rsidRDefault="00D07D4F" w:rsidP="00D07D4F">
            <w:pPr>
              <w:pStyle w:val="CDITable-RowCentre"/>
              <w:rPr>
                <w:lang w:val="en-GB"/>
              </w:rPr>
            </w:pPr>
            <w:r w:rsidRPr="00D07D4F">
              <w:rPr>
                <w:lang w:val="en-GB"/>
              </w:rPr>
              <w:t>Neg.</w:t>
            </w:r>
          </w:p>
        </w:tc>
        <w:tc>
          <w:tcPr>
            <w:tcW w:w="850" w:type="dxa"/>
            <w:tcMar>
              <w:top w:w="102" w:type="dxa"/>
              <w:left w:w="113" w:type="dxa"/>
              <w:bottom w:w="102" w:type="dxa"/>
              <w:right w:w="113" w:type="dxa"/>
            </w:tcMar>
            <w:vAlign w:val="center"/>
          </w:tcPr>
          <w:p w14:paraId="42BCA07C" w14:textId="77777777" w:rsidR="00D07D4F" w:rsidRPr="00D07D4F" w:rsidRDefault="00D07D4F" w:rsidP="00D07D4F">
            <w:pPr>
              <w:pStyle w:val="CDITable-RowCentre"/>
              <w:rPr>
                <w:lang w:val="en-GB"/>
              </w:rPr>
            </w:pPr>
            <w:r w:rsidRPr="00D07D4F">
              <w:rPr>
                <w:lang w:val="en-GB"/>
              </w:rPr>
              <w:t>—</w:t>
            </w:r>
          </w:p>
        </w:tc>
        <w:tc>
          <w:tcPr>
            <w:tcW w:w="1304" w:type="dxa"/>
            <w:tcMar>
              <w:top w:w="102" w:type="dxa"/>
              <w:left w:w="113" w:type="dxa"/>
              <w:bottom w:w="102" w:type="dxa"/>
              <w:right w:w="113" w:type="dxa"/>
            </w:tcMar>
            <w:vAlign w:val="center"/>
          </w:tcPr>
          <w:p w14:paraId="596591F5" w14:textId="77777777" w:rsidR="00D07D4F" w:rsidRPr="00D07D4F" w:rsidRDefault="00D07D4F" w:rsidP="00D07D4F">
            <w:pPr>
              <w:pStyle w:val="CDITable-RowCentre"/>
              <w:rPr>
                <w:lang w:val="en-GB"/>
              </w:rPr>
            </w:pPr>
            <w:r w:rsidRPr="00D07D4F">
              <w:rPr>
                <w:lang w:val="en-GB"/>
              </w:rPr>
              <w:t>Pos.</w:t>
            </w:r>
          </w:p>
        </w:tc>
        <w:tc>
          <w:tcPr>
            <w:tcW w:w="851" w:type="dxa"/>
            <w:tcMar>
              <w:top w:w="102" w:type="dxa"/>
              <w:left w:w="113" w:type="dxa"/>
              <w:bottom w:w="102" w:type="dxa"/>
              <w:right w:w="113" w:type="dxa"/>
            </w:tcMar>
            <w:vAlign w:val="center"/>
          </w:tcPr>
          <w:p w14:paraId="289D46D6" w14:textId="77777777" w:rsidR="00D07D4F" w:rsidRPr="00D07D4F" w:rsidRDefault="00D07D4F" w:rsidP="00D07D4F">
            <w:pPr>
              <w:pStyle w:val="CDITable-RowCentre"/>
              <w:rPr>
                <w:lang w:val="en-GB"/>
              </w:rPr>
            </w:pPr>
            <w:r w:rsidRPr="00D07D4F">
              <w:rPr>
                <w:lang w:val="en-GB"/>
              </w:rPr>
              <w:t>Pos.</w:t>
            </w:r>
          </w:p>
        </w:tc>
        <w:tc>
          <w:tcPr>
            <w:tcW w:w="964" w:type="dxa"/>
            <w:tcMar>
              <w:top w:w="102" w:type="dxa"/>
              <w:left w:w="113" w:type="dxa"/>
              <w:bottom w:w="102" w:type="dxa"/>
              <w:right w:w="113" w:type="dxa"/>
            </w:tcMar>
            <w:vAlign w:val="center"/>
          </w:tcPr>
          <w:p w14:paraId="34B3499F" w14:textId="77777777" w:rsidR="00D07D4F" w:rsidRPr="00D07D4F" w:rsidRDefault="00D07D4F" w:rsidP="00D07D4F">
            <w:pPr>
              <w:pStyle w:val="CDITable-RowCentre"/>
              <w:rPr>
                <w:lang w:val="en-GB"/>
              </w:rPr>
            </w:pPr>
            <w:r w:rsidRPr="00D07D4F">
              <w:rPr>
                <w:i/>
                <w:iCs/>
                <w:lang w:val="en-GB"/>
              </w:rPr>
              <w:t>P. vivax</w:t>
            </w:r>
          </w:p>
        </w:tc>
        <w:tc>
          <w:tcPr>
            <w:tcW w:w="1133" w:type="dxa"/>
            <w:tcMar>
              <w:top w:w="102" w:type="dxa"/>
              <w:left w:w="113" w:type="dxa"/>
              <w:bottom w:w="102" w:type="dxa"/>
              <w:right w:w="113" w:type="dxa"/>
            </w:tcMar>
            <w:vAlign w:val="center"/>
          </w:tcPr>
          <w:p w14:paraId="5D1C3659" w14:textId="77777777" w:rsidR="00D07D4F" w:rsidRPr="00D07D4F" w:rsidRDefault="00D07D4F" w:rsidP="00D07D4F">
            <w:pPr>
              <w:pStyle w:val="CDITable-RowCentre"/>
              <w:rPr>
                <w:lang w:val="en-GB"/>
              </w:rPr>
            </w:pPr>
            <w:r w:rsidRPr="00D07D4F">
              <w:rPr>
                <w:lang w:val="en-GB"/>
              </w:rPr>
              <w:t>260</w:t>
            </w:r>
          </w:p>
        </w:tc>
        <w:tc>
          <w:tcPr>
            <w:tcW w:w="1361" w:type="dxa"/>
            <w:tcMar>
              <w:top w:w="102" w:type="dxa"/>
              <w:left w:w="113" w:type="dxa"/>
              <w:bottom w:w="102" w:type="dxa"/>
              <w:right w:w="113" w:type="dxa"/>
            </w:tcMar>
            <w:vAlign w:val="center"/>
          </w:tcPr>
          <w:p w14:paraId="1E5DC927" w14:textId="77777777" w:rsidR="00D07D4F" w:rsidRPr="00D07D4F" w:rsidRDefault="00D07D4F" w:rsidP="00D07D4F">
            <w:pPr>
              <w:pStyle w:val="CDITable-RowCentre"/>
              <w:rPr>
                <w:lang w:val="en-GB"/>
              </w:rPr>
            </w:pPr>
            <w:r w:rsidRPr="00D07D4F">
              <w:rPr>
                <w:lang w:val="en-GB"/>
              </w:rPr>
              <w:t>Yes</w:t>
            </w:r>
          </w:p>
        </w:tc>
        <w:tc>
          <w:tcPr>
            <w:tcW w:w="1323" w:type="dxa"/>
            <w:tcMar>
              <w:top w:w="102" w:type="dxa"/>
              <w:left w:w="113" w:type="dxa"/>
              <w:bottom w:w="102" w:type="dxa"/>
              <w:right w:w="113" w:type="dxa"/>
            </w:tcMar>
            <w:vAlign w:val="center"/>
          </w:tcPr>
          <w:p w14:paraId="0EFAA853" w14:textId="77777777" w:rsidR="00D07D4F" w:rsidRPr="00D07D4F" w:rsidRDefault="00D07D4F" w:rsidP="00D07D4F">
            <w:pPr>
              <w:pStyle w:val="CDITable-RowCentre"/>
              <w:rPr>
                <w:lang w:val="en-GB"/>
              </w:rPr>
            </w:pPr>
            <w:r w:rsidRPr="00D07D4F">
              <w:rPr>
                <w:lang w:val="en-GB"/>
              </w:rPr>
              <w:t>7</w:t>
            </w:r>
          </w:p>
        </w:tc>
        <w:tc>
          <w:tcPr>
            <w:tcW w:w="1134" w:type="dxa"/>
            <w:tcMar>
              <w:top w:w="102" w:type="dxa"/>
              <w:left w:w="113" w:type="dxa"/>
              <w:bottom w:w="102" w:type="dxa"/>
              <w:right w:w="113" w:type="dxa"/>
            </w:tcMar>
            <w:vAlign w:val="center"/>
          </w:tcPr>
          <w:p w14:paraId="411832BF"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585FA4DF" w14:textId="77777777" w:rsidR="00D07D4F" w:rsidRPr="00D07D4F" w:rsidRDefault="00D07D4F" w:rsidP="00D07D4F">
            <w:pPr>
              <w:pStyle w:val="CDITable-RowCentre"/>
              <w:rPr>
                <w:lang w:val="en-GB"/>
              </w:rPr>
            </w:pPr>
            <w:r w:rsidRPr="00D07D4F">
              <w:rPr>
                <w:lang w:val="en-GB"/>
              </w:rPr>
              <w:t>2</w:t>
            </w:r>
          </w:p>
        </w:tc>
      </w:tr>
      <w:tr w:rsidR="00D07D4F" w:rsidRPr="00D07D4F" w14:paraId="3D0269B4"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38C0A102" w14:textId="77777777" w:rsidR="00D07D4F" w:rsidRPr="00D07D4F" w:rsidRDefault="00D07D4F" w:rsidP="00D07D4F">
            <w:pPr>
              <w:pStyle w:val="CDITable-RowCentre"/>
              <w:rPr>
                <w:b/>
                <w:bCs/>
                <w:lang w:val="en-GB"/>
              </w:rPr>
            </w:pPr>
            <w:r w:rsidRPr="00D07D4F">
              <w:rPr>
                <w:b/>
                <w:bCs/>
                <w:lang w:val="en-GB"/>
              </w:rPr>
              <w:t>2</w:t>
            </w:r>
          </w:p>
        </w:tc>
        <w:tc>
          <w:tcPr>
            <w:tcW w:w="1077" w:type="dxa"/>
            <w:tcMar>
              <w:top w:w="102" w:type="dxa"/>
              <w:left w:w="113" w:type="dxa"/>
              <w:bottom w:w="102" w:type="dxa"/>
              <w:right w:w="113" w:type="dxa"/>
            </w:tcMar>
            <w:vAlign w:val="center"/>
          </w:tcPr>
          <w:p w14:paraId="50EDA031" w14:textId="77777777" w:rsidR="00D07D4F" w:rsidRPr="00D07D4F" w:rsidRDefault="00D07D4F" w:rsidP="00D07D4F">
            <w:pPr>
              <w:pStyle w:val="CDITable-RowCentre"/>
              <w:rPr>
                <w:lang w:val="en-GB"/>
              </w:rPr>
            </w:pPr>
            <w:r w:rsidRPr="00D07D4F">
              <w:rPr>
                <w:lang w:val="en-GB"/>
              </w:rPr>
              <w:t>SR</w:t>
            </w:r>
          </w:p>
        </w:tc>
        <w:tc>
          <w:tcPr>
            <w:tcW w:w="1323" w:type="dxa"/>
            <w:tcMar>
              <w:top w:w="102" w:type="dxa"/>
              <w:left w:w="113" w:type="dxa"/>
              <w:bottom w:w="102" w:type="dxa"/>
              <w:right w:w="113" w:type="dxa"/>
            </w:tcMar>
            <w:vAlign w:val="center"/>
          </w:tcPr>
          <w:p w14:paraId="4727692B" w14:textId="77777777" w:rsidR="00D07D4F" w:rsidRPr="00D07D4F" w:rsidRDefault="00D07D4F" w:rsidP="00D07D4F">
            <w:pPr>
              <w:pStyle w:val="CDITable-RowCentre"/>
              <w:rPr>
                <w:lang w:val="en-GB"/>
              </w:rPr>
            </w:pPr>
            <w:r w:rsidRPr="00D07D4F">
              <w:rPr>
                <w:lang w:val="en-GB"/>
              </w:rPr>
              <w:t>6</w:t>
            </w:r>
          </w:p>
        </w:tc>
        <w:tc>
          <w:tcPr>
            <w:tcW w:w="850" w:type="dxa"/>
            <w:tcMar>
              <w:top w:w="102" w:type="dxa"/>
              <w:left w:w="113" w:type="dxa"/>
              <w:bottom w:w="102" w:type="dxa"/>
              <w:right w:w="113" w:type="dxa"/>
            </w:tcMar>
            <w:vAlign w:val="center"/>
          </w:tcPr>
          <w:p w14:paraId="4DFA69A4" w14:textId="77777777" w:rsidR="00D07D4F" w:rsidRPr="00D07D4F" w:rsidRDefault="00D07D4F" w:rsidP="00D07D4F">
            <w:pPr>
              <w:pStyle w:val="CDITable-RowCentre"/>
              <w:rPr>
                <w:lang w:val="en-GB"/>
              </w:rPr>
            </w:pPr>
            <w:r w:rsidRPr="00D07D4F">
              <w:rPr>
                <w:lang w:val="en-GB"/>
              </w:rPr>
              <w:t>—</w:t>
            </w:r>
          </w:p>
        </w:tc>
        <w:tc>
          <w:tcPr>
            <w:tcW w:w="850" w:type="dxa"/>
            <w:tcMar>
              <w:top w:w="102" w:type="dxa"/>
              <w:left w:w="113" w:type="dxa"/>
              <w:bottom w:w="102" w:type="dxa"/>
              <w:right w:w="113" w:type="dxa"/>
            </w:tcMar>
            <w:vAlign w:val="center"/>
          </w:tcPr>
          <w:p w14:paraId="1AB39C4F" w14:textId="77777777" w:rsidR="00D07D4F" w:rsidRPr="00D07D4F" w:rsidRDefault="00D07D4F" w:rsidP="00D07D4F">
            <w:pPr>
              <w:pStyle w:val="CDITable-RowCentre"/>
              <w:rPr>
                <w:lang w:val="en-GB"/>
              </w:rPr>
            </w:pPr>
            <w:r w:rsidRPr="00D07D4F">
              <w:rPr>
                <w:lang w:val="en-GB"/>
              </w:rPr>
              <w:t>—</w:t>
            </w:r>
          </w:p>
        </w:tc>
        <w:tc>
          <w:tcPr>
            <w:tcW w:w="1304" w:type="dxa"/>
            <w:tcMar>
              <w:top w:w="102" w:type="dxa"/>
              <w:left w:w="113" w:type="dxa"/>
              <w:bottom w:w="102" w:type="dxa"/>
              <w:right w:w="113" w:type="dxa"/>
            </w:tcMar>
            <w:vAlign w:val="center"/>
          </w:tcPr>
          <w:p w14:paraId="77805378" w14:textId="77777777" w:rsidR="00D07D4F" w:rsidRPr="00D07D4F" w:rsidRDefault="00D07D4F" w:rsidP="00D07D4F">
            <w:pPr>
              <w:pStyle w:val="CDITable-RowCentre"/>
              <w:rPr>
                <w:lang w:val="en-GB"/>
              </w:rPr>
            </w:pPr>
            <w:r w:rsidRPr="00D07D4F">
              <w:rPr>
                <w:lang w:val="en-GB"/>
              </w:rPr>
              <w:t>Pos.</w:t>
            </w:r>
          </w:p>
        </w:tc>
        <w:tc>
          <w:tcPr>
            <w:tcW w:w="851" w:type="dxa"/>
            <w:tcMar>
              <w:top w:w="102" w:type="dxa"/>
              <w:left w:w="113" w:type="dxa"/>
              <w:bottom w:w="102" w:type="dxa"/>
              <w:right w:w="113" w:type="dxa"/>
            </w:tcMar>
            <w:vAlign w:val="center"/>
          </w:tcPr>
          <w:p w14:paraId="110F1B75" w14:textId="77777777" w:rsidR="00D07D4F" w:rsidRPr="00D07D4F" w:rsidRDefault="00D07D4F" w:rsidP="00D07D4F">
            <w:pPr>
              <w:pStyle w:val="CDITable-RowCentre"/>
              <w:rPr>
                <w:lang w:val="en-GB"/>
              </w:rPr>
            </w:pPr>
            <w:r w:rsidRPr="00D07D4F">
              <w:rPr>
                <w:lang w:val="en-GB"/>
              </w:rPr>
              <w:t>Pos.</w:t>
            </w:r>
          </w:p>
        </w:tc>
        <w:tc>
          <w:tcPr>
            <w:tcW w:w="964" w:type="dxa"/>
            <w:tcMar>
              <w:top w:w="102" w:type="dxa"/>
              <w:left w:w="113" w:type="dxa"/>
              <w:bottom w:w="102" w:type="dxa"/>
              <w:right w:w="113" w:type="dxa"/>
            </w:tcMar>
            <w:vAlign w:val="center"/>
          </w:tcPr>
          <w:p w14:paraId="0B9D0A89" w14:textId="77777777" w:rsidR="00D07D4F" w:rsidRPr="00D07D4F" w:rsidRDefault="00D07D4F" w:rsidP="00D07D4F">
            <w:pPr>
              <w:pStyle w:val="CDITable-RowCentre"/>
              <w:rPr>
                <w:lang w:val="en-GB"/>
              </w:rPr>
            </w:pPr>
            <w:r w:rsidRPr="00D07D4F">
              <w:rPr>
                <w:i/>
                <w:iCs/>
                <w:lang w:val="en-GB"/>
              </w:rPr>
              <w:t>P. vivax</w:t>
            </w:r>
          </w:p>
        </w:tc>
        <w:tc>
          <w:tcPr>
            <w:tcW w:w="1133" w:type="dxa"/>
            <w:tcMar>
              <w:top w:w="102" w:type="dxa"/>
              <w:left w:w="113" w:type="dxa"/>
              <w:bottom w:w="102" w:type="dxa"/>
              <w:right w:w="113" w:type="dxa"/>
            </w:tcMar>
            <w:vAlign w:val="center"/>
          </w:tcPr>
          <w:p w14:paraId="22A9D1A2" w14:textId="77777777" w:rsidR="00D07D4F" w:rsidRPr="00D07D4F" w:rsidRDefault="00D07D4F" w:rsidP="00D07D4F">
            <w:pPr>
              <w:pStyle w:val="CDITable-RowCentre"/>
              <w:rPr>
                <w:lang w:val="en-GB"/>
              </w:rPr>
            </w:pPr>
            <w:r w:rsidRPr="00D07D4F">
              <w:rPr>
                <w:lang w:val="en-GB"/>
              </w:rPr>
              <w:t>16,000</w:t>
            </w:r>
          </w:p>
        </w:tc>
        <w:tc>
          <w:tcPr>
            <w:tcW w:w="1361" w:type="dxa"/>
            <w:tcMar>
              <w:top w:w="102" w:type="dxa"/>
              <w:left w:w="113" w:type="dxa"/>
              <w:bottom w:w="102" w:type="dxa"/>
              <w:right w:w="113" w:type="dxa"/>
            </w:tcMar>
            <w:vAlign w:val="center"/>
          </w:tcPr>
          <w:p w14:paraId="67DBFF9A" w14:textId="77777777" w:rsidR="00D07D4F" w:rsidRPr="00D07D4F" w:rsidRDefault="00D07D4F" w:rsidP="00D07D4F">
            <w:pPr>
              <w:pStyle w:val="CDITable-RowCentre"/>
              <w:rPr>
                <w:lang w:val="en-GB"/>
              </w:rPr>
            </w:pPr>
            <w:r w:rsidRPr="00D07D4F">
              <w:rPr>
                <w:lang w:val="en-GB"/>
              </w:rPr>
              <w:t>No</w:t>
            </w:r>
          </w:p>
        </w:tc>
        <w:tc>
          <w:tcPr>
            <w:tcW w:w="1323" w:type="dxa"/>
            <w:tcMar>
              <w:top w:w="102" w:type="dxa"/>
              <w:left w:w="113" w:type="dxa"/>
              <w:bottom w:w="102" w:type="dxa"/>
              <w:right w:w="113" w:type="dxa"/>
            </w:tcMar>
            <w:vAlign w:val="center"/>
          </w:tcPr>
          <w:p w14:paraId="7DE9A948" w14:textId="77777777" w:rsidR="00D07D4F" w:rsidRPr="00D07D4F" w:rsidRDefault="00D07D4F" w:rsidP="00D07D4F">
            <w:pPr>
              <w:pStyle w:val="CDITable-RowCentre"/>
              <w:rPr>
                <w:lang w:val="en-GB"/>
              </w:rPr>
            </w:pPr>
            <w:r w:rsidRPr="00D07D4F">
              <w:rPr>
                <w:lang w:val="en-GB"/>
              </w:rPr>
              <w:t>13</w:t>
            </w:r>
          </w:p>
        </w:tc>
        <w:tc>
          <w:tcPr>
            <w:tcW w:w="1134" w:type="dxa"/>
            <w:tcMar>
              <w:top w:w="102" w:type="dxa"/>
              <w:left w:w="113" w:type="dxa"/>
              <w:bottom w:w="102" w:type="dxa"/>
              <w:right w:w="113" w:type="dxa"/>
            </w:tcMar>
            <w:vAlign w:val="center"/>
          </w:tcPr>
          <w:p w14:paraId="08103668" w14:textId="77777777" w:rsidR="00D07D4F" w:rsidRPr="00D07D4F" w:rsidRDefault="00D07D4F" w:rsidP="00D07D4F">
            <w:pPr>
              <w:pStyle w:val="CDITable-RowCentre"/>
              <w:rPr>
                <w:lang w:val="en-GB"/>
              </w:rPr>
            </w:pPr>
            <w:r w:rsidRPr="00D07D4F">
              <w:rPr>
                <w:lang w:val="en-GB"/>
              </w:rPr>
              <w:t>AP</w:t>
            </w:r>
          </w:p>
        </w:tc>
        <w:tc>
          <w:tcPr>
            <w:tcW w:w="1323" w:type="dxa"/>
            <w:tcMar>
              <w:top w:w="102" w:type="dxa"/>
              <w:left w:w="113" w:type="dxa"/>
              <w:bottom w:w="102" w:type="dxa"/>
              <w:right w:w="113" w:type="dxa"/>
            </w:tcMar>
            <w:vAlign w:val="center"/>
          </w:tcPr>
          <w:p w14:paraId="7103E202" w14:textId="77777777" w:rsidR="00D07D4F" w:rsidRPr="00D07D4F" w:rsidRDefault="00D07D4F" w:rsidP="00D07D4F">
            <w:pPr>
              <w:pStyle w:val="CDITable-RowCentre"/>
              <w:rPr>
                <w:lang w:val="en-GB"/>
              </w:rPr>
            </w:pPr>
            <w:r w:rsidRPr="00D07D4F">
              <w:rPr>
                <w:lang w:val="en-GB"/>
              </w:rPr>
              <w:t>1</w:t>
            </w:r>
          </w:p>
        </w:tc>
      </w:tr>
      <w:tr w:rsidR="00D07D4F" w:rsidRPr="00D07D4F" w14:paraId="3E6691F3"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209DE55A" w14:textId="77777777" w:rsidR="00D07D4F" w:rsidRPr="00D07D4F" w:rsidRDefault="00D07D4F" w:rsidP="00D07D4F">
            <w:pPr>
              <w:pStyle w:val="CDITable-RowCentre"/>
              <w:rPr>
                <w:b/>
                <w:bCs/>
                <w:lang w:val="en-GB"/>
              </w:rPr>
            </w:pPr>
            <w:r w:rsidRPr="00D07D4F">
              <w:rPr>
                <w:b/>
                <w:bCs/>
                <w:lang w:val="en-GB"/>
              </w:rPr>
              <w:t>3</w:t>
            </w:r>
          </w:p>
        </w:tc>
        <w:tc>
          <w:tcPr>
            <w:tcW w:w="1077" w:type="dxa"/>
            <w:tcMar>
              <w:top w:w="102" w:type="dxa"/>
              <w:left w:w="113" w:type="dxa"/>
              <w:bottom w:w="102" w:type="dxa"/>
              <w:right w:w="113" w:type="dxa"/>
            </w:tcMar>
            <w:vAlign w:val="center"/>
          </w:tcPr>
          <w:p w14:paraId="647461B2" w14:textId="77777777" w:rsidR="00D07D4F" w:rsidRPr="00D07D4F" w:rsidRDefault="00D07D4F" w:rsidP="00D07D4F">
            <w:pPr>
              <w:pStyle w:val="CDITable-RowCentre"/>
              <w:rPr>
                <w:lang w:val="en-GB"/>
              </w:rPr>
            </w:pPr>
            <w:r w:rsidRPr="00D07D4F">
              <w:rPr>
                <w:lang w:val="en-GB"/>
              </w:rPr>
              <w:t>SR</w:t>
            </w:r>
          </w:p>
        </w:tc>
        <w:tc>
          <w:tcPr>
            <w:tcW w:w="1323" w:type="dxa"/>
            <w:tcMar>
              <w:top w:w="102" w:type="dxa"/>
              <w:left w:w="113" w:type="dxa"/>
              <w:bottom w:w="102" w:type="dxa"/>
              <w:right w:w="113" w:type="dxa"/>
            </w:tcMar>
            <w:vAlign w:val="center"/>
          </w:tcPr>
          <w:p w14:paraId="5FD4C5C0" w14:textId="77777777" w:rsidR="00D07D4F" w:rsidRPr="00D07D4F" w:rsidRDefault="00D07D4F" w:rsidP="00D07D4F">
            <w:pPr>
              <w:pStyle w:val="CDITable-RowCentre"/>
              <w:rPr>
                <w:lang w:val="en-GB"/>
              </w:rPr>
            </w:pPr>
            <w:r w:rsidRPr="00D07D4F">
              <w:rPr>
                <w:lang w:val="en-GB"/>
              </w:rPr>
              <w:t>5</w:t>
            </w:r>
          </w:p>
        </w:tc>
        <w:tc>
          <w:tcPr>
            <w:tcW w:w="850" w:type="dxa"/>
            <w:tcMar>
              <w:top w:w="102" w:type="dxa"/>
              <w:left w:w="113" w:type="dxa"/>
              <w:bottom w:w="102" w:type="dxa"/>
              <w:right w:w="113" w:type="dxa"/>
            </w:tcMar>
            <w:vAlign w:val="center"/>
          </w:tcPr>
          <w:p w14:paraId="00B339A9" w14:textId="77777777" w:rsidR="00D07D4F" w:rsidRPr="00D07D4F" w:rsidRDefault="00D07D4F" w:rsidP="00D07D4F">
            <w:pPr>
              <w:pStyle w:val="CDITable-RowCentre"/>
              <w:rPr>
                <w:lang w:val="en-GB"/>
              </w:rPr>
            </w:pPr>
            <w:r w:rsidRPr="00D07D4F">
              <w:rPr>
                <w:lang w:val="en-GB"/>
              </w:rPr>
              <w:t>Pos.</w:t>
            </w:r>
          </w:p>
        </w:tc>
        <w:tc>
          <w:tcPr>
            <w:tcW w:w="850" w:type="dxa"/>
            <w:tcMar>
              <w:top w:w="102" w:type="dxa"/>
              <w:left w:w="113" w:type="dxa"/>
              <w:bottom w:w="102" w:type="dxa"/>
              <w:right w:w="113" w:type="dxa"/>
            </w:tcMar>
            <w:vAlign w:val="center"/>
          </w:tcPr>
          <w:p w14:paraId="76B7B2E0" w14:textId="77777777" w:rsidR="00D07D4F" w:rsidRPr="00D07D4F" w:rsidRDefault="00D07D4F" w:rsidP="00D07D4F">
            <w:pPr>
              <w:pStyle w:val="CDITable-RowCentre"/>
              <w:rPr>
                <w:lang w:val="en-GB"/>
              </w:rPr>
            </w:pPr>
            <w:r w:rsidRPr="00D07D4F">
              <w:rPr>
                <w:lang w:val="en-GB"/>
              </w:rPr>
              <w:t>Pos.</w:t>
            </w:r>
          </w:p>
        </w:tc>
        <w:tc>
          <w:tcPr>
            <w:tcW w:w="1304" w:type="dxa"/>
            <w:tcMar>
              <w:top w:w="102" w:type="dxa"/>
              <w:left w:w="113" w:type="dxa"/>
              <w:bottom w:w="102" w:type="dxa"/>
              <w:right w:w="113" w:type="dxa"/>
            </w:tcMar>
            <w:vAlign w:val="center"/>
          </w:tcPr>
          <w:p w14:paraId="00563B35" w14:textId="77777777" w:rsidR="00D07D4F" w:rsidRPr="00D07D4F" w:rsidRDefault="00D07D4F" w:rsidP="00D07D4F">
            <w:pPr>
              <w:pStyle w:val="CDITable-RowCentre"/>
              <w:rPr>
                <w:lang w:val="en-GB"/>
              </w:rPr>
            </w:pPr>
            <w:r w:rsidRPr="00D07D4F">
              <w:rPr>
                <w:lang w:val="en-GB"/>
              </w:rPr>
              <w:t>Pos.</w:t>
            </w:r>
          </w:p>
        </w:tc>
        <w:tc>
          <w:tcPr>
            <w:tcW w:w="851" w:type="dxa"/>
            <w:tcMar>
              <w:top w:w="102" w:type="dxa"/>
              <w:left w:w="113" w:type="dxa"/>
              <w:bottom w:w="102" w:type="dxa"/>
              <w:right w:w="113" w:type="dxa"/>
            </w:tcMar>
            <w:vAlign w:val="center"/>
          </w:tcPr>
          <w:p w14:paraId="072A1AA0" w14:textId="77777777" w:rsidR="00D07D4F" w:rsidRPr="00D07D4F" w:rsidRDefault="00D07D4F" w:rsidP="00D07D4F">
            <w:pPr>
              <w:pStyle w:val="CDITable-RowCentre"/>
              <w:rPr>
                <w:lang w:val="en-GB"/>
              </w:rPr>
            </w:pPr>
            <w:r w:rsidRPr="00D07D4F">
              <w:rPr>
                <w:lang w:val="en-GB"/>
              </w:rPr>
              <w:t>—</w:t>
            </w:r>
          </w:p>
        </w:tc>
        <w:tc>
          <w:tcPr>
            <w:tcW w:w="964" w:type="dxa"/>
            <w:tcMar>
              <w:top w:w="102" w:type="dxa"/>
              <w:left w:w="113" w:type="dxa"/>
              <w:bottom w:w="102" w:type="dxa"/>
              <w:right w:w="113" w:type="dxa"/>
            </w:tcMar>
            <w:vAlign w:val="center"/>
          </w:tcPr>
          <w:p w14:paraId="754C32B5" w14:textId="77777777" w:rsidR="00D07D4F" w:rsidRPr="00D07D4F" w:rsidRDefault="00D07D4F" w:rsidP="00D07D4F">
            <w:pPr>
              <w:pStyle w:val="CDITable-RowCentre"/>
              <w:rPr>
                <w:lang w:val="en-GB"/>
              </w:rPr>
            </w:pPr>
            <w:r w:rsidRPr="00D07D4F">
              <w:rPr>
                <w:lang w:val="en-GB"/>
              </w:rPr>
              <w:t>NFM</w:t>
            </w:r>
          </w:p>
        </w:tc>
        <w:tc>
          <w:tcPr>
            <w:tcW w:w="1133" w:type="dxa"/>
            <w:tcMar>
              <w:top w:w="102" w:type="dxa"/>
              <w:left w:w="113" w:type="dxa"/>
              <w:bottom w:w="102" w:type="dxa"/>
              <w:right w:w="113" w:type="dxa"/>
            </w:tcMar>
            <w:vAlign w:val="center"/>
          </w:tcPr>
          <w:p w14:paraId="07423605" w14:textId="77777777" w:rsidR="00D07D4F" w:rsidRPr="00D07D4F" w:rsidRDefault="00D07D4F" w:rsidP="00D07D4F">
            <w:pPr>
              <w:pStyle w:val="CDITable-RowCentre"/>
              <w:rPr>
                <w:lang w:val="en-GB"/>
              </w:rPr>
            </w:pPr>
            <w:r w:rsidRPr="00D07D4F">
              <w:rPr>
                <w:lang w:val="en-GB"/>
              </w:rPr>
              <w:t>8,200</w:t>
            </w:r>
          </w:p>
        </w:tc>
        <w:tc>
          <w:tcPr>
            <w:tcW w:w="1361" w:type="dxa"/>
            <w:tcMar>
              <w:top w:w="102" w:type="dxa"/>
              <w:left w:w="113" w:type="dxa"/>
              <w:bottom w:w="102" w:type="dxa"/>
              <w:right w:w="113" w:type="dxa"/>
            </w:tcMar>
            <w:vAlign w:val="center"/>
          </w:tcPr>
          <w:p w14:paraId="121F1424" w14:textId="77777777" w:rsidR="00D07D4F" w:rsidRPr="00D07D4F" w:rsidRDefault="00D07D4F" w:rsidP="00D07D4F">
            <w:pPr>
              <w:pStyle w:val="CDITable-RowCentre"/>
              <w:rPr>
                <w:lang w:val="en-GB"/>
              </w:rPr>
            </w:pPr>
            <w:r w:rsidRPr="00D07D4F">
              <w:rPr>
                <w:lang w:val="en-GB"/>
              </w:rPr>
              <w:t>No</w:t>
            </w:r>
          </w:p>
        </w:tc>
        <w:tc>
          <w:tcPr>
            <w:tcW w:w="1323" w:type="dxa"/>
            <w:tcMar>
              <w:top w:w="102" w:type="dxa"/>
              <w:left w:w="113" w:type="dxa"/>
              <w:bottom w:w="102" w:type="dxa"/>
              <w:right w:w="113" w:type="dxa"/>
            </w:tcMar>
            <w:vAlign w:val="center"/>
          </w:tcPr>
          <w:p w14:paraId="4D547701" w14:textId="77777777" w:rsidR="00D07D4F" w:rsidRPr="00D07D4F" w:rsidRDefault="00D07D4F" w:rsidP="00D07D4F">
            <w:pPr>
              <w:pStyle w:val="CDITable-RowCentre"/>
              <w:rPr>
                <w:lang w:val="en-GB"/>
              </w:rPr>
            </w:pPr>
            <w:r w:rsidRPr="00D07D4F">
              <w:rPr>
                <w:lang w:val="en-GB"/>
              </w:rPr>
              <w:t>0</w:t>
            </w:r>
          </w:p>
        </w:tc>
        <w:tc>
          <w:tcPr>
            <w:tcW w:w="1134" w:type="dxa"/>
            <w:tcMar>
              <w:top w:w="102" w:type="dxa"/>
              <w:left w:w="113" w:type="dxa"/>
              <w:bottom w:w="102" w:type="dxa"/>
              <w:right w:w="113" w:type="dxa"/>
            </w:tcMar>
            <w:vAlign w:val="center"/>
          </w:tcPr>
          <w:p w14:paraId="3C66379B"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387011C5" w14:textId="77777777" w:rsidR="00D07D4F" w:rsidRPr="00D07D4F" w:rsidRDefault="00D07D4F" w:rsidP="00D07D4F">
            <w:pPr>
              <w:pStyle w:val="CDITable-RowCentre"/>
              <w:rPr>
                <w:lang w:val="en-GB"/>
              </w:rPr>
            </w:pPr>
            <w:r w:rsidRPr="00D07D4F">
              <w:rPr>
                <w:lang w:val="en-GB"/>
              </w:rPr>
              <w:t>-1</w:t>
            </w:r>
          </w:p>
        </w:tc>
      </w:tr>
      <w:tr w:rsidR="00D07D4F" w:rsidRPr="00D07D4F" w14:paraId="02B63F4A"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7FF9F9E1" w14:textId="77777777" w:rsidR="00D07D4F" w:rsidRPr="00D07D4F" w:rsidRDefault="00D07D4F" w:rsidP="00D07D4F">
            <w:pPr>
              <w:pStyle w:val="CDITable-RowCentre"/>
              <w:rPr>
                <w:b/>
                <w:bCs/>
                <w:lang w:val="en-GB"/>
              </w:rPr>
            </w:pPr>
            <w:r w:rsidRPr="00D07D4F">
              <w:rPr>
                <w:b/>
                <w:bCs/>
                <w:lang w:val="en-GB"/>
              </w:rPr>
              <w:t>3</w:t>
            </w:r>
          </w:p>
        </w:tc>
        <w:tc>
          <w:tcPr>
            <w:tcW w:w="1077" w:type="dxa"/>
            <w:tcMar>
              <w:top w:w="102" w:type="dxa"/>
              <w:left w:w="113" w:type="dxa"/>
              <w:bottom w:w="102" w:type="dxa"/>
              <w:right w:w="113" w:type="dxa"/>
            </w:tcMar>
            <w:vAlign w:val="center"/>
          </w:tcPr>
          <w:p w14:paraId="33F42E71" w14:textId="77777777" w:rsidR="00D07D4F" w:rsidRPr="00D07D4F" w:rsidRDefault="00D07D4F" w:rsidP="00D07D4F">
            <w:pPr>
              <w:pStyle w:val="CDITable-RowCentre"/>
              <w:rPr>
                <w:lang w:val="en-GB"/>
              </w:rPr>
            </w:pPr>
            <w:r w:rsidRPr="00D07D4F">
              <w:rPr>
                <w:lang w:val="en-GB"/>
              </w:rPr>
              <w:t>ACF</w:t>
            </w:r>
          </w:p>
        </w:tc>
        <w:tc>
          <w:tcPr>
            <w:tcW w:w="1323" w:type="dxa"/>
            <w:tcMar>
              <w:top w:w="102" w:type="dxa"/>
              <w:left w:w="113" w:type="dxa"/>
              <w:bottom w:w="102" w:type="dxa"/>
              <w:right w:w="113" w:type="dxa"/>
            </w:tcMar>
            <w:vAlign w:val="center"/>
          </w:tcPr>
          <w:p w14:paraId="39A668B6" w14:textId="77777777" w:rsidR="00D07D4F" w:rsidRPr="00D07D4F" w:rsidRDefault="00D07D4F" w:rsidP="00D07D4F">
            <w:pPr>
              <w:pStyle w:val="CDITable-RowCentre"/>
              <w:rPr>
                <w:lang w:val="en-GB"/>
              </w:rPr>
            </w:pPr>
            <w:r w:rsidRPr="00D07D4F">
              <w:rPr>
                <w:lang w:val="en-GB"/>
              </w:rPr>
              <w:t>41</w:t>
            </w:r>
          </w:p>
        </w:tc>
        <w:tc>
          <w:tcPr>
            <w:tcW w:w="850" w:type="dxa"/>
            <w:tcMar>
              <w:top w:w="102" w:type="dxa"/>
              <w:left w:w="113" w:type="dxa"/>
              <w:bottom w:w="102" w:type="dxa"/>
              <w:right w:w="113" w:type="dxa"/>
            </w:tcMar>
            <w:vAlign w:val="center"/>
          </w:tcPr>
          <w:p w14:paraId="400BE8C8" w14:textId="77777777" w:rsidR="00D07D4F" w:rsidRPr="00D07D4F" w:rsidRDefault="00D07D4F" w:rsidP="00D07D4F">
            <w:pPr>
              <w:pStyle w:val="CDITable-RowCentre"/>
              <w:rPr>
                <w:lang w:val="en-GB"/>
              </w:rPr>
            </w:pPr>
            <w:r w:rsidRPr="00D07D4F">
              <w:rPr>
                <w:lang w:val="en-GB"/>
              </w:rPr>
              <w:t>—</w:t>
            </w:r>
          </w:p>
        </w:tc>
        <w:tc>
          <w:tcPr>
            <w:tcW w:w="850" w:type="dxa"/>
            <w:tcMar>
              <w:top w:w="102" w:type="dxa"/>
              <w:left w:w="113" w:type="dxa"/>
              <w:bottom w:w="102" w:type="dxa"/>
              <w:right w:w="113" w:type="dxa"/>
            </w:tcMar>
            <w:vAlign w:val="center"/>
          </w:tcPr>
          <w:p w14:paraId="23EE1241" w14:textId="77777777" w:rsidR="00D07D4F" w:rsidRPr="00D07D4F" w:rsidRDefault="00D07D4F" w:rsidP="00D07D4F">
            <w:pPr>
              <w:pStyle w:val="CDITable-RowCentre"/>
              <w:rPr>
                <w:lang w:val="en-GB"/>
              </w:rPr>
            </w:pPr>
            <w:r w:rsidRPr="00D07D4F">
              <w:rPr>
                <w:lang w:val="en-GB"/>
              </w:rPr>
              <w:t>Pos.</w:t>
            </w:r>
          </w:p>
        </w:tc>
        <w:tc>
          <w:tcPr>
            <w:tcW w:w="1304" w:type="dxa"/>
            <w:tcMar>
              <w:top w:w="102" w:type="dxa"/>
              <w:left w:w="113" w:type="dxa"/>
              <w:bottom w:w="102" w:type="dxa"/>
              <w:right w:w="113" w:type="dxa"/>
            </w:tcMar>
            <w:vAlign w:val="center"/>
          </w:tcPr>
          <w:p w14:paraId="7F3F1A08" w14:textId="77777777" w:rsidR="00D07D4F" w:rsidRPr="00D07D4F" w:rsidRDefault="00D07D4F" w:rsidP="00D07D4F">
            <w:pPr>
              <w:pStyle w:val="CDITable-RowCentre"/>
              <w:rPr>
                <w:lang w:val="en-GB"/>
              </w:rPr>
            </w:pPr>
            <w:r w:rsidRPr="00D07D4F">
              <w:rPr>
                <w:lang w:val="en-GB"/>
              </w:rPr>
              <w:t>Neg.</w:t>
            </w:r>
          </w:p>
        </w:tc>
        <w:tc>
          <w:tcPr>
            <w:tcW w:w="851" w:type="dxa"/>
            <w:tcMar>
              <w:top w:w="102" w:type="dxa"/>
              <w:left w:w="113" w:type="dxa"/>
              <w:bottom w:w="102" w:type="dxa"/>
              <w:right w:w="113" w:type="dxa"/>
            </w:tcMar>
            <w:vAlign w:val="center"/>
          </w:tcPr>
          <w:p w14:paraId="32D69D9E" w14:textId="77777777" w:rsidR="00D07D4F" w:rsidRPr="00D07D4F" w:rsidRDefault="00D07D4F" w:rsidP="00D07D4F">
            <w:pPr>
              <w:pStyle w:val="CDITable-RowCentre"/>
              <w:rPr>
                <w:lang w:val="en-GB"/>
              </w:rPr>
            </w:pPr>
            <w:r w:rsidRPr="00D07D4F">
              <w:rPr>
                <w:lang w:val="en-GB"/>
              </w:rPr>
              <w:t>—</w:t>
            </w:r>
          </w:p>
        </w:tc>
        <w:tc>
          <w:tcPr>
            <w:tcW w:w="964" w:type="dxa"/>
            <w:tcMar>
              <w:top w:w="102" w:type="dxa"/>
              <w:left w:w="113" w:type="dxa"/>
              <w:bottom w:w="102" w:type="dxa"/>
              <w:right w:w="113" w:type="dxa"/>
            </w:tcMar>
            <w:vAlign w:val="center"/>
          </w:tcPr>
          <w:p w14:paraId="6E6981D9" w14:textId="77777777" w:rsidR="00D07D4F" w:rsidRPr="00D07D4F" w:rsidRDefault="00D07D4F" w:rsidP="00D07D4F">
            <w:pPr>
              <w:pStyle w:val="CDITable-RowCentre"/>
              <w:rPr>
                <w:lang w:val="en-GB"/>
              </w:rPr>
            </w:pPr>
            <w:r w:rsidRPr="00D07D4F">
              <w:rPr>
                <w:lang w:val="en-GB"/>
              </w:rPr>
              <w:t>ND</w:t>
            </w:r>
          </w:p>
        </w:tc>
        <w:tc>
          <w:tcPr>
            <w:tcW w:w="1133" w:type="dxa"/>
            <w:tcMar>
              <w:top w:w="102" w:type="dxa"/>
              <w:left w:w="113" w:type="dxa"/>
              <w:bottom w:w="102" w:type="dxa"/>
              <w:right w:w="113" w:type="dxa"/>
            </w:tcMar>
            <w:vAlign w:val="center"/>
          </w:tcPr>
          <w:p w14:paraId="60A75EA9" w14:textId="77777777" w:rsidR="00D07D4F" w:rsidRPr="00D07D4F" w:rsidRDefault="00D07D4F" w:rsidP="00D07D4F">
            <w:pPr>
              <w:pStyle w:val="CDITable-RowCentre"/>
              <w:rPr>
                <w:lang w:val="en-GB"/>
              </w:rPr>
            </w:pPr>
            <w:r w:rsidRPr="00D07D4F">
              <w:rPr>
                <w:lang w:val="en-GB"/>
              </w:rPr>
              <w:t>N/A</w:t>
            </w:r>
          </w:p>
        </w:tc>
        <w:tc>
          <w:tcPr>
            <w:tcW w:w="1361" w:type="dxa"/>
            <w:tcMar>
              <w:top w:w="102" w:type="dxa"/>
              <w:left w:w="113" w:type="dxa"/>
              <w:bottom w:w="102" w:type="dxa"/>
              <w:right w:w="113" w:type="dxa"/>
            </w:tcMar>
            <w:vAlign w:val="center"/>
          </w:tcPr>
          <w:p w14:paraId="0FE76AEA" w14:textId="77777777" w:rsidR="00D07D4F" w:rsidRPr="00D07D4F" w:rsidRDefault="00D07D4F" w:rsidP="00D07D4F">
            <w:pPr>
              <w:pStyle w:val="CDITable-RowCentre"/>
              <w:rPr>
                <w:lang w:val="en-GB"/>
              </w:rPr>
            </w:pPr>
            <w:r w:rsidRPr="00D07D4F">
              <w:rPr>
                <w:lang w:val="en-GB"/>
              </w:rPr>
              <w:t>No</w:t>
            </w:r>
          </w:p>
        </w:tc>
        <w:tc>
          <w:tcPr>
            <w:tcW w:w="1323" w:type="dxa"/>
            <w:tcMar>
              <w:top w:w="102" w:type="dxa"/>
              <w:left w:w="113" w:type="dxa"/>
              <w:bottom w:w="102" w:type="dxa"/>
              <w:right w:w="113" w:type="dxa"/>
            </w:tcMar>
            <w:vAlign w:val="center"/>
          </w:tcPr>
          <w:p w14:paraId="3BFD4D9A" w14:textId="77777777" w:rsidR="00D07D4F" w:rsidRPr="00D07D4F" w:rsidRDefault="00D07D4F" w:rsidP="00D07D4F">
            <w:pPr>
              <w:pStyle w:val="CDITable-RowCentre"/>
              <w:rPr>
                <w:lang w:val="en-GB"/>
              </w:rPr>
            </w:pPr>
            <w:r w:rsidRPr="00D07D4F">
              <w:rPr>
                <w:lang w:val="en-GB"/>
              </w:rPr>
              <w:t>10</w:t>
            </w:r>
          </w:p>
        </w:tc>
        <w:tc>
          <w:tcPr>
            <w:tcW w:w="1134" w:type="dxa"/>
            <w:tcMar>
              <w:top w:w="102" w:type="dxa"/>
              <w:left w:w="113" w:type="dxa"/>
              <w:bottom w:w="102" w:type="dxa"/>
              <w:right w:w="113" w:type="dxa"/>
            </w:tcMar>
            <w:vAlign w:val="center"/>
          </w:tcPr>
          <w:p w14:paraId="7F96E86E"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5B5FBBD8" w14:textId="77777777" w:rsidR="00D07D4F" w:rsidRPr="00D07D4F" w:rsidRDefault="00D07D4F" w:rsidP="00D07D4F">
            <w:pPr>
              <w:pStyle w:val="CDITable-RowCentre"/>
              <w:rPr>
                <w:lang w:val="en-GB"/>
              </w:rPr>
            </w:pPr>
            <w:r w:rsidRPr="00D07D4F">
              <w:rPr>
                <w:lang w:val="en-GB"/>
              </w:rPr>
              <w:t>21</w:t>
            </w:r>
          </w:p>
        </w:tc>
      </w:tr>
      <w:tr w:rsidR="00D07D4F" w:rsidRPr="00D07D4F" w14:paraId="70258E31" w14:textId="77777777" w:rsidTr="00D07D4F">
        <w:trPr>
          <w:trHeight w:val="60"/>
        </w:trPr>
        <w:tc>
          <w:tcPr>
            <w:tcW w:w="1134" w:type="dxa"/>
            <w:shd w:val="clear" w:color="auto" w:fill="DCF4FC" w:themeFill="background2" w:themeFillTint="33"/>
            <w:tcMar>
              <w:top w:w="102" w:type="dxa"/>
              <w:left w:w="113" w:type="dxa"/>
              <w:bottom w:w="102" w:type="dxa"/>
              <w:right w:w="113" w:type="dxa"/>
            </w:tcMar>
            <w:vAlign w:val="center"/>
          </w:tcPr>
          <w:p w14:paraId="24A6A9FD" w14:textId="77777777" w:rsidR="00D07D4F" w:rsidRPr="00D07D4F" w:rsidRDefault="00D07D4F" w:rsidP="00D07D4F">
            <w:pPr>
              <w:pStyle w:val="CDITable-RowCentre"/>
              <w:rPr>
                <w:b/>
                <w:bCs/>
                <w:lang w:val="en-GB"/>
              </w:rPr>
            </w:pPr>
            <w:r w:rsidRPr="00D07D4F">
              <w:rPr>
                <w:b/>
                <w:bCs/>
                <w:lang w:val="en-GB"/>
              </w:rPr>
              <w:t>3</w:t>
            </w:r>
          </w:p>
        </w:tc>
        <w:tc>
          <w:tcPr>
            <w:tcW w:w="1077" w:type="dxa"/>
            <w:tcMar>
              <w:top w:w="102" w:type="dxa"/>
              <w:left w:w="113" w:type="dxa"/>
              <w:bottom w:w="102" w:type="dxa"/>
              <w:right w:w="113" w:type="dxa"/>
            </w:tcMar>
            <w:vAlign w:val="center"/>
          </w:tcPr>
          <w:p w14:paraId="28D419EB" w14:textId="77777777" w:rsidR="00D07D4F" w:rsidRPr="00D07D4F" w:rsidRDefault="00D07D4F" w:rsidP="00D07D4F">
            <w:pPr>
              <w:pStyle w:val="CDITable-RowCentre"/>
              <w:rPr>
                <w:lang w:val="en-GB"/>
              </w:rPr>
            </w:pPr>
            <w:r w:rsidRPr="00D07D4F">
              <w:rPr>
                <w:lang w:val="en-GB"/>
              </w:rPr>
              <w:t>SR</w:t>
            </w:r>
          </w:p>
        </w:tc>
        <w:tc>
          <w:tcPr>
            <w:tcW w:w="1323" w:type="dxa"/>
            <w:tcMar>
              <w:top w:w="102" w:type="dxa"/>
              <w:left w:w="113" w:type="dxa"/>
              <w:bottom w:w="102" w:type="dxa"/>
              <w:right w:w="113" w:type="dxa"/>
            </w:tcMar>
            <w:vAlign w:val="center"/>
          </w:tcPr>
          <w:p w14:paraId="6BF31007" w14:textId="77777777" w:rsidR="00D07D4F" w:rsidRPr="00D07D4F" w:rsidRDefault="00D07D4F" w:rsidP="00D07D4F">
            <w:pPr>
              <w:pStyle w:val="CDITable-RowCentre"/>
              <w:rPr>
                <w:lang w:val="en-GB"/>
              </w:rPr>
            </w:pPr>
            <w:r w:rsidRPr="00D07D4F">
              <w:rPr>
                <w:lang w:val="en-GB"/>
              </w:rPr>
              <w:t>15</w:t>
            </w:r>
          </w:p>
        </w:tc>
        <w:tc>
          <w:tcPr>
            <w:tcW w:w="850" w:type="dxa"/>
            <w:tcMar>
              <w:top w:w="102" w:type="dxa"/>
              <w:left w:w="113" w:type="dxa"/>
              <w:bottom w:w="102" w:type="dxa"/>
              <w:right w:w="113" w:type="dxa"/>
            </w:tcMar>
            <w:vAlign w:val="center"/>
          </w:tcPr>
          <w:p w14:paraId="66BADD91" w14:textId="77777777" w:rsidR="00D07D4F" w:rsidRPr="00D07D4F" w:rsidRDefault="00D07D4F" w:rsidP="00D07D4F">
            <w:pPr>
              <w:pStyle w:val="CDITable-RowCentre"/>
              <w:rPr>
                <w:lang w:val="en-GB"/>
              </w:rPr>
            </w:pPr>
            <w:r w:rsidRPr="00D07D4F">
              <w:rPr>
                <w:lang w:val="en-GB"/>
              </w:rPr>
              <w:t>—</w:t>
            </w:r>
          </w:p>
        </w:tc>
        <w:tc>
          <w:tcPr>
            <w:tcW w:w="850" w:type="dxa"/>
            <w:tcMar>
              <w:top w:w="102" w:type="dxa"/>
              <w:left w:w="113" w:type="dxa"/>
              <w:bottom w:w="102" w:type="dxa"/>
              <w:right w:w="113" w:type="dxa"/>
            </w:tcMar>
            <w:vAlign w:val="center"/>
          </w:tcPr>
          <w:p w14:paraId="29D2FBCA" w14:textId="77777777" w:rsidR="00D07D4F" w:rsidRPr="00D07D4F" w:rsidRDefault="00D07D4F" w:rsidP="00D07D4F">
            <w:pPr>
              <w:pStyle w:val="CDITable-RowCentre"/>
              <w:rPr>
                <w:lang w:val="en-GB"/>
              </w:rPr>
            </w:pPr>
            <w:r w:rsidRPr="00D07D4F">
              <w:rPr>
                <w:lang w:val="en-GB"/>
              </w:rPr>
              <w:t>—</w:t>
            </w:r>
          </w:p>
        </w:tc>
        <w:tc>
          <w:tcPr>
            <w:tcW w:w="1304" w:type="dxa"/>
            <w:tcMar>
              <w:top w:w="102" w:type="dxa"/>
              <w:left w:w="113" w:type="dxa"/>
              <w:bottom w:w="102" w:type="dxa"/>
              <w:right w:w="113" w:type="dxa"/>
            </w:tcMar>
            <w:vAlign w:val="center"/>
          </w:tcPr>
          <w:p w14:paraId="1E122E61" w14:textId="77777777" w:rsidR="00D07D4F" w:rsidRPr="00D07D4F" w:rsidRDefault="00D07D4F" w:rsidP="00D07D4F">
            <w:pPr>
              <w:pStyle w:val="CDITable-RowCentre"/>
              <w:rPr>
                <w:lang w:val="en-GB"/>
              </w:rPr>
            </w:pPr>
            <w:r w:rsidRPr="00D07D4F">
              <w:rPr>
                <w:lang w:val="en-GB"/>
              </w:rPr>
              <w:t>Pos.</w:t>
            </w:r>
          </w:p>
        </w:tc>
        <w:tc>
          <w:tcPr>
            <w:tcW w:w="851" w:type="dxa"/>
            <w:tcMar>
              <w:top w:w="102" w:type="dxa"/>
              <w:left w:w="113" w:type="dxa"/>
              <w:bottom w:w="102" w:type="dxa"/>
              <w:right w:w="113" w:type="dxa"/>
            </w:tcMar>
            <w:vAlign w:val="center"/>
          </w:tcPr>
          <w:p w14:paraId="3A8A0958" w14:textId="77777777" w:rsidR="00D07D4F" w:rsidRPr="00D07D4F" w:rsidRDefault="00D07D4F" w:rsidP="00D07D4F">
            <w:pPr>
              <w:pStyle w:val="CDITable-RowCentre"/>
              <w:rPr>
                <w:lang w:val="en-GB"/>
              </w:rPr>
            </w:pPr>
            <w:r w:rsidRPr="00D07D4F">
              <w:rPr>
                <w:lang w:val="en-GB"/>
              </w:rPr>
              <w:t>—</w:t>
            </w:r>
          </w:p>
        </w:tc>
        <w:tc>
          <w:tcPr>
            <w:tcW w:w="964" w:type="dxa"/>
            <w:tcMar>
              <w:top w:w="102" w:type="dxa"/>
              <w:left w:w="113" w:type="dxa"/>
              <w:bottom w:w="102" w:type="dxa"/>
              <w:right w:w="113" w:type="dxa"/>
            </w:tcMar>
            <w:vAlign w:val="center"/>
          </w:tcPr>
          <w:p w14:paraId="5C954118" w14:textId="77777777" w:rsidR="00D07D4F" w:rsidRPr="00D07D4F" w:rsidRDefault="00D07D4F" w:rsidP="00D07D4F">
            <w:pPr>
              <w:pStyle w:val="CDITable-RowCentre"/>
              <w:rPr>
                <w:lang w:val="en-GB"/>
              </w:rPr>
            </w:pPr>
            <w:r w:rsidRPr="00D07D4F">
              <w:rPr>
                <w:i/>
                <w:iCs/>
                <w:lang w:val="en-GB"/>
              </w:rPr>
              <w:t>P. vivax</w:t>
            </w:r>
          </w:p>
        </w:tc>
        <w:tc>
          <w:tcPr>
            <w:tcW w:w="1133" w:type="dxa"/>
            <w:tcMar>
              <w:top w:w="102" w:type="dxa"/>
              <w:left w:w="113" w:type="dxa"/>
              <w:bottom w:w="102" w:type="dxa"/>
              <w:right w:w="113" w:type="dxa"/>
            </w:tcMar>
            <w:vAlign w:val="center"/>
          </w:tcPr>
          <w:p w14:paraId="64EF2489" w14:textId="77777777" w:rsidR="00D07D4F" w:rsidRPr="00D07D4F" w:rsidRDefault="00D07D4F" w:rsidP="00D07D4F">
            <w:pPr>
              <w:pStyle w:val="CDITable-RowCentre"/>
              <w:rPr>
                <w:lang w:val="en-GB"/>
              </w:rPr>
            </w:pPr>
            <w:r w:rsidRPr="00D07D4F">
              <w:rPr>
                <w:lang w:val="en-GB"/>
              </w:rPr>
              <w:t>11,000</w:t>
            </w:r>
          </w:p>
        </w:tc>
        <w:tc>
          <w:tcPr>
            <w:tcW w:w="1361" w:type="dxa"/>
            <w:tcMar>
              <w:top w:w="102" w:type="dxa"/>
              <w:left w:w="113" w:type="dxa"/>
              <w:bottom w:w="102" w:type="dxa"/>
              <w:right w:w="113" w:type="dxa"/>
            </w:tcMar>
            <w:vAlign w:val="center"/>
          </w:tcPr>
          <w:p w14:paraId="45598E69" w14:textId="77777777" w:rsidR="00D07D4F" w:rsidRPr="00D07D4F" w:rsidRDefault="00D07D4F" w:rsidP="00D07D4F">
            <w:pPr>
              <w:pStyle w:val="CDITable-RowCentre"/>
              <w:rPr>
                <w:lang w:val="en-GB"/>
              </w:rPr>
            </w:pPr>
            <w:r w:rsidRPr="00D07D4F">
              <w:rPr>
                <w:lang w:val="en-GB"/>
              </w:rPr>
              <w:t>Yes</w:t>
            </w:r>
          </w:p>
        </w:tc>
        <w:tc>
          <w:tcPr>
            <w:tcW w:w="1323" w:type="dxa"/>
            <w:tcMar>
              <w:top w:w="102" w:type="dxa"/>
              <w:left w:w="113" w:type="dxa"/>
              <w:bottom w:w="102" w:type="dxa"/>
              <w:right w:w="113" w:type="dxa"/>
            </w:tcMar>
            <w:vAlign w:val="center"/>
          </w:tcPr>
          <w:p w14:paraId="17B9288A" w14:textId="77777777" w:rsidR="00D07D4F" w:rsidRPr="00D07D4F" w:rsidRDefault="00D07D4F" w:rsidP="00D07D4F">
            <w:pPr>
              <w:pStyle w:val="CDITable-RowCentre"/>
              <w:rPr>
                <w:lang w:val="en-GB"/>
              </w:rPr>
            </w:pPr>
            <w:r w:rsidRPr="00D07D4F">
              <w:rPr>
                <w:lang w:val="en-GB"/>
              </w:rPr>
              <w:t>58</w:t>
            </w:r>
          </w:p>
        </w:tc>
        <w:tc>
          <w:tcPr>
            <w:tcW w:w="1134" w:type="dxa"/>
            <w:tcMar>
              <w:top w:w="102" w:type="dxa"/>
              <w:left w:w="113" w:type="dxa"/>
              <w:bottom w:w="102" w:type="dxa"/>
              <w:right w:w="113" w:type="dxa"/>
            </w:tcMar>
            <w:vAlign w:val="center"/>
          </w:tcPr>
          <w:p w14:paraId="3554FA2B" w14:textId="77777777" w:rsidR="00D07D4F" w:rsidRPr="00D07D4F" w:rsidRDefault="00D07D4F" w:rsidP="00D07D4F">
            <w:pPr>
              <w:pStyle w:val="CDITable-RowCentre"/>
              <w:rPr>
                <w:lang w:val="en-GB"/>
              </w:rPr>
            </w:pPr>
            <w:r w:rsidRPr="00D07D4F">
              <w:rPr>
                <w:lang w:val="en-GB"/>
              </w:rPr>
              <w:t>AL</w:t>
            </w:r>
          </w:p>
        </w:tc>
        <w:tc>
          <w:tcPr>
            <w:tcW w:w="1323" w:type="dxa"/>
            <w:tcMar>
              <w:top w:w="102" w:type="dxa"/>
              <w:left w:w="113" w:type="dxa"/>
              <w:bottom w:w="102" w:type="dxa"/>
              <w:right w:w="113" w:type="dxa"/>
            </w:tcMar>
            <w:vAlign w:val="center"/>
          </w:tcPr>
          <w:p w14:paraId="180E1AC4" w14:textId="77777777" w:rsidR="00D07D4F" w:rsidRPr="00D07D4F" w:rsidRDefault="00D07D4F" w:rsidP="00D07D4F">
            <w:pPr>
              <w:pStyle w:val="CDITable-RowCentre"/>
              <w:rPr>
                <w:lang w:val="en-GB"/>
              </w:rPr>
            </w:pPr>
            <w:r w:rsidRPr="00D07D4F">
              <w:rPr>
                <w:lang w:val="en-GB"/>
              </w:rPr>
              <w:t>0</w:t>
            </w:r>
          </w:p>
        </w:tc>
      </w:tr>
    </w:tbl>
    <w:p w14:paraId="2EFEB7AE" w14:textId="77777777" w:rsidR="00D07D4F" w:rsidRPr="00D07D4F" w:rsidRDefault="00D07D4F" w:rsidP="00D07D4F">
      <w:pPr>
        <w:pStyle w:val="CDITable-FirstFootnote"/>
        <w:rPr>
          <w:lang w:val="en-GB"/>
        </w:rPr>
      </w:pPr>
      <w:proofErr w:type="gramStart"/>
      <w:r w:rsidRPr="00D07D4F">
        <w:rPr>
          <w:lang w:val="en-GB"/>
        </w:rPr>
        <w:t>a</w:t>
      </w:r>
      <w:proofErr w:type="gramEnd"/>
      <w:r w:rsidRPr="00D07D4F">
        <w:rPr>
          <w:lang w:val="en-GB"/>
        </w:rPr>
        <w:tab/>
        <w:t xml:space="preserve">Outbreaks are identified as: 1: </w:t>
      </w:r>
      <w:proofErr w:type="spellStart"/>
      <w:r w:rsidRPr="00D07D4F">
        <w:rPr>
          <w:lang w:val="en-GB"/>
        </w:rPr>
        <w:t>Boigu</w:t>
      </w:r>
      <w:proofErr w:type="spellEnd"/>
      <w:r w:rsidRPr="00D07D4F">
        <w:rPr>
          <w:lang w:val="en-GB"/>
        </w:rPr>
        <w:t xml:space="preserve"> Island (2023); 2: Saibai Island (2023); 3: Saibai Island (2025).</w:t>
      </w:r>
    </w:p>
    <w:p w14:paraId="7CD96CB1" w14:textId="77777777" w:rsidR="00D07D4F" w:rsidRPr="00D07D4F" w:rsidRDefault="00D07D4F" w:rsidP="00D07D4F">
      <w:pPr>
        <w:pStyle w:val="CDITable-Footnote"/>
        <w:rPr>
          <w:lang w:val="en-GB"/>
        </w:rPr>
      </w:pPr>
      <w:r w:rsidRPr="00D07D4F">
        <w:rPr>
          <w:lang w:val="en-GB"/>
        </w:rPr>
        <w:t>b</w:t>
      </w:r>
      <w:r w:rsidRPr="00D07D4F">
        <w:rPr>
          <w:lang w:val="en-GB"/>
        </w:rPr>
        <w:tab/>
        <w:t>SR: self-report; ACF: active case finding.</w:t>
      </w:r>
    </w:p>
    <w:p w14:paraId="3C2BC460" w14:textId="77777777" w:rsidR="00D07D4F" w:rsidRPr="00D07D4F" w:rsidRDefault="00D07D4F" w:rsidP="00D07D4F">
      <w:pPr>
        <w:pStyle w:val="CDITable-Footnote"/>
        <w:rPr>
          <w:lang w:val="en-GB"/>
        </w:rPr>
      </w:pPr>
      <w:r w:rsidRPr="00D07D4F">
        <w:rPr>
          <w:lang w:val="en-GB"/>
        </w:rPr>
        <w:t>c</w:t>
      </w:r>
      <w:r w:rsidRPr="00D07D4F">
        <w:rPr>
          <w:lang w:val="en-GB"/>
        </w:rPr>
        <w:tab/>
        <w:t>RDT: rapid diagnostic test; LAMP: loop-mediated isothermal amplification testing; PCR: polymerase chain reaction; NFM: non-falciparum malaria (PfHRP2 negative).</w:t>
      </w:r>
    </w:p>
    <w:p w14:paraId="76197D4D" w14:textId="77777777" w:rsidR="00D07D4F" w:rsidRPr="00D07D4F" w:rsidRDefault="00D07D4F" w:rsidP="00D07D4F">
      <w:pPr>
        <w:pStyle w:val="CDITable-Footnote"/>
        <w:rPr>
          <w:lang w:val="en-GB"/>
        </w:rPr>
      </w:pPr>
      <w:r w:rsidRPr="00D07D4F">
        <w:rPr>
          <w:lang w:val="en-GB"/>
        </w:rPr>
        <w:t>d</w:t>
      </w:r>
      <w:r w:rsidRPr="00D07D4F">
        <w:rPr>
          <w:lang w:val="en-GB"/>
        </w:rPr>
        <w:tab/>
        <w:t>Pos.: positive; Neg.: negative; N/A: not applicable; ND: not detected; –: not tested.</w:t>
      </w:r>
    </w:p>
    <w:p w14:paraId="4AE8D86D" w14:textId="77777777" w:rsidR="00D07D4F" w:rsidRPr="00D07D4F" w:rsidRDefault="00D07D4F" w:rsidP="00D07D4F">
      <w:pPr>
        <w:pStyle w:val="CDITable-Footnote"/>
        <w:rPr>
          <w:lang w:val="en-GB"/>
        </w:rPr>
      </w:pPr>
      <w:proofErr w:type="spellStart"/>
      <w:r w:rsidRPr="00D07D4F">
        <w:rPr>
          <w:lang w:val="en-GB"/>
        </w:rPr>
        <w:t>e</w:t>
      </w:r>
      <w:proofErr w:type="spellEnd"/>
      <w:r w:rsidRPr="00D07D4F">
        <w:rPr>
          <w:lang w:val="en-GB"/>
        </w:rPr>
        <w:tab/>
        <w:t>All cases received primaquine after glucose-6-phosphate dehydrogenase (G6PD) testing, and either artemether–lumefantrine (AL) or atovaquone–proguanil (AP) as shown here.</w:t>
      </w:r>
    </w:p>
    <w:p w14:paraId="61C3A556" w14:textId="77777777" w:rsidR="00D07D4F" w:rsidRPr="00D07D4F" w:rsidRDefault="00D07D4F" w:rsidP="00D07D4F">
      <w:pPr>
        <w:pStyle w:val="CDITable-Footnote"/>
        <w:rPr>
          <w:lang w:val="en-GB"/>
        </w:rPr>
      </w:pPr>
      <w:r w:rsidRPr="00D07D4F">
        <w:rPr>
          <w:lang w:val="en-GB"/>
        </w:rPr>
        <w:t>f</w:t>
      </w:r>
      <w:r w:rsidRPr="00D07D4F">
        <w:rPr>
          <w:lang w:val="en-GB"/>
        </w:rPr>
        <w:tab/>
        <w:t>BSC: blood specimen collection.</w:t>
      </w:r>
    </w:p>
    <w:p w14:paraId="7742E33E" w14:textId="3AAB7793" w:rsidR="00AB455A" w:rsidRDefault="00D07D4F" w:rsidP="00D07D4F">
      <w:pPr>
        <w:pStyle w:val="CDITable-Footnote"/>
        <w:rPr>
          <w:lang w:val="en-GB"/>
        </w:rPr>
      </w:pPr>
      <w:r w:rsidRPr="00D07D4F">
        <w:rPr>
          <w:lang w:val="en-GB"/>
        </w:rPr>
        <w:t>g</w:t>
      </w:r>
      <w:r w:rsidRPr="00D07D4F">
        <w:rPr>
          <w:lang w:val="en-GB"/>
        </w:rPr>
        <w:tab/>
        <w:t>Two cases commenced treatment upon positive rapid diagnostic test, prior to blood specimen collection for laboratory testing.</w:t>
      </w:r>
    </w:p>
    <w:p w14:paraId="5FA8AD7B" w14:textId="77777777" w:rsidR="00D07D4F" w:rsidRDefault="00D07D4F" w:rsidP="00AC46DC">
      <w:pPr>
        <w:rPr>
          <w:lang w:val="en-GB"/>
        </w:rPr>
        <w:sectPr w:rsidR="00D07D4F" w:rsidSect="00D07D4F">
          <w:footnotePr>
            <w:numFmt w:val="lowerRoman"/>
          </w:footnotePr>
          <w:pgSz w:w="16840" w:h="11907" w:orient="landscape" w:code="9"/>
          <w:pgMar w:top="1134" w:right="1134" w:bottom="1134" w:left="1134" w:header="709" w:footer="567" w:gutter="0"/>
          <w:cols w:space="708"/>
          <w:docGrid w:linePitch="360"/>
        </w:sectPr>
      </w:pPr>
    </w:p>
    <w:p w14:paraId="38C87C7C" w14:textId="77777777" w:rsidR="006E0B0E" w:rsidRDefault="008017B6" w:rsidP="00D07D4F">
      <w:pPr>
        <w:pStyle w:val="Heading1-nospacebefore"/>
      </w:pPr>
      <w:bookmarkStart w:id="24" w:name="_Toc241653659"/>
      <w:bookmarkStart w:id="25" w:name="_Toc195519590"/>
      <w:bookmarkStart w:id="26" w:name="_Toc195522359"/>
      <w:r>
        <w:lastRenderedPageBreak/>
        <w:t>Discussion</w:t>
      </w:r>
      <w:bookmarkEnd w:id="24"/>
    </w:p>
    <w:p w14:paraId="3353E528" w14:textId="77777777" w:rsidR="00D07D4F" w:rsidRPr="00D07D4F" w:rsidRDefault="00D07D4F" w:rsidP="00D07D4F">
      <w:pPr>
        <w:pStyle w:val="Normal-Opening"/>
        <w:rPr>
          <w:lang w:val="en-GB"/>
        </w:rPr>
      </w:pPr>
      <w:r w:rsidRPr="00D07D4F">
        <w:rPr>
          <w:lang w:val="en-GB"/>
        </w:rPr>
        <w:t xml:space="preserve">After almost a decade without detection of any locally acquired or imported cases of malaria in the Torres Strait, three separate outbreaks occurred between 2023 and 2025. A robust, locally led public health response successfully halted transmission of malaria during each outbreak. However, ongoing vigilance is necessary. The rising incidence of malaria in PNG, and of </w:t>
      </w:r>
      <w:r w:rsidRPr="00D07D4F">
        <w:rPr>
          <w:i/>
          <w:iCs/>
          <w:lang w:val="en-GB"/>
        </w:rPr>
        <w:t xml:space="preserve">P. </w:t>
      </w:r>
      <w:proofErr w:type="gramStart"/>
      <w:r w:rsidRPr="00D07D4F">
        <w:rPr>
          <w:i/>
          <w:iCs/>
          <w:lang w:val="en-GB"/>
        </w:rPr>
        <w:t>falciparum</w:t>
      </w:r>
      <w:r w:rsidRPr="00D07D4F">
        <w:rPr>
          <w:lang w:val="en-GB"/>
        </w:rPr>
        <w:t xml:space="preserve"> in particular, means</w:t>
      </w:r>
      <w:proofErr w:type="gramEnd"/>
      <w:r w:rsidRPr="00D07D4F">
        <w:rPr>
          <w:lang w:val="en-GB"/>
        </w:rPr>
        <w:t xml:space="preserve"> there is an increased risk of importation and local transmission in the Australian Torres Strait Islands.</w:t>
      </w:r>
      <w:r w:rsidRPr="00D07D4F">
        <w:rPr>
          <w:vertAlign w:val="superscript"/>
          <w:lang w:val="en-GB"/>
        </w:rPr>
        <w:t>18</w:t>
      </w:r>
      <w:r w:rsidRPr="00D07D4F">
        <w:rPr>
          <w:lang w:val="en-GB"/>
        </w:rPr>
        <w:t xml:space="preserve"> </w:t>
      </w:r>
    </w:p>
    <w:p w14:paraId="348B016E" w14:textId="4BBF3C01" w:rsidR="00D07D4F" w:rsidRPr="00D07D4F" w:rsidRDefault="00D07D4F" w:rsidP="00D07D4F">
      <w:pPr>
        <w:rPr>
          <w:lang w:val="en-GB"/>
        </w:rPr>
      </w:pPr>
      <w:r w:rsidRPr="00D07D4F">
        <w:rPr>
          <w:lang w:val="en-GB"/>
        </w:rPr>
        <w:t>The number of malaria cases in PNG increased by 163% from 346,431 cases in 2015 to 910,747 cases in 2024.</w:t>
      </w:r>
      <w:r w:rsidRPr="00D07D4F">
        <w:rPr>
          <w:vertAlign w:val="superscript"/>
          <w:lang w:val="en-GB"/>
        </w:rPr>
        <w:t>19</w:t>
      </w:r>
      <w:r w:rsidRPr="00D07D4F">
        <w:rPr>
          <w:lang w:val="en-GB"/>
        </w:rPr>
        <w:t xml:space="preserve"> In 2024, PNG accounted for almost 90% of all estimated malaria cases in the Western Pacific Region and, importantly, 77% of these PNG cases were </w:t>
      </w:r>
      <w:r w:rsidRPr="00D07D4F">
        <w:rPr>
          <w:i/>
          <w:iCs/>
          <w:lang w:val="en-GB"/>
        </w:rPr>
        <w:t>P. falciparum</w:t>
      </w:r>
      <w:r w:rsidRPr="00D07D4F">
        <w:rPr>
          <w:lang w:val="en-GB"/>
        </w:rPr>
        <w:t>.</w:t>
      </w:r>
      <w:r w:rsidRPr="00D07D4F">
        <w:rPr>
          <w:vertAlign w:val="superscript"/>
          <w:lang w:val="en-GB"/>
        </w:rPr>
        <w:t>20</w:t>
      </w:r>
      <w:r w:rsidRPr="00D07D4F">
        <w:rPr>
          <w:lang w:val="en-GB"/>
        </w:rPr>
        <w:t xml:space="preserve"> In 2023, the community prevalence of </w:t>
      </w:r>
      <w:r w:rsidRPr="00D07D4F">
        <w:rPr>
          <w:i/>
          <w:iCs/>
          <w:lang w:val="en-GB"/>
        </w:rPr>
        <w:t>P. falciparum</w:t>
      </w:r>
      <w:r w:rsidRPr="00D07D4F">
        <w:rPr>
          <w:lang w:val="en-GB"/>
        </w:rPr>
        <w:t xml:space="preserve"> was estimated to be 2.4% in PNG’s Western Province, a region which includes all 13 PNG villages that are part of the Torres Strait Treaty.</w:t>
      </w:r>
      <w:r w:rsidRPr="00D07D4F">
        <w:rPr>
          <w:vertAlign w:val="superscript"/>
          <w:lang w:val="en-GB"/>
        </w:rPr>
        <w:t>21</w:t>
      </w:r>
      <w:r w:rsidRPr="00D07D4F">
        <w:rPr>
          <w:lang w:val="en-GB"/>
        </w:rPr>
        <w:t xml:space="preserve"> Between 2023 and 2025, just one of the 30 notified cases in the Torres Strait were confirmed as </w:t>
      </w:r>
      <w:r w:rsidRPr="00D07D4F">
        <w:rPr>
          <w:i/>
          <w:iCs/>
          <w:lang w:val="en-GB"/>
        </w:rPr>
        <w:t>P.</w:t>
      </w:r>
      <w:r>
        <w:rPr>
          <w:i/>
          <w:iCs/>
          <w:lang w:val="en-GB"/>
        </w:rPr>
        <w:t> </w:t>
      </w:r>
      <w:r w:rsidRPr="00D07D4F">
        <w:rPr>
          <w:i/>
          <w:iCs/>
          <w:lang w:val="en-GB"/>
        </w:rPr>
        <w:t>falciparum</w:t>
      </w:r>
      <w:r w:rsidRPr="00D07D4F">
        <w:rPr>
          <w:lang w:val="en-GB"/>
        </w:rPr>
        <w:t xml:space="preserve">. This may be explained by the </w:t>
      </w:r>
      <w:proofErr w:type="gramStart"/>
      <w:r w:rsidRPr="00D07D4F">
        <w:rPr>
          <w:lang w:val="en-GB"/>
        </w:rPr>
        <w:t>often severe</w:t>
      </w:r>
      <w:proofErr w:type="gramEnd"/>
      <w:r w:rsidRPr="00D07D4F">
        <w:rPr>
          <w:lang w:val="en-GB"/>
        </w:rPr>
        <w:t xml:space="preserve"> clinical complications of </w:t>
      </w:r>
      <w:r w:rsidRPr="00D07D4F">
        <w:rPr>
          <w:i/>
          <w:iCs/>
          <w:lang w:val="en-GB"/>
        </w:rPr>
        <w:t>P. falciparum</w:t>
      </w:r>
      <w:r w:rsidRPr="00D07D4F">
        <w:rPr>
          <w:lang w:val="en-GB"/>
        </w:rPr>
        <w:t xml:space="preserve"> infection, which may reduce the likelihood of travel to an Australian PHCC and subsequent detection.</w:t>
      </w:r>
      <w:r w:rsidRPr="00D07D4F">
        <w:rPr>
          <w:vertAlign w:val="superscript"/>
          <w:lang w:val="en-GB"/>
        </w:rPr>
        <w:t>2,21</w:t>
      </w:r>
      <w:r w:rsidRPr="00D07D4F">
        <w:rPr>
          <w:lang w:val="en-GB"/>
        </w:rPr>
        <w:t xml:space="preserve"> However, the potentially fatal infection remains a real risk for local Torres Strait residents who have little or no acquired immunity.</w:t>
      </w:r>
      <w:r w:rsidRPr="00D07D4F">
        <w:rPr>
          <w:vertAlign w:val="superscript"/>
          <w:lang w:val="en-GB"/>
        </w:rPr>
        <w:t>22</w:t>
      </w:r>
      <w:r w:rsidRPr="00D07D4F">
        <w:rPr>
          <w:lang w:val="en-GB"/>
        </w:rPr>
        <w:t xml:space="preserve"> </w:t>
      </w:r>
    </w:p>
    <w:p w14:paraId="53C2A0E4" w14:textId="77777777" w:rsidR="00D07D4F" w:rsidRPr="00D07D4F" w:rsidRDefault="00D07D4F" w:rsidP="00D07D4F">
      <w:pPr>
        <w:rPr>
          <w:lang w:val="en-GB"/>
        </w:rPr>
      </w:pPr>
      <w:r w:rsidRPr="00D07D4F">
        <w:rPr>
          <w:lang w:val="en-GB"/>
        </w:rPr>
        <w:t>The absence of malaria notifications between 2014 and 2022 may be at least partly explained by the lower incidence in PNG during this period.</w:t>
      </w:r>
      <w:r w:rsidRPr="00D07D4F">
        <w:rPr>
          <w:vertAlign w:val="superscript"/>
          <w:lang w:val="en-GB"/>
        </w:rPr>
        <w:t>23</w:t>
      </w:r>
      <w:r w:rsidRPr="00D07D4F">
        <w:rPr>
          <w:lang w:val="en-GB"/>
        </w:rPr>
        <w:t xml:space="preserve"> However, the number of tests conducted by Australian clinicians in the Torres Strait declined over the same period, highlighting the importance of ongoing vigilance. Reopening of the border coincided with commencement of enhanced TCPHU surveillance activities, which may also have increased the ascertainment of malaria cases from 2023. </w:t>
      </w:r>
    </w:p>
    <w:p w14:paraId="6CA3330D" w14:textId="77777777" w:rsidR="00D07D4F" w:rsidRPr="00D07D4F" w:rsidRDefault="00D07D4F" w:rsidP="00D07D4F">
      <w:pPr>
        <w:rPr>
          <w:lang w:val="en-GB"/>
        </w:rPr>
      </w:pPr>
      <w:r w:rsidRPr="00D07D4F">
        <w:rPr>
          <w:lang w:val="en-GB"/>
        </w:rPr>
        <w:t>Since the border reopened after the COVID-19 pandemic, there has been an increase in the movement of Australian and PNG residents across the Torres Strait Protected Zone.</w:t>
      </w:r>
      <w:r w:rsidRPr="00D07D4F">
        <w:rPr>
          <w:vertAlign w:val="superscript"/>
          <w:lang w:val="en-GB"/>
        </w:rPr>
        <w:t>8</w:t>
      </w:r>
      <w:r w:rsidRPr="00D07D4F">
        <w:rPr>
          <w:lang w:val="en-GB"/>
        </w:rPr>
        <w:t xml:space="preserve"> Movements are likely to rise further following the 2025 Defence Treaty between Australia and PNG.</w:t>
      </w:r>
      <w:r w:rsidRPr="00D07D4F">
        <w:rPr>
          <w:vertAlign w:val="superscript"/>
          <w:lang w:val="en-GB"/>
        </w:rPr>
        <w:t>24</w:t>
      </w:r>
      <w:r w:rsidRPr="00D07D4F">
        <w:rPr>
          <w:lang w:val="en-GB"/>
        </w:rPr>
        <w:t xml:space="preserve"> This movement may increase the risk to Australians of several diseases which are highly prevalent in PNG, including malaria, dengue,</w:t>
      </w:r>
      <w:r w:rsidRPr="00D07D4F">
        <w:rPr>
          <w:vertAlign w:val="superscript"/>
          <w:lang w:val="en-GB"/>
        </w:rPr>
        <w:t>25</w:t>
      </w:r>
      <w:r w:rsidRPr="00D07D4F">
        <w:rPr>
          <w:lang w:val="en-GB"/>
        </w:rPr>
        <w:t xml:space="preserve"> tuberculosis,</w:t>
      </w:r>
      <w:r w:rsidRPr="00D07D4F">
        <w:rPr>
          <w:vertAlign w:val="superscript"/>
          <w:lang w:val="en-GB"/>
        </w:rPr>
        <w:t>26</w:t>
      </w:r>
      <w:r w:rsidRPr="00D07D4F">
        <w:rPr>
          <w:lang w:val="en-GB"/>
        </w:rPr>
        <w:t xml:space="preserve"> typhoid, Japanese encephalitis,</w:t>
      </w:r>
      <w:r w:rsidRPr="00D07D4F">
        <w:rPr>
          <w:vertAlign w:val="superscript"/>
          <w:lang w:val="en-GB"/>
        </w:rPr>
        <w:t>27</w:t>
      </w:r>
      <w:r w:rsidRPr="00D07D4F">
        <w:rPr>
          <w:lang w:val="en-GB"/>
        </w:rPr>
        <w:t xml:space="preserve"> and HIV.</w:t>
      </w:r>
      <w:r w:rsidRPr="00D07D4F">
        <w:rPr>
          <w:vertAlign w:val="superscript"/>
          <w:lang w:val="en-GB"/>
        </w:rPr>
        <w:t>28</w:t>
      </w:r>
      <w:r w:rsidRPr="00D07D4F">
        <w:rPr>
          <w:lang w:val="en-GB"/>
        </w:rPr>
        <w:t xml:space="preserve"> The successful strategies that underpinned our approach to the malaria outbreaks may also prove beneficial in detecting and responding to other outbreaks of similarly imported pathogens in the region. Continued collaboration with PNG health stakeholders remains vital to prevent and manage cross-border disease transmission. </w:t>
      </w:r>
    </w:p>
    <w:p w14:paraId="4BEA6CF6" w14:textId="77777777" w:rsidR="00D07D4F" w:rsidRPr="00D07D4F" w:rsidRDefault="00D07D4F" w:rsidP="00D07D4F">
      <w:pPr>
        <w:rPr>
          <w:lang w:val="en-GB"/>
        </w:rPr>
      </w:pPr>
      <w:r w:rsidRPr="00D07D4F">
        <w:rPr>
          <w:lang w:val="en-GB"/>
        </w:rPr>
        <w:t xml:space="preserve">Environmental factors may also increase the risk of malaria transmission in the Torres Strait in the future. Warming temperatures shorten the </w:t>
      </w:r>
      <w:r w:rsidRPr="00D07D4F">
        <w:rPr>
          <w:i/>
          <w:iCs/>
          <w:lang w:val="en-GB"/>
        </w:rPr>
        <w:t>Plasmodium</w:t>
      </w:r>
      <w:r w:rsidRPr="00D07D4F">
        <w:rPr>
          <w:lang w:val="en-GB"/>
        </w:rPr>
        <w:t xml:space="preserve"> parasite’s extrinsic incubation period and may extend the length of the transmission season.</w:t>
      </w:r>
      <w:r w:rsidRPr="00D07D4F">
        <w:rPr>
          <w:vertAlign w:val="superscript"/>
          <w:lang w:val="en-GB"/>
        </w:rPr>
        <w:t>29–31</w:t>
      </w:r>
      <w:r w:rsidRPr="00D07D4F">
        <w:rPr>
          <w:lang w:val="en-GB"/>
        </w:rPr>
        <w:t xml:space="preserve"> The social determinants of health have an impact on the incidence of malaria and other tropical diseases in Australia.</w:t>
      </w:r>
      <w:r w:rsidRPr="00D07D4F">
        <w:rPr>
          <w:vertAlign w:val="superscript"/>
          <w:lang w:val="en-GB"/>
        </w:rPr>
        <w:t>32–34</w:t>
      </w:r>
      <w:r w:rsidRPr="00D07D4F">
        <w:rPr>
          <w:lang w:val="en-GB"/>
        </w:rPr>
        <w:t xml:space="preserve"> This emphasises the importance of evidence-based approaches to manage local mosquito-borne disease risk, which include the optimisation of water drainage and waste collection, and housing design that prevents mosquitoes from entering and biting occupants.</w:t>
      </w:r>
      <w:r w:rsidRPr="00D07D4F">
        <w:rPr>
          <w:vertAlign w:val="superscript"/>
          <w:lang w:val="en-GB"/>
        </w:rPr>
        <w:t>35</w:t>
      </w:r>
    </w:p>
    <w:p w14:paraId="7B63014A" w14:textId="77777777" w:rsidR="00D07D4F" w:rsidRPr="00D07D4F" w:rsidRDefault="00D07D4F" w:rsidP="00D07D4F">
      <w:pPr>
        <w:rPr>
          <w:lang w:val="en-GB"/>
        </w:rPr>
      </w:pPr>
      <w:r w:rsidRPr="00D07D4F">
        <w:rPr>
          <w:lang w:val="en-GB"/>
        </w:rPr>
        <w:t>Our public health response to the 2023 and 2025 outbreaks was based on a successful response to a malaria outbreak in the region in 2011.</w:t>
      </w:r>
      <w:r w:rsidRPr="00D07D4F">
        <w:rPr>
          <w:vertAlign w:val="superscript"/>
          <w:lang w:val="en-GB"/>
        </w:rPr>
        <w:t>5</w:t>
      </w:r>
      <w:r w:rsidRPr="00D07D4F">
        <w:rPr>
          <w:lang w:val="en-GB"/>
        </w:rPr>
        <w:t xml:space="preserve"> The success of the recent outbreak responses can be attributed to several factors. Firstly, three out of eight outbreak cases were detected through active case finding and these cases may not have otherwise presented to health services. This is an important aspect of the response to </w:t>
      </w:r>
      <w:r w:rsidRPr="00D07D4F">
        <w:rPr>
          <w:i/>
          <w:iCs/>
          <w:lang w:val="en-GB"/>
        </w:rPr>
        <w:t>P. vivax</w:t>
      </w:r>
      <w:r w:rsidRPr="00D07D4F">
        <w:rPr>
          <w:lang w:val="en-GB"/>
        </w:rPr>
        <w:t xml:space="preserve"> outbreaks in non-endemic regions, as infections can </w:t>
      </w:r>
      <w:r w:rsidRPr="00D07D4F">
        <w:rPr>
          <w:lang w:val="en-GB"/>
        </w:rPr>
        <w:lastRenderedPageBreak/>
        <w:t>be mild and can relapse without appropriate treatment to eradicate hypnozoites, which can result in ongoing transmission.</w:t>
      </w:r>
      <w:r w:rsidRPr="00D07D4F">
        <w:rPr>
          <w:vertAlign w:val="superscript"/>
          <w:lang w:val="en-GB"/>
        </w:rPr>
        <w:t>36</w:t>
      </w:r>
      <w:r w:rsidRPr="00D07D4F">
        <w:rPr>
          <w:lang w:val="en-GB"/>
        </w:rPr>
        <w:t xml:space="preserve"> Secondly, in locations where blood specimens can take several days to reach a laboratory, the use of rapid point-of-care tests expedited case detection, treatment and response. Thirdly, comprehensive vector control disrupted mosquito breeding. Lastly, and most importantly, local Torres Strait Island leaders and health workers with a knowledge of the local language and customs enabled a response which engaged residents through individual conversations and community events. Embedding First Nations leadership into the outbreak response ensures local community needs are identified and addressed, reducing public health risk.</w:t>
      </w:r>
      <w:r w:rsidRPr="00D07D4F">
        <w:rPr>
          <w:vertAlign w:val="superscript"/>
          <w:lang w:val="en-GB"/>
        </w:rPr>
        <w:t>37</w:t>
      </w:r>
      <w:r w:rsidRPr="00D07D4F">
        <w:rPr>
          <w:lang w:val="en-GB"/>
        </w:rPr>
        <w:t xml:space="preserve"> This approach has been replicated in response to incursions of COVID-19 and dengue in the Torres Strait region.</w:t>
      </w:r>
      <w:r w:rsidRPr="00D07D4F">
        <w:rPr>
          <w:vertAlign w:val="superscript"/>
          <w:lang w:val="en-GB"/>
        </w:rPr>
        <w:t>38,39</w:t>
      </w:r>
      <w:r w:rsidRPr="00D07D4F">
        <w:rPr>
          <w:lang w:val="en-GB"/>
        </w:rPr>
        <w:t xml:space="preserve"> </w:t>
      </w:r>
    </w:p>
    <w:p w14:paraId="2035719D" w14:textId="77777777" w:rsidR="00D07D4F" w:rsidRPr="00D07D4F" w:rsidRDefault="00D07D4F" w:rsidP="00D07D4F">
      <w:pPr>
        <w:rPr>
          <w:lang w:val="en-GB"/>
        </w:rPr>
      </w:pPr>
      <w:r w:rsidRPr="00D07D4F">
        <w:rPr>
          <w:lang w:val="en-GB"/>
        </w:rPr>
        <w:t>The most likely source of each outbreak was an undetected imported infection from PNG. However, another explanation is that the outbreaks occurred after relapse of a prior untreated or inadequately treated infection, or a known imported infection with a longer than usual incubation period.</w:t>
      </w:r>
      <w:r w:rsidRPr="00D07D4F">
        <w:rPr>
          <w:vertAlign w:val="superscript"/>
          <w:lang w:val="en-GB"/>
        </w:rPr>
        <w:t>36,40</w:t>
      </w:r>
      <w:r w:rsidRPr="00D07D4F">
        <w:rPr>
          <w:lang w:val="en-GB"/>
        </w:rPr>
        <w:t xml:space="preserve"> Alternatively, </w:t>
      </w:r>
      <w:r w:rsidRPr="00D07D4F">
        <w:rPr>
          <w:i/>
          <w:iCs/>
          <w:lang w:val="en-GB"/>
        </w:rPr>
        <w:t>P. vivax</w:t>
      </w:r>
      <w:r w:rsidRPr="00D07D4F">
        <w:rPr>
          <w:lang w:val="en-GB"/>
        </w:rPr>
        <w:t xml:space="preserve"> may have been introduced by windborne migration of infected </w:t>
      </w:r>
      <w:r w:rsidRPr="00D07D4F">
        <w:rPr>
          <w:i/>
          <w:iCs/>
          <w:lang w:val="en-GB"/>
        </w:rPr>
        <w:t>Anopheles</w:t>
      </w:r>
      <w:r w:rsidRPr="00D07D4F">
        <w:rPr>
          <w:lang w:val="en-GB"/>
        </w:rPr>
        <w:t xml:space="preserve"> mosquitoes from PNG.</w:t>
      </w:r>
      <w:r w:rsidRPr="00D07D4F">
        <w:rPr>
          <w:vertAlign w:val="superscript"/>
          <w:lang w:val="en-GB"/>
        </w:rPr>
        <w:t>41</w:t>
      </w:r>
      <w:r w:rsidRPr="00D07D4F">
        <w:rPr>
          <w:lang w:val="en-GB"/>
        </w:rPr>
        <w:t xml:space="preserve"> Regardless of the source, early case detection and vector control remain essential to minimise transmission during malaria outbreaks. </w:t>
      </w:r>
    </w:p>
    <w:p w14:paraId="3D546615" w14:textId="77777777" w:rsidR="00D07D4F" w:rsidRPr="00D07D4F" w:rsidRDefault="00D07D4F" w:rsidP="00D07D4F">
      <w:pPr>
        <w:rPr>
          <w:lang w:val="en-GB"/>
        </w:rPr>
      </w:pPr>
      <w:r w:rsidRPr="00D07D4F">
        <w:rPr>
          <w:lang w:val="en-GB"/>
        </w:rPr>
        <w:t>A key challenge identified during each outbreak was the diagnostic sensitivity of the RDTs and microscopy.</w:t>
      </w:r>
      <w:r w:rsidRPr="00D07D4F">
        <w:rPr>
          <w:vertAlign w:val="superscript"/>
          <w:lang w:val="en-GB"/>
        </w:rPr>
        <w:t>16</w:t>
      </w:r>
      <w:r w:rsidRPr="00D07D4F">
        <w:rPr>
          <w:lang w:val="en-GB"/>
        </w:rPr>
        <w:t xml:space="preserve"> While RDTs can diagnose severe, life-threatening </w:t>
      </w:r>
      <w:r w:rsidRPr="00D07D4F">
        <w:rPr>
          <w:i/>
          <w:iCs/>
          <w:lang w:val="en-GB"/>
        </w:rPr>
        <w:t>P. falciparum</w:t>
      </w:r>
      <w:r w:rsidRPr="00D07D4F">
        <w:rPr>
          <w:lang w:val="en-GB"/>
        </w:rPr>
        <w:t xml:space="preserve"> under time-sensitive circumstances, they have lower sensitivity for cases of non-severe, non-falciparum malaria.</w:t>
      </w:r>
      <w:r w:rsidRPr="00D07D4F">
        <w:rPr>
          <w:vertAlign w:val="superscript"/>
          <w:lang w:val="en-GB"/>
        </w:rPr>
        <w:t>42,43</w:t>
      </w:r>
      <w:r w:rsidRPr="00D07D4F">
        <w:rPr>
          <w:lang w:val="en-GB"/>
        </w:rPr>
        <w:t xml:space="preserve"> Positive RDT results for species other than </w:t>
      </w:r>
      <w:r w:rsidRPr="00D07D4F">
        <w:rPr>
          <w:i/>
          <w:iCs/>
          <w:lang w:val="en-GB"/>
        </w:rPr>
        <w:t>P. falciparum</w:t>
      </w:r>
      <w:r w:rsidRPr="00D07D4F">
        <w:rPr>
          <w:lang w:val="en-GB"/>
        </w:rPr>
        <w:t xml:space="preserve"> are useful, as demonstrated in our report; however, false negatives are expected.</w:t>
      </w:r>
      <w:r w:rsidRPr="00D07D4F">
        <w:rPr>
          <w:vertAlign w:val="superscript"/>
          <w:lang w:val="en-GB"/>
        </w:rPr>
        <w:t>42–44</w:t>
      </w:r>
      <w:r w:rsidRPr="00D07D4F">
        <w:rPr>
          <w:lang w:val="en-GB"/>
        </w:rPr>
        <w:t xml:space="preserve"> While microscopy can be highly sensitive, the diagnostic performance depends on the operator, and low parasite density may lead to false negative results.</w:t>
      </w:r>
      <w:r w:rsidRPr="00D07D4F">
        <w:rPr>
          <w:vertAlign w:val="superscript"/>
          <w:lang w:val="en-GB"/>
        </w:rPr>
        <w:t>16</w:t>
      </w:r>
      <w:r w:rsidRPr="00D07D4F">
        <w:rPr>
          <w:lang w:val="en-GB"/>
        </w:rPr>
        <w:t xml:space="preserve"> </w:t>
      </w:r>
    </w:p>
    <w:p w14:paraId="7E5C6E25" w14:textId="026DBD98" w:rsidR="0001020A" w:rsidRDefault="00D07D4F" w:rsidP="00830AEA">
      <w:r w:rsidRPr="00D07D4F">
        <w:rPr>
          <w:lang w:val="en-GB"/>
        </w:rPr>
        <w:t xml:space="preserve">Despite the dedicated public health responses, it was not possible to screen and test all residents for malaria. Some cases may have been missed as part of the unscreened population. Communities in the Torres Strait Islands are highly mobile, and some individuals may not have been present on the island at the time of case finding activities. There is a need for ongoing community messaging so that potential cases who are symptomatic present to the clinic for prompt testing, diagnosis and treatment. </w:t>
      </w:r>
    </w:p>
    <w:p w14:paraId="3AFA8996" w14:textId="77777777" w:rsidR="00FE2847" w:rsidRDefault="008017B6" w:rsidP="008017B6">
      <w:pPr>
        <w:pStyle w:val="Heading1"/>
      </w:pPr>
      <w:bookmarkStart w:id="27" w:name="_Toc241653660"/>
      <w:bookmarkEnd w:id="25"/>
      <w:bookmarkEnd w:id="26"/>
      <w:r>
        <w:lastRenderedPageBreak/>
        <w:t>Conclusion</w:t>
      </w:r>
      <w:bookmarkEnd w:id="27"/>
    </w:p>
    <w:p w14:paraId="275742D4" w14:textId="77777777" w:rsidR="00D07D4F" w:rsidRPr="00D07D4F" w:rsidRDefault="00D07D4F" w:rsidP="00D07D4F">
      <w:pPr>
        <w:pStyle w:val="Normal-Opening"/>
        <w:rPr>
          <w:lang w:val="en-GB"/>
        </w:rPr>
      </w:pPr>
      <w:r w:rsidRPr="00D07D4F">
        <w:rPr>
          <w:lang w:val="en-GB"/>
        </w:rPr>
        <w:t xml:space="preserve">After nine years without malaria in the Torres Strait Islands, there were three separate outbreaks between 2023 and 2025. The TCPHU public health response successfully halted transmission of malaria in each outbreak; however, sustained surveillance is essential. There is an ongoing risk of malaria importation and transmission in the region due to increasing prevalence in PNG and the cross-border movement of people under the Torres Strait Treaty. Ongoing collaboration with PNG health stakeholders, mosquito-proof housing design and </w:t>
      </w:r>
      <w:proofErr w:type="gramStart"/>
      <w:r w:rsidRPr="00D07D4F">
        <w:rPr>
          <w:lang w:val="en-GB"/>
        </w:rPr>
        <w:t>culturally-considered</w:t>
      </w:r>
      <w:proofErr w:type="gramEnd"/>
      <w:r w:rsidRPr="00D07D4F">
        <w:rPr>
          <w:lang w:val="en-GB"/>
        </w:rPr>
        <w:t xml:space="preserve"> community messaging </w:t>
      </w:r>
      <w:proofErr w:type="gramStart"/>
      <w:r w:rsidRPr="00D07D4F">
        <w:rPr>
          <w:lang w:val="en-GB"/>
        </w:rPr>
        <w:t>are</w:t>
      </w:r>
      <w:proofErr w:type="gramEnd"/>
      <w:r w:rsidRPr="00D07D4F">
        <w:rPr>
          <w:lang w:val="en-GB"/>
        </w:rPr>
        <w:t xml:space="preserve"> needed to minimise the risk of future malaria outbreaks and to prevent the spread of other diseases to mainland Australia.</w:t>
      </w:r>
    </w:p>
    <w:p w14:paraId="3280E0B5" w14:textId="77777777" w:rsidR="00F216F0" w:rsidRDefault="00F216F0" w:rsidP="00F216F0">
      <w:pPr>
        <w:pStyle w:val="Heading1"/>
      </w:pPr>
      <w:bookmarkStart w:id="28" w:name="_Toc195530510"/>
      <w:bookmarkStart w:id="29" w:name="_Toc241653661"/>
      <w:bookmarkStart w:id="30" w:name="_Toc195530508"/>
      <w:r>
        <w:lastRenderedPageBreak/>
        <w:t>Acknowledgments</w:t>
      </w:r>
      <w:bookmarkEnd w:id="28"/>
      <w:bookmarkEnd w:id="29"/>
    </w:p>
    <w:p w14:paraId="15394B36" w14:textId="59A797C7" w:rsidR="00F216F0" w:rsidRPr="008017B6" w:rsidRDefault="00D07D4F" w:rsidP="00D07D4F">
      <w:pPr>
        <w:pStyle w:val="Normal-Opening"/>
      </w:pPr>
      <w:r w:rsidRPr="00D07D4F">
        <w:rPr>
          <w:lang w:val="en-GB"/>
        </w:rPr>
        <w:t xml:space="preserve">The authors would like to sincerely thank Saibai Island and </w:t>
      </w:r>
      <w:proofErr w:type="spellStart"/>
      <w:r w:rsidRPr="00D07D4F">
        <w:rPr>
          <w:lang w:val="en-GB"/>
        </w:rPr>
        <w:t>Boigu</w:t>
      </w:r>
      <w:proofErr w:type="spellEnd"/>
      <w:r w:rsidRPr="00D07D4F">
        <w:rPr>
          <w:lang w:val="en-GB"/>
        </w:rPr>
        <w:t xml:space="preserve"> Island residents, TSIRC representatives and PHCCs for their partnership and support throughout the responses. We also thank Torres and Cape Hospital and Health Service Environmental Health Technician Santoi Thaiday and TSIRC Environmental Health Worker Jacob Akiba for their efforts during the responses. The corresponding author is supported by the Australian Field Epidemiology Training Program (FETP) Master of Philosophy in Applied Epidemiology scholarship at the Australian National University.</w:t>
      </w:r>
    </w:p>
    <w:p w14:paraId="520706B8" w14:textId="77777777" w:rsidR="008A0736" w:rsidRDefault="008A0736" w:rsidP="008A0736">
      <w:pPr>
        <w:pStyle w:val="Heading1"/>
      </w:pPr>
      <w:bookmarkStart w:id="31" w:name="_Toc241653662"/>
      <w:r>
        <w:lastRenderedPageBreak/>
        <w:t>Author details</w:t>
      </w:r>
      <w:bookmarkEnd w:id="30"/>
      <w:bookmarkEnd w:id="31"/>
    </w:p>
    <w:p w14:paraId="50597F1F" w14:textId="77777777" w:rsidR="00D07D4F" w:rsidRPr="00D07D4F" w:rsidRDefault="00D07D4F" w:rsidP="00D07D4F">
      <w:pPr>
        <w:pStyle w:val="Normal-Opening"/>
        <w:rPr>
          <w:lang w:val="en-GB"/>
        </w:rPr>
      </w:pPr>
      <w:r w:rsidRPr="00D07D4F">
        <w:rPr>
          <w:lang w:val="en-GB"/>
        </w:rPr>
        <w:t>C Bowers,</w:t>
      </w:r>
      <w:r w:rsidRPr="00D07D4F">
        <w:rPr>
          <w:vertAlign w:val="superscript"/>
          <w:lang w:val="en-GB"/>
        </w:rPr>
        <w:t>1,2</w:t>
      </w:r>
      <w:r w:rsidRPr="00D07D4F">
        <w:rPr>
          <w:lang w:val="en-GB"/>
        </w:rPr>
        <w:t xml:space="preserve"> </w:t>
      </w:r>
    </w:p>
    <w:p w14:paraId="146EA4BA" w14:textId="77777777" w:rsidR="00D07D4F" w:rsidRPr="00D07D4F" w:rsidRDefault="00D07D4F" w:rsidP="00D07D4F">
      <w:pPr>
        <w:pStyle w:val="Normal-lessspace"/>
      </w:pPr>
      <w:r w:rsidRPr="00D07D4F">
        <w:t>D Pourmarzi,</w:t>
      </w:r>
      <w:r w:rsidRPr="00D07D4F">
        <w:rPr>
          <w:vertAlign w:val="superscript"/>
        </w:rPr>
        <w:t>2</w:t>
      </w:r>
      <w:r w:rsidRPr="00D07D4F">
        <w:t xml:space="preserve"> </w:t>
      </w:r>
    </w:p>
    <w:p w14:paraId="73B22C97" w14:textId="77777777" w:rsidR="00D07D4F" w:rsidRPr="00D07D4F" w:rsidRDefault="00D07D4F" w:rsidP="00D07D4F">
      <w:pPr>
        <w:pStyle w:val="Normal-lessspace"/>
      </w:pPr>
      <w:r w:rsidRPr="00D07D4F">
        <w:t>J Hanson,</w:t>
      </w:r>
      <w:r w:rsidRPr="00D07D4F">
        <w:rPr>
          <w:vertAlign w:val="superscript"/>
        </w:rPr>
        <w:t>3,4</w:t>
      </w:r>
      <w:r w:rsidRPr="00D07D4F">
        <w:t xml:space="preserve"> </w:t>
      </w:r>
    </w:p>
    <w:p w14:paraId="15657F77" w14:textId="77777777" w:rsidR="00D07D4F" w:rsidRPr="00D07D4F" w:rsidRDefault="00D07D4F" w:rsidP="00D07D4F">
      <w:pPr>
        <w:pStyle w:val="Normal-lessspace"/>
      </w:pPr>
      <w:r w:rsidRPr="00D07D4F">
        <w:t>A Hempenstall,</w:t>
      </w:r>
      <w:r w:rsidRPr="00D07D4F">
        <w:rPr>
          <w:vertAlign w:val="superscript"/>
        </w:rPr>
        <w:t>1,5</w:t>
      </w:r>
      <w:r w:rsidRPr="00D07D4F">
        <w:t xml:space="preserve"> </w:t>
      </w:r>
    </w:p>
    <w:p w14:paraId="71D7AD34" w14:textId="77777777" w:rsidR="00D07D4F" w:rsidRPr="00D07D4F" w:rsidRDefault="00D07D4F" w:rsidP="00D07D4F">
      <w:pPr>
        <w:pStyle w:val="Normal-lessspace"/>
      </w:pPr>
      <w:r w:rsidRPr="00D07D4F">
        <w:t>P Dugdale,</w:t>
      </w:r>
      <w:r w:rsidRPr="00D07D4F">
        <w:rPr>
          <w:vertAlign w:val="superscript"/>
        </w:rPr>
        <w:t>1</w:t>
      </w:r>
      <w:r w:rsidRPr="00D07D4F">
        <w:t xml:space="preserve"> </w:t>
      </w:r>
    </w:p>
    <w:p w14:paraId="7A1C8DD6" w14:textId="77777777" w:rsidR="00D07D4F" w:rsidRPr="00D07D4F" w:rsidRDefault="00D07D4F" w:rsidP="00D07D4F">
      <w:pPr>
        <w:pStyle w:val="Normal-lessspace"/>
      </w:pPr>
      <w:r w:rsidRPr="00D07D4F">
        <w:t>C Cashman,</w:t>
      </w:r>
      <w:r w:rsidRPr="00D07D4F">
        <w:rPr>
          <w:vertAlign w:val="superscript"/>
        </w:rPr>
        <w:t>1</w:t>
      </w:r>
      <w:r w:rsidRPr="00D07D4F">
        <w:t xml:space="preserve"> </w:t>
      </w:r>
    </w:p>
    <w:p w14:paraId="347A44F4" w14:textId="77777777" w:rsidR="00D07D4F" w:rsidRPr="00D07D4F" w:rsidRDefault="00D07D4F" w:rsidP="00D07D4F">
      <w:pPr>
        <w:pStyle w:val="Normal-lessspace"/>
      </w:pPr>
      <w:r w:rsidRPr="00D07D4F">
        <w:t>A Fauid,</w:t>
      </w:r>
      <w:r w:rsidRPr="00D07D4F">
        <w:rPr>
          <w:vertAlign w:val="superscript"/>
        </w:rPr>
        <w:t>3</w:t>
      </w:r>
      <w:r w:rsidRPr="00D07D4F">
        <w:t xml:space="preserve"> </w:t>
      </w:r>
    </w:p>
    <w:p w14:paraId="51B40202" w14:textId="77777777" w:rsidR="00D07D4F" w:rsidRPr="00D07D4F" w:rsidRDefault="00D07D4F" w:rsidP="00D07D4F">
      <w:pPr>
        <w:pStyle w:val="Normal-lessspace"/>
      </w:pPr>
      <w:r w:rsidRPr="00D07D4F">
        <w:t>G Ehlers,</w:t>
      </w:r>
      <w:r w:rsidRPr="00D07D4F">
        <w:rPr>
          <w:vertAlign w:val="superscript"/>
        </w:rPr>
        <w:t>3</w:t>
      </w:r>
      <w:r w:rsidRPr="00D07D4F">
        <w:t xml:space="preserve"> </w:t>
      </w:r>
    </w:p>
    <w:p w14:paraId="01BDD781" w14:textId="77777777" w:rsidR="00D07D4F" w:rsidRPr="00D07D4F" w:rsidRDefault="00D07D4F" w:rsidP="00D07D4F">
      <w:pPr>
        <w:pStyle w:val="Normal-lessspace"/>
      </w:pPr>
      <w:r w:rsidRPr="00D07D4F">
        <w:t>J Davis,</w:t>
      </w:r>
      <w:r w:rsidRPr="00D07D4F">
        <w:rPr>
          <w:vertAlign w:val="superscript"/>
        </w:rPr>
        <w:t>3</w:t>
      </w:r>
      <w:r w:rsidRPr="00D07D4F">
        <w:t xml:space="preserve"> </w:t>
      </w:r>
    </w:p>
    <w:p w14:paraId="6B011BFE" w14:textId="77777777" w:rsidR="00D07D4F" w:rsidRPr="00D07D4F" w:rsidRDefault="00D07D4F" w:rsidP="00D07D4F">
      <w:pPr>
        <w:pStyle w:val="Normal-lessspace"/>
      </w:pPr>
      <w:r w:rsidRPr="00D07D4F">
        <w:t>D Peniyamina,</w:t>
      </w:r>
      <w:r w:rsidRPr="00D07D4F">
        <w:rPr>
          <w:vertAlign w:val="superscript"/>
        </w:rPr>
        <w:t>1</w:t>
      </w:r>
      <w:r w:rsidRPr="00D07D4F">
        <w:t xml:space="preserve"> </w:t>
      </w:r>
    </w:p>
    <w:p w14:paraId="249BDEF5" w14:textId="77777777" w:rsidR="00D07D4F" w:rsidRPr="00D07D4F" w:rsidRDefault="00D07D4F" w:rsidP="00D07D4F">
      <w:pPr>
        <w:pStyle w:val="Normal-lessspace"/>
      </w:pPr>
      <w:r w:rsidRPr="00D07D4F">
        <w:t>L Stephens,</w:t>
      </w:r>
      <w:r w:rsidRPr="00D07D4F">
        <w:rPr>
          <w:vertAlign w:val="superscript"/>
        </w:rPr>
        <w:t>1</w:t>
      </w:r>
      <w:r w:rsidRPr="00D07D4F">
        <w:t xml:space="preserve"> </w:t>
      </w:r>
    </w:p>
    <w:p w14:paraId="0AC514FB" w14:textId="77777777" w:rsidR="00D07D4F" w:rsidRPr="00D07D4F" w:rsidRDefault="00D07D4F" w:rsidP="00D07D4F">
      <w:pPr>
        <w:pStyle w:val="Normal-lessspace"/>
      </w:pPr>
      <w:r w:rsidRPr="00D07D4F">
        <w:t>C Taunton.</w:t>
      </w:r>
      <w:r w:rsidRPr="00D07D4F">
        <w:rPr>
          <w:vertAlign w:val="superscript"/>
        </w:rPr>
        <w:t>1</w:t>
      </w:r>
    </w:p>
    <w:p w14:paraId="45C28899" w14:textId="77777777" w:rsidR="00D07D4F" w:rsidRPr="00D07D4F" w:rsidRDefault="00D07D4F" w:rsidP="001A1FD8">
      <w:pPr>
        <w:pStyle w:val="CDINumberedList1L1"/>
        <w:ind w:left="397" w:hanging="397"/>
        <w:rPr>
          <w:lang w:val="en-GB"/>
        </w:rPr>
      </w:pPr>
      <w:r w:rsidRPr="00D07D4F">
        <w:rPr>
          <w:lang w:val="en-GB"/>
        </w:rPr>
        <w:t>Torres and Cape Hospital and Health Service, Cairns, Queensland, Australia.</w:t>
      </w:r>
    </w:p>
    <w:p w14:paraId="52FF1DE3" w14:textId="77777777" w:rsidR="00D07D4F" w:rsidRPr="00D07D4F" w:rsidRDefault="00D07D4F" w:rsidP="001A1FD8">
      <w:pPr>
        <w:pStyle w:val="CDINumberedList1L1"/>
        <w:ind w:left="397" w:hanging="397"/>
        <w:rPr>
          <w:lang w:val="en-GB"/>
        </w:rPr>
      </w:pPr>
      <w:r w:rsidRPr="00D07D4F">
        <w:rPr>
          <w:lang w:val="en-GB"/>
        </w:rPr>
        <w:t>National Centre for Epidemiology and Population Health, Australian National University, Canberra, ACT, Australia.</w:t>
      </w:r>
    </w:p>
    <w:p w14:paraId="202A722C" w14:textId="77777777" w:rsidR="00D07D4F" w:rsidRPr="00D07D4F" w:rsidRDefault="00D07D4F" w:rsidP="001A1FD8">
      <w:pPr>
        <w:pStyle w:val="CDINumberedList1L1"/>
        <w:ind w:left="397" w:hanging="397"/>
        <w:rPr>
          <w:lang w:val="en-GB"/>
        </w:rPr>
      </w:pPr>
      <w:r w:rsidRPr="00D07D4F">
        <w:rPr>
          <w:lang w:val="en-GB"/>
        </w:rPr>
        <w:t>Cairns and Hinterland Hospital and Health Service, Cairns, Queensland, Australia.</w:t>
      </w:r>
    </w:p>
    <w:p w14:paraId="176ABA42" w14:textId="77777777" w:rsidR="00D07D4F" w:rsidRPr="00D07D4F" w:rsidRDefault="00D07D4F" w:rsidP="001A1FD8">
      <w:pPr>
        <w:pStyle w:val="CDINumberedList1L1"/>
        <w:ind w:left="397" w:hanging="397"/>
        <w:rPr>
          <w:lang w:val="en-GB"/>
        </w:rPr>
      </w:pPr>
      <w:r w:rsidRPr="00D07D4F">
        <w:rPr>
          <w:lang w:val="en-GB"/>
        </w:rPr>
        <w:t xml:space="preserve">Kirby Institute, University of New South Wales, Sydney, NSW, Australia. </w:t>
      </w:r>
    </w:p>
    <w:p w14:paraId="74783942" w14:textId="77777777" w:rsidR="00D07D4F" w:rsidRPr="00D07D4F" w:rsidRDefault="00D07D4F" w:rsidP="001A1FD8">
      <w:pPr>
        <w:pStyle w:val="CDINumberedList1L1"/>
        <w:ind w:left="397" w:hanging="397"/>
        <w:rPr>
          <w:lang w:val="en-GB"/>
        </w:rPr>
      </w:pPr>
      <w:r w:rsidRPr="00D07D4F">
        <w:rPr>
          <w:lang w:val="en-GB"/>
        </w:rPr>
        <w:t>College of Medicine and Dentistry, James Cook University, Cairns, Queensland, Australia.</w:t>
      </w:r>
    </w:p>
    <w:p w14:paraId="0D5694A4" w14:textId="77777777" w:rsidR="00423436" w:rsidRDefault="00423436" w:rsidP="00423436">
      <w:pPr>
        <w:pStyle w:val="CDICorrespondingauthor"/>
      </w:pPr>
      <w:r>
        <w:t>Corresponding author</w:t>
      </w:r>
    </w:p>
    <w:p w14:paraId="1B3B6EDA" w14:textId="77777777" w:rsidR="00D07D4F" w:rsidRPr="00D07D4F" w:rsidRDefault="00D07D4F" w:rsidP="00D07D4F">
      <w:pPr>
        <w:rPr>
          <w:lang w:val="en-GB"/>
        </w:rPr>
      </w:pPr>
      <w:r w:rsidRPr="00D07D4F">
        <w:rPr>
          <w:lang w:val="en-GB"/>
        </w:rPr>
        <w:t>Claire Bowers</w:t>
      </w:r>
    </w:p>
    <w:p w14:paraId="521864C8" w14:textId="77777777" w:rsidR="00D07D4F" w:rsidRPr="00D07D4F" w:rsidRDefault="00D07D4F" w:rsidP="00D07D4F">
      <w:pPr>
        <w:rPr>
          <w:lang w:val="en-GB"/>
        </w:rPr>
      </w:pPr>
      <w:r w:rsidRPr="00D07D4F">
        <w:rPr>
          <w:lang w:val="en-GB"/>
        </w:rPr>
        <w:t>Torres and Cape Hospital and Health Service, 88 Abbott Street, Cairns, Queensland 4870</w:t>
      </w:r>
    </w:p>
    <w:p w14:paraId="0CDF2BDB" w14:textId="77777777" w:rsidR="00D07D4F" w:rsidRPr="00D07D4F" w:rsidRDefault="00D07D4F" w:rsidP="00D07D4F">
      <w:pPr>
        <w:rPr>
          <w:lang w:val="en-GB"/>
        </w:rPr>
      </w:pPr>
      <w:r w:rsidRPr="00D07D4F">
        <w:rPr>
          <w:lang w:val="en-GB"/>
        </w:rPr>
        <w:t>Telephone: +61 438 755 738</w:t>
      </w:r>
    </w:p>
    <w:p w14:paraId="4D9114F2" w14:textId="4D563ECF" w:rsidR="008A0736" w:rsidRDefault="00D07D4F" w:rsidP="00423436">
      <w:r w:rsidRPr="00D07D4F">
        <w:rPr>
          <w:lang w:val="en-GB"/>
        </w:rPr>
        <w:t xml:space="preserve">Email: </w:t>
      </w:r>
      <w:hyperlink r:id="rId23" w:history="1">
        <w:r w:rsidRPr="00D07D4F">
          <w:rPr>
            <w:rStyle w:val="Hyperlink"/>
            <w:lang w:val="en-GB"/>
          </w:rPr>
          <w:t>claire.bowers@anu.edu.au</w:t>
        </w:r>
      </w:hyperlink>
      <w:r w:rsidRPr="00D07D4F">
        <w:rPr>
          <w:lang w:val="en-GB"/>
        </w:rPr>
        <w:t xml:space="preserve">, </w:t>
      </w:r>
      <w:hyperlink r:id="rId24" w:history="1">
        <w:r w:rsidRPr="00D07D4F">
          <w:rPr>
            <w:rStyle w:val="Hyperlink"/>
            <w:lang w:val="en-GB"/>
          </w:rPr>
          <w:t>claire.bowers@health.qld.gov.au</w:t>
        </w:r>
      </w:hyperlink>
    </w:p>
    <w:p w14:paraId="51DD58B0" w14:textId="77777777" w:rsidR="008A0736" w:rsidRDefault="008A0736" w:rsidP="00122ADA">
      <w:pPr>
        <w:pStyle w:val="Heading1"/>
      </w:pPr>
      <w:bookmarkStart w:id="32" w:name="_Toc195530511"/>
      <w:bookmarkStart w:id="33" w:name="_Toc241653663"/>
      <w:r>
        <w:lastRenderedPageBreak/>
        <w:t>References</w:t>
      </w:r>
      <w:bookmarkEnd w:id="32"/>
      <w:bookmarkEnd w:id="33"/>
    </w:p>
    <w:p w14:paraId="5B68E3E9" w14:textId="77777777" w:rsidR="001A1FD8" w:rsidRDefault="001A1FD8" w:rsidP="001A1FD8">
      <w:pPr>
        <w:pStyle w:val="CDINumberedList1L1"/>
        <w:numPr>
          <w:ilvl w:val="0"/>
          <w:numId w:val="10"/>
        </w:numPr>
        <w:spacing w:before="360"/>
        <w:ind w:left="397" w:hanging="397"/>
      </w:pPr>
      <w:r>
        <w:t xml:space="preserve">Crutcher JM, Hoffman SL. Chapter 83. Malaria. [Online resource.] In Baron S, ed. </w:t>
      </w:r>
      <w:r w:rsidRPr="001A1FD8">
        <w:rPr>
          <w:i/>
          <w:iCs/>
        </w:rPr>
        <w:t>Medical Microbiology</w:t>
      </w:r>
      <w:r>
        <w:t xml:space="preserve"> (4th edition). Galveston: University of Texas Medical Branch at Galveston; 1996. Available from: </w:t>
      </w:r>
      <w:hyperlink r:id="rId25" w:history="1">
        <w:r>
          <w:rPr>
            <w:rStyle w:val="Hyperlink"/>
          </w:rPr>
          <w:t>https://www.ncbi.nlm.nih.gov/books/NBK8584/</w:t>
        </w:r>
      </w:hyperlink>
      <w:r>
        <w:t>.</w:t>
      </w:r>
    </w:p>
    <w:p w14:paraId="61FC51A9" w14:textId="77777777" w:rsidR="001A1FD8" w:rsidRDefault="001A1FD8" w:rsidP="001A1FD8">
      <w:pPr>
        <w:pStyle w:val="CDINumberedList1L1"/>
        <w:ind w:left="397" w:hanging="397"/>
      </w:pPr>
      <w:proofErr w:type="spellStart"/>
      <w:r>
        <w:t>Zekar</w:t>
      </w:r>
      <w:proofErr w:type="spellEnd"/>
      <w:r>
        <w:t xml:space="preserve"> L, Sharman T. </w:t>
      </w:r>
      <w:r w:rsidRPr="001A1FD8">
        <w:rPr>
          <w:i/>
          <w:iCs/>
        </w:rPr>
        <w:t>Plasmodium falciparum</w:t>
      </w:r>
      <w:r>
        <w:t xml:space="preserve"> Malaria. [Online resource.] Treasure Island, Florida: </w:t>
      </w:r>
      <w:proofErr w:type="spellStart"/>
      <w:r>
        <w:t>StatPearls</w:t>
      </w:r>
      <w:proofErr w:type="spellEnd"/>
      <w:r>
        <w:t xml:space="preserve"> LLC Ltd.; 8 August 2023. Available from: </w:t>
      </w:r>
      <w:hyperlink r:id="rId26" w:history="1">
        <w:r>
          <w:rPr>
            <w:rStyle w:val="Hyperlink"/>
          </w:rPr>
          <w:t>https://www.ncbi.nlm.nih.gov/books/NBK555962/</w:t>
        </w:r>
      </w:hyperlink>
      <w:r>
        <w:t>.</w:t>
      </w:r>
    </w:p>
    <w:p w14:paraId="27D5AF71" w14:textId="77777777" w:rsidR="001A1FD8" w:rsidRDefault="001A1FD8" w:rsidP="001A1FD8">
      <w:pPr>
        <w:pStyle w:val="CDINumberedList1L1"/>
        <w:ind w:left="397" w:hanging="397"/>
      </w:pPr>
      <w:proofErr w:type="spellStart"/>
      <w:r>
        <w:t>Poespoprodjo</w:t>
      </w:r>
      <w:proofErr w:type="spellEnd"/>
      <w:r>
        <w:t xml:space="preserve"> JR, Douglas NM, Ansong D, Kho S, Anstey NM. Malaria. </w:t>
      </w:r>
      <w:r w:rsidRPr="001A1FD8">
        <w:rPr>
          <w:i/>
          <w:iCs/>
        </w:rPr>
        <w:t>Lancet</w:t>
      </w:r>
      <w:r>
        <w:t xml:space="preserve">. 2023;402(10419):2328–45. doi: </w:t>
      </w:r>
      <w:hyperlink r:id="rId27" w:history="1">
        <w:r>
          <w:rPr>
            <w:rStyle w:val="Hyperlink"/>
          </w:rPr>
          <w:t>https://doi.org/10.1016/S0140-6736(23)01249-7</w:t>
        </w:r>
      </w:hyperlink>
      <w:r>
        <w:t>.</w:t>
      </w:r>
    </w:p>
    <w:p w14:paraId="4BB83CDE" w14:textId="675C2A28" w:rsidR="001A1FD8" w:rsidRDefault="001A1FD8" w:rsidP="001A1FD8">
      <w:pPr>
        <w:pStyle w:val="CDINumberedList1L1"/>
        <w:ind w:left="397" w:hanging="397"/>
      </w:pPr>
      <w:r>
        <w:t xml:space="preserve">World Health Organization (WHO). Global Malaria Programme. [Webpage.] Geneva: WHO; 15 July 2025. [Accessed on 16 July 2025.] Available from: </w:t>
      </w:r>
      <w:hyperlink r:id="rId28" w:history="1">
        <w:r>
          <w:rPr>
            <w:rStyle w:val="Hyperlink"/>
          </w:rPr>
          <w:t>https://www.who.int/teams/global-malaria-programme/elimination/countries-and-territories-certified-malaria-free-by-who</w:t>
        </w:r>
      </w:hyperlink>
      <w:r>
        <w:t>.</w:t>
      </w:r>
    </w:p>
    <w:p w14:paraId="7604010A" w14:textId="77777777" w:rsidR="001A1FD8" w:rsidRDefault="001A1FD8" w:rsidP="001A1FD8">
      <w:pPr>
        <w:pStyle w:val="CDINumberedList1L1"/>
        <w:ind w:left="397" w:hanging="397"/>
      </w:pPr>
      <w:r>
        <w:t xml:space="preserve">Preston-Thomas A, Gair RW, Hosking KA, Devine GJ, Donohue SD. An outbreak of </w:t>
      </w:r>
      <w:r w:rsidRPr="001A1FD8">
        <w:rPr>
          <w:i/>
          <w:iCs/>
        </w:rPr>
        <w:t>Plasmodium falciparum</w:t>
      </w:r>
      <w:r>
        <w:t xml:space="preserve"> malaria in the Torres Strait. </w:t>
      </w:r>
      <w:r w:rsidRPr="001A1FD8">
        <w:rPr>
          <w:i/>
          <w:iCs/>
        </w:rPr>
        <w:t>Commun Dis Intell Q Rep</w:t>
      </w:r>
      <w:r>
        <w:t xml:space="preserve">. 2012;36(2):180–5. doi: </w:t>
      </w:r>
      <w:hyperlink r:id="rId29" w:history="1">
        <w:r w:rsidRPr="001A1FD8">
          <w:rPr>
            <w:rStyle w:val="Hyperlink"/>
          </w:rPr>
          <w:t>https://doi.or</w:t>
        </w:r>
        <w:r>
          <w:rPr>
            <w:rStyle w:val="Hyperlink"/>
          </w:rPr>
          <w:t>g/10.33321/cdi.2012.36.13</w:t>
        </w:r>
      </w:hyperlink>
      <w:r>
        <w:t>.</w:t>
      </w:r>
    </w:p>
    <w:p w14:paraId="12A8C828" w14:textId="4C7BF6C5" w:rsidR="001A1FD8" w:rsidRDefault="001A1FD8" w:rsidP="001A1FD8">
      <w:pPr>
        <w:pStyle w:val="CDINumberedList1L1"/>
        <w:ind w:left="397" w:hanging="397"/>
      </w:pPr>
      <w:r>
        <w:t xml:space="preserve">Hanna JN, Ritchie SA, Eisen DP, Cooper RD, Brookes DL, Montgomery BL. An outbreak of </w:t>
      </w:r>
      <w:r w:rsidRPr="001A1FD8">
        <w:rPr>
          <w:i/>
          <w:iCs/>
        </w:rPr>
        <w:t>Plasmodium vivax</w:t>
      </w:r>
      <w:r>
        <w:t xml:space="preserve"> malaria in Far North Queensland, 2002. </w:t>
      </w:r>
      <w:r w:rsidRPr="001A1FD8">
        <w:rPr>
          <w:i/>
          <w:iCs/>
        </w:rPr>
        <w:t>Med J Aust</w:t>
      </w:r>
      <w:r>
        <w:t>. 2004;180(1):24–8. doi: </w:t>
      </w:r>
      <w:hyperlink r:id="rId30" w:history="1">
        <w:r w:rsidRPr="001A1FD8">
          <w:rPr>
            <w:rStyle w:val="Hyperlink"/>
          </w:rPr>
          <w:t>https://d</w:t>
        </w:r>
        <w:r>
          <w:rPr>
            <w:rStyle w:val="Hyperlink"/>
          </w:rPr>
          <w:t>oi.org/10.5694/j.1326-5377.2004.tb05769.x</w:t>
        </w:r>
      </w:hyperlink>
      <w:r>
        <w:t>.</w:t>
      </w:r>
    </w:p>
    <w:p w14:paraId="7013732E" w14:textId="77777777" w:rsidR="001A1FD8" w:rsidRDefault="001A1FD8" w:rsidP="001A1FD8">
      <w:pPr>
        <w:pStyle w:val="CDINumberedList1L1"/>
        <w:ind w:left="397" w:hanging="397"/>
      </w:pPr>
      <w:r>
        <w:t xml:space="preserve">Australian Government Department of Foreign Affairs and Trade (DFAT). The Torres Strait Treaty. [Internet.] Canberra: DFAT; 2024. [Accessed on 7 April 2025.] Available from: </w:t>
      </w:r>
      <w:hyperlink r:id="rId31" w:history="1">
        <w:r>
          <w:rPr>
            <w:rStyle w:val="Hyperlink"/>
          </w:rPr>
          <w:t>https://www.dfat.gov.au/geo/torres-strait/the-torres-strait-treaty</w:t>
        </w:r>
      </w:hyperlink>
      <w:r>
        <w:t>.</w:t>
      </w:r>
    </w:p>
    <w:p w14:paraId="3536A4F2" w14:textId="77777777" w:rsidR="001A1FD8" w:rsidRDefault="001A1FD8" w:rsidP="001A1FD8">
      <w:pPr>
        <w:pStyle w:val="CDINumberedList1L1"/>
        <w:ind w:left="397" w:hanging="397"/>
      </w:pPr>
      <w:r>
        <w:t xml:space="preserve">Australian Border Force. Protecting the Torres Strait from COVID-19: Operation Overarch concludes. [Media release.] Canberra: Australian Border Force; 21 December 2022. [Accessed on 3 October 2025.] Available from: </w:t>
      </w:r>
      <w:hyperlink r:id="rId32" w:history="1">
        <w:r>
          <w:rPr>
            <w:rStyle w:val="Hyperlink"/>
          </w:rPr>
          <w:t>https://www.abf.gov.au/newsroom-subsite/Pages/Protecting-the-Torres-Strait-from-COVID-19-Operation-Overarch-concludes-21-12-2022.aspx</w:t>
        </w:r>
      </w:hyperlink>
      <w:r>
        <w:t>.</w:t>
      </w:r>
    </w:p>
    <w:p w14:paraId="0C62ADDC" w14:textId="77777777" w:rsidR="001A1FD8" w:rsidRDefault="001A1FD8" w:rsidP="001A1FD8">
      <w:pPr>
        <w:pStyle w:val="CDINumberedList1L1"/>
        <w:ind w:left="397" w:hanging="397"/>
      </w:pPr>
      <w:r>
        <w:t xml:space="preserve">Cleary E, Hetzel MW, Clements ACA. A review of malaria epidemiology and control in Papua New Guinea 1900 to 2021: progress made and future directions. </w:t>
      </w:r>
      <w:r w:rsidRPr="001A1FD8">
        <w:rPr>
          <w:i/>
          <w:iCs/>
        </w:rPr>
        <w:t>Front Epidemiol</w:t>
      </w:r>
      <w:r>
        <w:t xml:space="preserve">. </w:t>
      </w:r>
      <w:proofErr w:type="gramStart"/>
      <w:r>
        <w:t>2022;2:980795</w:t>
      </w:r>
      <w:proofErr w:type="gramEnd"/>
      <w:r>
        <w:t xml:space="preserve">. doi: </w:t>
      </w:r>
      <w:hyperlink r:id="rId33" w:history="1">
        <w:r w:rsidRPr="001A1FD8">
          <w:rPr>
            <w:rStyle w:val="Hyperlink"/>
          </w:rPr>
          <w:t>h</w:t>
        </w:r>
        <w:r>
          <w:rPr>
            <w:rStyle w:val="Hyperlink"/>
          </w:rPr>
          <w:t>ttps://doi.org/10.3389/fepid.2022.980795</w:t>
        </w:r>
      </w:hyperlink>
      <w:r>
        <w:t>.</w:t>
      </w:r>
    </w:p>
    <w:p w14:paraId="40B49183" w14:textId="77777777" w:rsidR="001A1FD8" w:rsidRDefault="001A1FD8" w:rsidP="001A1FD8">
      <w:pPr>
        <w:pStyle w:val="CDINumberedList1L1"/>
        <w:ind w:left="397" w:hanging="397"/>
      </w:pPr>
      <w:r>
        <w:t xml:space="preserve">Torres Strait Island Regional Council (TSIRC). Saibai. [Webpage.] Cairns: TSIRC; 2026. [Accessed on 20 </w:t>
      </w:r>
      <w:proofErr w:type="spellStart"/>
      <w:r>
        <w:t>Feburary</w:t>
      </w:r>
      <w:proofErr w:type="spellEnd"/>
      <w:r>
        <w:t xml:space="preserve"> 2026.] Available from: </w:t>
      </w:r>
      <w:hyperlink r:id="rId34" w:history="1">
        <w:r>
          <w:rPr>
            <w:rStyle w:val="Hyperlink"/>
          </w:rPr>
          <w:t>https://tsirc.qld.gov.au/communities/saibai/</w:t>
        </w:r>
      </w:hyperlink>
      <w:r>
        <w:t>.</w:t>
      </w:r>
    </w:p>
    <w:p w14:paraId="6A3F1818" w14:textId="77777777" w:rsidR="001A1FD8" w:rsidRDefault="001A1FD8" w:rsidP="001A1FD8">
      <w:pPr>
        <w:pStyle w:val="CDINumberedList1L1"/>
        <w:ind w:left="397" w:hanging="397"/>
      </w:pPr>
      <w:r>
        <w:t xml:space="preserve">TSIRC. </w:t>
      </w:r>
      <w:proofErr w:type="spellStart"/>
      <w:r>
        <w:t>Boigu</w:t>
      </w:r>
      <w:proofErr w:type="spellEnd"/>
      <w:r>
        <w:t xml:space="preserve">. [Webpage.] Cairns: TSIRC; 2026. [Accessed on 20 </w:t>
      </w:r>
      <w:proofErr w:type="spellStart"/>
      <w:r>
        <w:t>Feburary</w:t>
      </w:r>
      <w:proofErr w:type="spellEnd"/>
      <w:r>
        <w:t xml:space="preserve"> 2026.] Available from: </w:t>
      </w:r>
      <w:hyperlink r:id="rId35" w:history="1">
        <w:r>
          <w:rPr>
            <w:rStyle w:val="Hyperlink"/>
          </w:rPr>
          <w:t>https://tsirc.qld.gov.au/communities/boigu/</w:t>
        </w:r>
      </w:hyperlink>
      <w:r>
        <w:t>.</w:t>
      </w:r>
    </w:p>
    <w:p w14:paraId="118C31D4" w14:textId="77777777" w:rsidR="001A1FD8" w:rsidRDefault="001A1FD8" w:rsidP="001A1FD8">
      <w:pPr>
        <w:pStyle w:val="CDINumberedList1L1"/>
        <w:ind w:left="397" w:hanging="397"/>
      </w:pPr>
      <w:r>
        <w:t xml:space="preserve">TSIRC. </w:t>
      </w:r>
      <w:proofErr w:type="spellStart"/>
      <w:r>
        <w:t>Dauan</w:t>
      </w:r>
      <w:proofErr w:type="spellEnd"/>
      <w:r>
        <w:t xml:space="preserve">. [Webpage.] Cairns: TSIRC; 2026. [Accessed on 14 March 2026.] Available from: </w:t>
      </w:r>
      <w:hyperlink r:id="rId36" w:history="1">
        <w:r w:rsidRPr="001A1FD8">
          <w:rPr>
            <w:rStyle w:val="Hyperlink"/>
          </w:rPr>
          <w:t>https://t</w:t>
        </w:r>
        <w:r>
          <w:rPr>
            <w:rStyle w:val="Hyperlink"/>
          </w:rPr>
          <w:t>sirc.qld.gov.au/communities/dauan/</w:t>
        </w:r>
      </w:hyperlink>
      <w:r>
        <w:t>.</w:t>
      </w:r>
    </w:p>
    <w:p w14:paraId="4A605513" w14:textId="62AF0686" w:rsidR="001A1FD8" w:rsidRDefault="001A1FD8" w:rsidP="001A1FD8">
      <w:pPr>
        <w:pStyle w:val="CDINumberedList1L1"/>
        <w:ind w:left="397" w:hanging="397"/>
      </w:pPr>
      <w:r>
        <w:t xml:space="preserve">Gibney KB, Cheng AC, Hall R, Leder K. An overview of the epidemiology of notifiable infectious diseases in Australia, 1991–2011. </w:t>
      </w:r>
      <w:r w:rsidRPr="001A1FD8">
        <w:rPr>
          <w:i/>
          <w:iCs/>
        </w:rPr>
        <w:t>Epidemiol Infect</w:t>
      </w:r>
      <w:r>
        <w:t>. 2016;144(15):3263–77. doi: </w:t>
      </w:r>
      <w:hyperlink r:id="rId37" w:history="1">
        <w:r w:rsidRPr="001A1FD8">
          <w:rPr>
            <w:rStyle w:val="Hyperlink"/>
          </w:rPr>
          <w:t>https://doi.org/10.1017/s</w:t>
        </w:r>
        <w:r>
          <w:rPr>
            <w:rStyle w:val="Hyperlink"/>
          </w:rPr>
          <w:t>0950268816001072</w:t>
        </w:r>
      </w:hyperlink>
      <w:r>
        <w:t>.</w:t>
      </w:r>
    </w:p>
    <w:p w14:paraId="6CACA98B" w14:textId="77777777" w:rsidR="001A1FD8" w:rsidRDefault="001A1FD8" w:rsidP="001A1FD8">
      <w:pPr>
        <w:pStyle w:val="CDINumberedList1L1"/>
        <w:ind w:left="397" w:hanging="397"/>
      </w:pPr>
      <w:r>
        <w:lastRenderedPageBreak/>
        <w:t xml:space="preserve">Queensland State Government Department of Health (Queensland Health). Queensland Health Guidelines for Public Health Units: Malaria. [Internet.] Brisbane: Queensland Health; September 2023. [Accessed on 27 April 2026.] Available from: </w:t>
      </w:r>
      <w:hyperlink r:id="rId38" w:history="1">
        <w:r>
          <w:rPr>
            <w:rStyle w:val="Hyperlink"/>
          </w:rPr>
          <w:t>https://www.health.qld.gov.au/cdcg/index/malaria</w:t>
        </w:r>
      </w:hyperlink>
      <w:r>
        <w:t>.</w:t>
      </w:r>
    </w:p>
    <w:p w14:paraId="36F12C10" w14:textId="0F533E21" w:rsidR="001A1FD8" w:rsidRDefault="001A1FD8" w:rsidP="001A1FD8">
      <w:pPr>
        <w:pStyle w:val="CDINumberedList1L1"/>
        <w:ind w:left="397" w:hanging="397"/>
      </w:pPr>
      <w:r>
        <w:t xml:space="preserve">Abbott Diagnostics Scarborough Incorporated. </w:t>
      </w:r>
      <w:hyperlink r:id="rId39" w:history="1">
        <w:proofErr w:type="spellStart"/>
        <w:r w:rsidRPr="00CB1089">
          <w:rPr>
            <w:rStyle w:val="Hyperlink"/>
          </w:rPr>
          <w:t>BinaxNow</w:t>
        </w:r>
        <w:proofErr w:type="spellEnd"/>
        <w:r w:rsidRPr="00CB1089">
          <w:rPr>
            <w:rStyle w:val="Hyperlink"/>
          </w:rPr>
          <w:t xml:space="preserve"> Malaria Product Insert</w:t>
        </w:r>
      </w:hyperlink>
      <w:r>
        <w:t>. [Webpage.] Scarborough: Abbott Diagnostics Scarborough Incorporated; September 2024. [Accessed on 1 July 2026.]</w:t>
      </w:r>
    </w:p>
    <w:p w14:paraId="5D34314F" w14:textId="77777777" w:rsidR="001A1FD8" w:rsidRDefault="001A1FD8" w:rsidP="001A1FD8">
      <w:pPr>
        <w:pStyle w:val="CDINumberedList1L1"/>
        <w:ind w:left="397" w:hanging="397"/>
      </w:pPr>
      <w:proofErr w:type="spellStart"/>
      <w:r>
        <w:t>Wongsrichanalai</w:t>
      </w:r>
      <w:proofErr w:type="spellEnd"/>
      <w:r>
        <w:t xml:space="preserve"> C, Barcus MJ, Muth S, </w:t>
      </w:r>
      <w:proofErr w:type="spellStart"/>
      <w:r>
        <w:t>Sutamihardja</w:t>
      </w:r>
      <w:proofErr w:type="spellEnd"/>
      <w:r>
        <w:t xml:space="preserve"> A, Wernsdorfer WH. A review of malaria diagnostic tools: microscopy and rapid diagnostic test (RDT). </w:t>
      </w:r>
      <w:r w:rsidRPr="001A1FD8">
        <w:rPr>
          <w:i/>
          <w:iCs/>
        </w:rPr>
        <w:t xml:space="preserve">Am J Trop Med </w:t>
      </w:r>
      <w:proofErr w:type="spellStart"/>
      <w:r w:rsidRPr="001A1FD8">
        <w:rPr>
          <w:i/>
          <w:iCs/>
        </w:rPr>
        <w:t>Hyg</w:t>
      </w:r>
      <w:proofErr w:type="spellEnd"/>
      <w:r>
        <w:t xml:space="preserve">. 2007;77(6 Suppl):119–127. doi: </w:t>
      </w:r>
      <w:hyperlink r:id="rId40" w:history="1">
        <w:r>
          <w:rPr>
            <w:rStyle w:val="Hyperlink"/>
          </w:rPr>
          <w:t>https://doi.org/10.4269/ajtmh.2007.77.119</w:t>
        </w:r>
      </w:hyperlink>
      <w:r>
        <w:t>.</w:t>
      </w:r>
    </w:p>
    <w:p w14:paraId="36549930" w14:textId="77777777" w:rsidR="001A1FD8" w:rsidRDefault="001A1FD8" w:rsidP="001A1FD8">
      <w:pPr>
        <w:pStyle w:val="CDINumberedList1L1"/>
        <w:ind w:left="397" w:hanging="397"/>
      </w:pPr>
      <w:r>
        <w:t xml:space="preserve">WHO. Global malaria program: nucleic acid amplification-based diagnostics. [Webpage.] Geneva: WHO; 2023. [Accessed on 5 August 2025.] Available from: </w:t>
      </w:r>
      <w:hyperlink r:id="rId41" w:history="1">
        <w:r>
          <w:rPr>
            <w:rStyle w:val="Hyperlink"/>
          </w:rPr>
          <w:t>https://www.who.int/teams/global-malaria-programme/case-management/diagnosis/nucleic-acid-amplification-based-diagnostics</w:t>
        </w:r>
      </w:hyperlink>
      <w:r>
        <w:t>.</w:t>
      </w:r>
    </w:p>
    <w:p w14:paraId="66859915" w14:textId="77777777" w:rsidR="001A1FD8" w:rsidRDefault="001A1FD8" w:rsidP="001A1FD8">
      <w:pPr>
        <w:pStyle w:val="CDINumberedList1L1"/>
        <w:ind w:left="397" w:hanging="397"/>
      </w:pPr>
      <w:r>
        <w:t xml:space="preserve">Asia Pacific Leaders Malaria Alliance (APLMA). Malaria in Papua New Guinea: Current Landscape and A Strengthened Push Towards Elimination. [Webpage.] Singapore: APLMA; 26 June 2026. [Accessed on 23 July 2026.] Available from: </w:t>
      </w:r>
      <w:hyperlink r:id="rId42" w:history="1">
        <w:r>
          <w:rPr>
            <w:rStyle w:val="Hyperlink"/>
          </w:rPr>
          <w:t>https://www.aplma.org/blog/malaria-in-papua-new-guinea-current-landscape-and-a-strengthened-push-towards-elimination</w:t>
        </w:r>
      </w:hyperlink>
      <w:r>
        <w:t>.</w:t>
      </w:r>
    </w:p>
    <w:p w14:paraId="2E4EA1E2" w14:textId="2678DEF7" w:rsidR="001A1FD8" w:rsidRDefault="001A1FD8" w:rsidP="001A1FD8">
      <w:pPr>
        <w:pStyle w:val="CDINumberedList1L1"/>
        <w:ind w:left="397" w:hanging="397"/>
      </w:pPr>
      <w:r>
        <w:t xml:space="preserve">APLMA. </w:t>
      </w:r>
      <w:hyperlink r:id="rId43" w:history="1">
        <w:r w:rsidRPr="002312FE">
          <w:rPr>
            <w:rStyle w:val="Hyperlink"/>
            <w:i/>
            <w:iCs/>
          </w:rPr>
          <w:t>The Asia Pacific Leaders’ Malaria Elimination Roadmap: A 10-year Review of Progress (2015–2024)</w:t>
        </w:r>
      </w:hyperlink>
      <w:r>
        <w:t>. [Report.] Singapore: APLMA; 28 October 2025. [Accessed on 5 August 2025.]</w:t>
      </w:r>
    </w:p>
    <w:p w14:paraId="19A51A1E" w14:textId="77777777" w:rsidR="001A1FD8" w:rsidRDefault="001A1FD8" w:rsidP="001A1FD8">
      <w:pPr>
        <w:pStyle w:val="CDINumberedList1L1"/>
        <w:ind w:left="397" w:hanging="397"/>
      </w:pPr>
      <w:r>
        <w:t xml:space="preserve">WHO. </w:t>
      </w:r>
      <w:r w:rsidRPr="001A1FD8">
        <w:rPr>
          <w:i/>
          <w:iCs/>
        </w:rPr>
        <w:t>World malaria report 2024: addressing inequity in the global malaria response</w:t>
      </w:r>
      <w:r>
        <w:t xml:space="preserve">. Geneva: WHO; 11 December 2024. [Accessed on 5 August 2025.] Available from: </w:t>
      </w:r>
      <w:hyperlink r:id="rId44" w:history="1">
        <w:r>
          <w:rPr>
            <w:rStyle w:val="Hyperlink"/>
          </w:rPr>
          <w:t>https://www.who.int/teams/global-malaria-programme/reports/world-malaria-report-2024</w:t>
        </w:r>
      </w:hyperlink>
      <w:r>
        <w:t>.</w:t>
      </w:r>
    </w:p>
    <w:p w14:paraId="6DE7C185" w14:textId="5F2CC748" w:rsidR="001A1FD8" w:rsidRDefault="001A1FD8" w:rsidP="001A1FD8">
      <w:pPr>
        <w:pStyle w:val="CDINumberedList1L1"/>
        <w:ind w:left="397" w:hanging="397"/>
      </w:pPr>
      <w:proofErr w:type="spellStart"/>
      <w:r>
        <w:t>Giduthuri</w:t>
      </w:r>
      <w:proofErr w:type="spellEnd"/>
      <w:r>
        <w:t xml:space="preserve"> J, </w:t>
      </w:r>
      <w:proofErr w:type="spellStart"/>
      <w:r>
        <w:t>Timbi</w:t>
      </w:r>
      <w:proofErr w:type="spellEnd"/>
      <w:r>
        <w:t xml:space="preserve"> D, Kualawi M, Are C, Micha M, Philemon G et al, for the Papua New Guinea Institute of Medical Research. Papua New Guinea Malaria Indicator Survey 2022–2023: final report on malaria prevention, infection prevalence, and treatment seeking. [Online report.] Geneva: CERN/European Organization for Nuclear Research, </w:t>
      </w:r>
      <w:proofErr w:type="spellStart"/>
      <w:r>
        <w:t>Zenodo</w:t>
      </w:r>
      <w:proofErr w:type="spellEnd"/>
      <w:r>
        <w:t>; December 2023. doi: </w:t>
      </w:r>
      <w:hyperlink r:id="rId45" w:history="1">
        <w:r>
          <w:rPr>
            <w:rStyle w:val="Hyperlink"/>
          </w:rPr>
          <w:t>https://doi.org/10.5281/zenodo.10630065</w:t>
        </w:r>
      </w:hyperlink>
      <w:r>
        <w:t>.</w:t>
      </w:r>
    </w:p>
    <w:p w14:paraId="6EF7F63D" w14:textId="77777777" w:rsidR="001A1FD8" w:rsidRDefault="001A1FD8" w:rsidP="001A1FD8">
      <w:pPr>
        <w:pStyle w:val="CDINumberedList1L1"/>
        <w:ind w:left="397" w:hanging="397"/>
      </w:pPr>
      <w:r>
        <w:t xml:space="preserve">Gonzales SJ, Reyes RA, </w:t>
      </w:r>
      <w:proofErr w:type="spellStart"/>
      <w:r>
        <w:t>Braddom</w:t>
      </w:r>
      <w:proofErr w:type="spellEnd"/>
      <w:r>
        <w:t xml:space="preserve"> AE, </w:t>
      </w:r>
      <w:proofErr w:type="spellStart"/>
      <w:r>
        <w:t>Batugedara</w:t>
      </w:r>
      <w:proofErr w:type="spellEnd"/>
      <w:r>
        <w:t xml:space="preserve"> G, Bol S, </w:t>
      </w:r>
      <w:proofErr w:type="spellStart"/>
      <w:r>
        <w:t>Bunnik</w:t>
      </w:r>
      <w:proofErr w:type="spellEnd"/>
      <w:r>
        <w:t xml:space="preserve"> EM. Naturally acquired humoral immunity against </w:t>
      </w:r>
      <w:r w:rsidRPr="001A1FD8">
        <w:rPr>
          <w:i/>
          <w:iCs/>
        </w:rPr>
        <w:t>Plasmodium falciparum</w:t>
      </w:r>
      <w:r>
        <w:t xml:space="preserve"> malaria. </w:t>
      </w:r>
      <w:r w:rsidRPr="001A1FD8">
        <w:rPr>
          <w:i/>
          <w:iCs/>
        </w:rPr>
        <w:t>Front Immunol</w:t>
      </w:r>
      <w:r>
        <w:t xml:space="preserve">. </w:t>
      </w:r>
      <w:proofErr w:type="gramStart"/>
      <w:r>
        <w:t>2020;11:594653</w:t>
      </w:r>
      <w:proofErr w:type="gramEnd"/>
      <w:r>
        <w:t xml:space="preserve">. doi: </w:t>
      </w:r>
      <w:hyperlink r:id="rId46" w:history="1">
        <w:r w:rsidRPr="001A1FD8">
          <w:rPr>
            <w:rStyle w:val="Hyperlink"/>
          </w:rPr>
          <w:t>https://doi.org/10.</w:t>
        </w:r>
        <w:r>
          <w:rPr>
            <w:rStyle w:val="Hyperlink"/>
          </w:rPr>
          <w:t>3389/fimmu.2020.594653</w:t>
        </w:r>
      </w:hyperlink>
      <w:r>
        <w:t>.</w:t>
      </w:r>
    </w:p>
    <w:p w14:paraId="39AE63CB" w14:textId="010E99DB" w:rsidR="001A1FD8" w:rsidRDefault="001A1FD8" w:rsidP="001A1FD8">
      <w:pPr>
        <w:pStyle w:val="CDINumberedList1L1"/>
        <w:ind w:left="397" w:hanging="397"/>
      </w:pPr>
      <w:r>
        <w:t xml:space="preserve">WHO. </w:t>
      </w:r>
      <w:hyperlink r:id="rId47" w:history="1">
        <w:r w:rsidRPr="002312FE">
          <w:rPr>
            <w:rStyle w:val="Hyperlink"/>
          </w:rPr>
          <w:t>Malaria incidence (per 1000 population at risk)</w:t>
        </w:r>
      </w:hyperlink>
      <w:r>
        <w:t>. [Webpage.] Geneva: WHO; 8 March 2024. [Accessed on 23 July 2026.].</w:t>
      </w:r>
    </w:p>
    <w:p w14:paraId="7237304B" w14:textId="09360A1C" w:rsidR="001A1FD8" w:rsidRDefault="001A1FD8" w:rsidP="001A1FD8">
      <w:pPr>
        <w:pStyle w:val="CDINumberedList1L1"/>
        <w:ind w:left="397" w:hanging="397"/>
      </w:pPr>
      <w:r>
        <w:t xml:space="preserve">Prime Minister of Australia, Prime Minister of Papua New Guinea. Joint communique – Papua New Guinea and Australia on a Mutual Defence Treaty. [Media release.] Canberra: Australian Government Department of Prime Minister and Cabinet; 17 September 2025. [Accessed on 10 November 2025.] Available from: </w:t>
      </w:r>
      <w:hyperlink r:id="rId48" w:history="1">
        <w:r>
          <w:rPr>
            <w:rStyle w:val="Hyperlink"/>
          </w:rPr>
          <w:t>https://www.pm.gov.au/media/joint-communique-papua-new-guinea-and-australia-mutual-defence-treaty</w:t>
        </w:r>
      </w:hyperlink>
      <w:r>
        <w:t>.</w:t>
      </w:r>
    </w:p>
    <w:p w14:paraId="4A44AD60" w14:textId="0FD36309" w:rsidR="001A1FD8" w:rsidRDefault="001A1FD8" w:rsidP="001A1FD8">
      <w:pPr>
        <w:pStyle w:val="CDINumberedList1L1"/>
        <w:ind w:left="397" w:hanging="397"/>
      </w:pPr>
      <w:r>
        <w:t xml:space="preserve">McBride WJH. Deaths associated with dengue haemorrhagic fever: the first in Australia in over a century. </w:t>
      </w:r>
      <w:r w:rsidRPr="001A1FD8">
        <w:rPr>
          <w:i/>
          <w:iCs/>
        </w:rPr>
        <w:t>Med J Aust</w:t>
      </w:r>
      <w:r>
        <w:t xml:space="preserve">. 2005;183(1):35–7. </w:t>
      </w:r>
      <w:r>
        <w:br/>
        <w:t xml:space="preserve">doi: </w:t>
      </w:r>
      <w:hyperlink r:id="rId49" w:history="1">
        <w:r>
          <w:rPr>
            <w:rStyle w:val="Hyperlink"/>
          </w:rPr>
          <w:t>https://doi.org/10.5694/j.1326-5377.2005.tb06889.x</w:t>
        </w:r>
      </w:hyperlink>
      <w:r>
        <w:t>.</w:t>
      </w:r>
    </w:p>
    <w:p w14:paraId="47BC06BA" w14:textId="6958D43F" w:rsidR="001A1FD8" w:rsidRDefault="001A1FD8" w:rsidP="001A1FD8">
      <w:pPr>
        <w:pStyle w:val="CDINumberedList1L1"/>
        <w:ind w:left="397" w:hanging="397"/>
      </w:pPr>
      <w:r>
        <w:lastRenderedPageBreak/>
        <w:t xml:space="preserve">Wilson M, Weston J, Mullen A, Knight T, Simpson G. Tuberculosis in Far North Queensland, Australia: a retrospective clinical audit. </w:t>
      </w:r>
      <w:r w:rsidRPr="001A1FD8">
        <w:rPr>
          <w:i/>
          <w:iCs/>
        </w:rPr>
        <w:t>Intern Med J</w:t>
      </w:r>
      <w:r>
        <w:t>. 2019;49(3):333–8. doi: </w:t>
      </w:r>
      <w:hyperlink r:id="rId50" w:history="1">
        <w:r>
          <w:rPr>
            <w:rStyle w:val="Hyperlink"/>
          </w:rPr>
          <w:t>https://doi.org/10.1111/imj.13994</w:t>
        </w:r>
      </w:hyperlink>
      <w:r>
        <w:t>.</w:t>
      </w:r>
    </w:p>
    <w:p w14:paraId="135AF905" w14:textId="77777777" w:rsidR="001A1FD8" w:rsidRDefault="001A1FD8" w:rsidP="001A1FD8">
      <w:pPr>
        <w:pStyle w:val="CDINumberedList1L1"/>
        <w:ind w:left="397" w:hanging="397"/>
      </w:pPr>
      <w:r>
        <w:t xml:space="preserve">Hanson JP, Taylor CT, Richards AR, Smith IL, </w:t>
      </w:r>
      <w:proofErr w:type="spellStart"/>
      <w:r>
        <w:t>Boutlis</w:t>
      </w:r>
      <w:proofErr w:type="spellEnd"/>
      <w:r>
        <w:t xml:space="preserve"> CS. Japanese encephalitis acquired near Port Moresby: implications for residents and travellers to Papua New Guinea. </w:t>
      </w:r>
      <w:r w:rsidRPr="001A1FD8">
        <w:rPr>
          <w:i/>
          <w:iCs/>
        </w:rPr>
        <w:t>Med J Aust</w:t>
      </w:r>
      <w:r>
        <w:t xml:space="preserve">. 2004;181(5):282–3. doi: </w:t>
      </w:r>
      <w:hyperlink r:id="rId51" w:history="1">
        <w:r>
          <w:rPr>
            <w:rStyle w:val="Hyperlink"/>
          </w:rPr>
          <w:t>https://doi.org/10.5694/j.1326-5377.2004.tb06274.x</w:t>
        </w:r>
      </w:hyperlink>
      <w:r>
        <w:t>.</w:t>
      </w:r>
    </w:p>
    <w:p w14:paraId="240FFA6D" w14:textId="77777777" w:rsidR="001A1FD8" w:rsidRDefault="001A1FD8" w:rsidP="001A1FD8">
      <w:pPr>
        <w:pStyle w:val="CDINumberedList1L1"/>
        <w:ind w:left="397" w:hanging="397"/>
      </w:pPr>
      <w:r>
        <w:t xml:space="preserve">The Joint United Nations Programme on HIV/AIDS Asia Pacific. National HIV crisis declared in Papua New Guinea. [Press release.] Port Moresby: The Joint United Nations Programme on HIV/AIDS Asia Pacific; 26 June 2025. [Accessed on 23 July 2026.] Available from: </w:t>
      </w:r>
      <w:hyperlink r:id="rId52" w:history="1">
        <w:r>
          <w:rPr>
            <w:rStyle w:val="Hyperlink"/>
          </w:rPr>
          <w:t>https://unaids-ap.org/2025/06/26/national-hiv-crisis-declared-in-papua-new-guinea/</w:t>
        </w:r>
      </w:hyperlink>
      <w:r>
        <w:t>.</w:t>
      </w:r>
    </w:p>
    <w:p w14:paraId="1406F7A0" w14:textId="77777777" w:rsidR="001A1FD8" w:rsidRDefault="001A1FD8" w:rsidP="001A1FD8">
      <w:pPr>
        <w:pStyle w:val="CDINumberedList1L1"/>
        <w:ind w:left="397" w:hanging="397"/>
      </w:pPr>
      <w:r>
        <w:t xml:space="preserve">Fischer L, Gültekin N, Kaelin MB, Fehr J, Schlagenhauf P. Rising temperature and its impact on receptivity to malaria transmission in Europe: a systematic review. </w:t>
      </w:r>
      <w:r w:rsidRPr="001A1FD8">
        <w:rPr>
          <w:i/>
          <w:iCs/>
        </w:rPr>
        <w:t>Travel Med Infect Dis</w:t>
      </w:r>
      <w:r>
        <w:t xml:space="preserve">. </w:t>
      </w:r>
      <w:proofErr w:type="gramStart"/>
      <w:r>
        <w:t>2020;36:101815</w:t>
      </w:r>
      <w:proofErr w:type="gramEnd"/>
      <w:r>
        <w:t xml:space="preserve">. doi: </w:t>
      </w:r>
      <w:hyperlink r:id="rId53" w:history="1">
        <w:r>
          <w:rPr>
            <w:rStyle w:val="Hyperlink"/>
          </w:rPr>
          <w:t>https://doi.org/10.1016/j.tmaid.2020.101815</w:t>
        </w:r>
      </w:hyperlink>
      <w:r>
        <w:t>.</w:t>
      </w:r>
    </w:p>
    <w:p w14:paraId="6A56684C" w14:textId="77777777" w:rsidR="001A1FD8" w:rsidRDefault="001A1FD8" w:rsidP="001A1FD8">
      <w:pPr>
        <w:pStyle w:val="CDINumberedList1L1"/>
        <w:ind w:left="397" w:hanging="397"/>
      </w:pPr>
      <w:r>
        <w:t xml:space="preserve">Fatima SH, Zaidi F, Rafiq J, Bhandari D, Ali A, Bi P. Impact of temperatures on malaria incidence in vulnerable regions of Pakistan: empirical evidence and future projections. </w:t>
      </w:r>
      <w:r w:rsidRPr="001A1FD8">
        <w:rPr>
          <w:i/>
          <w:iCs/>
        </w:rPr>
        <w:t>Epidemiol Infect</w:t>
      </w:r>
      <w:r>
        <w:t>. 2025;</w:t>
      </w:r>
      <w:proofErr w:type="gramStart"/>
      <w:r>
        <w:t>153:e</w:t>
      </w:r>
      <w:proofErr w:type="gramEnd"/>
      <w:r>
        <w:t xml:space="preserve">33. doi: </w:t>
      </w:r>
      <w:hyperlink r:id="rId54" w:history="1">
        <w:r>
          <w:rPr>
            <w:rStyle w:val="Hyperlink"/>
          </w:rPr>
          <w:t>https://doi.org/10.1017/s0950268825000111</w:t>
        </w:r>
      </w:hyperlink>
      <w:r>
        <w:t>.</w:t>
      </w:r>
    </w:p>
    <w:p w14:paraId="0FEC2E23" w14:textId="59A0B6A7" w:rsidR="001A1FD8" w:rsidRDefault="001A1FD8" w:rsidP="001A1FD8">
      <w:pPr>
        <w:pStyle w:val="CDINumberedList1L1"/>
        <w:ind w:left="397" w:hanging="397"/>
      </w:pPr>
      <w:r>
        <w:t xml:space="preserve">Colón-González FJ, </w:t>
      </w:r>
      <w:proofErr w:type="spellStart"/>
      <w:r>
        <w:t>Sewe</w:t>
      </w:r>
      <w:proofErr w:type="spellEnd"/>
      <w:r>
        <w:t xml:space="preserve"> MO, Tompkins AM, </w:t>
      </w:r>
      <w:proofErr w:type="spellStart"/>
      <w:r>
        <w:t>Sjödin</w:t>
      </w:r>
      <w:proofErr w:type="spellEnd"/>
      <w:r>
        <w:t xml:space="preserve"> H, Casallas A, </w:t>
      </w:r>
      <w:proofErr w:type="spellStart"/>
      <w:r>
        <w:t>Rocklöv</w:t>
      </w:r>
      <w:proofErr w:type="spellEnd"/>
      <w:r>
        <w:t xml:space="preserve"> J et al. Projecting the risk of mosquito-borne diseases in a warmer and more populated world: a multi-model, multi-scenario intercomparison modelling study. </w:t>
      </w:r>
      <w:r w:rsidRPr="001A1FD8">
        <w:rPr>
          <w:i/>
          <w:iCs/>
        </w:rPr>
        <w:t>Lancet Planet Health</w:t>
      </w:r>
      <w:r>
        <w:t>. 2021;5(7</w:t>
      </w:r>
      <w:proofErr w:type="gramStart"/>
      <w:r>
        <w:t>):e</w:t>
      </w:r>
      <w:proofErr w:type="gramEnd"/>
      <w:r>
        <w:t>404–14. doi: </w:t>
      </w:r>
      <w:hyperlink r:id="rId55" w:history="1">
        <w:r w:rsidRPr="001A1FD8">
          <w:rPr>
            <w:rStyle w:val="Hyperlink"/>
          </w:rPr>
          <w:t>https://doi.org/10.1016/S2</w:t>
        </w:r>
        <w:r>
          <w:rPr>
            <w:rStyle w:val="Hyperlink"/>
          </w:rPr>
          <w:t>542-5196(21)00132-7</w:t>
        </w:r>
      </w:hyperlink>
      <w:r>
        <w:t>.</w:t>
      </w:r>
    </w:p>
    <w:p w14:paraId="72B2B839" w14:textId="77777777" w:rsidR="001A1FD8" w:rsidRDefault="001A1FD8" w:rsidP="001A1FD8">
      <w:pPr>
        <w:pStyle w:val="CDINumberedList1L1"/>
        <w:ind w:left="397" w:hanging="397"/>
      </w:pPr>
      <w:r>
        <w:t xml:space="preserve">Fairhead LJ, Smith S, Sim BZ, Stewart AGA, Stewart JD, Binotto E et al. The seasonality of infections in tropical Far North Queensland, Australia: a 21-year retrospective evaluation of the seasonal patterns of six endemic pathogens. </w:t>
      </w:r>
      <w:r w:rsidRPr="001A1FD8">
        <w:rPr>
          <w:i/>
          <w:iCs/>
        </w:rPr>
        <w:t>PLOS Glob Public Health</w:t>
      </w:r>
      <w:r>
        <w:t>. 2022;2(5</w:t>
      </w:r>
      <w:proofErr w:type="gramStart"/>
      <w:r>
        <w:t>):e</w:t>
      </w:r>
      <w:proofErr w:type="gramEnd"/>
      <w:r>
        <w:t xml:space="preserve">0000506. doi: </w:t>
      </w:r>
      <w:hyperlink r:id="rId56" w:history="1">
        <w:r w:rsidRPr="001A1FD8">
          <w:rPr>
            <w:rStyle w:val="Hyperlink"/>
          </w:rPr>
          <w:t>https://doi.org/10.1371/jo</w:t>
        </w:r>
        <w:r>
          <w:rPr>
            <w:rStyle w:val="Hyperlink"/>
          </w:rPr>
          <w:t>urnal.pgph.0000506</w:t>
        </w:r>
      </w:hyperlink>
      <w:r>
        <w:t>.</w:t>
      </w:r>
    </w:p>
    <w:p w14:paraId="4D5255CC" w14:textId="49A9D01B" w:rsidR="001A1FD8" w:rsidRDefault="001A1FD8" w:rsidP="001A1FD8">
      <w:pPr>
        <w:pStyle w:val="CDINumberedList1L1"/>
        <w:ind w:left="397" w:hanging="397"/>
      </w:pPr>
      <w:r>
        <w:t xml:space="preserve">Hanson J, Smith S, Stewart J, Horne P, Ramsamy N. Melioidosis–a disease of socioeconomic disadvantage. </w:t>
      </w:r>
      <w:r w:rsidRPr="001A1FD8">
        <w:rPr>
          <w:i/>
          <w:iCs/>
        </w:rPr>
        <w:t>PLoS Negl Trop Dis</w:t>
      </w:r>
      <w:r>
        <w:t>. 2021;15(6</w:t>
      </w:r>
      <w:proofErr w:type="gramStart"/>
      <w:r>
        <w:t>):e</w:t>
      </w:r>
      <w:proofErr w:type="gramEnd"/>
      <w:r>
        <w:t>0009544. doi: </w:t>
      </w:r>
      <w:hyperlink r:id="rId57" w:history="1">
        <w:r w:rsidRPr="001A1FD8">
          <w:rPr>
            <w:rStyle w:val="Hyperlink"/>
          </w:rPr>
          <w:t>https://doi.org/10.1371/journal.pn</w:t>
        </w:r>
        <w:r>
          <w:rPr>
            <w:rStyle w:val="Hyperlink"/>
          </w:rPr>
          <w:t>td.0009544</w:t>
        </w:r>
      </w:hyperlink>
      <w:r>
        <w:t>.</w:t>
      </w:r>
    </w:p>
    <w:p w14:paraId="6AB24CF2" w14:textId="2C35D5A0" w:rsidR="001A1FD8" w:rsidRDefault="001A1FD8" w:rsidP="001A1FD8">
      <w:pPr>
        <w:pStyle w:val="CDINumberedList1L1"/>
        <w:ind w:left="397" w:hanging="397"/>
      </w:pPr>
      <w:proofErr w:type="spellStart"/>
      <w:r>
        <w:t>Merga</w:t>
      </w:r>
      <w:proofErr w:type="spellEnd"/>
      <w:r>
        <w:t xml:space="preserve"> H, </w:t>
      </w:r>
      <w:proofErr w:type="spellStart"/>
      <w:r>
        <w:t>Degefa</w:t>
      </w:r>
      <w:proofErr w:type="spellEnd"/>
      <w:r>
        <w:t xml:space="preserve"> T, Birhanu Z, Tadele A, Lee MC, Yan G et al. Urban malaria in sub-Saharan Africa: a scoping review of epidemiologic studies. </w:t>
      </w:r>
      <w:r w:rsidRPr="001A1FD8">
        <w:rPr>
          <w:i/>
          <w:iCs/>
        </w:rPr>
        <w:t>Malar J</w:t>
      </w:r>
      <w:r>
        <w:t>. 2025;24(1):131. doi: </w:t>
      </w:r>
      <w:hyperlink r:id="rId58" w:history="1">
        <w:r w:rsidRPr="001A1FD8">
          <w:rPr>
            <w:rStyle w:val="Hyperlink"/>
          </w:rPr>
          <w:t>https://doi.org/10.1186/s12936-025-05</w:t>
        </w:r>
        <w:r>
          <w:rPr>
            <w:rStyle w:val="Hyperlink"/>
          </w:rPr>
          <w:t>368-9</w:t>
        </w:r>
      </w:hyperlink>
      <w:r>
        <w:t>.</w:t>
      </w:r>
    </w:p>
    <w:p w14:paraId="553ED7F3" w14:textId="7B2A5A09" w:rsidR="001A1FD8" w:rsidRDefault="001A1FD8" w:rsidP="001A1FD8">
      <w:pPr>
        <w:pStyle w:val="CDINumberedList1L1"/>
        <w:ind w:left="397" w:hanging="397"/>
      </w:pPr>
      <w:r>
        <w:t xml:space="preserve">Fox T, Furnival-Adams J, Chaplin M, Napier M, </w:t>
      </w:r>
      <w:proofErr w:type="spellStart"/>
      <w:r>
        <w:t>Olanga</w:t>
      </w:r>
      <w:proofErr w:type="spellEnd"/>
      <w:r>
        <w:t xml:space="preserve"> EA. House modifications for preventing malaria. </w:t>
      </w:r>
      <w:r w:rsidRPr="001A1FD8">
        <w:rPr>
          <w:i/>
          <w:iCs/>
        </w:rPr>
        <w:t>Cochrane Database Syst Rev</w:t>
      </w:r>
      <w:r>
        <w:t>. 2022;10(10):CD013398. doi: </w:t>
      </w:r>
      <w:hyperlink r:id="rId59" w:history="1">
        <w:r w:rsidRPr="001A1FD8">
          <w:rPr>
            <w:rStyle w:val="Hyperlink"/>
          </w:rPr>
          <w:t>https://doi.org/10.1002/14651858.CD013398.pu</w:t>
        </w:r>
        <w:r>
          <w:rPr>
            <w:rStyle w:val="Hyperlink"/>
          </w:rPr>
          <w:t>b4</w:t>
        </w:r>
      </w:hyperlink>
      <w:r>
        <w:t>.</w:t>
      </w:r>
    </w:p>
    <w:p w14:paraId="66EF5EAA" w14:textId="77777777" w:rsidR="001A1FD8" w:rsidRDefault="001A1FD8" w:rsidP="001A1FD8">
      <w:pPr>
        <w:pStyle w:val="CDINumberedList1L1"/>
        <w:ind w:left="397" w:hanging="397"/>
      </w:pPr>
      <w:r>
        <w:t xml:space="preserve">Chu CS, White NJ. Management of relapsing </w:t>
      </w:r>
      <w:r w:rsidRPr="001A1FD8">
        <w:rPr>
          <w:i/>
          <w:iCs/>
        </w:rPr>
        <w:t>Plasmodium vivax</w:t>
      </w:r>
      <w:r>
        <w:t xml:space="preserve"> malaria. </w:t>
      </w:r>
      <w:r w:rsidRPr="001A1FD8">
        <w:rPr>
          <w:i/>
          <w:iCs/>
        </w:rPr>
        <w:t>Expert Rev Anti Infect Ther</w:t>
      </w:r>
      <w:r>
        <w:t xml:space="preserve">. 2016;14(10):885–900. doi: </w:t>
      </w:r>
      <w:hyperlink r:id="rId60" w:history="1">
        <w:r>
          <w:rPr>
            <w:rStyle w:val="Hyperlink"/>
          </w:rPr>
          <w:t>https://doi.org/10.1080/14787210.2016.1220304</w:t>
        </w:r>
      </w:hyperlink>
      <w:r>
        <w:t>.</w:t>
      </w:r>
    </w:p>
    <w:p w14:paraId="080F945A" w14:textId="77777777" w:rsidR="001A1FD8" w:rsidRDefault="001A1FD8" w:rsidP="001A1FD8">
      <w:pPr>
        <w:pStyle w:val="CDINumberedList1L1"/>
        <w:ind w:left="397" w:hanging="397"/>
      </w:pPr>
      <w:r>
        <w:t xml:space="preserve">Crooks K, Law C, Taylor K, Brett K, Murray P, </w:t>
      </w:r>
      <w:proofErr w:type="spellStart"/>
      <w:r>
        <w:t>Kolhkagen</w:t>
      </w:r>
      <w:proofErr w:type="spellEnd"/>
      <w:r>
        <w:t xml:space="preserve"> J et al. Embedding Aboriginal cultural governance, capacity, perspectives and leadership into a local Public Health Unit Incident Command System during COVID-19 in New South Wales, Australia. </w:t>
      </w:r>
      <w:r w:rsidRPr="001A1FD8">
        <w:rPr>
          <w:i/>
          <w:iCs/>
        </w:rPr>
        <w:t>BMJ Glob Health</w:t>
      </w:r>
      <w:r>
        <w:t>. 2023;8(7</w:t>
      </w:r>
      <w:proofErr w:type="gramStart"/>
      <w:r>
        <w:t>):e</w:t>
      </w:r>
      <w:proofErr w:type="gramEnd"/>
      <w:r>
        <w:t xml:space="preserve">012709. doi: </w:t>
      </w:r>
      <w:hyperlink r:id="rId61" w:history="1">
        <w:r w:rsidRPr="001A1FD8">
          <w:rPr>
            <w:rStyle w:val="Hyperlink"/>
          </w:rPr>
          <w:t>https://</w:t>
        </w:r>
        <w:r>
          <w:rPr>
            <w:rStyle w:val="Hyperlink"/>
          </w:rPr>
          <w:t>doi.org/10.1136/bmjgh-2023-012709</w:t>
        </w:r>
      </w:hyperlink>
      <w:r>
        <w:t>.</w:t>
      </w:r>
    </w:p>
    <w:p w14:paraId="58BAE615" w14:textId="77777777" w:rsidR="001A1FD8" w:rsidRDefault="001A1FD8" w:rsidP="001A1FD8">
      <w:pPr>
        <w:pStyle w:val="CDINumberedList1L1"/>
        <w:ind w:left="397" w:hanging="397"/>
      </w:pPr>
      <w:r>
        <w:lastRenderedPageBreak/>
        <w:t xml:space="preserve">Hawthorn L, Matysek R, Neville J, Gibson I, Taunton C, Thomas R et al. A mixed-methods evaluation: COVID Care in the Home, a public health response to the first omicron wave across the Torres and Cape region, Queensland. </w:t>
      </w:r>
      <w:r w:rsidRPr="001A1FD8">
        <w:rPr>
          <w:i/>
          <w:iCs/>
        </w:rPr>
        <w:t>Aust N Z J Public Health</w:t>
      </w:r>
      <w:r>
        <w:t xml:space="preserve">. 2024;48(2):100147. doi: </w:t>
      </w:r>
      <w:hyperlink r:id="rId62" w:history="1">
        <w:r w:rsidRPr="001A1FD8">
          <w:rPr>
            <w:rStyle w:val="Hyperlink"/>
          </w:rPr>
          <w:t>https://doi.org/10.1016/j.anzj</w:t>
        </w:r>
        <w:r>
          <w:rPr>
            <w:rStyle w:val="Hyperlink"/>
          </w:rPr>
          <w:t>ph.2024.100147</w:t>
        </w:r>
      </w:hyperlink>
      <w:r>
        <w:t>.</w:t>
      </w:r>
    </w:p>
    <w:p w14:paraId="1519A5F9" w14:textId="77777777" w:rsidR="001A1FD8" w:rsidRDefault="001A1FD8" w:rsidP="001A1FD8">
      <w:pPr>
        <w:pStyle w:val="CDINumberedList1L1"/>
        <w:ind w:left="397" w:hanging="397"/>
      </w:pPr>
      <w:r>
        <w:t xml:space="preserve">Hempenstall A, Pyke A, Taunton C, Sabatino U, Kaigey S, Pickering E et al. An outbreak of dengue virus type 3 on Mer Island in the Torres Strait, Australia in 2024. </w:t>
      </w:r>
      <w:r w:rsidRPr="001A1FD8">
        <w:rPr>
          <w:i/>
          <w:iCs/>
        </w:rPr>
        <w:t>Commun Dis Intell (2018)</w:t>
      </w:r>
      <w:r>
        <w:t xml:space="preserve">. 2024;48. doi: </w:t>
      </w:r>
      <w:hyperlink r:id="rId63" w:history="1">
        <w:r>
          <w:t>ht</w:t>
        </w:r>
        <w:r>
          <w:rPr>
            <w:rStyle w:val="Hyperlink"/>
          </w:rPr>
          <w:t>tps://doi.org/10.33321/cdi.2024.48.63</w:t>
        </w:r>
      </w:hyperlink>
      <w:r>
        <w:t>.</w:t>
      </w:r>
    </w:p>
    <w:p w14:paraId="1400FBFB" w14:textId="77777777" w:rsidR="001A1FD8" w:rsidRDefault="001A1FD8" w:rsidP="001A1FD8">
      <w:pPr>
        <w:pStyle w:val="CDINumberedList1L1"/>
        <w:ind w:left="397" w:hanging="397"/>
      </w:pPr>
      <w:proofErr w:type="spellStart"/>
      <w:r>
        <w:t>Brasil</w:t>
      </w:r>
      <w:proofErr w:type="spellEnd"/>
      <w:r>
        <w:t xml:space="preserve"> P, de Pina Costa A, Pedro RS, da Silveira Bressan C, da Silva S, </w:t>
      </w:r>
      <w:proofErr w:type="spellStart"/>
      <w:r>
        <w:t>Tauil</w:t>
      </w:r>
      <w:proofErr w:type="spellEnd"/>
      <w:r>
        <w:t xml:space="preserve"> PL et al. Unexpectedly long incubation period of </w:t>
      </w:r>
      <w:r w:rsidRPr="001A1FD8">
        <w:rPr>
          <w:i/>
          <w:iCs/>
        </w:rPr>
        <w:t>Plasmodium vivax</w:t>
      </w:r>
      <w:r>
        <w:t xml:space="preserve"> malaria, in the absence of chemoprophylaxis, in patients diagnosed outside the transmission area in Brazil. </w:t>
      </w:r>
      <w:r w:rsidRPr="001A1FD8">
        <w:rPr>
          <w:i/>
          <w:iCs/>
        </w:rPr>
        <w:t>Malar J</w:t>
      </w:r>
      <w:r>
        <w:t xml:space="preserve">. 2011;10(1):122. doi: </w:t>
      </w:r>
      <w:hyperlink r:id="rId64" w:history="1">
        <w:r w:rsidRPr="001A1FD8">
          <w:rPr>
            <w:rStyle w:val="Hyperlink"/>
          </w:rPr>
          <w:t>https://doi.org/1</w:t>
        </w:r>
        <w:r>
          <w:rPr>
            <w:rStyle w:val="Hyperlink"/>
          </w:rPr>
          <w:t>0.1186/1475-2875-10-122</w:t>
        </w:r>
      </w:hyperlink>
      <w:r>
        <w:t>.</w:t>
      </w:r>
    </w:p>
    <w:p w14:paraId="04CF7A58" w14:textId="463C24BD" w:rsidR="001A1FD8" w:rsidRDefault="001A1FD8" w:rsidP="001A1FD8">
      <w:pPr>
        <w:pStyle w:val="CDINumberedList1L1"/>
        <w:ind w:left="397" w:hanging="397"/>
      </w:pPr>
      <w:r>
        <w:t xml:space="preserve">Huestis DL, Dao A, Diallo M, Sanogo ZL, Samake D, Yaro AS et al. Windborne long-distance migration of malaria mosquitoes in the Sahel. </w:t>
      </w:r>
      <w:r w:rsidRPr="001A1FD8">
        <w:rPr>
          <w:i/>
          <w:iCs/>
        </w:rPr>
        <w:t>Nature</w:t>
      </w:r>
      <w:r>
        <w:t>. 2019;574(7778):404–8. doi: </w:t>
      </w:r>
      <w:hyperlink r:id="rId65" w:history="1">
        <w:r w:rsidRPr="001A1FD8">
          <w:rPr>
            <w:rStyle w:val="Hyperlink"/>
          </w:rPr>
          <w:t>https://doi.org/10.1038/s41586-019-</w:t>
        </w:r>
        <w:r>
          <w:rPr>
            <w:rStyle w:val="Hyperlink"/>
          </w:rPr>
          <w:t>1622-4</w:t>
        </w:r>
      </w:hyperlink>
      <w:r>
        <w:t>.</w:t>
      </w:r>
    </w:p>
    <w:p w14:paraId="26953140" w14:textId="77777777" w:rsidR="001A1FD8" w:rsidRDefault="001A1FD8" w:rsidP="001A1FD8">
      <w:pPr>
        <w:pStyle w:val="CDINumberedList1L1"/>
        <w:ind w:left="397" w:hanging="397"/>
      </w:pPr>
      <w:r>
        <w:t xml:space="preserve">Kavanaugh MJ, Azzam SE, </w:t>
      </w:r>
      <w:proofErr w:type="spellStart"/>
      <w:r>
        <w:t>Rockabrand</w:t>
      </w:r>
      <w:proofErr w:type="spellEnd"/>
      <w:r>
        <w:t xml:space="preserve"> DM. Malaria rapid diagnostic tests: literary review and recommendation for a quality assurance, quality control algorithm. </w:t>
      </w:r>
      <w:r w:rsidRPr="001A1FD8">
        <w:rPr>
          <w:i/>
          <w:iCs/>
        </w:rPr>
        <w:t>Diagnostics (Basel)</w:t>
      </w:r>
      <w:r>
        <w:t xml:space="preserve">. 2021;11(5):768. doi: </w:t>
      </w:r>
      <w:hyperlink r:id="rId66" w:history="1">
        <w:r>
          <w:rPr>
            <w:rStyle w:val="Hyperlink"/>
          </w:rPr>
          <w:t>https://doi.org/10.3390/diagnostics11050768</w:t>
        </w:r>
      </w:hyperlink>
      <w:r>
        <w:t>.</w:t>
      </w:r>
    </w:p>
    <w:p w14:paraId="448F2F54" w14:textId="76851835" w:rsidR="001A1FD8" w:rsidRDefault="001A1FD8" w:rsidP="001A1FD8">
      <w:pPr>
        <w:pStyle w:val="CDINumberedList1L1"/>
        <w:ind w:left="397" w:hanging="397"/>
      </w:pPr>
      <w:r>
        <w:t xml:space="preserve">McMorrow ML, Aidoo M, Kachur SP. Malaria rapid diagnostic tests in elimination settings—can they find the last parasite? </w:t>
      </w:r>
      <w:r w:rsidRPr="001A1FD8">
        <w:rPr>
          <w:i/>
          <w:iCs/>
        </w:rPr>
        <w:t>Clin Microbiol Infect</w:t>
      </w:r>
      <w:r>
        <w:t>. 2011;17(11):1624–31. doi: </w:t>
      </w:r>
      <w:hyperlink r:id="rId67" w:history="1">
        <w:r w:rsidRPr="001A1FD8">
          <w:rPr>
            <w:rStyle w:val="Hyperlink"/>
          </w:rPr>
          <w:t>https://doi.org/10.1111/j.1469-0691.20</w:t>
        </w:r>
        <w:r>
          <w:rPr>
            <w:rStyle w:val="Hyperlink"/>
          </w:rPr>
          <w:t>11.03639.x</w:t>
        </w:r>
      </w:hyperlink>
      <w:r>
        <w:t>.</w:t>
      </w:r>
    </w:p>
    <w:p w14:paraId="1879FEB0" w14:textId="77777777" w:rsidR="001A1FD8" w:rsidRDefault="001A1FD8" w:rsidP="001A1FD8">
      <w:pPr>
        <w:pStyle w:val="CDINumberedList1L1"/>
        <w:ind w:left="397" w:hanging="397"/>
        <w:sectPr w:rsidR="001A1FD8" w:rsidSect="001E3ECB">
          <w:footnotePr>
            <w:numFmt w:val="lowerRoman"/>
          </w:footnotePr>
          <w:pgSz w:w="11907" w:h="16840" w:code="9"/>
          <w:pgMar w:top="1134" w:right="1134" w:bottom="1134" w:left="1134" w:header="709" w:footer="567" w:gutter="0"/>
          <w:cols w:space="708"/>
          <w:docGrid w:linePitch="360"/>
        </w:sectPr>
      </w:pPr>
      <w:r>
        <w:t xml:space="preserve">Golden A, Slater HC, Jang IK, Walke S, Phan TT, </w:t>
      </w:r>
      <w:proofErr w:type="spellStart"/>
      <w:r>
        <w:t>Bizilj</w:t>
      </w:r>
      <w:proofErr w:type="spellEnd"/>
      <w:r>
        <w:t xml:space="preserve"> GT et al. Analytical sensitivity analysis and clinical impact </w:t>
      </w:r>
      <w:proofErr w:type="spellStart"/>
      <w:r>
        <w:t>modeling</w:t>
      </w:r>
      <w:proofErr w:type="spellEnd"/>
      <w:r>
        <w:t xml:space="preserve"> of </w:t>
      </w:r>
      <w:proofErr w:type="spellStart"/>
      <w:r>
        <w:t>Rapigen</w:t>
      </w:r>
      <w:proofErr w:type="spellEnd"/>
      <w:r>
        <w:t xml:space="preserve"> rapid diagnostic tests for malaria. </w:t>
      </w:r>
      <w:r w:rsidRPr="001A1FD8">
        <w:rPr>
          <w:i/>
          <w:iCs/>
        </w:rPr>
        <w:t xml:space="preserve">Am J Trop Med </w:t>
      </w:r>
      <w:proofErr w:type="spellStart"/>
      <w:r w:rsidRPr="001A1FD8">
        <w:rPr>
          <w:i/>
          <w:iCs/>
        </w:rPr>
        <w:t>Hyg</w:t>
      </w:r>
      <w:proofErr w:type="spellEnd"/>
      <w:r>
        <w:t xml:space="preserve">. 2024;111(5):956–66. doi: </w:t>
      </w:r>
      <w:hyperlink r:id="rId68" w:history="1">
        <w:r>
          <w:rPr>
            <w:rStyle w:val="Hyperlink"/>
          </w:rPr>
          <w:t>https://doi.org/10.4269/ajtmh.24-0003</w:t>
        </w:r>
      </w:hyperlink>
      <w:r>
        <w:t>.</w:t>
      </w:r>
    </w:p>
    <w:p w14:paraId="13A37217" w14:textId="77777777" w:rsidR="001A1FD8" w:rsidRPr="001A1FD8" w:rsidRDefault="001A1FD8" w:rsidP="001A1FD8">
      <w:pPr>
        <w:pStyle w:val="Heading1-nospacebefore"/>
      </w:pPr>
      <w:bookmarkStart w:id="34" w:name="_Toc241653664"/>
      <w:r w:rsidRPr="001A1FD8">
        <w:lastRenderedPageBreak/>
        <w:t>Appendix A</w:t>
      </w:r>
      <w:bookmarkEnd w:id="34"/>
    </w:p>
    <w:p w14:paraId="005CA99C" w14:textId="03A4295F" w:rsidR="001A1FD8" w:rsidRPr="001A1FD8" w:rsidRDefault="001A1FD8" w:rsidP="001A1FD8">
      <w:pPr>
        <w:spacing w:before="360"/>
        <w:rPr>
          <w:b/>
          <w:bCs/>
        </w:rPr>
      </w:pPr>
      <w:r w:rsidRPr="001A1FD8">
        <w:rPr>
          <w:b/>
          <w:bCs/>
        </w:rPr>
        <w:t>Figure A.1: Active case finding strategy of three malaria outbreaks combined, Torres Strait Islands, 2023–2025</w:t>
      </w:r>
    </w:p>
    <w:p w14:paraId="7DE3838F" w14:textId="45B19990" w:rsidR="001A1FD8" w:rsidRPr="001A1FD8" w:rsidRDefault="000D02B5" w:rsidP="001A1FD8">
      <w:pPr>
        <w:pStyle w:val="CDIFigure-Placeholder"/>
      </w:pPr>
      <w:r>
        <w:rPr>
          <w:noProof/>
          <w14:ligatures w14:val="none"/>
        </w:rPr>
        <w:drawing>
          <wp:inline distT="0" distB="0" distL="0" distR="0" wp14:anchorId="495D07A6" wp14:editId="5D41C74D">
            <wp:extent cx="4932000" cy="9108000"/>
            <wp:effectExtent l="7302" t="0" r="0" b="0"/>
            <wp:docPr id="1657771778" name="Picture 8" descr="Figure A.1: Flow diagram summarising case finding strategies for the malaria outbreaks, detailing on the left the population screening process undertaken and the numbers screened, tested, and detected; and on the right, the analogous process for screening/testing of household contacts and priority people in the community. The diagram shows that population screening yielded detection of three community cases; screening of household contacts yielded zero household 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71778" name="Picture 8" descr="Figure A.1: Flow diagram summarising case finding strategies for the malaria outbreaks, detailing on the left the population screening process undertaken and the numbers screened, tested, and detected; and on the right, the analogous process for screening/testing of household contacts and priority people in the community. The diagram shows that population screening yielded detection of three community cases; screening of household contacts yielded zero household cases."/>
                    <pic:cNvPicPr/>
                  </pic:nvPicPr>
                  <pic:blipFill>
                    <a:blip r:embed="rId69">
                      <a:extLst>
                        <a:ext uri="{28A0092B-C50C-407E-A947-70E740481C1C}">
                          <a14:useLocalDpi xmlns:a14="http://schemas.microsoft.com/office/drawing/2010/main" val="0"/>
                        </a:ext>
                      </a:extLst>
                    </a:blip>
                    <a:stretch>
                      <a:fillRect/>
                    </a:stretch>
                  </pic:blipFill>
                  <pic:spPr>
                    <a:xfrm rot="5400000">
                      <a:off x="0" y="0"/>
                      <a:ext cx="4932000" cy="9108000"/>
                    </a:xfrm>
                    <a:prstGeom prst="rect">
                      <a:avLst/>
                    </a:prstGeom>
                  </pic:spPr>
                </pic:pic>
              </a:graphicData>
            </a:graphic>
          </wp:inline>
        </w:drawing>
      </w:r>
    </w:p>
    <w:p w14:paraId="6DE1DBC2" w14:textId="77777777" w:rsidR="000D02B5" w:rsidRPr="000D02B5" w:rsidRDefault="000D02B5" w:rsidP="000D02B5">
      <w:pPr>
        <w:pStyle w:val="CDITable-FirstFootnote"/>
        <w:rPr>
          <w:lang w:val="en-GB"/>
        </w:rPr>
      </w:pPr>
      <w:r w:rsidRPr="000D02B5">
        <w:rPr>
          <w:lang w:val="en-GB"/>
        </w:rPr>
        <w:t>a</w:t>
      </w:r>
      <w:r w:rsidRPr="000D02B5">
        <w:rPr>
          <w:lang w:val="en-GB"/>
        </w:rPr>
        <w:tab/>
        <w:t>Resident not screened due to decline, resident could not be located for screening or were the index or other cases.</w:t>
      </w:r>
    </w:p>
    <w:p w14:paraId="62CB9296" w14:textId="0BE1F291" w:rsidR="001A1FD8" w:rsidRDefault="000D02B5" w:rsidP="000D02B5">
      <w:pPr>
        <w:pStyle w:val="CDITable-Footnote"/>
      </w:pPr>
      <w:r w:rsidRPr="000D02B5">
        <w:rPr>
          <w:lang w:val="en-GB"/>
        </w:rPr>
        <w:t>b</w:t>
      </w:r>
      <w:r w:rsidRPr="000D02B5">
        <w:rPr>
          <w:lang w:val="en-GB"/>
        </w:rPr>
        <w:tab/>
        <w:t>Resident declined testing or did not present to local clinic.</w:t>
      </w:r>
    </w:p>
    <w:p w14:paraId="17CDEFCF" w14:textId="77777777" w:rsidR="001A1FD8" w:rsidRDefault="001A1FD8" w:rsidP="001A1FD8">
      <w:pPr>
        <w:sectPr w:rsidR="001A1FD8" w:rsidSect="000D02B5">
          <w:footnotePr>
            <w:numFmt w:val="lowerRoman"/>
          </w:footnotePr>
          <w:pgSz w:w="16840" w:h="11907" w:orient="landscape" w:code="9"/>
          <w:pgMar w:top="737" w:right="1134" w:bottom="964" w:left="1134" w:header="709" w:footer="454" w:gutter="0"/>
          <w:cols w:space="708"/>
          <w:docGrid w:linePitch="360"/>
        </w:sectPr>
      </w:pPr>
    </w:p>
    <w:p w14:paraId="193A13E5" w14:textId="77777777" w:rsidR="000D02B5" w:rsidRPr="000D02B5" w:rsidRDefault="000D02B5" w:rsidP="000D02B5">
      <w:pPr>
        <w:pStyle w:val="CDIFigure-Title"/>
        <w:spacing w:before="0"/>
        <w:rPr>
          <w:lang w:val="en-GB"/>
        </w:rPr>
      </w:pPr>
      <w:r w:rsidRPr="000D02B5">
        <w:rPr>
          <w:lang w:val="en-GB"/>
        </w:rPr>
        <w:lastRenderedPageBreak/>
        <w:t>Figure A.2: ‘Stop the Bite’ information leaflet, Torres and Cape Hospital and Health Service, 2023–2025</w:t>
      </w:r>
    </w:p>
    <w:p w14:paraId="67E37C05" w14:textId="1A25D5DE" w:rsidR="001A1FD8" w:rsidRPr="001A1FD8" w:rsidRDefault="000D02B5" w:rsidP="000D02B5">
      <w:pPr>
        <w:pStyle w:val="CDIFigure-Placeholder"/>
      </w:pPr>
      <w:r>
        <w:rPr>
          <w:noProof/>
          <w14:ligatures w14:val="none"/>
        </w:rPr>
        <w:drawing>
          <wp:inline distT="0" distB="0" distL="0" distR="0" wp14:anchorId="79CEE0EB" wp14:editId="5C5A259B">
            <wp:extent cx="5961600" cy="8679600"/>
            <wp:effectExtent l="0" t="0" r="1270" b="7620"/>
            <wp:docPr id="15110342" name="Picture 7" descr="Figure A.2 is an image displaying both sides of a 'Stop the Bite' information leaflet, produced by Torres and Cape Hospital and Health Service. The leaflet provides information on household mosquito control, personal care to avoid mosquito bites, common signs and symptoms of various mosquito-borne diseases, and links to Queensland Health websites providing furth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342" name="Picture 7" descr="Figure A.2 is an image displaying both sides of a 'Stop the Bite' information leaflet, produced by Torres and Cape Hospital and Health Service. The leaflet provides information on household mosquito control, personal care to avoid mosquito bites, common signs and symptoms of various mosquito-borne diseases, and links to Queensland Health websites providing further information."/>
                    <pic:cNvPicPr/>
                  </pic:nvPicPr>
                  <pic:blipFill>
                    <a:blip r:embed="rId70">
                      <a:extLst>
                        <a:ext uri="{28A0092B-C50C-407E-A947-70E740481C1C}">
                          <a14:useLocalDpi xmlns:a14="http://schemas.microsoft.com/office/drawing/2010/main" val="0"/>
                        </a:ext>
                      </a:extLst>
                    </a:blip>
                    <a:stretch>
                      <a:fillRect/>
                    </a:stretch>
                  </pic:blipFill>
                  <pic:spPr>
                    <a:xfrm>
                      <a:off x="0" y="0"/>
                      <a:ext cx="5961600" cy="8679600"/>
                    </a:xfrm>
                    <a:prstGeom prst="rect">
                      <a:avLst/>
                    </a:prstGeom>
                  </pic:spPr>
                </pic:pic>
              </a:graphicData>
            </a:graphic>
          </wp:inline>
        </w:drawing>
      </w:r>
    </w:p>
    <w:sectPr w:rsidR="001A1FD8" w:rsidRPr="001A1FD8"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9EDB" w14:textId="77777777" w:rsidR="00762CC9" w:rsidRDefault="00762CC9" w:rsidP="00E54DBA">
      <w:r>
        <w:separator/>
      </w:r>
    </w:p>
    <w:p w14:paraId="65A7E6E9" w14:textId="77777777" w:rsidR="00762CC9" w:rsidRDefault="00762CC9"/>
    <w:p w14:paraId="7552710D" w14:textId="77777777" w:rsidR="00762CC9" w:rsidRDefault="00762CC9" w:rsidP="008714B0"/>
  </w:endnote>
  <w:endnote w:type="continuationSeparator" w:id="0">
    <w:p w14:paraId="71199FC5" w14:textId="77777777" w:rsidR="00762CC9" w:rsidRDefault="00762CC9" w:rsidP="00E54DBA">
      <w:r>
        <w:continuationSeparator/>
      </w:r>
    </w:p>
    <w:p w14:paraId="7F134A90" w14:textId="77777777" w:rsidR="00762CC9" w:rsidRDefault="00762CC9"/>
    <w:p w14:paraId="22207C36" w14:textId="77777777" w:rsidR="00762CC9" w:rsidRDefault="00762CC9"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373F"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2E014B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32E014B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CFA3" w14:textId="557250A8"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B1770B">
        <w:t>2026</w:t>
      </w:r>
    </w:fldSimple>
    <w:r w:rsidR="009B78A9">
      <w:t>;</w:t>
    </w:r>
    <w:fldSimple w:instr=" DOCPROPERTY  Vol  \* MERGEFORMAT ">
      <w:r w:rsidR="00B1770B">
        <w:t>50</w:t>
      </w:r>
    </w:fldSimple>
    <w:r w:rsidR="00385655" w:rsidRPr="001D0612">
      <w:t xml:space="preserve"> </w:t>
    </w:r>
    <w:r w:rsidR="00385655" w:rsidRPr="00B85B74">
      <w:t>•</w:t>
    </w:r>
    <w:r w:rsidR="00385655">
      <w:t xml:space="preserve"> </w:t>
    </w:r>
    <w:fldSimple w:instr=" DOCPROPERTY  DOI  \* MERGEFORMAT ">
      <w:r w:rsidR="00462E29">
        <w:t>doi.org/10.33321/cdi.2026.50.065</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462E29">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3DFC"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6DA8BE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66DA8BE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A0734" w14:textId="77777777" w:rsidR="00762CC9" w:rsidRPr="00B91FB5" w:rsidRDefault="00762CC9" w:rsidP="00B91FB5">
      <w:pPr>
        <w:spacing w:line="240" w:lineRule="auto"/>
        <w:rPr>
          <w:sz w:val="18"/>
          <w:szCs w:val="18"/>
        </w:rPr>
      </w:pPr>
      <w:r w:rsidRPr="00B91FB5">
        <w:rPr>
          <w:sz w:val="18"/>
          <w:szCs w:val="18"/>
        </w:rPr>
        <w:separator/>
      </w:r>
    </w:p>
  </w:footnote>
  <w:footnote w:type="continuationSeparator" w:id="0">
    <w:p w14:paraId="776F8613" w14:textId="77777777" w:rsidR="00762CC9" w:rsidRDefault="00762CC9" w:rsidP="00E54DBA">
      <w:r>
        <w:continuationSeparator/>
      </w:r>
    </w:p>
  </w:footnote>
  <w:footnote w:type="continuationNotice" w:id="1">
    <w:p w14:paraId="61D73959" w14:textId="77777777" w:rsidR="00762CC9" w:rsidRPr="00224EFF" w:rsidRDefault="00762CC9" w:rsidP="00224EFF"/>
  </w:footnote>
  <w:footnote w:id="2">
    <w:p w14:paraId="1E893181" w14:textId="07DE91A4" w:rsidR="000362BF" w:rsidRDefault="000362BF" w:rsidP="00D07D4F">
      <w:pPr>
        <w:pStyle w:val="FootnoteText"/>
      </w:pPr>
      <w:r w:rsidRPr="00D07D4F">
        <w:footnoteRef/>
      </w:r>
      <w:r>
        <w:tab/>
        <w:t xml:space="preserve">Of the latter five cases, two reported </w:t>
      </w:r>
      <w:proofErr w:type="gramStart"/>
      <w:r>
        <w:t>travel</w:t>
      </w:r>
      <w:proofErr w:type="gramEnd"/>
      <w:r>
        <w:t xml:space="preserve"> to PNG eight months and ten years prior to their respective outbreaks.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BB79"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79443F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079443F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F10F"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41F043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341F043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4AA61E18"/>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2043047344">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0B"/>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1D0D"/>
    <w:rsid w:val="00032531"/>
    <w:rsid w:val="000325A0"/>
    <w:rsid w:val="00032BCB"/>
    <w:rsid w:val="00034DCB"/>
    <w:rsid w:val="000362BF"/>
    <w:rsid w:val="00040B99"/>
    <w:rsid w:val="000420DA"/>
    <w:rsid w:val="00043B80"/>
    <w:rsid w:val="00045035"/>
    <w:rsid w:val="000471BF"/>
    <w:rsid w:val="00047B68"/>
    <w:rsid w:val="000522C6"/>
    <w:rsid w:val="00052600"/>
    <w:rsid w:val="0005571D"/>
    <w:rsid w:val="0005643C"/>
    <w:rsid w:val="00056B9D"/>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4AE0"/>
    <w:rsid w:val="000B4B63"/>
    <w:rsid w:val="000C34E2"/>
    <w:rsid w:val="000C3D48"/>
    <w:rsid w:val="000C3FB4"/>
    <w:rsid w:val="000C6D3B"/>
    <w:rsid w:val="000D02B5"/>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1FD8"/>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D7086"/>
    <w:rsid w:val="001E3ECB"/>
    <w:rsid w:val="001E4E1D"/>
    <w:rsid w:val="001E562B"/>
    <w:rsid w:val="001E5D4C"/>
    <w:rsid w:val="001F0D9D"/>
    <w:rsid w:val="001F4AD5"/>
    <w:rsid w:val="001F6248"/>
    <w:rsid w:val="002006BA"/>
    <w:rsid w:val="002212C9"/>
    <w:rsid w:val="00221481"/>
    <w:rsid w:val="00223F42"/>
    <w:rsid w:val="00224EFF"/>
    <w:rsid w:val="0022524E"/>
    <w:rsid w:val="0022732D"/>
    <w:rsid w:val="002276DC"/>
    <w:rsid w:val="00227E00"/>
    <w:rsid w:val="00227F05"/>
    <w:rsid w:val="002307CB"/>
    <w:rsid w:val="00231046"/>
    <w:rsid w:val="002312FE"/>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653AD"/>
    <w:rsid w:val="00371080"/>
    <w:rsid w:val="0037146D"/>
    <w:rsid w:val="00372A88"/>
    <w:rsid w:val="00373D51"/>
    <w:rsid w:val="00374F80"/>
    <w:rsid w:val="00376A01"/>
    <w:rsid w:val="00381A0F"/>
    <w:rsid w:val="00381E8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1D74"/>
    <w:rsid w:val="00432ADD"/>
    <w:rsid w:val="00433456"/>
    <w:rsid w:val="00433DFA"/>
    <w:rsid w:val="00435D67"/>
    <w:rsid w:val="0043642C"/>
    <w:rsid w:val="0043704E"/>
    <w:rsid w:val="00437680"/>
    <w:rsid w:val="004427FD"/>
    <w:rsid w:val="00452C2E"/>
    <w:rsid w:val="004568FC"/>
    <w:rsid w:val="00461653"/>
    <w:rsid w:val="00462E29"/>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5242"/>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96D1D"/>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2CC9"/>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5527"/>
    <w:rsid w:val="00897881"/>
    <w:rsid w:val="008A0736"/>
    <w:rsid w:val="008A1BB7"/>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0F64"/>
    <w:rsid w:val="00991B09"/>
    <w:rsid w:val="0099319C"/>
    <w:rsid w:val="00993CB2"/>
    <w:rsid w:val="0099796D"/>
    <w:rsid w:val="009A0251"/>
    <w:rsid w:val="009A218B"/>
    <w:rsid w:val="009A5166"/>
    <w:rsid w:val="009A76F8"/>
    <w:rsid w:val="009B1971"/>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455A"/>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1770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089"/>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837"/>
    <w:rsid w:val="00D07D4F"/>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FFA55"/>
  <w15:docId w15:val="{20AF271A-C8A5-4998-8E9D-53BF146C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D4F"/>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val="0"/>
      <w:bCs/>
      <w:sz w:val="48"/>
    </w:rPr>
  </w:style>
  <w:style w:type="paragraph" w:styleId="Title">
    <w:name w:val="Title"/>
    <w:basedOn w:val="Normal"/>
    <w:next w:val="Normal"/>
    <w:link w:val="TitleChar"/>
    <w:uiPriority w:val="10"/>
    <w:qFormat/>
    <w:rsid w:val="00462E29"/>
    <w:pPr>
      <w:spacing w:before="400"/>
    </w:pPr>
    <w:rPr>
      <w:rFonts w:asciiTheme="majorHAnsi" w:hAnsiTheme="majorHAnsi" w:cs="Arial"/>
      <w:b/>
      <w:bCs/>
      <w:sz w:val="56"/>
      <w:szCs w:val="54"/>
    </w:rPr>
  </w:style>
  <w:style w:type="character" w:customStyle="1" w:styleId="TitleChar">
    <w:name w:val="Title Char"/>
    <w:basedOn w:val="DefaultParagraphFont"/>
    <w:link w:val="Title"/>
    <w:uiPriority w:val="10"/>
    <w:rsid w:val="00462E29"/>
    <w:rPr>
      <w:rFonts w:asciiTheme="majorHAnsi" w:hAnsiTheme="majorHAnsi" w:cs="Arial"/>
      <w:b/>
      <w:bCs/>
      <w:sz w:val="56"/>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AB455A"/>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b/>
      <w:color w:val="1E4496" w:themeColor="text2"/>
      <w:sz w:val="24"/>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books/NBK555962/" TargetMode="External"/><Relationship Id="rId21" Type="http://schemas.openxmlformats.org/officeDocument/2006/relationships/header" Target="header2.xml"/><Relationship Id="rId42" Type="http://schemas.openxmlformats.org/officeDocument/2006/relationships/hyperlink" Target="https://www.aplma.org/blog/malaria-in-papua-new-guinea-current-landscape-and-a-strengthened-push-towards-elimination" TargetMode="External"/><Relationship Id="rId47" Type="http://schemas.openxmlformats.org/officeDocument/2006/relationships/hyperlink" Target="https://data.who.int/indicators/i/B868307/442CEA8?m49=598" TargetMode="External"/><Relationship Id="rId63" Type="http://schemas.openxmlformats.org/officeDocument/2006/relationships/hyperlink" Target="https://doi.org/10.33321/cdi.2024.48.63" TargetMode="External"/><Relationship Id="rId68" Type="http://schemas.openxmlformats.org/officeDocument/2006/relationships/hyperlink" Target="https://doi.org/10.4269/ajtmh.24-0003"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doi.org/10.33321/cdi.2012.36.13" TargetMode="External"/><Relationship Id="rId11" Type="http://schemas.openxmlformats.org/officeDocument/2006/relationships/hyperlink" Target="https://creativecommons.org/licenses/by-nc-nd/4.0/legalcode" TargetMode="External"/><Relationship Id="rId24" Type="http://schemas.openxmlformats.org/officeDocument/2006/relationships/hyperlink" Target="mailto:claire.bowers@health.qld.gov.au" TargetMode="External"/><Relationship Id="rId32" Type="http://schemas.openxmlformats.org/officeDocument/2006/relationships/hyperlink" Target="https://www.abf.gov.au/newsroom-subsite/Pages/Protecting-the-Torres-Strait-from-COVID-19-Operation-Overarch-concludes-21-12-2022.aspx" TargetMode="External"/><Relationship Id="rId37" Type="http://schemas.openxmlformats.org/officeDocument/2006/relationships/hyperlink" Target="https://doi.org/10.1017/s0950268816001072" TargetMode="External"/><Relationship Id="rId40" Type="http://schemas.openxmlformats.org/officeDocument/2006/relationships/hyperlink" Target="https://doi.org/10.4269/ajtmh.2007.77.119" TargetMode="External"/><Relationship Id="rId45" Type="http://schemas.openxmlformats.org/officeDocument/2006/relationships/hyperlink" Target="https://doi.org/10.5281/zenodo.10630065" TargetMode="External"/><Relationship Id="rId53" Type="http://schemas.openxmlformats.org/officeDocument/2006/relationships/hyperlink" Target="https://doi.org/10.1016/j.tmaid.2020.101815" TargetMode="External"/><Relationship Id="rId58" Type="http://schemas.openxmlformats.org/officeDocument/2006/relationships/hyperlink" Target="https://doi.org/10.1186/s12936-025-05368-9" TargetMode="External"/><Relationship Id="rId66" Type="http://schemas.openxmlformats.org/officeDocument/2006/relationships/hyperlink" Target="https://doi.org/10.3390/diagnostics11050768" TargetMode="External"/><Relationship Id="rId5" Type="http://schemas.openxmlformats.org/officeDocument/2006/relationships/settings" Target="settings.xml"/><Relationship Id="rId61" Type="http://schemas.openxmlformats.org/officeDocument/2006/relationships/hyperlink" Target="https://doi.org/10.1136/bmjgh-2023-012709" TargetMode="External"/><Relationship Id="rId19" Type="http://schemas.openxmlformats.org/officeDocument/2006/relationships/footer" Target="footer1.xml"/><Relationship Id="rId14" Type="http://schemas.openxmlformats.org/officeDocument/2006/relationships/image" Target="media/image2.jpg"/><Relationship Id="rId22" Type="http://schemas.openxmlformats.org/officeDocument/2006/relationships/footer" Target="footer3.xml"/><Relationship Id="rId27" Type="http://schemas.openxmlformats.org/officeDocument/2006/relationships/hyperlink" Target="https://doi.org/10.1016/S0140-6736(23)01249-7" TargetMode="External"/><Relationship Id="rId30" Type="http://schemas.openxmlformats.org/officeDocument/2006/relationships/hyperlink" Target="https://doi.org/10.5694/j.1326-5377.2004.tb05769.x" TargetMode="External"/><Relationship Id="rId35" Type="http://schemas.openxmlformats.org/officeDocument/2006/relationships/hyperlink" Target="https://tsirc.qld.gov.au/communities/boigu/" TargetMode="External"/><Relationship Id="rId43" Type="http://schemas.openxmlformats.org/officeDocument/2006/relationships/hyperlink" Target="https://cdn.prod.website-files.com/663c426d5b1f3eb431ae99d0/69002c02f7658ec6ac9ad212_The%20Asia%20Pacific%20Leaders%27%20Malaria%20Elimination%20Roadmap%20-%20A%2010%20Year%20Review%20of%20Progress%20(2015-2024).pdf" TargetMode="External"/><Relationship Id="rId48" Type="http://schemas.openxmlformats.org/officeDocument/2006/relationships/hyperlink" Target="https://www.pm.gov.au/media/joint-communique-papua-new-guinea-and-australia-mutual-defence-treaty" TargetMode="External"/><Relationship Id="rId56" Type="http://schemas.openxmlformats.org/officeDocument/2006/relationships/hyperlink" Target="https://doi.org/10.1371/journal.pgph.0000506" TargetMode="External"/><Relationship Id="rId64" Type="http://schemas.openxmlformats.org/officeDocument/2006/relationships/hyperlink" Target="https://doi.org/10.1186/1475-2875-10-122" TargetMode="External"/><Relationship Id="rId69" Type="http://schemas.openxmlformats.org/officeDocument/2006/relationships/image" Target="media/image6.jpg"/><Relationship Id="rId8" Type="http://schemas.openxmlformats.org/officeDocument/2006/relationships/endnotes" Target="endnotes.xml"/><Relationship Id="rId51" Type="http://schemas.openxmlformats.org/officeDocument/2006/relationships/hyperlink" Target="https://doi.org/10.5694/j.1326-5377.2004.tb06274.x" TargetMode="Externa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image" Target="media/image5.jpg"/><Relationship Id="rId25" Type="http://schemas.openxmlformats.org/officeDocument/2006/relationships/hyperlink" Target="https://www.ncbi.nlm.nih.gov/books/NBK8584/" TargetMode="External"/><Relationship Id="rId33" Type="http://schemas.openxmlformats.org/officeDocument/2006/relationships/hyperlink" Target="https://doi.org/10.3389/fepid.2022.980795" TargetMode="External"/><Relationship Id="rId38" Type="http://schemas.openxmlformats.org/officeDocument/2006/relationships/hyperlink" Target="https://www.health.qld.gov.au/cdcg/index/malaria" TargetMode="External"/><Relationship Id="rId46" Type="http://schemas.openxmlformats.org/officeDocument/2006/relationships/hyperlink" Target="https://doi.org/10.3389/fimmu.2020.594653" TargetMode="External"/><Relationship Id="rId59" Type="http://schemas.openxmlformats.org/officeDocument/2006/relationships/hyperlink" Target="https://doi.org/10.1002/14651858.CD013398.pub4" TargetMode="External"/><Relationship Id="rId67" Type="http://schemas.openxmlformats.org/officeDocument/2006/relationships/hyperlink" Target="https://doi.org/10.1111/j.1469-0691.2011.03639.x" TargetMode="External"/><Relationship Id="rId20" Type="http://schemas.openxmlformats.org/officeDocument/2006/relationships/footer" Target="footer2.xml"/><Relationship Id="rId41" Type="http://schemas.openxmlformats.org/officeDocument/2006/relationships/hyperlink" Target="https://www.who.int/teams/global-malaria-programme/case-management/diagnosis/nucleic-acid-amplification-based-diagnostics" TargetMode="External"/><Relationship Id="rId54" Type="http://schemas.openxmlformats.org/officeDocument/2006/relationships/hyperlink" Target="https://doi.org/10.1017/s0950268825000111" TargetMode="External"/><Relationship Id="rId62" Type="http://schemas.openxmlformats.org/officeDocument/2006/relationships/hyperlink" Target="https://doi.org/10.1016/j.anzjph.2024.100147" TargetMode="External"/><Relationship Id="rId7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mailto:claire.bowers@anu.edu.au" TargetMode="External"/><Relationship Id="rId28" Type="http://schemas.openxmlformats.org/officeDocument/2006/relationships/hyperlink" Target="https://www.who.int/teams/global-malaria-programme/elimination/countries-and-territories-certified-malaria-free-by-who" TargetMode="External"/><Relationship Id="rId36" Type="http://schemas.openxmlformats.org/officeDocument/2006/relationships/hyperlink" Target="https://tsirc.qld.gov.au/communities/dauan/" TargetMode="External"/><Relationship Id="rId49" Type="http://schemas.openxmlformats.org/officeDocument/2006/relationships/hyperlink" Target="https://doi.org/10.5694/j.1326-5377.2005.tb06889.x" TargetMode="External"/><Relationship Id="rId57" Type="http://schemas.openxmlformats.org/officeDocument/2006/relationships/hyperlink" Target="https://doi.org/10.1371/journal.pntd.0009544" TargetMode="External"/><Relationship Id="rId10" Type="http://schemas.openxmlformats.org/officeDocument/2006/relationships/hyperlink" Target="https://www.cdc.gov.au/cdi" TargetMode="External"/><Relationship Id="rId31" Type="http://schemas.openxmlformats.org/officeDocument/2006/relationships/hyperlink" Target="https://www.dfat.gov.au/geo/torres-strait/the-torres-strait-treaty" TargetMode="External"/><Relationship Id="rId44" Type="http://schemas.openxmlformats.org/officeDocument/2006/relationships/hyperlink" Target="https://www.who.int/teams/global-malaria-programme/reports/world-malaria-report-2024" TargetMode="External"/><Relationship Id="rId52" Type="http://schemas.openxmlformats.org/officeDocument/2006/relationships/hyperlink" Target="https://unaids-ap.org/2025/06/26/national-hiv-crisis-declared-in-papua-new-guinea/" TargetMode="External"/><Relationship Id="rId60" Type="http://schemas.openxmlformats.org/officeDocument/2006/relationships/hyperlink" Target="https://doi.org/10.1080/14787210.2016.1220304" TargetMode="External"/><Relationship Id="rId65" Type="http://schemas.openxmlformats.org/officeDocument/2006/relationships/hyperlink" Target="https://doi.org/10.1038/s41586-019-1622-4"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mailto:cdi.editor@cdc.gov.au" TargetMode="External"/><Relationship Id="rId18" Type="http://schemas.openxmlformats.org/officeDocument/2006/relationships/header" Target="header1.xml"/><Relationship Id="rId39" Type="http://schemas.openxmlformats.org/officeDocument/2006/relationships/hyperlink" Target="https://globalpointofcare.eifu.abbott/en/index.html?product=IN660050" TargetMode="External"/><Relationship Id="rId34" Type="http://schemas.openxmlformats.org/officeDocument/2006/relationships/hyperlink" Target="https://tsirc.qld.gov.au/communities/saibai/" TargetMode="External"/><Relationship Id="rId50" Type="http://schemas.openxmlformats.org/officeDocument/2006/relationships/hyperlink" Target="https://doi.org/10.1111/imj.13994" TargetMode="External"/><Relationship Id="rId55" Type="http://schemas.openxmlformats.org/officeDocument/2006/relationships/hyperlink" Target="https://doi.org/10.1016/S2542-5196(21)00132-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16</TotalTime>
  <Pages>26</Pages>
  <Words>6860</Words>
  <Characters>40684</Characters>
  <Application>Microsoft Office Word</Application>
  <DocSecurity>0</DocSecurity>
  <Lines>813</Lines>
  <Paragraphs>417</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Communicable Diseases Intelligence - Epidemiology of malaria in the Torres Strait Islands, Australia, 2000-2025 and the public health response to three recent outbreaks</vt:lpstr>
      <vt:lpstr>Contents</vt:lpstr>
      <vt:lpstr>Abstract</vt:lpstr>
      <vt:lpstr>    Background</vt:lpstr>
      <vt:lpstr>    Methods</vt:lpstr>
      <vt:lpstr>    Results</vt:lpstr>
      <vt:lpstr>    Discussion and conclusion</vt:lpstr>
      <vt:lpstr>Background</vt:lpstr>
      <vt:lpstr>Methods</vt:lpstr>
      <vt:lpstr>    Epidemiology of malaria, 2000–2025</vt:lpstr>
      <vt:lpstr>    Malaria outbreaks, 2023 and 2025</vt:lpstr>
      <vt:lpstr>        Case definitions</vt:lpstr>
      <vt:lpstr>        Data sources</vt:lpstr>
      <vt:lpstr>    Box 1: Outbreak case definitions</vt:lpstr>
      <vt:lpstr>        Active case finding and testing</vt:lpstr>
      <vt:lpstr>    Ethics</vt:lpstr>
      <vt:lpstr>Results</vt:lpstr>
      <vt:lpstr>    Malaria cases notified in the Torres Strait, 1 January 2000 to 31 December 2025</vt:lpstr>
      <vt:lpstr>        2000–2013</vt:lpstr>
      <vt:lpstr>        2014–2022</vt:lpstr>
      <vt:lpstr>        2023–2025</vt:lpstr>
      <vt:lpstr>    Public health response to three malaria outbreaks in the Torres Strait, 2023 to </vt:lpstr>
      <vt:lpstr>        Pre-outbreak preparation</vt:lpstr>
      <vt:lpstr>        Description of outbreak cases</vt:lpstr>
      <vt:lpstr>        Outbreak response</vt:lpstr>
      <vt:lpstr>        Outbreak closure</vt:lpstr>
      <vt:lpstr>Discussion</vt:lpstr>
      <vt:lpstr>Conclusion</vt:lpstr>
      <vt:lpstr>Acknowledgments</vt:lpstr>
      <vt:lpstr>Author details</vt:lpstr>
      <vt:lpstr>    Corresponding author</vt:lpstr>
      <vt:lpstr>References</vt:lpstr>
      <vt:lpstr>Appendix A</vt:lpstr>
    </vt:vector>
  </TitlesOfParts>
  <Company/>
  <LinksUpToDate>false</LinksUpToDate>
  <CharactersWithSpaces>47127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Epidemiology of malaria in the Torres Strait Islands, Australia, 2000-2025 and the public health response to three recent outbreaks</dc:title>
  <dc:subject>This article describes the successful Torres and Cape Public Health Unit (TCPHU) response to rapidly halt transmission of malaria in three outbreaks in the Torres Strait Islands between 2023 and 2025. Between 2000 and 2025, malaria cases in the Torres Strait Islands fluctuated by year and species, and ongoing collaboration with PNG and local mosquito management is needed to prevent the spread of malaria to mainland Australia.</dc:subject>
  <dc:creator>C Bowers; D Pourmarzi; J Hanson; A Hempenstall; P Dugdale; C Cashman; A Fauid; G Ehlers; J Davis; D Peniyamina; L Stephens; C Taunton</dc:creator>
  <cp:keywords>malaria; outbreak; First Nations health; public health; Aboriginal and Torres Strait Islander people</cp:keywords>
  <dc:description>© 2026 Commonwealth of Australia as represented by the Australian Centre for Disease Control. This publication is licenced under a CC BY-NC-ND licence.</dc:description>
  <cp:revision>4</cp:revision>
  <cp:lastPrinted>2024-03-07T01:06:00Z</cp:lastPrinted>
  <dcterms:created xsi:type="dcterms:W3CDTF">2026-09-30T00:15:00Z</dcterms:created>
  <dcterms:modified xsi:type="dcterms:W3CDTF">2026-10-13T04:33:00Z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doi.org/10.33321/cdi.2026.50.065</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