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CAE4" w14:textId="1AC4C392" w:rsidR="00D22CC8" w:rsidRPr="00B652E8" w:rsidRDefault="00CA2A15" w:rsidP="00B652E8">
      <w:pPr>
        <w:pStyle w:val="CDIPublicationstring"/>
      </w:pPr>
      <w:r w:rsidRPr="00B652E8">
        <w:drawing>
          <wp:anchor distT="0" distB="0" distL="114300" distR="114300" simplePos="0" relativeHeight="251658240" behindDoc="1" locked="1" layoutInCell="1" allowOverlap="1" wp14:anchorId="53712B6F" wp14:editId="60B82D6F">
            <wp:simplePos x="0" y="0"/>
            <wp:positionH relativeFrom="page">
              <wp:posOffset>0</wp:posOffset>
            </wp:positionH>
            <wp:positionV relativeFrom="page">
              <wp:posOffset>0</wp:posOffset>
            </wp:positionV>
            <wp:extent cx="7560000" cy="1620000"/>
            <wp:effectExtent l="0" t="0" r="3175" b="0"/>
            <wp:wrapNone/>
            <wp:docPr id="1160445182" name="Picture 1" descr="Dark and light blue shapes displaying the logo of Communicable Diseases Intelligence and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45182" name="Picture 1" descr="Dark and light blue shapes displaying the logo of Communicable Diseases Intelligence and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rcRect t="1315" b="1315"/>
                    <a:stretch>
                      <a:fillRect/>
                    </a:stretch>
                  </pic:blipFill>
                  <pic:spPr bwMode="auto">
                    <a:xfrm>
                      <a:off x="0" y="0"/>
                      <a:ext cx="75600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fldSimple w:instr=" DOCPROPERTY  Year  \* MERGEFORMAT ">
        <w:r w:rsidR="001C676E">
          <w:t>2026</w:t>
        </w:r>
      </w:fldSimple>
      <w:r w:rsidR="00D22CC8" w:rsidRPr="00B652E8">
        <w:t xml:space="preserve"> • Volume </w:t>
      </w:r>
      <w:fldSimple w:instr=" DOCPROPERTY  Vol  \* MERGEFORMAT ">
        <w:r w:rsidR="001C676E">
          <w:t>50</w:t>
        </w:r>
      </w:fldSimple>
      <w:r w:rsidR="00700338" w:rsidRPr="00B652E8">
        <w:t xml:space="preserve"> • </w:t>
      </w:r>
      <w:hyperlink r:id="rId10" w:history="1">
        <w:r w:rsidR="00700338" w:rsidRPr="00B652E8">
          <w:t>cdc.gov.au/cdi</w:t>
        </w:r>
      </w:hyperlink>
      <w:r w:rsidR="00D22CC8" w:rsidRPr="00B652E8">
        <w:t xml:space="preserve"> •</w:t>
      </w:r>
      <w:r w:rsidR="00700338" w:rsidRPr="00B652E8">
        <w:t xml:space="preserve"> Epub date: </w:t>
      </w:r>
      <w:fldSimple w:instr=" DOCPROPERTY  ePubDate  \* MERGEFORMAT ">
        <w:r w:rsidR="000C194D">
          <w:t>20.10.2026</w:t>
        </w:r>
      </w:fldSimple>
      <w:r w:rsidR="00700338" w:rsidRPr="00B652E8">
        <w:t xml:space="preserve"> • </w:t>
      </w:r>
      <w:fldSimple w:instr=" DOCPROPERTY  DOI  \* MERGEFORMAT ">
        <w:r w:rsidR="000C194D">
          <w:t>doi.org/10.33321/cdi.2026.50.060</w:t>
        </w:r>
      </w:fldSimple>
    </w:p>
    <w:p w14:paraId="02067FFF" w14:textId="34AF5936" w:rsidR="006B16A5" w:rsidRPr="00142578" w:rsidRDefault="000C194D" w:rsidP="00CE2CC7">
      <w:pPr>
        <w:pStyle w:val="Title"/>
      </w:pPr>
      <w:r w:rsidRPr="000C194D">
        <w:t>Australian Gonococcal Surveillance Program, 1 January to 31 March 2026</w:t>
      </w:r>
    </w:p>
    <w:p w14:paraId="4E691428" w14:textId="1B8E5941" w:rsidR="00112436" w:rsidRDefault="000C194D" w:rsidP="00BB3320">
      <w:pPr>
        <w:pStyle w:val="Subtitle"/>
      </w:pPr>
      <w:r w:rsidRPr="000C194D">
        <w:t>Tiffany R Hogan and Monica M Lahra</w:t>
      </w:r>
    </w:p>
    <w:p w14:paraId="2D6A08D0" w14:textId="77777777" w:rsidR="000C194D" w:rsidRPr="000C194D" w:rsidRDefault="000C194D" w:rsidP="000C194D">
      <w:pPr>
        <w:pStyle w:val="Normal-Opening"/>
        <w:rPr>
          <w:lang w:val="en-GB"/>
        </w:rPr>
      </w:pPr>
      <w:r w:rsidRPr="000C194D">
        <w:rPr>
          <w:lang w:val="en-GB"/>
        </w:rPr>
        <w:t xml:space="preserve">The National Neisseria Network (NNN), Australia, established in 1979, comprises reference laboratories in each state and territory. Since 1981, the NNN has reported data for the Australian Gonococcal Surveillance Programme (AGSP), on antimicrobial susceptibility profiles for </w:t>
      </w:r>
      <w:r w:rsidRPr="000C194D">
        <w:rPr>
          <w:i/>
          <w:iCs/>
          <w:lang w:val="en-GB"/>
        </w:rPr>
        <w:t>Neisseria gonorrhoeae</w:t>
      </w:r>
      <w:r w:rsidRPr="000C194D">
        <w:rPr>
          <w:lang w:val="en-GB"/>
        </w:rPr>
        <w:t xml:space="preserve"> isolated from each jurisdiction for an agreed group of agents. In 2026, the quarterly surveillance reports present data for antibiotics currently used for the treatment of gonorrhoea in Australia, ceftriaxone and azithromycin. Antimicrobial resistance data for ciprofloxacin, penicillin, and more recently, gentamicin and tetracycline are included in the AGSP Annual Report. </w:t>
      </w:r>
    </w:p>
    <w:p w14:paraId="7FFEBF7D" w14:textId="34BC898C" w:rsidR="00112436" w:rsidRPr="000C194D" w:rsidRDefault="000C194D" w:rsidP="000C194D">
      <w:pPr>
        <w:pStyle w:val="Normal-morespaceafter"/>
        <w:rPr>
          <w:lang w:val="en-GB"/>
        </w:rPr>
      </w:pPr>
      <w:r w:rsidRPr="000C194D">
        <w:rPr>
          <w:lang w:val="en-GB"/>
        </w:rPr>
        <w:t xml:space="preserve">Ceftriaxone, combined with azithromycin, is the recommended treatment regimen for gonorrhoea in Australia. Historically, there were substantial geographic differences in susceptibility patterns across the country, with certain remote regions of the Northern Territory and Western Australia having low gonococcal antimicrobial resistance rates. In these regions, an oral treatment regimen comprising amoxycillin, probenecid, and azithromycin was recommended. Since January 2023, increased detections of penicillin resistant </w:t>
      </w:r>
      <w:r w:rsidRPr="000C194D">
        <w:rPr>
          <w:i/>
          <w:iCs/>
          <w:lang w:val="en-GB"/>
        </w:rPr>
        <w:t>N. gonorrhoeae</w:t>
      </w:r>
      <w:r w:rsidRPr="000C194D">
        <w:rPr>
          <w:lang w:val="en-GB"/>
        </w:rPr>
        <w:t xml:space="preserve"> in the Northern Territory have led to treatment recommendations being aligned with those used in the majority of Australia.</w:t>
      </w:r>
      <w:r w:rsidRPr="000C194D">
        <w:rPr>
          <w:vertAlign w:val="superscript"/>
          <w:lang w:val="en-GB"/>
        </w:rPr>
        <w:t>1</w:t>
      </w:r>
      <w:r w:rsidRPr="000C194D">
        <w:rPr>
          <w:lang w:val="en-GB"/>
        </w:rPr>
        <w:t xml:space="preserve"> Antimicrobial resistance data reported by the AGSP are supported by a programme-specific quality assurance process. </w:t>
      </w:r>
      <w:r w:rsidR="00112436" w:rsidRPr="000C194D">
        <w:rPr>
          <w:lang w:val="en-GB"/>
        </w:rPr>
        <w:br w:type="page"/>
      </w:r>
    </w:p>
    <w:p w14:paraId="52462203" w14:textId="77777777" w:rsidR="008A0736" w:rsidRDefault="000073ED" w:rsidP="00112436">
      <w:pPr>
        <w:pStyle w:val="Heading1-noline"/>
      </w:pPr>
      <w:bookmarkStart w:id="0" w:name="_Toc195530503"/>
      <w:bookmarkStart w:id="1" w:name="_Toc201743691"/>
      <w:r>
        <w:lastRenderedPageBreak/>
        <w:t>Results</w:t>
      </w:r>
      <w:bookmarkEnd w:id="0"/>
      <w:bookmarkEnd w:id="1"/>
    </w:p>
    <w:p w14:paraId="5C978907" w14:textId="77777777" w:rsidR="000C194D" w:rsidRPr="000C194D" w:rsidRDefault="000C194D" w:rsidP="000C194D">
      <w:pPr>
        <w:rPr>
          <w:lang w:val="en-GB"/>
        </w:rPr>
      </w:pPr>
      <w:r w:rsidRPr="000C194D">
        <w:rPr>
          <w:lang w:val="en-GB"/>
        </w:rPr>
        <w:t xml:space="preserve">Table 1 provides a summary of the proportion of </w:t>
      </w:r>
      <w:r w:rsidRPr="000C194D">
        <w:rPr>
          <w:i/>
          <w:iCs/>
          <w:lang w:val="en-GB"/>
        </w:rPr>
        <w:t>Neisseria gonorrhoeae</w:t>
      </w:r>
      <w:r w:rsidRPr="000C194D">
        <w:rPr>
          <w:lang w:val="en-GB"/>
        </w:rPr>
        <w:t xml:space="preserve"> isolates resistant to azithromycin for Quarter 1, 2026.</w:t>
      </w:r>
    </w:p>
    <w:p w14:paraId="3C70CB27" w14:textId="24C4A358" w:rsidR="000C194D" w:rsidRPr="000C194D" w:rsidRDefault="000C194D" w:rsidP="000C194D">
      <w:pPr>
        <w:pStyle w:val="CDITable-Title"/>
        <w:rPr>
          <w:lang w:val="en-GB"/>
        </w:rPr>
      </w:pPr>
      <w:r w:rsidRPr="000C194D">
        <w:rPr>
          <w:lang w:val="en-GB"/>
        </w:rPr>
        <w:t>Table 1: Gonococcal isolates resistant to azithromycin, Australia, 1 January to 31</w:t>
      </w:r>
      <w:r>
        <w:rPr>
          <w:lang w:val="en-GB"/>
        </w:rPr>
        <w:t> </w:t>
      </w:r>
      <w:r w:rsidRPr="000C194D">
        <w:rPr>
          <w:lang w:val="en-GB"/>
        </w:rPr>
        <w:t>March</w:t>
      </w:r>
      <w:r>
        <w:rPr>
          <w:lang w:val="en-GB"/>
        </w:rPr>
        <w:t> </w:t>
      </w:r>
      <w:r w:rsidRPr="000C194D">
        <w:rPr>
          <w:lang w:val="en-GB"/>
        </w:rPr>
        <w:t>2026,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Gonococcal isolates resistant to azithromycin, Australia, 1 January to 31 March 2026, by state or territory"/>
        <w:tblDescription w:val="Table 1 shows the proportion of gonococcal isolates resistant to azithromycin in Australia, as reported by state or territory for the period 1 January to 31 March 2026. "/>
      </w:tblPr>
      <w:tblGrid>
        <w:gridCol w:w="3175"/>
        <w:gridCol w:w="2494"/>
        <w:gridCol w:w="1985"/>
        <w:gridCol w:w="1984"/>
      </w:tblGrid>
      <w:tr w:rsidR="000C194D" w:rsidRPr="000C194D" w14:paraId="14E95C2A" w14:textId="77777777" w:rsidTr="00644F78">
        <w:trPr>
          <w:trHeight w:val="60"/>
          <w:tblHeader/>
        </w:trPr>
        <w:tc>
          <w:tcPr>
            <w:tcW w:w="3175" w:type="dxa"/>
            <w:vMerge w:val="restart"/>
            <w:shd w:val="clear" w:color="auto" w:fill="1E4496" w:themeFill="text2"/>
            <w:tcMar>
              <w:top w:w="102" w:type="dxa"/>
              <w:left w:w="113" w:type="dxa"/>
              <w:bottom w:w="102" w:type="dxa"/>
              <w:right w:w="113" w:type="dxa"/>
            </w:tcMar>
            <w:vAlign w:val="bottom"/>
          </w:tcPr>
          <w:p w14:paraId="4E2E6970" w14:textId="77777777" w:rsidR="000C194D" w:rsidRPr="000C194D" w:rsidRDefault="000C194D" w:rsidP="000C194D">
            <w:pPr>
              <w:pStyle w:val="CDITable-HeaderRowLeft"/>
              <w:rPr>
                <w:lang w:val="en-GB"/>
              </w:rPr>
            </w:pPr>
            <w:r w:rsidRPr="000C194D">
              <w:rPr>
                <w:lang w:val="en-GB"/>
              </w:rPr>
              <w:t>Jurisdiction</w:t>
            </w:r>
          </w:p>
        </w:tc>
        <w:tc>
          <w:tcPr>
            <w:tcW w:w="2494" w:type="dxa"/>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658FD875" w14:textId="77777777" w:rsidR="000C194D" w:rsidRPr="000C194D" w:rsidRDefault="000C194D" w:rsidP="000C194D">
            <w:pPr>
              <w:pStyle w:val="CDITable-HeaderRowCentre"/>
            </w:pPr>
            <w:r w:rsidRPr="000C194D">
              <w:t>Number of isolates tested</w:t>
            </w:r>
          </w:p>
        </w:tc>
        <w:tc>
          <w:tcPr>
            <w:tcW w:w="3969"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5A6FFA7C" w14:textId="77777777" w:rsidR="000C194D" w:rsidRPr="000C194D" w:rsidRDefault="000C194D" w:rsidP="000C194D">
            <w:pPr>
              <w:pStyle w:val="CDITable-HeaderRowCentre"/>
            </w:pPr>
            <w:r w:rsidRPr="000C194D">
              <w:t xml:space="preserve">Resistance to </w:t>
            </w:r>
            <w:proofErr w:type="spellStart"/>
            <w:r w:rsidRPr="000C194D">
              <w:t>azithromycin</w:t>
            </w:r>
            <w:r w:rsidRPr="000C194D">
              <w:rPr>
                <w:vertAlign w:val="superscript"/>
              </w:rPr>
              <w:t>a</w:t>
            </w:r>
            <w:proofErr w:type="spellEnd"/>
          </w:p>
        </w:tc>
      </w:tr>
      <w:tr w:rsidR="000C194D" w:rsidRPr="000C194D" w14:paraId="33A4DD1A" w14:textId="77777777" w:rsidTr="00644F78">
        <w:trPr>
          <w:trHeight w:val="60"/>
          <w:tblHeader/>
        </w:trPr>
        <w:tc>
          <w:tcPr>
            <w:tcW w:w="3175" w:type="dxa"/>
            <w:vMerge/>
            <w:shd w:val="clear" w:color="auto" w:fill="1E4496" w:themeFill="text2"/>
            <w:tcMar>
              <w:top w:w="102" w:type="dxa"/>
              <w:bottom w:w="102" w:type="dxa"/>
            </w:tcMar>
          </w:tcPr>
          <w:p w14:paraId="57816710" w14:textId="77777777" w:rsidR="000C194D" w:rsidRPr="000C194D" w:rsidRDefault="000C194D" w:rsidP="000C194D"/>
        </w:tc>
        <w:tc>
          <w:tcPr>
            <w:tcW w:w="2494" w:type="dxa"/>
            <w:tcBorders>
              <w:top w:val="single" w:sz="6" w:space="0" w:color="FFFFFF" w:themeColor="background1"/>
              <w:right w:val="single" w:sz="6" w:space="0" w:color="FFFFFF" w:themeColor="background1"/>
            </w:tcBorders>
            <w:shd w:val="clear" w:color="auto" w:fill="1E4496" w:themeFill="text2"/>
            <w:tcMar>
              <w:top w:w="102" w:type="dxa"/>
              <w:left w:w="113" w:type="dxa"/>
              <w:bottom w:w="102" w:type="dxa"/>
              <w:right w:w="113" w:type="dxa"/>
            </w:tcMar>
            <w:vAlign w:val="bottom"/>
          </w:tcPr>
          <w:p w14:paraId="1A5BA64F" w14:textId="77777777" w:rsidR="000C194D" w:rsidRPr="000C194D" w:rsidRDefault="000C194D" w:rsidP="000C194D">
            <w:pPr>
              <w:pStyle w:val="CDITable-HeaderRowCentre"/>
            </w:pPr>
            <w:r w:rsidRPr="000C194D">
              <w:t>Q1 2026</w:t>
            </w:r>
          </w:p>
        </w:tc>
        <w:tc>
          <w:tcPr>
            <w:tcW w:w="1985"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4907E1D7" w14:textId="77777777" w:rsidR="000C194D" w:rsidRPr="000C194D" w:rsidRDefault="000C194D" w:rsidP="000C194D">
            <w:pPr>
              <w:pStyle w:val="CDITable-HeaderRowCentre"/>
            </w:pPr>
            <w:r w:rsidRPr="000C194D">
              <w:t>n</w:t>
            </w:r>
          </w:p>
        </w:tc>
        <w:tc>
          <w:tcPr>
            <w:tcW w:w="1984"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4E6FD756" w14:textId="77777777" w:rsidR="000C194D" w:rsidRPr="000C194D" w:rsidRDefault="000C194D" w:rsidP="000C194D">
            <w:pPr>
              <w:pStyle w:val="CDITable-HeaderRowCentre"/>
            </w:pPr>
            <w:r w:rsidRPr="000C194D">
              <w:t>%</w:t>
            </w:r>
          </w:p>
        </w:tc>
      </w:tr>
      <w:tr w:rsidR="000C194D" w:rsidRPr="000C194D" w14:paraId="61B0EF2D" w14:textId="77777777" w:rsidTr="00644F78">
        <w:trPr>
          <w:trHeight w:val="60"/>
        </w:trPr>
        <w:tc>
          <w:tcPr>
            <w:tcW w:w="3175" w:type="dxa"/>
            <w:shd w:val="solid" w:color="FFFFFF" w:fill="auto"/>
            <w:tcMar>
              <w:top w:w="102" w:type="dxa"/>
              <w:left w:w="113" w:type="dxa"/>
              <w:bottom w:w="102" w:type="dxa"/>
              <w:right w:w="113" w:type="dxa"/>
            </w:tcMar>
            <w:vAlign w:val="center"/>
          </w:tcPr>
          <w:p w14:paraId="56C306A3" w14:textId="77777777" w:rsidR="000C194D" w:rsidRPr="000C194D" w:rsidRDefault="000C194D" w:rsidP="000C194D">
            <w:pPr>
              <w:pStyle w:val="CDITable-RowLeft"/>
              <w:rPr>
                <w:lang w:val="en-GB"/>
              </w:rPr>
            </w:pPr>
            <w:r w:rsidRPr="000C194D">
              <w:rPr>
                <w:lang w:val="en-GB"/>
              </w:rPr>
              <w:t>Australian Capital Territory</w:t>
            </w:r>
          </w:p>
        </w:tc>
        <w:tc>
          <w:tcPr>
            <w:tcW w:w="2494" w:type="dxa"/>
            <w:shd w:val="clear" w:color="auto" w:fill="DCF4FC" w:themeFill="background2" w:themeFillTint="33"/>
            <w:tcMar>
              <w:top w:w="102" w:type="dxa"/>
              <w:left w:w="113" w:type="dxa"/>
              <w:bottom w:w="102" w:type="dxa"/>
              <w:right w:w="113" w:type="dxa"/>
            </w:tcMar>
            <w:vAlign w:val="center"/>
          </w:tcPr>
          <w:p w14:paraId="12E26D0A" w14:textId="77777777" w:rsidR="000C194D" w:rsidRPr="000C194D" w:rsidRDefault="000C194D" w:rsidP="000C194D">
            <w:pPr>
              <w:pStyle w:val="CDITable-RowCentre"/>
              <w:rPr>
                <w:lang w:val="en-GB"/>
              </w:rPr>
            </w:pPr>
            <w:r w:rsidRPr="000C194D">
              <w:rPr>
                <w:lang w:val="en-GB"/>
              </w:rPr>
              <w:t>64</w:t>
            </w:r>
          </w:p>
        </w:tc>
        <w:tc>
          <w:tcPr>
            <w:tcW w:w="1985" w:type="dxa"/>
            <w:shd w:val="solid" w:color="FFFFFF" w:fill="auto"/>
            <w:tcMar>
              <w:top w:w="102" w:type="dxa"/>
              <w:left w:w="113" w:type="dxa"/>
              <w:bottom w:w="102" w:type="dxa"/>
              <w:right w:w="113" w:type="dxa"/>
            </w:tcMar>
            <w:vAlign w:val="center"/>
          </w:tcPr>
          <w:p w14:paraId="137DD999" w14:textId="77777777" w:rsidR="000C194D" w:rsidRPr="000C194D" w:rsidRDefault="000C194D" w:rsidP="000C194D">
            <w:pPr>
              <w:pStyle w:val="CDITable-RowCentre"/>
              <w:rPr>
                <w:lang w:val="en-GB"/>
              </w:rPr>
            </w:pPr>
            <w:r w:rsidRPr="000C194D">
              <w:rPr>
                <w:lang w:val="en-GB"/>
              </w:rPr>
              <w:t>5</w:t>
            </w:r>
          </w:p>
        </w:tc>
        <w:tc>
          <w:tcPr>
            <w:tcW w:w="1984" w:type="dxa"/>
            <w:shd w:val="solid" w:color="FFFFFF" w:fill="auto"/>
            <w:tcMar>
              <w:top w:w="102" w:type="dxa"/>
              <w:left w:w="113" w:type="dxa"/>
              <w:bottom w:w="102" w:type="dxa"/>
              <w:right w:w="113" w:type="dxa"/>
            </w:tcMar>
            <w:vAlign w:val="center"/>
          </w:tcPr>
          <w:p w14:paraId="5E118890" w14:textId="77777777" w:rsidR="000C194D" w:rsidRPr="000C194D" w:rsidRDefault="000C194D" w:rsidP="000C194D">
            <w:pPr>
              <w:pStyle w:val="CDITable-RowCentre"/>
              <w:rPr>
                <w:lang w:val="en-GB"/>
              </w:rPr>
            </w:pPr>
            <w:r w:rsidRPr="000C194D">
              <w:rPr>
                <w:lang w:val="en-GB"/>
              </w:rPr>
              <w:t>7.8</w:t>
            </w:r>
            <w:r w:rsidRPr="000C194D">
              <w:rPr>
                <w:vertAlign w:val="superscript"/>
                <w:lang w:val="en-GB"/>
              </w:rPr>
              <w:t>b</w:t>
            </w:r>
          </w:p>
        </w:tc>
      </w:tr>
      <w:tr w:rsidR="000C194D" w:rsidRPr="000C194D" w14:paraId="16443CDC" w14:textId="77777777" w:rsidTr="00644F78">
        <w:trPr>
          <w:trHeight w:val="60"/>
        </w:trPr>
        <w:tc>
          <w:tcPr>
            <w:tcW w:w="3175" w:type="dxa"/>
            <w:tcMar>
              <w:top w:w="102" w:type="dxa"/>
              <w:left w:w="113" w:type="dxa"/>
              <w:bottom w:w="102" w:type="dxa"/>
              <w:right w:w="113" w:type="dxa"/>
            </w:tcMar>
            <w:vAlign w:val="center"/>
          </w:tcPr>
          <w:p w14:paraId="5BD47CA5" w14:textId="77777777" w:rsidR="000C194D" w:rsidRPr="000C194D" w:rsidRDefault="000C194D" w:rsidP="000C194D">
            <w:pPr>
              <w:pStyle w:val="CDITable-RowLeft"/>
              <w:rPr>
                <w:lang w:val="en-GB"/>
              </w:rPr>
            </w:pPr>
            <w:r w:rsidRPr="000C194D">
              <w:rPr>
                <w:lang w:val="en-GB"/>
              </w:rPr>
              <w:t>New South Wales</w:t>
            </w:r>
          </w:p>
        </w:tc>
        <w:tc>
          <w:tcPr>
            <w:tcW w:w="2494" w:type="dxa"/>
            <w:shd w:val="clear" w:color="auto" w:fill="DCF4FC" w:themeFill="background2" w:themeFillTint="33"/>
            <w:tcMar>
              <w:top w:w="102" w:type="dxa"/>
              <w:left w:w="113" w:type="dxa"/>
              <w:bottom w:w="102" w:type="dxa"/>
              <w:right w:w="113" w:type="dxa"/>
            </w:tcMar>
            <w:vAlign w:val="center"/>
          </w:tcPr>
          <w:p w14:paraId="01BEA3FB" w14:textId="77777777" w:rsidR="000C194D" w:rsidRPr="000C194D" w:rsidRDefault="000C194D" w:rsidP="000C194D">
            <w:pPr>
              <w:pStyle w:val="CDITable-RowCentre"/>
              <w:rPr>
                <w:lang w:val="en-GB"/>
              </w:rPr>
            </w:pPr>
            <w:r w:rsidRPr="000C194D">
              <w:rPr>
                <w:lang w:val="en-GB"/>
              </w:rPr>
              <w:t>906</w:t>
            </w:r>
          </w:p>
        </w:tc>
        <w:tc>
          <w:tcPr>
            <w:tcW w:w="1985" w:type="dxa"/>
            <w:tcMar>
              <w:top w:w="102" w:type="dxa"/>
              <w:left w:w="113" w:type="dxa"/>
              <w:bottom w:w="102" w:type="dxa"/>
              <w:right w:w="113" w:type="dxa"/>
            </w:tcMar>
            <w:vAlign w:val="center"/>
          </w:tcPr>
          <w:p w14:paraId="09A58617" w14:textId="77777777" w:rsidR="000C194D" w:rsidRPr="000C194D" w:rsidRDefault="000C194D" w:rsidP="000C194D">
            <w:pPr>
              <w:pStyle w:val="CDITable-RowCentre"/>
              <w:rPr>
                <w:lang w:val="en-GB"/>
              </w:rPr>
            </w:pPr>
            <w:r w:rsidRPr="000C194D">
              <w:rPr>
                <w:lang w:val="en-GB"/>
              </w:rPr>
              <w:t>85</w:t>
            </w:r>
          </w:p>
        </w:tc>
        <w:tc>
          <w:tcPr>
            <w:tcW w:w="1984" w:type="dxa"/>
            <w:tcMar>
              <w:top w:w="102" w:type="dxa"/>
              <w:left w:w="113" w:type="dxa"/>
              <w:bottom w:w="102" w:type="dxa"/>
              <w:right w:w="113" w:type="dxa"/>
            </w:tcMar>
            <w:vAlign w:val="center"/>
          </w:tcPr>
          <w:p w14:paraId="2E15D2C9" w14:textId="77777777" w:rsidR="000C194D" w:rsidRPr="000C194D" w:rsidRDefault="000C194D" w:rsidP="000C194D">
            <w:pPr>
              <w:pStyle w:val="CDITable-RowCentre"/>
              <w:rPr>
                <w:lang w:val="en-GB"/>
              </w:rPr>
            </w:pPr>
            <w:r w:rsidRPr="000C194D">
              <w:rPr>
                <w:lang w:val="en-GB"/>
              </w:rPr>
              <w:t>9.4</w:t>
            </w:r>
          </w:p>
        </w:tc>
      </w:tr>
      <w:tr w:rsidR="000C194D" w:rsidRPr="000C194D" w14:paraId="49DE9FC6" w14:textId="77777777" w:rsidTr="00644F78">
        <w:trPr>
          <w:trHeight w:val="60"/>
        </w:trPr>
        <w:tc>
          <w:tcPr>
            <w:tcW w:w="3175" w:type="dxa"/>
            <w:tcMar>
              <w:top w:w="102" w:type="dxa"/>
              <w:left w:w="113" w:type="dxa"/>
              <w:bottom w:w="102" w:type="dxa"/>
              <w:right w:w="113" w:type="dxa"/>
            </w:tcMar>
            <w:vAlign w:val="center"/>
          </w:tcPr>
          <w:p w14:paraId="52DF71F7" w14:textId="77777777" w:rsidR="000C194D" w:rsidRPr="000C194D" w:rsidRDefault="000C194D" w:rsidP="000C194D">
            <w:pPr>
              <w:pStyle w:val="CDITable-RowLeft"/>
              <w:rPr>
                <w:lang w:val="en-GB"/>
              </w:rPr>
            </w:pPr>
            <w:r w:rsidRPr="000C194D">
              <w:rPr>
                <w:lang w:val="en-GB"/>
              </w:rPr>
              <w:t>Queensland</w:t>
            </w:r>
          </w:p>
        </w:tc>
        <w:tc>
          <w:tcPr>
            <w:tcW w:w="2494" w:type="dxa"/>
            <w:shd w:val="clear" w:color="auto" w:fill="DCF4FC" w:themeFill="background2" w:themeFillTint="33"/>
            <w:tcMar>
              <w:top w:w="102" w:type="dxa"/>
              <w:left w:w="113" w:type="dxa"/>
              <w:bottom w:w="102" w:type="dxa"/>
              <w:right w:w="113" w:type="dxa"/>
            </w:tcMar>
            <w:vAlign w:val="center"/>
          </w:tcPr>
          <w:p w14:paraId="6123EF1A" w14:textId="77777777" w:rsidR="000C194D" w:rsidRPr="000C194D" w:rsidRDefault="000C194D" w:rsidP="000C194D">
            <w:pPr>
              <w:pStyle w:val="CDITable-RowCentre"/>
              <w:rPr>
                <w:lang w:val="en-GB"/>
              </w:rPr>
            </w:pPr>
            <w:r w:rsidRPr="000C194D">
              <w:rPr>
                <w:lang w:val="en-GB"/>
              </w:rPr>
              <w:t>417</w:t>
            </w:r>
          </w:p>
        </w:tc>
        <w:tc>
          <w:tcPr>
            <w:tcW w:w="1985" w:type="dxa"/>
            <w:tcMar>
              <w:top w:w="102" w:type="dxa"/>
              <w:left w:w="113" w:type="dxa"/>
              <w:bottom w:w="102" w:type="dxa"/>
              <w:right w:w="113" w:type="dxa"/>
            </w:tcMar>
            <w:vAlign w:val="center"/>
          </w:tcPr>
          <w:p w14:paraId="3A989CDA" w14:textId="77777777" w:rsidR="000C194D" w:rsidRPr="000C194D" w:rsidRDefault="000C194D" w:rsidP="000C194D">
            <w:pPr>
              <w:pStyle w:val="CDITable-RowCentre"/>
              <w:rPr>
                <w:lang w:val="en-GB"/>
              </w:rPr>
            </w:pPr>
            <w:r w:rsidRPr="000C194D">
              <w:rPr>
                <w:lang w:val="en-GB"/>
              </w:rPr>
              <w:t>89</w:t>
            </w:r>
          </w:p>
        </w:tc>
        <w:tc>
          <w:tcPr>
            <w:tcW w:w="1984" w:type="dxa"/>
            <w:tcMar>
              <w:top w:w="102" w:type="dxa"/>
              <w:left w:w="113" w:type="dxa"/>
              <w:bottom w:w="102" w:type="dxa"/>
              <w:right w:w="113" w:type="dxa"/>
            </w:tcMar>
            <w:vAlign w:val="center"/>
          </w:tcPr>
          <w:p w14:paraId="0BC619F6" w14:textId="77777777" w:rsidR="000C194D" w:rsidRPr="000C194D" w:rsidRDefault="000C194D" w:rsidP="000C194D">
            <w:pPr>
              <w:pStyle w:val="CDITable-RowCentre"/>
              <w:rPr>
                <w:lang w:val="en-GB"/>
              </w:rPr>
            </w:pPr>
            <w:r w:rsidRPr="000C194D">
              <w:rPr>
                <w:lang w:val="en-GB"/>
              </w:rPr>
              <w:t>21.3</w:t>
            </w:r>
          </w:p>
        </w:tc>
      </w:tr>
      <w:tr w:rsidR="000C194D" w:rsidRPr="000C194D" w14:paraId="6ABAF2B3" w14:textId="77777777" w:rsidTr="00644F78">
        <w:trPr>
          <w:trHeight w:val="60"/>
        </w:trPr>
        <w:tc>
          <w:tcPr>
            <w:tcW w:w="3175" w:type="dxa"/>
            <w:tcMar>
              <w:top w:w="102" w:type="dxa"/>
              <w:left w:w="113" w:type="dxa"/>
              <w:bottom w:w="102" w:type="dxa"/>
              <w:right w:w="113" w:type="dxa"/>
            </w:tcMar>
            <w:vAlign w:val="center"/>
          </w:tcPr>
          <w:p w14:paraId="7CA44B9D" w14:textId="77777777" w:rsidR="000C194D" w:rsidRPr="000C194D" w:rsidRDefault="000C194D" w:rsidP="000C194D">
            <w:pPr>
              <w:pStyle w:val="CDITable-RowLeft"/>
              <w:rPr>
                <w:lang w:val="en-GB"/>
              </w:rPr>
            </w:pPr>
            <w:r w:rsidRPr="000C194D">
              <w:rPr>
                <w:lang w:val="en-GB"/>
              </w:rPr>
              <w:t>South Australia</w:t>
            </w:r>
          </w:p>
        </w:tc>
        <w:tc>
          <w:tcPr>
            <w:tcW w:w="2494" w:type="dxa"/>
            <w:shd w:val="clear" w:color="auto" w:fill="DCF4FC" w:themeFill="background2" w:themeFillTint="33"/>
            <w:tcMar>
              <w:top w:w="102" w:type="dxa"/>
              <w:left w:w="113" w:type="dxa"/>
              <w:bottom w:w="102" w:type="dxa"/>
              <w:right w:w="113" w:type="dxa"/>
            </w:tcMar>
            <w:vAlign w:val="center"/>
          </w:tcPr>
          <w:p w14:paraId="45F5BA53" w14:textId="77777777" w:rsidR="000C194D" w:rsidRPr="000C194D" w:rsidRDefault="000C194D" w:rsidP="000C194D">
            <w:pPr>
              <w:pStyle w:val="CDITable-RowCentre"/>
              <w:rPr>
                <w:lang w:val="en-GB"/>
              </w:rPr>
            </w:pPr>
            <w:r w:rsidRPr="000C194D">
              <w:rPr>
                <w:lang w:val="en-GB"/>
              </w:rPr>
              <w:t>160</w:t>
            </w:r>
          </w:p>
        </w:tc>
        <w:tc>
          <w:tcPr>
            <w:tcW w:w="1985" w:type="dxa"/>
            <w:tcMar>
              <w:top w:w="102" w:type="dxa"/>
              <w:left w:w="113" w:type="dxa"/>
              <w:bottom w:w="102" w:type="dxa"/>
              <w:right w:w="113" w:type="dxa"/>
            </w:tcMar>
            <w:vAlign w:val="center"/>
          </w:tcPr>
          <w:p w14:paraId="7EF9D864" w14:textId="77777777" w:rsidR="000C194D" w:rsidRPr="000C194D" w:rsidRDefault="000C194D" w:rsidP="000C194D">
            <w:pPr>
              <w:pStyle w:val="CDITable-RowCentre"/>
              <w:rPr>
                <w:lang w:val="en-GB"/>
              </w:rPr>
            </w:pPr>
            <w:r w:rsidRPr="000C194D">
              <w:rPr>
                <w:lang w:val="en-GB"/>
              </w:rPr>
              <w:t>9</w:t>
            </w:r>
          </w:p>
        </w:tc>
        <w:tc>
          <w:tcPr>
            <w:tcW w:w="1984" w:type="dxa"/>
            <w:tcMar>
              <w:top w:w="102" w:type="dxa"/>
              <w:left w:w="113" w:type="dxa"/>
              <w:bottom w:w="102" w:type="dxa"/>
              <w:right w:w="113" w:type="dxa"/>
            </w:tcMar>
            <w:vAlign w:val="center"/>
          </w:tcPr>
          <w:p w14:paraId="51EF7727" w14:textId="77777777" w:rsidR="000C194D" w:rsidRPr="000C194D" w:rsidRDefault="000C194D" w:rsidP="000C194D">
            <w:pPr>
              <w:pStyle w:val="CDITable-RowCentre"/>
              <w:rPr>
                <w:lang w:val="en-GB"/>
              </w:rPr>
            </w:pPr>
            <w:r w:rsidRPr="000C194D">
              <w:rPr>
                <w:lang w:val="en-GB"/>
              </w:rPr>
              <w:t>5.6</w:t>
            </w:r>
          </w:p>
        </w:tc>
      </w:tr>
      <w:tr w:rsidR="000C194D" w:rsidRPr="000C194D" w14:paraId="0A2EB4C0" w14:textId="77777777" w:rsidTr="00644F78">
        <w:trPr>
          <w:trHeight w:val="60"/>
        </w:trPr>
        <w:tc>
          <w:tcPr>
            <w:tcW w:w="3175" w:type="dxa"/>
            <w:tcMar>
              <w:top w:w="102" w:type="dxa"/>
              <w:left w:w="113" w:type="dxa"/>
              <w:bottom w:w="102" w:type="dxa"/>
              <w:right w:w="113" w:type="dxa"/>
            </w:tcMar>
            <w:vAlign w:val="center"/>
          </w:tcPr>
          <w:p w14:paraId="20FDAD92" w14:textId="77777777" w:rsidR="000C194D" w:rsidRPr="000C194D" w:rsidRDefault="000C194D" w:rsidP="000C194D">
            <w:pPr>
              <w:pStyle w:val="CDITable-RowLeft"/>
              <w:rPr>
                <w:lang w:val="en-GB"/>
              </w:rPr>
            </w:pPr>
            <w:r w:rsidRPr="000C194D">
              <w:rPr>
                <w:lang w:val="en-GB"/>
              </w:rPr>
              <w:t>Tasmania</w:t>
            </w:r>
          </w:p>
        </w:tc>
        <w:tc>
          <w:tcPr>
            <w:tcW w:w="2494" w:type="dxa"/>
            <w:shd w:val="clear" w:color="auto" w:fill="DCF4FC" w:themeFill="background2" w:themeFillTint="33"/>
            <w:tcMar>
              <w:top w:w="102" w:type="dxa"/>
              <w:left w:w="113" w:type="dxa"/>
              <w:bottom w:w="102" w:type="dxa"/>
              <w:right w:w="113" w:type="dxa"/>
            </w:tcMar>
            <w:vAlign w:val="center"/>
          </w:tcPr>
          <w:p w14:paraId="3EF88D23" w14:textId="77777777" w:rsidR="000C194D" w:rsidRPr="000C194D" w:rsidRDefault="000C194D" w:rsidP="000C194D">
            <w:pPr>
              <w:pStyle w:val="CDITable-RowCentre"/>
              <w:rPr>
                <w:lang w:val="en-GB"/>
              </w:rPr>
            </w:pPr>
            <w:r w:rsidRPr="000C194D">
              <w:rPr>
                <w:lang w:val="en-GB"/>
              </w:rPr>
              <w:t>29</w:t>
            </w:r>
          </w:p>
        </w:tc>
        <w:tc>
          <w:tcPr>
            <w:tcW w:w="1985" w:type="dxa"/>
            <w:tcMar>
              <w:top w:w="102" w:type="dxa"/>
              <w:left w:w="113" w:type="dxa"/>
              <w:bottom w:w="102" w:type="dxa"/>
              <w:right w:w="113" w:type="dxa"/>
            </w:tcMar>
            <w:vAlign w:val="center"/>
          </w:tcPr>
          <w:p w14:paraId="604B3C0C" w14:textId="77777777" w:rsidR="000C194D" w:rsidRPr="000C194D" w:rsidRDefault="000C194D" w:rsidP="000C194D">
            <w:pPr>
              <w:pStyle w:val="CDITable-RowCentre"/>
              <w:rPr>
                <w:lang w:val="en-GB"/>
              </w:rPr>
            </w:pPr>
            <w:r w:rsidRPr="000C194D">
              <w:rPr>
                <w:lang w:val="en-GB"/>
              </w:rPr>
              <w:t>3</w:t>
            </w:r>
          </w:p>
        </w:tc>
        <w:tc>
          <w:tcPr>
            <w:tcW w:w="1984" w:type="dxa"/>
            <w:tcMar>
              <w:top w:w="102" w:type="dxa"/>
              <w:left w:w="113" w:type="dxa"/>
              <w:bottom w:w="102" w:type="dxa"/>
              <w:right w:w="113" w:type="dxa"/>
            </w:tcMar>
            <w:vAlign w:val="center"/>
          </w:tcPr>
          <w:p w14:paraId="414B8B60" w14:textId="77777777" w:rsidR="000C194D" w:rsidRPr="000C194D" w:rsidRDefault="000C194D" w:rsidP="000C194D">
            <w:pPr>
              <w:pStyle w:val="CDITable-RowCentre"/>
              <w:rPr>
                <w:lang w:val="en-GB"/>
              </w:rPr>
            </w:pPr>
            <w:r w:rsidRPr="000C194D">
              <w:rPr>
                <w:lang w:val="en-GB"/>
              </w:rPr>
              <w:t>10.3</w:t>
            </w:r>
            <w:r w:rsidRPr="000C194D">
              <w:rPr>
                <w:vertAlign w:val="superscript"/>
                <w:lang w:val="en-GB"/>
              </w:rPr>
              <w:t>b</w:t>
            </w:r>
          </w:p>
        </w:tc>
      </w:tr>
      <w:tr w:rsidR="000C194D" w:rsidRPr="000C194D" w14:paraId="5CB5D31F" w14:textId="77777777" w:rsidTr="00644F78">
        <w:trPr>
          <w:trHeight w:val="60"/>
        </w:trPr>
        <w:tc>
          <w:tcPr>
            <w:tcW w:w="3175" w:type="dxa"/>
            <w:tcMar>
              <w:top w:w="102" w:type="dxa"/>
              <w:left w:w="113" w:type="dxa"/>
              <w:bottom w:w="102" w:type="dxa"/>
              <w:right w:w="113" w:type="dxa"/>
            </w:tcMar>
            <w:vAlign w:val="center"/>
          </w:tcPr>
          <w:p w14:paraId="3CD8D92E" w14:textId="77777777" w:rsidR="000C194D" w:rsidRPr="000C194D" w:rsidRDefault="000C194D" w:rsidP="000C194D">
            <w:pPr>
              <w:pStyle w:val="CDITable-RowLeft"/>
              <w:rPr>
                <w:lang w:val="en-GB"/>
              </w:rPr>
            </w:pPr>
            <w:r w:rsidRPr="000C194D">
              <w:rPr>
                <w:lang w:val="en-GB"/>
              </w:rPr>
              <w:t>Victoria</w:t>
            </w:r>
          </w:p>
        </w:tc>
        <w:tc>
          <w:tcPr>
            <w:tcW w:w="2494" w:type="dxa"/>
            <w:shd w:val="clear" w:color="auto" w:fill="DCF4FC" w:themeFill="background2" w:themeFillTint="33"/>
            <w:tcMar>
              <w:top w:w="102" w:type="dxa"/>
              <w:left w:w="113" w:type="dxa"/>
              <w:bottom w:w="102" w:type="dxa"/>
              <w:right w:w="113" w:type="dxa"/>
            </w:tcMar>
            <w:vAlign w:val="center"/>
          </w:tcPr>
          <w:p w14:paraId="661092B9" w14:textId="77777777" w:rsidR="000C194D" w:rsidRPr="000C194D" w:rsidRDefault="000C194D" w:rsidP="000C194D">
            <w:pPr>
              <w:pStyle w:val="CDITable-RowCentre"/>
              <w:rPr>
                <w:lang w:val="en-GB"/>
              </w:rPr>
            </w:pPr>
            <w:r w:rsidRPr="000C194D">
              <w:rPr>
                <w:lang w:val="en-GB"/>
              </w:rPr>
              <w:t>766</w:t>
            </w:r>
          </w:p>
        </w:tc>
        <w:tc>
          <w:tcPr>
            <w:tcW w:w="1985" w:type="dxa"/>
            <w:tcMar>
              <w:top w:w="102" w:type="dxa"/>
              <w:left w:w="113" w:type="dxa"/>
              <w:bottom w:w="102" w:type="dxa"/>
              <w:right w:w="113" w:type="dxa"/>
            </w:tcMar>
            <w:vAlign w:val="center"/>
          </w:tcPr>
          <w:p w14:paraId="24D9BB52" w14:textId="77777777" w:rsidR="000C194D" w:rsidRPr="000C194D" w:rsidRDefault="000C194D" w:rsidP="000C194D">
            <w:pPr>
              <w:pStyle w:val="CDITable-RowCentre"/>
              <w:rPr>
                <w:lang w:val="en-GB"/>
              </w:rPr>
            </w:pPr>
            <w:r w:rsidRPr="000C194D">
              <w:rPr>
                <w:lang w:val="en-GB"/>
              </w:rPr>
              <w:t>32</w:t>
            </w:r>
          </w:p>
        </w:tc>
        <w:tc>
          <w:tcPr>
            <w:tcW w:w="1984" w:type="dxa"/>
            <w:tcMar>
              <w:top w:w="102" w:type="dxa"/>
              <w:left w:w="113" w:type="dxa"/>
              <w:bottom w:w="102" w:type="dxa"/>
              <w:right w:w="113" w:type="dxa"/>
            </w:tcMar>
            <w:vAlign w:val="center"/>
          </w:tcPr>
          <w:p w14:paraId="4FF3F2C8" w14:textId="77777777" w:rsidR="000C194D" w:rsidRPr="000C194D" w:rsidRDefault="000C194D" w:rsidP="000C194D">
            <w:pPr>
              <w:pStyle w:val="CDITable-RowCentre"/>
              <w:rPr>
                <w:lang w:val="en-GB"/>
              </w:rPr>
            </w:pPr>
            <w:r w:rsidRPr="000C194D">
              <w:rPr>
                <w:lang w:val="en-GB"/>
              </w:rPr>
              <w:t>4.2</w:t>
            </w:r>
          </w:p>
        </w:tc>
      </w:tr>
      <w:tr w:rsidR="000C194D" w:rsidRPr="000C194D" w14:paraId="6DFDB3C9" w14:textId="77777777" w:rsidTr="00644F78">
        <w:trPr>
          <w:trHeight w:val="60"/>
        </w:trPr>
        <w:tc>
          <w:tcPr>
            <w:tcW w:w="3175" w:type="dxa"/>
            <w:tcMar>
              <w:top w:w="102" w:type="dxa"/>
              <w:left w:w="113" w:type="dxa"/>
              <w:bottom w:w="102" w:type="dxa"/>
              <w:right w:w="113" w:type="dxa"/>
            </w:tcMar>
            <w:vAlign w:val="center"/>
          </w:tcPr>
          <w:p w14:paraId="46713EC1" w14:textId="77777777" w:rsidR="000C194D" w:rsidRPr="000C194D" w:rsidRDefault="000C194D" w:rsidP="000C194D">
            <w:pPr>
              <w:pStyle w:val="CDITable-RowLeft"/>
              <w:rPr>
                <w:lang w:val="en-GB"/>
              </w:rPr>
            </w:pPr>
            <w:r w:rsidRPr="000C194D">
              <w:rPr>
                <w:lang w:val="en-GB"/>
              </w:rPr>
              <w:t>Northern Territory non-remote</w:t>
            </w:r>
          </w:p>
        </w:tc>
        <w:tc>
          <w:tcPr>
            <w:tcW w:w="2494" w:type="dxa"/>
            <w:shd w:val="clear" w:color="auto" w:fill="DCF4FC" w:themeFill="background2" w:themeFillTint="33"/>
            <w:tcMar>
              <w:top w:w="102" w:type="dxa"/>
              <w:left w:w="113" w:type="dxa"/>
              <w:bottom w:w="102" w:type="dxa"/>
              <w:right w:w="113" w:type="dxa"/>
            </w:tcMar>
            <w:vAlign w:val="center"/>
          </w:tcPr>
          <w:p w14:paraId="01813A93" w14:textId="77777777" w:rsidR="000C194D" w:rsidRPr="000C194D" w:rsidRDefault="000C194D" w:rsidP="000C194D">
            <w:pPr>
              <w:pStyle w:val="CDITable-RowCentre"/>
              <w:rPr>
                <w:lang w:val="en-GB"/>
              </w:rPr>
            </w:pPr>
            <w:r w:rsidRPr="000C194D">
              <w:rPr>
                <w:lang w:val="en-GB"/>
              </w:rPr>
              <w:t>24</w:t>
            </w:r>
          </w:p>
        </w:tc>
        <w:tc>
          <w:tcPr>
            <w:tcW w:w="1985" w:type="dxa"/>
            <w:tcMar>
              <w:top w:w="102" w:type="dxa"/>
              <w:left w:w="113" w:type="dxa"/>
              <w:bottom w:w="102" w:type="dxa"/>
              <w:right w:w="113" w:type="dxa"/>
            </w:tcMar>
            <w:vAlign w:val="center"/>
          </w:tcPr>
          <w:p w14:paraId="55B0BF51" w14:textId="77777777" w:rsidR="000C194D" w:rsidRPr="000C194D" w:rsidRDefault="000C194D" w:rsidP="000C194D">
            <w:pPr>
              <w:pStyle w:val="CDITable-RowCentre"/>
              <w:rPr>
                <w:lang w:val="en-GB"/>
              </w:rPr>
            </w:pPr>
            <w:r w:rsidRPr="000C194D">
              <w:rPr>
                <w:lang w:val="en-GB"/>
              </w:rPr>
              <w:t>0</w:t>
            </w:r>
          </w:p>
        </w:tc>
        <w:tc>
          <w:tcPr>
            <w:tcW w:w="1984" w:type="dxa"/>
            <w:tcMar>
              <w:top w:w="102" w:type="dxa"/>
              <w:left w:w="113" w:type="dxa"/>
              <w:bottom w:w="102" w:type="dxa"/>
              <w:right w:w="113" w:type="dxa"/>
            </w:tcMar>
            <w:vAlign w:val="center"/>
          </w:tcPr>
          <w:p w14:paraId="78A85CD1" w14:textId="77777777" w:rsidR="000C194D" w:rsidRPr="000C194D" w:rsidRDefault="000C194D" w:rsidP="000C194D">
            <w:pPr>
              <w:pStyle w:val="CDITable-RowCentre"/>
              <w:rPr>
                <w:lang w:val="en-GB"/>
              </w:rPr>
            </w:pPr>
            <w:r w:rsidRPr="000C194D">
              <w:rPr>
                <w:lang w:val="en-GB"/>
              </w:rPr>
              <w:t>0</w:t>
            </w:r>
            <w:r w:rsidRPr="000C194D">
              <w:rPr>
                <w:vertAlign w:val="superscript"/>
                <w:lang w:val="en-GB"/>
              </w:rPr>
              <w:t>b</w:t>
            </w:r>
          </w:p>
        </w:tc>
      </w:tr>
      <w:tr w:rsidR="000C194D" w:rsidRPr="000C194D" w14:paraId="27204C0A" w14:textId="77777777" w:rsidTr="00644F78">
        <w:trPr>
          <w:trHeight w:val="60"/>
        </w:trPr>
        <w:tc>
          <w:tcPr>
            <w:tcW w:w="3175" w:type="dxa"/>
            <w:tcMar>
              <w:top w:w="102" w:type="dxa"/>
              <w:left w:w="113" w:type="dxa"/>
              <w:bottom w:w="102" w:type="dxa"/>
              <w:right w:w="113" w:type="dxa"/>
            </w:tcMar>
            <w:vAlign w:val="center"/>
          </w:tcPr>
          <w:p w14:paraId="38E71B95" w14:textId="77777777" w:rsidR="000C194D" w:rsidRPr="000C194D" w:rsidRDefault="000C194D" w:rsidP="000C194D">
            <w:pPr>
              <w:pStyle w:val="CDITable-RowLeft"/>
              <w:rPr>
                <w:lang w:val="en-GB"/>
              </w:rPr>
            </w:pPr>
            <w:r w:rsidRPr="000C194D">
              <w:rPr>
                <w:lang w:val="en-GB"/>
              </w:rPr>
              <w:t>Northern Territory remote</w:t>
            </w:r>
          </w:p>
        </w:tc>
        <w:tc>
          <w:tcPr>
            <w:tcW w:w="2494" w:type="dxa"/>
            <w:shd w:val="clear" w:color="auto" w:fill="DCF4FC" w:themeFill="background2" w:themeFillTint="33"/>
            <w:tcMar>
              <w:top w:w="102" w:type="dxa"/>
              <w:left w:w="113" w:type="dxa"/>
              <w:bottom w:w="102" w:type="dxa"/>
              <w:right w:w="113" w:type="dxa"/>
            </w:tcMar>
            <w:vAlign w:val="center"/>
          </w:tcPr>
          <w:p w14:paraId="1519FCD2" w14:textId="77777777" w:rsidR="000C194D" w:rsidRPr="000C194D" w:rsidRDefault="000C194D" w:rsidP="000C194D">
            <w:pPr>
              <w:pStyle w:val="CDITable-RowCentre"/>
              <w:rPr>
                <w:lang w:val="en-GB"/>
              </w:rPr>
            </w:pPr>
            <w:r w:rsidRPr="000C194D">
              <w:rPr>
                <w:lang w:val="en-GB"/>
              </w:rPr>
              <w:t>20</w:t>
            </w:r>
          </w:p>
        </w:tc>
        <w:tc>
          <w:tcPr>
            <w:tcW w:w="1985" w:type="dxa"/>
            <w:tcMar>
              <w:top w:w="102" w:type="dxa"/>
              <w:left w:w="113" w:type="dxa"/>
              <w:bottom w:w="102" w:type="dxa"/>
              <w:right w:w="113" w:type="dxa"/>
            </w:tcMar>
            <w:vAlign w:val="center"/>
          </w:tcPr>
          <w:p w14:paraId="2104C807" w14:textId="77777777" w:rsidR="000C194D" w:rsidRPr="000C194D" w:rsidRDefault="000C194D" w:rsidP="000C194D">
            <w:pPr>
              <w:pStyle w:val="CDITable-RowCentre"/>
              <w:rPr>
                <w:lang w:val="en-GB"/>
              </w:rPr>
            </w:pPr>
            <w:r w:rsidRPr="000C194D">
              <w:rPr>
                <w:lang w:val="en-GB"/>
              </w:rPr>
              <w:t>0</w:t>
            </w:r>
          </w:p>
        </w:tc>
        <w:tc>
          <w:tcPr>
            <w:tcW w:w="1984" w:type="dxa"/>
            <w:tcMar>
              <w:top w:w="102" w:type="dxa"/>
              <w:left w:w="113" w:type="dxa"/>
              <w:bottom w:w="102" w:type="dxa"/>
              <w:right w:w="113" w:type="dxa"/>
            </w:tcMar>
            <w:vAlign w:val="center"/>
          </w:tcPr>
          <w:p w14:paraId="4F7A6FD0" w14:textId="77777777" w:rsidR="000C194D" w:rsidRPr="000C194D" w:rsidRDefault="000C194D" w:rsidP="000C194D">
            <w:pPr>
              <w:pStyle w:val="CDITable-RowCentre"/>
              <w:rPr>
                <w:lang w:val="en-GB"/>
              </w:rPr>
            </w:pPr>
            <w:r w:rsidRPr="000C194D">
              <w:rPr>
                <w:lang w:val="en-GB"/>
              </w:rPr>
              <w:t>0</w:t>
            </w:r>
            <w:r w:rsidRPr="000C194D">
              <w:rPr>
                <w:vertAlign w:val="superscript"/>
                <w:lang w:val="en-GB"/>
              </w:rPr>
              <w:t>b</w:t>
            </w:r>
          </w:p>
        </w:tc>
      </w:tr>
      <w:tr w:rsidR="000C194D" w:rsidRPr="000C194D" w14:paraId="6A5250F2" w14:textId="77777777" w:rsidTr="00644F78">
        <w:trPr>
          <w:trHeight w:val="60"/>
        </w:trPr>
        <w:tc>
          <w:tcPr>
            <w:tcW w:w="3175" w:type="dxa"/>
            <w:tcBorders>
              <w:bottom w:val="single" w:sz="6" w:space="0" w:color="1E4496" w:themeColor="text2"/>
            </w:tcBorders>
            <w:tcMar>
              <w:top w:w="102" w:type="dxa"/>
              <w:left w:w="113" w:type="dxa"/>
              <w:bottom w:w="102" w:type="dxa"/>
              <w:right w:w="113" w:type="dxa"/>
            </w:tcMar>
            <w:vAlign w:val="center"/>
          </w:tcPr>
          <w:p w14:paraId="1D11EE6E" w14:textId="77777777" w:rsidR="000C194D" w:rsidRPr="000C194D" w:rsidRDefault="000C194D" w:rsidP="000C194D">
            <w:pPr>
              <w:pStyle w:val="CDITable-RowLeft"/>
              <w:rPr>
                <w:lang w:val="en-GB"/>
              </w:rPr>
            </w:pPr>
            <w:r w:rsidRPr="000C194D">
              <w:rPr>
                <w:lang w:val="en-GB"/>
              </w:rPr>
              <w:t>Western Australia non-remote</w:t>
            </w:r>
          </w:p>
        </w:tc>
        <w:tc>
          <w:tcPr>
            <w:tcW w:w="2494" w:type="dxa"/>
            <w:tcBorders>
              <w:bottom w:val="single" w:sz="6" w:space="0" w:color="1E4496" w:themeColor="text2"/>
            </w:tcBorders>
            <w:shd w:val="clear" w:color="auto" w:fill="DCF4FC" w:themeFill="background2" w:themeFillTint="33"/>
            <w:tcMar>
              <w:top w:w="102" w:type="dxa"/>
              <w:left w:w="113" w:type="dxa"/>
              <w:bottom w:w="102" w:type="dxa"/>
              <w:right w:w="113" w:type="dxa"/>
            </w:tcMar>
            <w:vAlign w:val="center"/>
          </w:tcPr>
          <w:p w14:paraId="53F4C0C9" w14:textId="77777777" w:rsidR="000C194D" w:rsidRPr="000C194D" w:rsidRDefault="000C194D" w:rsidP="000C194D">
            <w:pPr>
              <w:pStyle w:val="CDITable-RowCentre"/>
              <w:rPr>
                <w:lang w:val="en-GB"/>
              </w:rPr>
            </w:pPr>
            <w:r w:rsidRPr="000C194D">
              <w:rPr>
                <w:lang w:val="en-GB"/>
              </w:rPr>
              <w:t>359</w:t>
            </w:r>
          </w:p>
        </w:tc>
        <w:tc>
          <w:tcPr>
            <w:tcW w:w="1985" w:type="dxa"/>
            <w:tcBorders>
              <w:bottom w:val="single" w:sz="6" w:space="0" w:color="1E4496" w:themeColor="text2"/>
            </w:tcBorders>
            <w:tcMar>
              <w:top w:w="102" w:type="dxa"/>
              <w:left w:w="113" w:type="dxa"/>
              <w:bottom w:w="102" w:type="dxa"/>
              <w:right w:w="113" w:type="dxa"/>
            </w:tcMar>
            <w:vAlign w:val="center"/>
          </w:tcPr>
          <w:p w14:paraId="6F94BC27" w14:textId="77777777" w:rsidR="000C194D" w:rsidRPr="000C194D" w:rsidRDefault="000C194D" w:rsidP="000C194D">
            <w:pPr>
              <w:pStyle w:val="CDITable-RowCentre"/>
              <w:rPr>
                <w:lang w:val="en-GB"/>
              </w:rPr>
            </w:pPr>
            <w:r w:rsidRPr="000C194D">
              <w:rPr>
                <w:lang w:val="en-GB"/>
              </w:rPr>
              <w:t>61</w:t>
            </w:r>
          </w:p>
        </w:tc>
        <w:tc>
          <w:tcPr>
            <w:tcW w:w="1984" w:type="dxa"/>
            <w:tcBorders>
              <w:bottom w:val="single" w:sz="6" w:space="0" w:color="1E4496" w:themeColor="text2"/>
            </w:tcBorders>
            <w:tcMar>
              <w:top w:w="102" w:type="dxa"/>
              <w:left w:w="113" w:type="dxa"/>
              <w:bottom w:w="102" w:type="dxa"/>
              <w:right w:w="113" w:type="dxa"/>
            </w:tcMar>
            <w:vAlign w:val="center"/>
          </w:tcPr>
          <w:p w14:paraId="38031BE7" w14:textId="77777777" w:rsidR="000C194D" w:rsidRPr="000C194D" w:rsidRDefault="000C194D" w:rsidP="000C194D">
            <w:pPr>
              <w:pStyle w:val="CDITable-RowCentre"/>
              <w:rPr>
                <w:lang w:val="en-GB"/>
              </w:rPr>
            </w:pPr>
            <w:r w:rsidRPr="000C194D">
              <w:rPr>
                <w:lang w:val="en-GB"/>
              </w:rPr>
              <w:t>17.0</w:t>
            </w:r>
          </w:p>
        </w:tc>
      </w:tr>
      <w:tr w:rsidR="000C194D" w:rsidRPr="000C194D" w14:paraId="75F3E3C5" w14:textId="77777777" w:rsidTr="00644F78">
        <w:trPr>
          <w:trHeight w:val="60"/>
        </w:trPr>
        <w:tc>
          <w:tcPr>
            <w:tcW w:w="3175"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72F8408F" w14:textId="77777777" w:rsidR="000C194D" w:rsidRPr="000C194D" w:rsidRDefault="000C194D" w:rsidP="000C194D">
            <w:pPr>
              <w:pStyle w:val="CDITable-RowLeft"/>
              <w:rPr>
                <w:lang w:val="en-GB"/>
              </w:rPr>
            </w:pPr>
            <w:r w:rsidRPr="000C194D">
              <w:rPr>
                <w:lang w:val="en-GB"/>
              </w:rPr>
              <w:t>Western Australia remote</w:t>
            </w:r>
          </w:p>
        </w:tc>
        <w:tc>
          <w:tcPr>
            <w:tcW w:w="2494" w:type="dxa"/>
            <w:tcBorders>
              <w:top w:val="single" w:sz="6" w:space="0" w:color="1E4496" w:themeColor="text2"/>
              <w:bottom w:val="single" w:sz="6" w:space="0" w:color="FFFFFF" w:themeColor="background1"/>
            </w:tcBorders>
            <w:shd w:val="clear" w:color="auto" w:fill="DCF4FC" w:themeFill="background2" w:themeFillTint="33"/>
            <w:tcMar>
              <w:top w:w="102" w:type="dxa"/>
              <w:left w:w="113" w:type="dxa"/>
              <w:bottom w:w="102" w:type="dxa"/>
              <w:right w:w="113" w:type="dxa"/>
            </w:tcMar>
            <w:vAlign w:val="center"/>
          </w:tcPr>
          <w:p w14:paraId="38D19653" w14:textId="77777777" w:rsidR="000C194D" w:rsidRPr="000C194D" w:rsidRDefault="000C194D" w:rsidP="000C194D">
            <w:pPr>
              <w:pStyle w:val="CDITable-RowCentre"/>
              <w:rPr>
                <w:lang w:val="en-GB"/>
              </w:rPr>
            </w:pPr>
            <w:r w:rsidRPr="000C194D">
              <w:rPr>
                <w:lang w:val="en-GB"/>
              </w:rPr>
              <w:t>31</w:t>
            </w:r>
          </w:p>
        </w:tc>
        <w:tc>
          <w:tcPr>
            <w:tcW w:w="1985"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5B80C90A" w14:textId="77777777" w:rsidR="000C194D" w:rsidRPr="000C194D" w:rsidRDefault="000C194D" w:rsidP="000C194D">
            <w:pPr>
              <w:pStyle w:val="CDITable-RowCentre"/>
              <w:rPr>
                <w:lang w:val="en-GB"/>
              </w:rPr>
            </w:pPr>
            <w:r w:rsidRPr="000C194D">
              <w:rPr>
                <w:lang w:val="en-GB"/>
              </w:rPr>
              <w:t>1</w:t>
            </w:r>
          </w:p>
        </w:tc>
        <w:tc>
          <w:tcPr>
            <w:tcW w:w="1984"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76AD6B22" w14:textId="77777777" w:rsidR="000C194D" w:rsidRPr="000C194D" w:rsidRDefault="000C194D" w:rsidP="000C194D">
            <w:pPr>
              <w:pStyle w:val="CDITable-RowCentre"/>
              <w:rPr>
                <w:lang w:val="en-GB"/>
              </w:rPr>
            </w:pPr>
            <w:r w:rsidRPr="000C194D">
              <w:rPr>
                <w:lang w:val="en-GB"/>
              </w:rPr>
              <w:t>3.2</w:t>
            </w:r>
            <w:r w:rsidRPr="000C194D">
              <w:rPr>
                <w:vertAlign w:val="superscript"/>
                <w:lang w:val="en-GB"/>
              </w:rPr>
              <w:t>b</w:t>
            </w:r>
          </w:p>
        </w:tc>
      </w:tr>
      <w:tr w:rsidR="000C194D" w:rsidRPr="000C194D" w14:paraId="6B0093CF" w14:textId="77777777" w:rsidTr="00644F78">
        <w:trPr>
          <w:trHeight w:val="60"/>
        </w:trPr>
        <w:tc>
          <w:tcPr>
            <w:tcW w:w="3175"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2875F67A" w14:textId="77777777" w:rsidR="000C194D" w:rsidRPr="000C194D" w:rsidRDefault="000C194D" w:rsidP="000C194D">
            <w:pPr>
              <w:pStyle w:val="CDITable-TotalRowLeft"/>
              <w:rPr>
                <w:lang w:val="en-GB"/>
              </w:rPr>
            </w:pPr>
            <w:r w:rsidRPr="000C194D">
              <w:rPr>
                <w:lang w:val="en-GB"/>
              </w:rPr>
              <w:t>Australia</w:t>
            </w:r>
          </w:p>
        </w:tc>
        <w:tc>
          <w:tcPr>
            <w:tcW w:w="249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507D6E2D" w14:textId="77777777" w:rsidR="000C194D" w:rsidRPr="000C194D" w:rsidRDefault="000C194D" w:rsidP="000C194D">
            <w:pPr>
              <w:pStyle w:val="CDITable-TotalRowCentre"/>
              <w:rPr>
                <w:lang w:val="en-GB"/>
              </w:rPr>
            </w:pPr>
            <w:r w:rsidRPr="000C194D">
              <w:rPr>
                <w:lang w:val="en-GB"/>
              </w:rPr>
              <w:t>2,776</w:t>
            </w:r>
          </w:p>
        </w:tc>
        <w:tc>
          <w:tcPr>
            <w:tcW w:w="1985"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76F8959A" w14:textId="77777777" w:rsidR="000C194D" w:rsidRPr="000C194D" w:rsidRDefault="000C194D" w:rsidP="000C194D">
            <w:pPr>
              <w:pStyle w:val="CDITable-TotalRowCentre"/>
              <w:rPr>
                <w:lang w:val="en-GB"/>
              </w:rPr>
            </w:pPr>
            <w:r w:rsidRPr="000C194D">
              <w:rPr>
                <w:lang w:val="en-GB"/>
              </w:rPr>
              <w:t>285</w:t>
            </w:r>
          </w:p>
        </w:tc>
        <w:tc>
          <w:tcPr>
            <w:tcW w:w="198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39902C4F" w14:textId="77777777" w:rsidR="000C194D" w:rsidRPr="000C194D" w:rsidRDefault="000C194D" w:rsidP="000C194D">
            <w:pPr>
              <w:pStyle w:val="CDITable-TotalRowCentre"/>
              <w:rPr>
                <w:lang w:val="en-GB"/>
              </w:rPr>
            </w:pPr>
            <w:r w:rsidRPr="000C194D">
              <w:rPr>
                <w:lang w:val="en-GB"/>
              </w:rPr>
              <w:t>10.3</w:t>
            </w:r>
          </w:p>
        </w:tc>
      </w:tr>
    </w:tbl>
    <w:p w14:paraId="1EEF674F" w14:textId="77777777" w:rsidR="000C194D" w:rsidRPr="000C194D" w:rsidRDefault="000C194D" w:rsidP="000C194D">
      <w:pPr>
        <w:pStyle w:val="CDITable-FirstFootnote"/>
        <w:rPr>
          <w:lang w:val="en-GB"/>
        </w:rPr>
      </w:pPr>
      <w:r w:rsidRPr="000C194D">
        <w:rPr>
          <w:lang w:val="en-GB"/>
        </w:rPr>
        <w:t>a</w:t>
      </w:r>
      <w:r w:rsidRPr="000C194D">
        <w:rPr>
          <w:lang w:val="en-GB"/>
        </w:rPr>
        <w:tab/>
        <w:t>Resistance as defined by jurisdictional reporting criteria.</w:t>
      </w:r>
    </w:p>
    <w:p w14:paraId="615B0761" w14:textId="77777777" w:rsidR="000C194D" w:rsidRPr="000C194D" w:rsidRDefault="000C194D" w:rsidP="000C194D">
      <w:pPr>
        <w:pStyle w:val="CDITable-Footnote"/>
        <w:rPr>
          <w:lang w:val="en-GB"/>
        </w:rPr>
      </w:pPr>
      <w:r w:rsidRPr="000C194D">
        <w:rPr>
          <w:lang w:val="en-GB"/>
        </w:rPr>
        <w:t>b</w:t>
      </w:r>
      <w:r w:rsidRPr="000C194D">
        <w:rPr>
          <w:lang w:val="en-GB"/>
        </w:rPr>
        <w:tab/>
        <w:t>Interpret results with caution: low number of isolates tested.</w:t>
      </w:r>
    </w:p>
    <w:p w14:paraId="1F0057D7" w14:textId="77777777" w:rsidR="003F2670" w:rsidRPr="003F2670" w:rsidRDefault="003F2670" w:rsidP="00670BE1">
      <w:pPr>
        <w:pStyle w:val="Heading2"/>
        <w:rPr>
          <w:lang w:val="en-GB"/>
        </w:rPr>
      </w:pPr>
      <w:r w:rsidRPr="003F2670">
        <w:rPr>
          <w:lang w:val="en-GB"/>
        </w:rPr>
        <w:t>Ceftriaxone</w:t>
      </w:r>
    </w:p>
    <w:p w14:paraId="6B36980A" w14:textId="77777777" w:rsidR="003F2670" w:rsidRPr="003F2670" w:rsidRDefault="003F2670" w:rsidP="003F2670">
      <w:pPr>
        <w:rPr>
          <w:lang w:val="en-GB"/>
        </w:rPr>
      </w:pPr>
      <w:r w:rsidRPr="003F2670">
        <w:rPr>
          <w:lang w:val="en-GB"/>
        </w:rPr>
        <w:t xml:space="preserve">The AGSP has historically reported </w:t>
      </w:r>
      <w:r w:rsidRPr="003F2670">
        <w:rPr>
          <w:i/>
          <w:iCs/>
          <w:lang w:val="en-GB"/>
        </w:rPr>
        <w:t xml:space="preserve">N. gonorrhoeae </w:t>
      </w:r>
      <w:r w:rsidRPr="003F2670">
        <w:rPr>
          <w:lang w:val="en-GB"/>
        </w:rPr>
        <w:t>with ceftriaxone minimum inhibitory concentration (MIC) values ≥ 0.064 mg/L, and these are reported for observation of trends. In line with the 2012 World Health Organization criterion and defined as ‘decreased susceptibility’ (DS), the focus of the AGSP is on isolates with a ceftriaxone MIC ≥ 0.125 mg/L.</w:t>
      </w:r>
      <w:r w:rsidRPr="003F2670">
        <w:rPr>
          <w:vertAlign w:val="superscript"/>
          <w:lang w:val="en-GB"/>
        </w:rPr>
        <w:t>2</w:t>
      </w:r>
      <w:r w:rsidRPr="003F2670">
        <w:rPr>
          <w:lang w:val="en-GB"/>
        </w:rPr>
        <w:t xml:space="preserve"> Of concern since 2023 has been the increasing detection of isolates with ceftriaxone DS (MIC values ≥ 0.125 mg/L), from 0.51% in 2024 to 0.73% (74/10,204) in 2025 (Table 2).</w:t>
      </w:r>
      <w:r w:rsidRPr="003F2670">
        <w:rPr>
          <w:vertAlign w:val="superscript"/>
          <w:lang w:val="en-GB"/>
        </w:rPr>
        <w:t>3</w:t>
      </w:r>
      <w:r w:rsidRPr="003F2670">
        <w:rPr>
          <w:lang w:val="en-GB"/>
        </w:rPr>
        <w:t xml:space="preserve"> In the first quarter of 2026, this trajectory continued with 35 ceftriaxone DS isolates (35/2,776; 1.3%) detected across Australia (Table 2). The ceftriaxone MIC values for these isolates ranged from 0.125 mg/L to 2 mg/L and were largely reported from New South Wales (n = 19) and Victoria (n = 10), with fewer numbers from non-remote Western Australia (3), Queensland (2) and the Australian Capital Territory (1). In quarter one of 2026, 74.3% of the ceftriaxone DS isolates (26/35) harboured the key determinant mosaic alleles </w:t>
      </w:r>
      <w:r w:rsidRPr="003F2670">
        <w:rPr>
          <w:i/>
          <w:iCs/>
          <w:lang w:val="en-GB"/>
        </w:rPr>
        <w:t xml:space="preserve">penA </w:t>
      </w:r>
      <w:r w:rsidRPr="003F2670">
        <w:rPr>
          <w:lang w:val="en-GB"/>
        </w:rPr>
        <w:t xml:space="preserve">60.001 (24/35) and </w:t>
      </w:r>
      <w:r w:rsidRPr="003F2670">
        <w:rPr>
          <w:i/>
          <w:iCs/>
          <w:lang w:val="en-GB"/>
        </w:rPr>
        <w:t xml:space="preserve">penA </w:t>
      </w:r>
      <w:r w:rsidRPr="003F2670">
        <w:rPr>
          <w:lang w:val="en-GB"/>
        </w:rPr>
        <w:t>237.001 (2/35).</w:t>
      </w:r>
      <w:r w:rsidRPr="003F2670">
        <w:rPr>
          <w:vertAlign w:val="superscript"/>
          <w:lang w:val="en-GB"/>
        </w:rPr>
        <w:t>4</w:t>
      </w:r>
      <w:r w:rsidRPr="003F2670">
        <w:rPr>
          <w:lang w:val="en-GB"/>
        </w:rPr>
        <w:t xml:space="preserve"> These are associated with the Asia-Pacific region and highlight the importance of continued and enhanced antimicrobial surveillance in Australia for disease control and to inform therapeutic strategies.</w:t>
      </w:r>
      <w:r w:rsidRPr="003F2670">
        <w:rPr>
          <w:vertAlign w:val="superscript"/>
          <w:lang w:val="en-GB"/>
        </w:rPr>
        <w:t>5</w:t>
      </w:r>
    </w:p>
    <w:p w14:paraId="287395AB" w14:textId="6DB8E316" w:rsidR="003F2670" w:rsidRPr="003F2670" w:rsidRDefault="003F2670" w:rsidP="00644F78">
      <w:pPr>
        <w:keepLines/>
        <w:rPr>
          <w:lang w:val="en-GB"/>
        </w:rPr>
      </w:pPr>
      <w:r w:rsidRPr="003F2670">
        <w:rPr>
          <w:lang w:val="en-GB"/>
        </w:rPr>
        <w:t>Notably in the first quarter of 2026, 6/35 isolates with decreased susceptibility to ceftriaxone had an extensively drug resistant (XDR) phenotype (defined phenotypically as ceftriaxone MIC ≥ 0.125 mg/L and azithromycin MIC ≥ 256 mg/L);</w:t>
      </w:r>
      <w:r w:rsidRPr="003F2670">
        <w:rPr>
          <w:vertAlign w:val="superscript"/>
          <w:lang w:val="en-GB"/>
        </w:rPr>
        <w:t>6</w:t>
      </w:r>
      <w:r w:rsidRPr="003F2670">
        <w:rPr>
          <w:lang w:val="en-GB"/>
        </w:rPr>
        <w:t xml:space="preserve"> these were reported from New South Wales (3) and Victoria (3) (Table 2). All six XDR isolates had the </w:t>
      </w:r>
      <w:r w:rsidRPr="003F2670">
        <w:rPr>
          <w:i/>
          <w:iCs/>
          <w:lang w:val="en-GB"/>
        </w:rPr>
        <w:t xml:space="preserve">penA </w:t>
      </w:r>
      <w:r w:rsidRPr="003F2670">
        <w:rPr>
          <w:lang w:val="en-GB"/>
        </w:rPr>
        <w:t xml:space="preserve">60.001 allele detected and two different multi-locus sequence types (MLST) were identified. In 2022–2024, a spike in detection of XDR </w:t>
      </w:r>
      <w:r w:rsidRPr="003F2670">
        <w:rPr>
          <w:i/>
          <w:iCs/>
          <w:lang w:val="en-GB"/>
        </w:rPr>
        <w:t>N.</w:t>
      </w:r>
      <w:r>
        <w:rPr>
          <w:i/>
          <w:iCs/>
          <w:lang w:val="en-GB"/>
        </w:rPr>
        <w:t> </w:t>
      </w:r>
      <w:r w:rsidRPr="003F2670">
        <w:rPr>
          <w:i/>
          <w:iCs/>
          <w:lang w:val="en-GB"/>
        </w:rPr>
        <w:t>gonorrhoeae</w:t>
      </w:r>
      <w:r w:rsidRPr="003F2670">
        <w:rPr>
          <w:lang w:val="en-GB"/>
        </w:rPr>
        <w:t xml:space="preserve"> was reported both in Australia and globally, all with the </w:t>
      </w:r>
      <w:r w:rsidRPr="003F2670">
        <w:rPr>
          <w:i/>
          <w:iCs/>
          <w:lang w:val="en-GB"/>
        </w:rPr>
        <w:t xml:space="preserve">penA </w:t>
      </w:r>
      <w:r w:rsidRPr="003F2670">
        <w:rPr>
          <w:lang w:val="en-GB"/>
        </w:rPr>
        <w:t>60.001 allele detected and identifying as ST-16406, and many were associated with travel to the Asia-Pacific.</w:t>
      </w:r>
      <w:r w:rsidRPr="003F2670">
        <w:rPr>
          <w:vertAlign w:val="superscript"/>
          <w:lang w:val="en-GB"/>
        </w:rPr>
        <w:t>7</w:t>
      </w:r>
      <w:r w:rsidRPr="003F2670">
        <w:rPr>
          <w:lang w:val="en-GB"/>
        </w:rPr>
        <w:t xml:space="preserve"> Since 2025, genomic analyses have shown that the MLST associated with XDR in Australia are becoming more varied, as new importation events occur and </w:t>
      </w:r>
      <w:r w:rsidRPr="003F2670">
        <w:rPr>
          <w:i/>
          <w:iCs/>
          <w:lang w:val="en-GB"/>
        </w:rPr>
        <w:t>N. gonorrhoeae</w:t>
      </w:r>
      <w:r w:rsidRPr="003F2670">
        <w:rPr>
          <w:lang w:val="en-GB"/>
        </w:rPr>
        <w:t xml:space="preserve"> diversifies. </w:t>
      </w:r>
    </w:p>
    <w:p w14:paraId="75419975" w14:textId="77777777" w:rsidR="003F2670" w:rsidRPr="003F2670" w:rsidRDefault="003F2670" w:rsidP="00670BE1">
      <w:pPr>
        <w:pStyle w:val="Heading2"/>
        <w:rPr>
          <w:lang w:val="en-GB"/>
        </w:rPr>
      </w:pPr>
      <w:r w:rsidRPr="003F2670">
        <w:rPr>
          <w:lang w:val="en-GB"/>
        </w:rPr>
        <w:t>Azithromycin</w:t>
      </w:r>
    </w:p>
    <w:p w14:paraId="70A9239F" w14:textId="20455560" w:rsidR="003F2670" w:rsidRPr="003F2670" w:rsidRDefault="003F2670" w:rsidP="003F2670">
      <w:pPr>
        <w:rPr>
          <w:lang w:val="en-GB"/>
        </w:rPr>
      </w:pPr>
      <w:r w:rsidRPr="003F2670">
        <w:rPr>
          <w:lang w:val="en-GB"/>
        </w:rPr>
        <w:t>Dual therapy using ceftriaxone plus azithromycin has been the recommended treatment for gonorrhoea in Australia since 2014, as a strategy to temper development of more widespread ceftriaxone resistance. For the period 2019–2024, azithromycin resistance in Australia was stable, in the range 3.9–4.7% (Table 2).</w:t>
      </w:r>
      <w:r w:rsidRPr="003F2670">
        <w:rPr>
          <w:vertAlign w:val="superscript"/>
          <w:lang w:val="en-GB"/>
        </w:rPr>
        <w:t>8</w:t>
      </w:r>
      <w:r w:rsidRPr="003F2670">
        <w:rPr>
          <w:lang w:val="en-GB"/>
        </w:rPr>
        <w:t xml:space="preserve"> However, in 2025, the proportion of azithromycin resistant </w:t>
      </w:r>
      <w:r w:rsidRPr="003F2670">
        <w:rPr>
          <w:i/>
          <w:iCs/>
          <w:lang w:val="en-GB"/>
        </w:rPr>
        <w:t>N.</w:t>
      </w:r>
      <w:r>
        <w:rPr>
          <w:i/>
          <w:iCs/>
          <w:lang w:val="en-GB"/>
        </w:rPr>
        <w:t> </w:t>
      </w:r>
      <w:r w:rsidRPr="003F2670">
        <w:rPr>
          <w:i/>
          <w:iCs/>
          <w:lang w:val="en-GB"/>
        </w:rPr>
        <w:t>gonorrhoeae</w:t>
      </w:r>
      <w:r w:rsidRPr="003F2670">
        <w:rPr>
          <w:lang w:val="en-GB"/>
        </w:rPr>
        <w:t xml:space="preserve"> rose to 7.1% (727/10,204), and in the first quarter of 2026 reached 10.3% (285/2,776) (Table 2).</w:t>
      </w:r>
      <w:r w:rsidRPr="003F2670">
        <w:rPr>
          <w:vertAlign w:val="superscript"/>
          <w:lang w:val="en-GB"/>
        </w:rPr>
        <w:t>3</w:t>
      </w:r>
      <w:r w:rsidRPr="003F2670">
        <w:rPr>
          <w:lang w:val="en-GB"/>
        </w:rPr>
        <w:t xml:space="preserve"> Azithromycin resistance was noticeably higher in Queensland and non-remote Western Australia in quarter one of 2026 than in other jurisdictions in Australia (Table 1). The AGSP trend data for azithromycin resistance since 2010 are shown in Table 2.</w:t>
      </w:r>
    </w:p>
    <w:p w14:paraId="23C8905C" w14:textId="77777777" w:rsidR="003F2670" w:rsidRPr="003F2670" w:rsidRDefault="003F2670" w:rsidP="003F2670">
      <w:pPr>
        <w:rPr>
          <w:lang w:val="en-GB"/>
        </w:rPr>
      </w:pPr>
      <w:r w:rsidRPr="003F2670">
        <w:rPr>
          <w:i/>
          <w:iCs/>
          <w:lang w:val="en-GB"/>
        </w:rPr>
        <w:t>N. gonorrhoeae</w:t>
      </w:r>
      <w:r w:rsidRPr="003F2670">
        <w:rPr>
          <w:lang w:val="en-GB"/>
        </w:rPr>
        <w:t xml:space="preserve"> isolates with high-level azithromycin resistance (MIC value ≥ 256 mg/L) increased in Australia since 2022: nine in 2022 (0.11%), 27 in 2023 (0.27%), and 46 in 2024 (0.43%), the highest ever reported by the AGSP (Table 2).</w:t>
      </w:r>
      <w:r w:rsidRPr="003F2670">
        <w:rPr>
          <w:vertAlign w:val="superscript"/>
          <w:lang w:val="en-GB"/>
        </w:rPr>
        <w:t>8</w:t>
      </w:r>
      <w:r w:rsidRPr="003F2670">
        <w:rPr>
          <w:lang w:val="en-GB"/>
        </w:rPr>
        <w:t xml:space="preserve"> In 2025, twenty isolates (0.20%; 20/10,204) were reported nationally, substantially lower than in 2024.</w:t>
      </w:r>
      <w:r w:rsidRPr="003F2670">
        <w:rPr>
          <w:vertAlign w:val="superscript"/>
          <w:lang w:val="en-GB"/>
        </w:rPr>
        <w:t>3</w:t>
      </w:r>
      <w:r w:rsidRPr="003F2670">
        <w:rPr>
          <w:lang w:val="en-GB"/>
        </w:rPr>
        <w:t xml:space="preserve"> Eight isolates with high-level azithromycin resistance were reported in the first quarter of 2026 from Victoria (4), New South Wales (3) and South Australia (1) and include the six </w:t>
      </w:r>
      <w:r w:rsidRPr="003F2670">
        <w:rPr>
          <w:i/>
          <w:iCs/>
          <w:lang w:val="en-GB"/>
        </w:rPr>
        <w:t>N. gonorrhoeae</w:t>
      </w:r>
      <w:r w:rsidRPr="003F2670">
        <w:rPr>
          <w:lang w:val="en-GB"/>
        </w:rPr>
        <w:t xml:space="preserve"> with an XDR phenotype. </w:t>
      </w:r>
    </w:p>
    <w:p w14:paraId="30411284" w14:textId="77777777" w:rsidR="003F2670" w:rsidRDefault="003F2670" w:rsidP="003F2670">
      <w:pPr>
        <w:rPr>
          <w:lang w:val="en-GB"/>
        </w:rPr>
        <w:sectPr w:rsidR="003F2670" w:rsidSect="00256B63">
          <w:headerReference w:type="even" r:id="rId11"/>
          <w:footerReference w:type="even" r:id="rId12"/>
          <w:footerReference w:type="default" r:id="rId13"/>
          <w:footnotePr>
            <w:numFmt w:val="lowerRoman"/>
          </w:footnotePr>
          <w:pgSz w:w="11907" w:h="16840" w:code="9"/>
          <w:pgMar w:top="1134" w:right="1134" w:bottom="1134" w:left="1134" w:header="709" w:footer="567" w:gutter="0"/>
          <w:cols w:space="708"/>
          <w:titlePg/>
          <w:docGrid w:linePitch="360"/>
        </w:sectPr>
      </w:pPr>
      <w:r w:rsidRPr="003F2670">
        <w:rPr>
          <w:lang w:val="en-GB"/>
        </w:rPr>
        <w:t xml:space="preserve">Patients with extragenital gonococcal infections, and those with infections with </w:t>
      </w:r>
      <w:r w:rsidRPr="003F2670">
        <w:rPr>
          <w:i/>
          <w:iCs/>
          <w:lang w:val="en-GB"/>
        </w:rPr>
        <w:t>N. gonorrhoeae</w:t>
      </w:r>
      <w:r w:rsidRPr="003F2670">
        <w:rPr>
          <w:lang w:val="en-GB"/>
        </w:rPr>
        <w:t xml:space="preserve"> with raised MIC values to ceftriaxone, should have test of cure cultures collected following treatment.</w:t>
      </w:r>
      <w:r w:rsidRPr="003F2670">
        <w:rPr>
          <w:vertAlign w:val="superscript"/>
          <w:lang w:val="en-GB"/>
        </w:rPr>
        <w:t>9</w:t>
      </w:r>
      <w:r w:rsidRPr="003F2670">
        <w:rPr>
          <w:lang w:val="en-GB"/>
        </w:rPr>
        <w:t xml:space="preserve"> Continued surveillance to monitor </w:t>
      </w:r>
      <w:r w:rsidRPr="003F2670">
        <w:rPr>
          <w:i/>
          <w:iCs/>
          <w:lang w:val="en-GB"/>
        </w:rPr>
        <w:t>N. gonorrhoeae</w:t>
      </w:r>
      <w:r w:rsidRPr="003F2670">
        <w:rPr>
          <w:lang w:val="en-GB"/>
        </w:rPr>
        <w:t xml:space="preserve"> with elevated MIC values, coupled with sentinel site surveillance in high-risk populations, remain essential to inform therapeutic strategies, to identify incursion of resistant strains, and to detect instances of treatment failure.</w:t>
      </w:r>
    </w:p>
    <w:p w14:paraId="7A1B3672" w14:textId="77777777" w:rsidR="003F2670" w:rsidRPr="003F2670" w:rsidRDefault="003F2670" w:rsidP="003F2670">
      <w:pPr>
        <w:pStyle w:val="CDITable-Title"/>
        <w:spacing w:before="0"/>
        <w:rPr>
          <w:lang w:val="en-GB"/>
        </w:rPr>
      </w:pPr>
      <w:r w:rsidRPr="003F2670">
        <w:rPr>
          <w:lang w:val="en-GB"/>
        </w:rPr>
        <w:t xml:space="preserve">Table 2: The national number of gonococcal isolates tested and the proportion of </w:t>
      </w:r>
      <w:r w:rsidRPr="003F2670">
        <w:rPr>
          <w:i/>
          <w:iCs/>
          <w:lang w:val="en-GB"/>
        </w:rPr>
        <w:t>N. gonorrhoeae</w:t>
      </w:r>
      <w:r w:rsidRPr="003F2670">
        <w:rPr>
          <w:lang w:val="en-GB"/>
        </w:rPr>
        <w:t xml:space="preserve"> with ceftriaxone minimum inhibitory concentration (MIC) values 0.064 and ≥ 0.125 mg/L, azithromycin resistance, high-level azithromycin resistance and those with an extensively drug-resistant phenotype, Australia, 2010 to 2025 and 1 January to 31 March 2026 </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The national number of gonococcal isolates tested and the proportion of N. gonorrhoeae with ceftriaxone minimum inhibitory concentration (MIC) values 0.064 and ≥ 0.125 mg/L, azithromycin resistance, high-level azithromycin resistance and those with an extensively drug-resistant phenotype, Australia, 2010 to 2025 and 1 January to 31 March 2026 "/>
        <w:tblDescription w:val="Table 2 shows the national number of gonococcal isolates tested and the proportion of gonococcal isolates with ceftriaxone MIC values of 0.064 mg/L and ≥0.125 mg/L, isolates resistant to azithromycin, isolates with high-level azithromycin resistance and isolates with an extensively drug-resistant phenotype from Australia in 2010 to 2025 and 1 January to 31 March 2026. "/>
      </w:tblPr>
      <w:tblGrid>
        <w:gridCol w:w="1814"/>
        <w:gridCol w:w="737"/>
        <w:gridCol w:w="737"/>
        <w:gridCol w:w="737"/>
        <w:gridCol w:w="737"/>
        <w:gridCol w:w="737"/>
        <w:gridCol w:w="737"/>
        <w:gridCol w:w="737"/>
        <w:gridCol w:w="737"/>
        <w:gridCol w:w="737"/>
        <w:gridCol w:w="737"/>
        <w:gridCol w:w="737"/>
        <w:gridCol w:w="737"/>
        <w:gridCol w:w="737"/>
        <w:gridCol w:w="737"/>
        <w:gridCol w:w="737"/>
        <w:gridCol w:w="737"/>
        <w:gridCol w:w="737"/>
      </w:tblGrid>
      <w:tr w:rsidR="003F2670" w:rsidRPr="003F2670" w14:paraId="3488925E" w14:textId="77777777" w:rsidTr="00543BF4">
        <w:trPr>
          <w:trHeight w:val="60"/>
          <w:tblHeader/>
        </w:trPr>
        <w:tc>
          <w:tcPr>
            <w:tcW w:w="1814" w:type="dxa"/>
            <w:shd w:val="clear" w:color="auto" w:fill="1E4496" w:themeFill="text2"/>
            <w:tcMar>
              <w:top w:w="113" w:type="dxa"/>
              <w:left w:w="85" w:type="dxa"/>
              <w:bottom w:w="113" w:type="dxa"/>
              <w:right w:w="85" w:type="dxa"/>
            </w:tcMar>
            <w:vAlign w:val="bottom"/>
          </w:tcPr>
          <w:p w14:paraId="0104B26C" w14:textId="0B6C6F3C" w:rsidR="003F2670" w:rsidRPr="003F2670" w:rsidRDefault="003F2670" w:rsidP="003F2670">
            <w:pPr>
              <w:pStyle w:val="CDITable-HeaderRowLeft"/>
              <w:rPr>
                <w:sz w:val="17"/>
                <w:szCs w:val="17"/>
              </w:rPr>
            </w:pPr>
            <w:proofErr w:type="spellStart"/>
            <w:r w:rsidRPr="003F2670">
              <w:rPr>
                <w:sz w:val="17"/>
                <w:szCs w:val="17"/>
              </w:rPr>
              <w:t>Category</w:t>
            </w:r>
            <w:r w:rsidR="00CF1968" w:rsidRPr="00CF1968">
              <w:rPr>
                <w:sz w:val="17"/>
                <w:szCs w:val="17"/>
                <w:vertAlign w:val="superscript"/>
              </w:rPr>
              <w:t>a</w:t>
            </w:r>
            <w:proofErr w:type="spellEnd"/>
          </w:p>
        </w:tc>
        <w:tc>
          <w:tcPr>
            <w:tcW w:w="737" w:type="dxa"/>
            <w:shd w:val="clear" w:color="auto" w:fill="1E4496" w:themeFill="text2"/>
            <w:tcMar>
              <w:top w:w="113" w:type="dxa"/>
              <w:left w:w="85" w:type="dxa"/>
              <w:bottom w:w="113" w:type="dxa"/>
              <w:right w:w="85" w:type="dxa"/>
            </w:tcMar>
            <w:vAlign w:val="bottom"/>
          </w:tcPr>
          <w:p w14:paraId="2C3D8837" w14:textId="77777777" w:rsidR="003F2670" w:rsidRPr="003F2670" w:rsidRDefault="003F2670" w:rsidP="003F2670">
            <w:pPr>
              <w:pStyle w:val="CDITable-HeaderRowCentre"/>
              <w:rPr>
                <w:sz w:val="17"/>
                <w:szCs w:val="17"/>
              </w:rPr>
            </w:pPr>
            <w:r w:rsidRPr="003F2670">
              <w:rPr>
                <w:sz w:val="17"/>
                <w:szCs w:val="17"/>
              </w:rPr>
              <w:t>2010</w:t>
            </w:r>
          </w:p>
        </w:tc>
        <w:tc>
          <w:tcPr>
            <w:tcW w:w="737" w:type="dxa"/>
            <w:shd w:val="clear" w:color="auto" w:fill="1E4496" w:themeFill="text2"/>
            <w:tcMar>
              <w:top w:w="113" w:type="dxa"/>
              <w:left w:w="85" w:type="dxa"/>
              <w:bottom w:w="113" w:type="dxa"/>
              <w:right w:w="85" w:type="dxa"/>
            </w:tcMar>
            <w:vAlign w:val="bottom"/>
          </w:tcPr>
          <w:p w14:paraId="4F9F7B8D" w14:textId="77777777" w:rsidR="003F2670" w:rsidRPr="003F2670" w:rsidRDefault="003F2670" w:rsidP="003F2670">
            <w:pPr>
              <w:pStyle w:val="CDITable-HeaderRowCentre"/>
              <w:rPr>
                <w:bCs/>
                <w:sz w:val="17"/>
              </w:rPr>
            </w:pPr>
            <w:r w:rsidRPr="003F2670">
              <w:rPr>
                <w:bCs/>
                <w:sz w:val="17"/>
              </w:rPr>
              <w:t>2011</w:t>
            </w:r>
          </w:p>
        </w:tc>
        <w:tc>
          <w:tcPr>
            <w:tcW w:w="737" w:type="dxa"/>
            <w:shd w:val="clear" w:color="auto" w:fill="1E4496" w:themeFill="text2"/>
            <w:tcMar>
              <w:top w:w="113" w:type="dxa"/>
              <w:left w:w="85" w:type="dxa"/>
              <w:bottom w:w="113" w:type="dxa"/>
              <w:right w:w="85" w:type="dxa"/>
            </w:tcMar>
            <w:vAlign w:val="bottom"/>
          </w:tcPr>
          <w:p w14:paraId="34539FD6" w14:textId="77777777" w:rsidR="003F2670" w:rsidRPr="003F2670" w:rsidRDefault="003F2670" w:rsidP="003F2670">
            <w:pPr>
              <w:pStyle w:val="CDITable-HeaderRowCentre"/>
              <w:rPr>
                <w:bCs/>
                <w:sz w:val="17"/>
              </w:rPr>
            </w:pPr>
            <w:r w:rsidRPr="003F2670">
              <w:rPr>
                <w:bCs/>
                <w:sz w:val="17"/>
              </w:rPr>
              <w:t>2012</w:t>
            </w:r>
          </w:p>
        </w:tc>
        <w:tc>
          <w:tcPr>
            <w:tcW w:w="737" w:type="dxa"/>
            <w:shd w:val="clear" w:color="auto" w:fill="1E4496" w:themeFill="text2"/>
            <w:tcMar>
              <w:top w:w="113" w:type="dxa"/>
              <w:left w:w="85" w:type="dxa"/>
              <w:bottom w:w="113" w:type="dxa"/>
              <w:right w:w="85" w:type="dxa"/>
            </w:tcMar>
            <w:vAlign w:val="bottom"/>
          </w:tcPr>
          <w:p w14:paraId="07279B2E" w14:textId="77777777" w:rsidR="003F2670" w:rsidRPr="003F2670" w:rsidRDefault="003F2670" w:rsidP="003F2670">
            <w:pPr>
              <w:pStyle w:val="CDITable-HeaderRowCentre"/>
              <w:rPr>
                <w:bCs/>
                <w:sz w:val="17"/>
              </w:rPr>
            </w:pPr>
            <w:r w:rsidRPr="003F2670">
              <w:rPr>
                <w:bCs/>
                <w:sz w:val="17"/>
              </w:rPr>
              <w:t>2013</w:t>
            </w:r>
          </w:p>
        </w:tc>
        <w:tc>
          <w:tcPr>
            <w:tcW w:w="737" w:type="dxa"/>
            <w:shd w:val="clear" w:color="auto" w:fill="1E4496" w:themeFill="text2"/>
            <w:tcMar>
              <w:top w:w="113" w:type="dxa"/>
              <w:left w:w="85" w:type="dxa"/>
              <w:bottom w:w="113" w:type="dxa"/>
              <w:right w:w="85" w:type="dxa"/>
            </w:tcMar>
            <w:vAlign w:val="bottom"/>
          </w:tcPr>
          <w:p w14:paraId="1578DD4D" w14:textId="77777777" w:rsidR="003F2670" w:rsidRPr="003F2670" w:rsidRDefault="003F2670" w:rsidP="003F2670">
            <w:pPr>
              <w:pStyle w:val="CDITable-HeaderRowCentre"/>
              <w:rPr>
                <w:bCs/>
                <w:sz w:val="17"/>
              </w:rPr>
            </w:pPr>
            <w:r w:rsidRPr="003F2670">
              <w:rPr>
                <w:bCs/>
                <w:sz w:val="17"/>
              </w:rPr>
              <w:t>2014</w:t>
            </w:r>
          </w:p>
        </w:tc>
        <w:tc>
          <w:tcPr>
            <w:tcW w:w="737" w:type="dxa"/>
            <w:shd w:val="clear" w:color="auto" w:fill="1E4496" w:themeFill="text2"/>
            <w:tcMar>
              <w:top w:w="113" w:type="dxa"/>
              <w:left w:w="85" w:type="dxa"/>
              <w:bottom w:w="113" w:type="dxa"/>
              <w:right w:w="85" w:type="dxa"/>
            </w:tcMar>
            <w:vAlign w:val="bottom"/>
          </w:tcPr>
          <w:p w14:paraId="58CE7F2E" w14:textId="77777777" w:rsidR="003F2670" w:rsidRPr="003F2670" w:rsidRDefault="003F2670" w:rsidP="003F2670">
            <w:pPr>
              <w:pStyle w:val="CDITable-HeaderRowCentre"/>
              <w:rPr>
                <w:bCs/>
                <w:sz w:val="17"/>
              </w:rPr>
            </w:pPr>
            <w:r w:rsidRPr="003F2670">
              <w:rPr>
                <w:bCs/>
                <w:sz w:val="17"/>
              </w:rPr>
              <w:t>2015</w:t>
            </w:r>
          </w:p>
        </w:tc>
        <w:tc>
          <w:tcPr>
            <w:tcW w:w="737" w:type="dxa"/>
            <w:shd w:val="clear" w:color="auto" w:fill="1E4496" w:themeFill="text2"/>
            <w:tcMar>
              <w:top w:w="113" w:type="dxa"/>
              <w:left w:w="85" w:type="dxa"/>
              <w:bottom w:w="113" w:type="dxa"/>
              <w:right w:w="85" w:type="dxa"/>
            </w:tcMar>
            <w:vAlign w:val="bottom"/>
          </w:tcPr>
          <w:p w14:paraId="04F1E7FF" w14:textId="77777777" w:rsidR="003F2670" w:rsidRPr="003F2670" w:rsidRDefault="003F2670" w:rsidP="003F2670">
            <w:pPr>
              <w:pStyle w:val="CDITable-HeaderRowCentre"/>
              <w:rPr>
                <w:bCs/>
                <w:sz w:val="17"/>
              </w:rPr>
            </w:pPr>
            <w:r w:rsidRPr="003F2670">
              <w:rPr>
                <w:bCs/>
                <w:sz w:val="17"/>
              </w:rPr>
              <w:t>2016</w:t>
            </w:r>
          </w:p>
        </w:tc>
        <w:tc>
          <w:tcPr>
            <w:tcW w:w="737" w:type="dxa"/>
            <w:shd w:val="clear" w:color="auto" w:fill="1E4496" w:themeFill="text2"/>
            <w:tcMar>
              <w:top w:w="113" w:type="dxa"/>
              <w:left w:w="85" w:type="dxa"/>
              <w:bottom w:w="113" w:type="dxa"/>
              <w:right w:w="85" w:type="dxa"/>
            </w:tcMar>
            <w:vAlign w:val="bottom"/>
          </w:tcPr>
          <w:p w14:paraId="4F5DE4C6" w14:textId="77777777" w:rsidR="003F2670" w:rsidRPr="003F2670" w:rsidRDefault="003F2670" w:rsidP="003F2670">
            <w:pPr>
              <w:pStyle w:val="CDITable-HeaderRowCentre"/>
              <w:rPr>
                <w:bCs/>
                <w:sz w:val="17"/>
              </w:rPr>
            </w:pPr>
            <w:r w:rsidRPr="003F2670">
              <w:rPr>
                <w:bCs/>
                <w:sz w:val="17"/>
              </w:rPr>
              <w:t>2017</w:t>
            </w:r>
          </w:p>
        </w:tc>
        <w:tc>
          <w:tcPr>
            <w:tcW w:w="737" w:type="dxa"/>
            <w:shd w:val="clear" w:color="auto" w:fill="1E4496" w:themeFill="text2"/>
            <w:tcMar>
              <w:top w:w="113" w:type="dxa"/>
              <w:left w:w="85" w:type="dxa"/>
              <w:bottom w:w="113" w:type="dxa"/>
              <w:right w:w="85" w:type="dxa"/>
            </w:tcMar>
            <w:vAlign w:val="bottom"/>
          </w:tcPr>
          <w:p w14:paraId="601E502D" w14:textId="77777777" w:rsidR="003F2670" w:rsidRPr="003F2670" w:rsidRDefault="003F2670" w:rsidP="003F2670">
            <w:pPr>
              <w:pStyle w:val="CDITable-HeaderRowCentre"/>
              <w:rPr>
                <w:bCs/>
                <w:sz w:val="17"/>
              </w:rPr>
            </w:pPr>
            <w:r w:rsidRPr="003F2670">
              <w:rPr>
                <w:bCs/>
                <w:sz w:val="17"/>
              </w:rPr>
              <w:t>2018</w:t>
            </w:r>
          </w:p>
        </w:tc>
        <w:tc>
          <w:tcPr>
            <w:tcW w:w="737" w:type="dxa"/>
            <w:shd w:val="clear" w:color="auto" w:fill="1E4496" w:themeFill="text2"/>
            <w:tcMar>
              <w:top w:w="113" w:type="dxa"/>
              <w:left w:w="85" w:type="dxa"/>
              <w:bottom w:w="113" w:type="dxa"/>
              <w:right w:w="85" w:type="dxa"/>
            </w:tcMar>
            <w:vAlign w:val="bottom"/>
          </w:tcPr>
          <w:p w14:paraId="05F6BCCC" w14:textId="77777777" w:rsidR="003F2670" w:rsidRPr="003F2670" w:rsidRDefault="003F2670" w:rsidP="003F2670">
            <w:pPr>
              <w:pStyle w:val="CDITable-HeaderRowCentre"/>
              <w:rPr>
                <w:bCs/>
                <w:sz w:val="17"/>
              </w:rPr>
            </w:pPr>
            <w:r w:rsidRPr="003F2670">
              <w:rPr>
                <w:bCs/>
                <w:sz w:val="17"/>
              </w:rPr>
              <w:t>2019</w:t>
            </w:r>
          </w:p>
        </w:tc>
        <w:tc>
          <w:tcPr>
            <w:tcW w:w="737" w:type="dxa"/>
            <w:shd w:val="clear" w:color="auto" w:fill="1E4496" w:themeFill="text2"/>
            <w:tcMar>
              <w:top w:w="113" w:type="dxa"/>
              <w:left w:w="85" w:type="dxa"/>
              <w:bottom w:w="113" w:type="dxa"/>
              <w:right w:w="85" w:type="dxa"/>
            </w:tcMar>
            <w:vAlign w:val="bottom"/>
          </w:tcPr>
          <w:p w14:paraId="65B5878B" w14:textId="77777777" w:rsidR="003F2670" w:rsidRPr="003F2670" w:rsidRDefault="003F2670" w:rsidP="003F2670">
            <w:pPr>
              <w:pStyle w:val="CDITable-HeaderRowCentre"/>
              <w:rPr>
                <w:bCs/>
                <w:sz w:val="17"/>
              </w:rPr>
            </w:pPr>
            <w:r w:rsidRPr="003F2670">
              <w:rPr>
                <w:bCs/>
                <w:sz w:val="17"/>
              </w:rPr>
              <w:t>2020</w:t>
            </w:r>
          </w:p>
        </w:tc>
        <w:tc>
          <w:tcPr>
            <w:tcW w:w="737" w:type="dxa"/>
            <w:shd w:val="clear" w:color="auto" w:fill="1E4496" w:themeFill="text2"/>
            <w:tcMar>
              <w:top w:w="113" w:type="dxa"/>
              <w:left w:w="85" w:type="dxa"/>
              <w:bottom w:w="113" w:type="dxa"/>
              <w:right w:w="85" w:type="dxa"/>
            </w:tcMar>
            <w:vAlign w:val="bottom"/>
          </w:tcPr>
          <w:p w14:paraId="001DCA7F" w14:textId="77777777" w:rsidR="003F2670" w:rsidRPr="003F2670" w:rsidRDefault="003F2670" w:rsidP="003F2670">
            <w:pPr>
              <w:pStyle w:val="CDITable-HeaderRowCentre"/>
              <w:rPr>
                <w:bCs/>
                <w:sz w:val="17"/>
              </w:rPr>
            </w:pPr>
            <w:r w:rsidRPr="003F2670">
              <w:rPr>
                <w:bCs/>
                <w:sz w:val="17"/>
              </w:rPr>
              <w:t>2021</w:t>
            </w:r>
          </w:p>
        </w:tc>
        <w:tc>
          <w:tcPr>
            <w:tcW w:w="737" w:type="dxa"/>
            <w:shd w:val="clear" w:color="auto" w:fill="1E4496" w:themeFill="text2"/>
            <w:tcMar>
              <w:top w:w="113" w:type="dxa"/>
              <w:left w:w="85" w:type="dxa"/>
              <w:bottom w:w="113" w:type="dxa"/>
              <w:right w:w="85" w:type="dxa"/>
            </w:tcMar>
            <w:vAlign w:val="bottom"/>
          </w:tcPr>
          <w:p w14:paraId="11EE2C4D" w14:textId="77777777" w:rsidR="003F2670" w:rsidRPr="003F2670" w:rsidRDefault="003F2670" w:rsidP="003F2670">
            <w:pPr>
              <w:pStyle w:val="CDITable-HeaderRowCentre"/>
              <w:rPr>
                <w:bCs/>
                <w:sz w:val="17"/>
              </w:rPr>
            </w:pPr>
            <w:r w:rsidRPr="003F2670">
              <w:rPr>
                <w:bCs/>
                <w:sz w:val="17"/>
              </w:rPr>
              <w:t>2022</w:t>
            </w:r>
          </w:p>
        </w:tc>
        <w:tc>
          <w:tcPr>
            <w:tcW w:w="737" w:type="dxa"/>
            <w:shd w:val="clear" w:color="auto" w:fill="1E4496" w:themeFill="text2"/>
            <w:tcMar>
              <w:top w:w="113" w:type="dxa"/>
              <w:left w:w="85" w:type="dxa"/>
              <w:bottom w:w="113" w:type="dxa"/>
              <w:right w:w="85" w:type="dxa"/>
            </w:tcMar>
            <w:vAlign w:val="bottom"/>
          </w:tcPr>
          <w:p w14:paraId="7926485C" w14:textId="77777777" w:rsidR="003F2670" w:rsidRPr="003F2670" w:rsidRDefault="003F2670" w:rsidP="003F2670">
            <w:pPr>
              <w:pStyle w:val="CDITable-HeaderRowCentre"/>
              <w:rPr>
                <w:bCs/>
                <w:sz w:val="17"/>
              </w:rPr>
            </w:pPr>
            <w:r w:rsidRPr="003F2670">
              <w:rPr>
                <w:bCs/>
                <w:sz w:val="17"/>
              </w:rPr>
              <w:t>2023</w:t>
            </w:r>
          </w:p>
        </w:tc>
        <w:tc>
          <w:tcPr>
            <w:tcW w:w="737" w:type="dxa"/>
            <w:shd w:val="clear" w:color="auto" w:fill="1E4496" w:themeFill="text2"/>
            <w:tcMar>
              <w:top w:w="113" w:type="dxa"/>
              <w:left w:w="85" w:type="dxa"/>
              <w:bottom w:w="113" w:type="dxa"/>
              <w:right w:w="85" w:type="dxa"/>
            </w:tcMar>
            <w:vAlign w:val="bottom"/>
          </w:tcPr>
          <w:p w14:paraId="4CB2D715" w14:textId="77777777" w:rsidR="003F2670" w:rsidRPr="003F2670" w:rsidRDefault="003F2670" w:rsidP="003F2670">
            <w:pPr>
              <w:pStyle w:val="CDITable-HeaderRowCentre"/>
              <w:rPr>
                <w:bCs/>
                <w:sz w:val="17"/>
              </w:rPr>
            </w:pPr>
            <w:r w:rsidRPr="003F2670">
              <w:rPr>
                <w:bCs/>
                <w:sz w:val="17"/>
              </w:rPr>
              <w:t>2024</w:t>
            </w:r>
          </w:p>
        </w:tc>
        <w:tc>
          <w:tcPr>
            <w:tcW w:w="737" w:type="dxa"/>
            <w:shd w:val="clear" w:color="auto" w:fill="1E4496" w:themeFill="text2"/>
            <w:tcMar>
              <w:top w:w="113" w:type="dxa"/>
              <w:left w:w="85" w:type="dxa"/>
              <w:bottom w:w="113" w:type="dxa"/>
              <w:right w:w="85" w:type="dxa"/>
            </w:tcMar>
            <w:vAlign w:val="bottom"/>
          </w:tcPr>
          <w:p w14:paraId="03F20EA2" w14:textId="77777777" w:rsidR="003F2670" w:rsidRPr="003F2670" w:rsidRDefault="003F2670" w:rsidP="003F2670">
            <w:pPr>
              <w:pStyle w:val="CDITable-HeaderRowCentre"/>
              <w:rPr>
                <w:bCs/>
                <w:sz w:val="17"/>
              </w:rPr>
            </w:pPr>
            <w:r w:rsidRPr="003F2670">
              <w:rPr>
                <w:bCs/>
                <w:sz w:val="17"/>
              </w:rPr>
              <w:t>2025</w:t>
            </w:r>
          </w:p>
        </w:tc>
        <w:tc>
          <w:tcPr>
            <w:tcW w:w="737" w:type="dxa"/>
            <w:shd w:val="clear" w:color="auto" w:fill="1E4496" w:themeFill="text2"/>
            <w:tcMar>
              <w:top w:w="113" w:type="dxa"/>
              <w:left w:w="85" w:type="dxa"/>
              <w:bottom w:w="113" w:type="dxa"/>
              <w:right w:w="85" w:type="dxa"/>
            </w:tcMar>
            <w:vAlign w:val="bottom"/>
          </w:tcPr>
          <w:p w14:paraId="782813B2" w14:textId="77777777" w:rsidR="003F2670" w:rsidRPr="003F2670" w:rsidRDefault="003F2670" w:rsidP="003F2670">
            <w:pPr>
              <w:pStyle w:val="CDITable-HeaderRowCentre"/>
              <w:rPr>
                <w:bCs/>
                <w:sz w:val="17"/>
              </w:rPr>
            </w:pPr>
            <w:r w:rsidRPr="003F2670">
              <w:rPr>
                <w:bCs/>
                <w:sz w:val="17"/>
              </w:rPr>
              <w:t>2026 Q1</w:t>
            </w:r>
          </w:p>
        </w:tc>
      </w:tr>
      <w:tr w:rsidR="003F2670" w:rsidRPr="003F2670" w14:paraId="58B58359" w14:textId="77777777" w:rsidTr="00543BF4">
        <w:trPr>
          <w:trHeight w:val="60"/>
        </w:trPr>
        <w:tc>
          <w:tcPr>
            <w:tcW w:w="1814" w:type="dxa"/>
            <w:tcMar>
              <w:top w:w="113" w:type="dxa"/>
              <w:left w:w="85" w:type="dxa"/>
              <w:bottom w:w="113" w:type="dxa"/>
              <w:right w:w="85" w:type="dxa"/>
            </w:tcMar>
            <w:vAlign w:val="center"/>
          </w:tcPr>
          <w:p w14:paraId="7663FFFB" w14:textId="77777777" w:rsidR="003F2670" w:rsidRPr="003F2670" w:rsidRDefault="003F2670" w:rsidP="003F2670">
            <w:pPr>
              <w:pStyle w:val="CDITable-RowLeft"/>
              <w:rPr>
                <w:b/>
                <w:bCs/>
                <w:sz w:val="17"/>
                <w:szCs w:val="17"/>
                <w:lang w:val="en-GB"/>
              </w:rPr>
            </w:pPr>
            <w:r w:rsidRPr="003F2670">
              <w:rPr>
                <w:b/>
                <w:bCs/>
                <w:sz w:val="17"/>
                <w:szCs w:val="17"/>
                <w:lang w:val="en-GB"/>
              </w:rPr>
              <w:t>Number of isolates tested nationally</w:t>
            </w:r>
          </w:p>
        </w:tc>
        <w:tc>
          <w:tcPr>
            <w:tcW w:w="737" w:type="dxa"/>
            <w:tcMar>
              <w:top w:w="113" w:type="dxa"/>
              <w:left w:w="85" w:type="dxa"/>
              <w:bottom w:w="113" w:type="dxa"/>
              <w:right w:w="85" w:type="dxa"/>
            </w:tcMar>
            <w:vAlign w:val="center"/>
          </w:tcPr>
          <w:p w14:paraId="7560263C" w14:textId="77777777" w:rsidR="003F2670" w:rsidRPr="003F2670" w:rsidRDefault="003F2670" w:rsidP="003F2670">
            <w:pPr>
              <w:pStyle w:val="CDITable-RowCentre"/>
              <w:rPr>
                <w:b/>
                <w:bCs/>
                <w:sz w:val="17"/>
                <w:lang w:val="en-GB"/>
              </w:rPr>
            </w:pPr>
            <w:r w:rsidRPr="003F2670">
              <w:rPr>
                <w:b/>
                <w:bCs/>
                <w:sz w:val="17"/>
                <w:lang w:val="en-GB"/>
              </w:rPr>
              <w:t>4,100</w:t>
            </w:r>
          </w:p>
        </w:tc>
        <w:tc>
          <w:tcPr>
            <w:tcW w:w="737" w:type="dxa"/>
            <w:tcMar>
              <w:top w:w="113" w:type="dxa"/>
              <w:left w:w="85" w:type="dxa"/>
              <w:bottom w:w="113" w:type="dxa"/>
              <w:right w:w="85" w:type="dxa"/>
            </w:tcMar>
            <w:vAlign w:val="center"/>
          </w:tcPr>
          <w:p w14:paraId="04A7B4ED" w14:textId="77777777" w:rsidR="003F2670" w:rsidRPr="003F2670" w:rsidRDefault="003F2670" w:rsidP="003F2670">
            <w:pPr>
              <w:pStyle w:val="CDITable-RowCentre"/>
              <w:rPr>
                <w:b/>
                <w:bCs/>
                <w:sz w:val="17"/>
                <w:lang w:val="en-GB"/>
              </w:rPr>
            </w:pPr>
            <w:r w:rsidRPr="003F2670">
              <w:rPr>
                <w:b/>
                <w:bCs/>
                <w:sz w:val="17"/>
                <w:lang w:val="en-GB"/>
              </w:rPr>
              <w:t>4,230</w:t>
            </w:r>
          </w:p>
        </w:tc>
        <w:tc>
          <w:tcPr>
            <w:tcW w:w="737" w:type="dxa"/>
            <w:tcMar>
              <w:top w:w="113" w:type="dxa"/>
              <w:left w:w="85" w:type="dxa"/>
              <w:bottom w:w="113" w:type="dxa"/>
              <w:right w:w="85" w:type="dxa"/>
            </w:tcMar>
            <w:vAlign w:val="center"/>
          </w:tcPr>
          <w:p w14:paraId="30D49595" w14:textId="77777777" w:rsidR="003F2670" w:rsidRPr="003F2670" w:rsidRDefault="003F2670" w:rsidP="003F2670">
            <w:pPr>
              <w:pStyle w:val="CDITable-RowCentre"/>
              <w:rPr>
                <w:b/>
                <w:bCs/>
                <w:sz w:val="17"/>
                <w:lang w:val="en-GB"/>
              </w:rPr>
            </w:pPr>
            <w:r w:rsidRPr="003F2670">
              <w:rPr>
                <w:b/>
                <w:bCs/>
                <w:sz w:val="17"/>
                <w:lang w:val="en-GB"/>
              </w:rPr>
              <w:t>4,718</w:t>
            </w:r>
          </w:p>
        </w:tc>
        <w:tc>
          <w:tcPr>
            <w:tcW w:w="737" w:type="dxa"/>
            <w:tcMar>
              <w:top w:w="113" w:type="dxa"/>
              <w:left w:w="85" w:type="dxa"/>
              <w:bottom w:w="113" w:type="dxa"/>
              <w:right w:w="85" w:type="dxa"/>
            </w:tcMar>
            <w:vAlign w:val="center"/>
          </w:tcPr>
          <w:p w14:paraId="667B326B" w14:textId="77777777" w:rsidR="003F2670" w:rsidRPr="003F2670" w:rsidRDefault="003F2670" w:rsidP="003F2670">
            <w:pPr>
              <w:pStyle w:val="CDITable-RowCentre"/>
              <w:rPr>
                <w:b/>
                <w:bCs/>
                <w:sz w:val="17"/>
                <w:lang w:val="en-GB"/>
              </w:rPr>
            </w:pPr>
            <w:r w:rsidRPr="003F2670">
              <w:rPr>
                <w:b/>
                <w:bCs/>
                <w:sz w:val="17"/>
                <w:lang w:val="en-GB"/>
              </w:rPr>
              <w:t>4,897</w:t>
            </w:r>
          </w:p>
        </w:tc>
        <w:tc>
          <w:tcPr>
            <w:tcW w:w="737" w:type="dxa"/>
            <w:tcMar>
              <w:top w:w="113" w:type="dxa"/>
              <w:left w:w="85" w:type="dxa"/>
              <w:bottom w:w="113" w:type="dxa"/>
              <w:right w:w="85" w:type="dxa"/>
            </w:tcMar>
            <w:vAlign w:val="center"/>
          </w:tcPr>
          <w:p w14:paraId="1F4A230B" w14:textId="77777777" w:rsidR="003F2670" w:rsidRPr="003F2670" w:rsidRDefault="003F2670" w:rsidP="003F2670">
            <w:pPr>
              <w:pStyle w:val="CDITable-RowCentre"/>
              <w:rPr>
                <w:b/>
                <w:bCs/>
                <w:sz w:val="17"/>
                <w:lang w:val="en-GB"/>
              </w:rPr>
            </w:pPr>
            <w:r w:rsidRPr="003F2670">
              <w:rPr>
                <w:b/>
                <w:bCs/>
                <w:sz w:val="17"/>
                <w:lang w:val="en-GB"/>
              </w:rPr>
              <w:t>4,804</w:t>
            </w:r>
          </w:p>
        </w:tc>
        <w:tc>
          <w:tcPr>
            <w:tcW w:w="737" w:type="dxa"/>
            <w:tcMar>
              <w:top w:w="113" w:type="dxa"/>
              <w:left w:w="85" w:type="dxa"/>
              <w:bottom w:w="113" w:type="dxa"/>
              <w:right w:w="85" w:type="dxa"/>
            </w:tcMar>
            <w:vAlign w:val="center"/>
          </w:tcPr>
          <w:p w14:paraId="7A2F0D3F" w14:textId="77777777" w:rsidR="003F2670" w:rsidRPr="003F2670" w:rsidRDefault="003F2670" w:rsidP="003F2670">
            <w:pPr>
              <w:pStyle w:val="CDITable-RowCentre"/>
              <w:rPr>
                <w:b/>
                <w:bCs/>
                <w:sz w:val="17"/>
                <w:lang w:val="en-GB"/>
              </w:rPr>
            </w:pPr>
            <w:r w:rsidRPr="003F2670">
              <w:rPr>
                <w:b/>
                <w:bCs/>
                <w:sz w:val="17"/>
                <w:lang w:val="en-GB"/>
              </w:rPr>
              <w:t>5,411</w:t>
            </w:r>
          </w:p>
        </w:tc>
        <w:tc>
          <w:tcPr>
            <w:tcW w:w="737" w:type="dxa"/>
            <w:tcMar>
              <w:top w:w="113" w:type="dxa"/>
              <w:left w:w="85" w:type="dxa"/>
              <w:bottom w:w="113" w:type="dxa"/>
              <w:right w:w="85" w:type="dxa"/>
            </w:tcMar>
            <w:vAlign w:val="center"/>
          </w:tcPr>
          <w:p w14:paraId="7A1C2930" w14:textId="77777777" w:rsidR="003F2670" w:rsidRPr="003F2670" w:rsidRDefault="003F2670" w:rsidP="003F2670">
            <w:pPr>
              <w:pStyle w:val="CDITable-RowCentre"/>
              <w:rPr>
                <w:b/>
                <w:bCs/>
                <w:sz w:val="17"/>
                <w:lang w:val="en-GB"/>
              </w:rPr>
            </w:pPr>
            <w:r w:rsidRPr="003F2670">
              <w:rPr>
                <w:b/>
                <w:bCs/>
                <w:sz w:val="17"/>
                <w:lang w:val="en-GB"/>
              </w:rPr>
              <w:t>6,378</w:t>
            </w:r>
          </w:p>
        </w:tc>
        <w:tc>
          <w:tcPr>
            <w:tcW w:w="737" w:type="dxa"/>
            <w:tcMar>
              <w:top w:w="113" w:type="dxa"/>
              <w:left w:w="85" w:type="dxa"/>
              <w:bottom w:w="113" w:type="dxa"/>
              <w:right w:w="85" w:type="dxa"/>
            </w:tcMar>
            <w:vAlign w:val="center"/>
          </w:tcPr>
          <w:p w14:paraId="256507A8" w14:textId="77777777" w:rsidR="003F2670" w:rsidRPr="003F2670" w:rsidRDefault="003F2670" w:rsidP="003F2670">
            <w:pPr>
              <w:pStyle w:val="CDITable-RowCentre"/>
              <w:rPr>
                <w:b/>
                <w:bCs/>
                <w:sz w:val="17"/>
                <w:lang w:val="en-GB"/>
              </w:rPr>
            </w:pPr>
            <w:r w:rsidRPr="003F2670">
              <w:rPr>
                <w:b/>
                <w:bCs/>
                <w:sz w:val="17"/>
                <w:lang w:val="en-GB"/>
              </w:rPr>
              <w:t>7,835</w:t>
            </w:r>
          </w:p>
        </w:tc>
        <w:tc>
          <w:tcPr>
            <w:tcW w:w="737" w:type="dxa"/>
            <w:tcMar>
              <w:top w:w="113" w:type="dxa"/>
              <w:left w:w="85" w:type="dxa"/>
              <w:bottom w:w="113" w:type="dxa"/>
              <w:right w:w="85" w:type="dxa"/>
            </w:tcMar>
            <w:vAlign w:val="center"/>
          </w:tcPr>
          <w:p w14:paraId="2FE37D31" w14:textId="77777777" w:rsidR="003F2670" w:rsidRPr="003F2670" w:rsidRDefault="003F2670" w:rsidP="003F2670">
            <w:pPr>
              <w:pStyle w:val="CDITable-RowCentre"/>
              <w:rPr>
                <w:b/>
                <w:bCs/>
                <w:sz w:val="17"/>
                <w:lang w:val="en-GB"/>
              </w:rPr>
            </w:pPr>
            <w:r w:rsidRPr="003F2670">
              <w:rPr>
                <w:b/>
                <w:bCs/>
                <w:sz w:val="17"/>
                <w:lang w:val="en-GB"/>
              </w:rPr>
              <w:t>9,006</w:t>
            </w:r>
          </w:p>
        </w:tc>
        <w:tc>
          <w:tcPr>
            <w:tcW w:w="737" w:type="dxa"/>
            <w:tcMar>
              <w:top w:w="113" w:type="dxa"/>
              <w:left w:w="85" w:type="dxa"/>
              <w:bottom w:w="113" w:type="dxa"/>
              <w:right w:w="85" w:type="dxa"/>
            </w:tcMar>
            <w:vAlign w:val="center"/>
          </w:tcPr>
          <w:p w14:paraId="45468D61" w14:textId="77777777" w:rsidR="003F2670" w:rsidRPr="003F2670" w:rsidRDefault="003F2670" w:rsidP="003F2670">
            <w:pPr>
              <w:pStyle w:val="CDITable-RowCentre"/>
              <w:rPr>
                <w:b/>
                <w:bCs/>
                <w:sz w:val="17"/>
                <w:lang w:val="en-GB"/>
              </w:rPr>
            </w:pPr>
            <w:r w:rsidRPr="003F2670">
              <w:rPr>
                <w:b/>
                <w:bCs/>
                <w:sz w:val="17"/>
                <w:lang w:val="en-GB"/>
              </w:rPr>
              <w:t>9,668</w:t>
            </w:r>
          </w:p>
        </w:tc>
        <w:tc>
          <w:tcPr>
            <w:tcW w:w="737" w:type="dxa"/>
            <w:tcMar>
              <w:top w:w="113" w:type="dxa"/>
              <w:left w:w="85" w:type="dxa"/>
              <w:bottom w:w="113" w:type="dxa"/>
              <w:right w:w="85" w:type="dxa"/>
            </w:tcMar>
            <w:vAlign w:val="center"/>
          </w:tcPr>
          <w:p w14:paraId="3EAA8E24" w14:textId="77777777" w:rsidR="003F2670" w:rsidRPr="003F2670" w:rsidRDefault="003F2670" w:rsidP="003F2670">
            <w:pPr>
              <w:pStyle w:val="CDITable-RowCentre"/>
              <w:rPr>
                <w:b/>
                <w:bCs/>
                <w:sz w:val="17"/>
                <w:lang w:val="en-GB"/>
              </w:rPr>
            </w:pPr>
            <w:r w:rsidRPr="003F2670">
              <w:rPr>
                <w:b/>
                <w:bCs/>
                <w:sz w:val="17"/>
                <w:lang w:val="en-GB"/>
              </w:rPr>
              <w:t>7,222</w:t>
            </w:r>
          </w:p>
        </w:tc>
        <w:tc>
          <w:tcPr>
            <w:tcW w:w="737" w:type="dxa"/>
            <w:tcMar>
              <w:top w:w="113" w:type="dxa"/>
              <w:left w:w="85" w:type="dxa"/>
              <w:bottom w:w="113" w:type="dxa"/>
              <w:right w:w="85" w:type="dxa"/>
            </w:tcMar>
            <w:vAlign w:val="center"/>
          </w:tcPr>
          <w:p w14:paraId="301BD4FE" w14:textId="77777777" w:rsidR="003F2670" w:rsidRPr="003F2670" w:rsidRDefault="003F2670" w:rsidP="003F2670">
            <w:pPr>
              <w:pStyle w:val="CDITable-RowCentre"/>
              <w:rPr>
                <w:b/>
                <w:bCs/>
                <w:sz w:val="17"/>
                <w:lang w:val="en-GB"/>
              </w:rPr>
            </w:pPr>
            <w:r w:rsidRPr="003F2670">
              <w:rPr>
                <w:b/>
                <w:bCs/>
                <w:sz w:val="17"/>
                <w:lang w:val="en-GB"/>
              </w:rPr>
              <w:t>6,254</w:t>
            </w:r>
          </w:p>
        </w:tc>
        <w:tc>
          <w:tcPr>
            <w:tcW w:w="737" w:type="dxa"/>
            <w:tcMar>
              <w:top w:w="113" w:type="dxa"/>
              <w:left w:w="85" w:type="dxa"/>
              <w:bottom w:w="113" w:type="dxa"/>
              <w:right w:w="85" w:type="dxa"/>
            </w:tcMar>
            <w:vAlign w:val="center"/>
          </w:tcPr>
          <w:p w14:paraId="36C6ECEA" w14:textId="77777777" w:rsidR="003F2670" w:rsidRPr="003F2670" w:rsidRDefault="003F2670" w:rsidP="003F2670">
            <w:pPr>
              <w:pStyle w:val="CDITable-RowCentre"/>
              <w:rPr>
                <w:b/>
                <w:bCs/>
                <w:sz w:val="17"/>
                <w:lang w:val="en-GB"/>
              </w:rPr>
            </w:pPr>
            <w:r w:rsidRPr="003F2670">
              <w:rPr>
                <w:b/>
                <w:bCs/>
                <w:sz w:val="17"/>
                <w:lang w:val="en-GB"/>
              </w:rPr>
              <w:t>8,199</w:t>
            </w:r>
          </w:p>
        </w:tc>
        <w:tc>
          <w:tcPr>
            <w:tcW w:w="737" w:type="dxa"/>
            <w:tcMar>
              <w:top w:w="113" w:type="dxa"/>
              <w:left w:w="85" w:type="dxa"/>
              <w:bottom w:w="113" w:type="dxa"/>
              <w:right w:w="85" w:type="dxa"/>
            </w:tcMar>
            <w:vAlign w:val="center"/>
          </w:tcPr>
          <w:p w14:paraId="087BA248" w14:textId="77777777" w:rsidR="003F2670" w:rsidRPr="003F2670" w:rsidRDefault="003F2670" w:rsidP="003F2670">
            <w:pPr>
              <w:pStyle w:val="CDITable-RowCentre"/>
              <w:rPr>
                <w:b/>
                <w:bCs/>
                <w:sz w:val="17"/>
                <w:szCs w:val="17"/>
                <w:lang w:val="en-GB"/>
              </w:rPr>
            </w:pPr>
            <w:r w:rsidRPr="003F2670">
              <w:rPr>
                <w:b/>
                <w:bCs/>
                <w:sz w:val="17"/>
                <w:szCs w:val="17"/>
                <w:lang w:val="en-GB"/>
              </w:rPr>
              <w:t>10,105</w:t>
            </w:r>
          </w:p>
        </w:tc>
        <w:tc>
          <w:tcPr>
            <w:tcW w:w="737" w:type="dxa"/>
            <w:tcMar>
              <w:top w:w="113" w:type="dxa"/>
              <w:left w:w="85" w:type="dxa"/>
              <w:bottom w:w="113" w:type="dxa"/>
              <w:right w:w="85" w:type="dxa"/>
            </w:tcMar>
            <w:vAlign w:val="center"/>
          </w:tcPr>
          <w:p w14:paraId="0A0D4C65" w14:textId="77777777" w:rsidR="003F2670" w:rsidRPr="003F2670" w:rsidRDefault="003F2670" w:rsidP="003F2670">
            <w:pPr>
              <w:pStyle w:val="CDITable-RowCentre"/>
              <w:rPr>
                <w:b/>
                <w:bCs/>
                <w:sz w:val="17"/>
                <w:lang w:val="en-GB"/>
              </w:rPr>
            </w:pPr>
            <w:r w:rsidRPr="003F2670">
              <w:rPr>
                <w:b/>
                <w:bCs/>
                <w:sz w:val="17"/>
                <w:lang w:val="en-GB"/>
              </w:rPr>
              <w:t>10,702</w:t>
            </w:r>
          </w:p>
        </w:tc>
        <w:tc>
          <w:tcPr>
            <w:tcW w:w="737" w:type="dxa"/>
            <w:tcMar>
              <w:top w:w="113" w:type="dxa"/>
              <w:left w:w="85" w:type="dxa"/>
              <w:bottom w:w="113" w:type="dxa"/>
              <w:right w:w="85" w:type="dxa"/>
            </w:tcMar>
            <w:vAlign w:val="center"/>
          </w:tcPr>
          <w:p w14:paraId="3B3886EC" w14:textId="77777777" w:rsidR="003F2670" w:rsidRPr="003F2670" w:rsidRDefault="003F2670" w:rsidP="003F2670">
            <w:pPr>
              <w:pStyle w:val="CDITable-RowCentre"/>
              <w:rPr>
                <w:b/>
                <w:bCs/>
                <w:sz w:val="17"/>
                <w:lang w:val="en-GB"/>
              </w:rPr>
            </w:pPr>
            <w:r w:rsidRPr="003F2670">
              <w:rPr>
                <w:b/>
                <w:bCs/>
                <w:sz w:val="17"/>
                <w:lang w:val="en-GB"/>
              </w:rPr>
              <w:t>10,204</w:t>
            </w:r>
          </w:p>
        </w:tc>
        <w:tc>
          <w:tcPr>
            <w:tcW w:w="737" w:type="dxa"/>
            <w:tcMar>
              <w:top w:w="113" w:type="dxa"/>
              <w:left w:w="85" w:type="dxa"/>
              <w:bottom w:w="113" w:type="dxa"/>
              <w:right w:w="85" w:type="dxa"/>
            </w:tcMar>
            <w:vAlign w:val="center"/>
          </w:tcPr>
          <w:p w14:paraId="029CE979" w14:textId="77777777" w:rsidR="003F2670" w:rsidRPr="003F2670" w:rsidRDefault="003F2670" w:rsidP="003F2670">
            <w:pPr>
              <w:pStyle w:val="CDITable-RowCentre"/>
              <w:rPr>
                <w:b/>
                <w:bCs/>
                <w:sz w:val="17"/>
                <w:lang w:val="en-GB"/>
              </w:rPr>
            </w:pPr>
            <w:r w:rsidRPr="003F2670">
              <w:rPr>
                <w:b/>
                <w:bCs/>
                <w:sz w:val="17"/>
                <w:lang w:val="en-GB"/>
              </w:rPr>
              <w:t>2,776</w:t>
            </w:r>
          </w:p>
        </w:tc>
      </w:tr>
      <w:tr w:rsidR="003F2670" w:rsidRPr="003F2670" w14:paraId="34AD5E57" w14:textId="77777777" w:rsidTr="00543BF4">
        <w:trPr>
          <w:trHeight w:val="60"/>
        </w:trPr>
        <w:tc>
          <w:tcPr>
            <w:tcW w:w="1814" w:type="dxa"/>
            <w:tcMar>
              <w:top w:w="113" w:type="dxa"/>
              <w:left w:w="85" w:type="dxa"/>
              <w:bottom w:w="113" w:type="dxa"/>
              <w:right w:w="85" w:type="dxa"/>
            </w:tcMar>
            <w:vAlign w:val="center"/>
          </w:tcPr>
          <w:p w14:paraId="467CD69C" w14:textId="0561B15E" w:rsidR="003F2670" w:rsidRPr="003F2670" w:rsidRDefault="003F2670" w:rsidP="003F2670">
            <w:pPr>
              <w:pStyle w:val="CDITable-RowLeft"/>
              <w:rPr>
                <w:sz w:val="17"/>
                <w:szCs w:val="17"/>
                <w:lang w:val="en-GB"/>
              </w:rPr>
            </w:pPr>
            <w:r w:rsidRPr="003F2670">
              <w:rPr>
                <w:sz w:val="17"/>
                <w:szCs w:val="17"/>
                <w:lang w:val="en-GB"/>
              </w:rPr>
              <w:t>Ceftriaxone MIC</w:t>
            </w:r>
            <w:r>
              <w:rPr>
                <w:sz w:val="17"/>
                <w:szCs w:val="17"/>
                <w:lang w:val="en-GB"/>
              </w:rPr>
              <w:t> </w:t>
            </w:r>
            <w:r w:rsidRPr="003F2670">
              <w:rPr>
                <w:sz w:val="17"/>
                <w:szCs w:val="17"/>
                <w:lang w:val="en-GB"/>
              </w:rPr>
              <w:t>0.064 mg/L</w:t>
            </w:r>
          </w:p>
        </w:tc>
        <w:tc>
          <w:tcPr>
            <w:tcW w:w="737" w:type="dxa"/>
            <w:tcMar>
              <w:top w:w="113" w:type="dxa"/>
              <w:left w:w="85" w:type="dxa"/>
              <w:bottom w:w="113" w:type="dxa"/>
              <w:right w:w="85" w:type="dxa"/>
            </w:tcMar>
            <w:vAlign w:val="center"/>
          </w:tcPr>
          <w:p w14:paraId="3E41F105" w14:textId="77777777" w:rsidR="003F2670" w:rsidRPr="003F2670" w:rsidRDefault="003F2670" w:rsidP="003F2670">
            <w:pPr>
              <w:pStyle w:val="CDITable-RowCentre"/>
              <w:rPr>
                <w:sz w:val="17"/>
                <w:lang w:val="en-GB"/>
              </w:rPr>
            </w:pPr>
            <w:r w:rsidRPr="003F2670">
              <w:rPr>
                <w:sz w:val="17"/>
                <w:lang w:val="en-GB"/>
              </w:rPr>
              <w:t>4.80%</w:t>
            </w:r>
          </w:p>
        </w:tc>
        <w:tc>
          <w:tcPr>
            <w:tcW w:w="737" w:type="dxa"/>
            <w:tcMar>
              <w:top w:w="113" w:type="dxa"/>
              <w:left w:w="85" w:type="dxa"/>
              <w:bottom w:w="113" w:type="dxa"/>
              <w:right w:w="85" w:type="dxa"/>
            </w:tcMar>
            <w:vAlign w:val="center"/>
          </w:tcPr>
          <w:p w14:paraId="02C81833" w14:textId="77777777" w:rsidR="003F2670" w:rsidRPr="003F2670" w:rsidRDefault="003F2670" w:rsidP="003F2670">
            <w:pPr>
              <w:pStyle w:val="CDITable-RowCentre"/>
              <w:rPr>
                <w:sz w:val="17"/>
                <w:lang w:val="en-GB"/>
              </w:rPr>
            </w:pPr>
            <w:r w:rsidRPr="003F2670">
              <w:rPr>
                <w:sz w:val="17"/>
                <w:lang w:val="en-GB"/>
              </w:rPr>
              <w:t>3.20%</w:t>
            </w:r>
          </w:p>
        </w:tc>
        <w:tc>
          <w:tcPr>
            <w:tcW w:w="737" w:type="dxa"/>
            <w:tcMar>
              <w:top w:w="113" w:type="dxa"/>
              <w:left w:w="85" w:type="dxa"/>
              <w:bottom w:w="113" w:type="dxa"/>
              <w:right w:w="85" w:type="dxa"/>
            </w:tcMar>
            <w:vAlign w:val="center"/>
          </w:tcPr>
          <w:p w14:paraId="515505AA" w14:textId="77777777" w:rsidR="003F2670" w:rsidRPr="003F2670" w:rsidRDefault="003F2670" w:rsidP="003F2670">
            <w:pPr>
              <w:pStyle w:val="CDITable-RowCentre"/>
              <w:rPr>
                <w:sz w:val="17"/>
                <w:lang w:val="en-GB"/>
              </w:rPr>
            </w:pPr>
            <w:r w:rsidRPr="003F2670">
              <w:rPr>
                <w:sz w:val="17"/>
                <w:lang w:val="en-GB"/>
              </w:rPr>
              <w:t>4.10%</w:t>
            </w:r>
          </w:p>
        </w:tc>
        <w:tc>
          <w:tcPr>
            <w:tcW w:w="737" w:type="dxa"/>
            <w:tcMar>
              <w:top w:w="113" w:type="dxa"/>
              <w:left w:w="85" w:type="dxa"/>
              <w:bottom w:w="113" w:type="dxa"/>
              <w:right w:w="85" w:type="dxa"/>
            </w:tcMar>
            <w:vAlign w:val="center"/>
          </w:tcPr>
          <w:p w14:paraId="45C719E2" w14:textId="77777777" w:rsidR="003F2670" w:rsidRPr="003F2670" w:rsidRDefault="003F2670" w:rsidP="003F2670">
            <w:pPr>
              <w:pStyle w:val="CDITable-RowCentre"/>
              <w:rPr>
                <w:sz w:val="17"/>
                <w:lang w:val="en-GB"/>
              </w:rPr>
            </w:pPr>
            <w:r w:rsidRPr="003F2670">
              <w:rPr>
                <w:sz w:val="17"/>
                <w:lang w:val="en-GB"/>
              </w:rPr>
              <w:t>8.20%</w:t>
            </w:r>
          </w:p>
        </w:tc>
        <w:tc>
          <w:tcPr>
            <w:tcW w:w="737" w:type="dxa"/>
            <w:tcMar>
              <w:top w:w="113" w:type="dxa"/>
              <w:left w:w="85" w:type="dxa"/>
              <w:bottom w:w="113" w:type="dxa"/>
              <w:right w:w="85" w:type="dxa"/>
            </w:tcMar>
            <w:vAlign w:val="center"/>
          </w:tcPr>
          <w:p w14:paraId="0238DCC1" w14:textId="77777777" w:rsidR="003F2670" w:rsidRPr="003F2670" w:rsidRDefault="003F2670" w:rsidP="003F2670">
            <w:pPr>
              <w:pStyle w:val="CDITable-RowCentre"/>
              <w:rPr>
                <w:sz w:val="17"/>
                <w:lang w:val="en-GB"/>
              </w:rPr>
            </w:pPr>
            <w:r w:rsidRPr="003F2670">
              <w:rPr>
                <w:sz w:val="17"/>
                <w:lang w:val="en-GB"/>
              </w:rPr>
              <w:t>4.80%</w:t>
            </w:r>
          </w:p>
        </w:tc>
        <w:tc>
          <w:tcPr>
            <w:tcW w:w="737" w:type="dxa"/>
            <w:tcMar>
              <w:top w:w="113" w:type="dxa"/>
              <w:left w:w="85" w:type="dxa"/>
              <w:bottom w:w="113" w:type="dxa"/>
              <w:right w:w="85" w:type="dxa"/>
            </w:tcMar>
            <w:vAlign w:val="center"/>
          </w:tcPr>
          <w:p w14:paraId="5A798FEF" w14:textId="77777777" w:rsidR="003F2670" w:rsidRPr="003F2670" w:rsidRDefault="003F2670" w:rsidP="003F2670">
            <w:pPr>
              <w:pStyle w:val="CDITable-RowCentre"/>
              <w:rPr>
                <w:sz w:val="17"/>
                <w:lang w:val="en-GB"/>
              </w:rPr>
            </w:pPr>
            <w:r w:rsidRPr="003F2670">
              <w:rPr>
                <w:sz w:val="17"/>
                <w:lang w:val="en-GB"/>
              </w:rPr>
              <w:t>1.70%</w:t>
            </w:r>
          </w:p>
        </w:tc>
        <w:tc>
          <w:tcPr>
            <w:tcW w:w="737" w:type="dxa"/>
            <w:tcMar>
              <w:top w:w="113" w:type="dxa"/>
              <w:left w:w="85" w:type="dxa"/>
              <w:bottom w:w="113" w:type="dxa"/>
              <w:right w:w="85" w:type="dxa"/>
            </w:tcMar>
            <w:vAlign w:val="center"/>
          </w:tcPr>
          <w:p w14:paraId="0493AA08" w14:textId="77777777" w:rsidR="003F2670" w:rsidRPr="003F2670" w:rsidRDefault="003F2670" w:rsidP="003F2670">
            <w:pPr>
              <w:pStyle w:val="CDITable-RowCentre"/>
              <w:rPr>
                <w:sz w:val="17"/>
                <w:lang w:val="en-GB"/>
              </w:rPr>
            </w:pPr>
            <w:r w:rsidRPr="003F2670">
              <w:rPr>
                <w:sz w:val="17"/>
                <w:lang w:val="en-GB"/>
              </w:rPr>
              <w:t>1.65%</w:t>
            </w:r>
          </w:p>
        </w:tc>
        <w:tc>
          <w:tcPr>
            <w:tcW w:w="737" w:type="dxa"/>
            <w:tcMar>
              <w:top w:w="113" w:type="dxa"/>
              <w:left w:w="85" w:type="dxa"/>
              <w:bottom w:w="113" w:type="dxa"/>
              <w:right w:w="85" w:type="dxa"/>
            </w:tcMar>
            <w:vAlign w:val="center"/>
          </w:tcPr>
          <w:p w14:paraId="2FEEB618" w14:textId="77777777" w:rsidR="003F2670" w:rsidRPr="003F2670" w:rsidRDefault="003F2670" w:rsidP="003F2670">
            <w:pPr>
              <w:pStyle w:val="CDITable-RowCentre"/>
              <w:rPr>
                <w:sz w:val="17"/>
                <w:lang w:val="en-GB"/>
              </w:rPr>
            </w:pPr>
            <w:r w:rsidRPr="003F2670">
              <w:rPr>
                <w:sz w:val="17"/>
                <w:lang w:val="en-GB"/>
              </w:rPr>
              <w:t>1.02%</w:t>
            </w:r>
          </w:p>
        </w:tc>
        <w:tc>
          <w:tcPr>
            <w:tcW w:w="737" w:type="dxa"/>
            <w:tcMar>
              <w:top w:w="113" w:type="dxa"/>
              <w:left w:w="85" w:type="dxa"/>
              <w:bottom w:w="113" w:type="dxa"/>
              <w:right w:w="85" w:type="dxa"/>
            </w:tcMar>
            <w:vAlign w:val="center"/>
          </w:tcPr>
          <w:p w14:paraId="73CC919B" w14:textId="77777777" w:rsidR="003F2670" w:rsidRPr="003F2670" w:rsidRDefault="003F2670" w:rsidP="003F2670">
            <w:pPr>
              <w:pStyle w:val="CDITable-RowCentre"/>
              <w:rPr>
                <w:sz w:val="17"/>
                <w:lang w:val="en-GB"/>
              </w:rPr>
            </w:pPr>
            <w:r w:rsidRPr="003F2670">
              <w:rPr>
                <w:sz w:val="17"/>
                <w:lang w:val="en-GB"/>
              </w:rPr>
              <w:t>1.67%</w:t>
            </w:r>
          </w:p>
        </w:tc>
        <w:tc>
          <w:tcPr>
            <w:tcW w:w="737" w:type="dxa"/>
            <w:tcMar>
              <w:top w:w="113" w:type="dxa"/>
              <w:left w:w="85" w:type="dxa"/>
              <w:bottom w:w="113" w:type="dxa"/>
              <w:right w:w="85" w:type="dxa"/>
            </w:tcMar>
            <w:vAlign w:val="center"/>
          </w:tcPr>
          <w:p w14:paraId="09FACDD0" w14:textId="77777777" w:rsidR="003F2670" w:rsidRPr="003F2670" w:rsidRDefault="003F2670" w:rsidP="003F2670">
            <w:pPr>
              <w:pStyle w:val="CDITable-RowCentre"/>
              <w:rPr>
                <w:sz w:val="17"/>
                <w:lang w:val="en-GB"/>
              </w:rPr>
            </w:pPr>
            <w:r w:rsidRPr="003F2670">
              <w:rPr>
                <w:sz w:val="17"/>
                <w:lang w:val="en-GB"/>
              </w:rPr>
              <w:t>1.19%</w:t>
            </w:r>
          </w:p>
        </w:tc>
        <w:tc>
          <w:tcPr>
            <w:tcW w:w="737" w:type="dxa"/>
            <w:tcMar>
              <w:top w:w="113" w:type="dxa"/>
              <w:left w:w="85" w:type="dxa"/>
              <w:bottom w:w="113" w:type="dxa"/>
              <w:right w:w="85" w:type="dxa"/>
            </w:tcMar>
            <w:vAlign w:val="center"/>
          </w:tcPr>
          <w:p w14:paraId="75B66A9E" w14:textId="77777777" w:rsidR="003F2670" w:rsidRPr="003F2670" w:rsidRDefault="003F2670" w:rsidP="003F2670">
            <w:pPr>
              <w:pStyle w:val="CDITable-RowCentre"/>
              <w:rPr>
                <w:sz w:val="17"/>
                <w:lang w:val="en-GB"/>
              </w:rPr>
            </w:pPr>
            <w:r w:rsidRPr="003F2670">
              <w:rPr>
                <w:sz w:val="17"/>
                <w:lang w:val="en-GB"/>
              </w:rPr>
              <w:t>0.87%</w:t>
            </w:r>
          </w:p>
        </w:tc>
        <w:tc>
          <w:tcPr>
            <w:tcW w:w="737" w:type="dxa"/>
            <w:tcMar>
              <w:top w:w="113" w:type="dxa"/>
              <w:left w:w="85" w:type="dxa"/>
              <w:bottom w:w="113" w:type="dxa"/>
              <w:right w:w="85" w:type="dxa"/>
            </w:tcMar>
            <w:vAlign w:val="center"/>
          </w:tcPr>
          <w:p w14:paraId="7225293B" w14:textId="77777777" w:rsidR="003F2670" w:rsidRPr="003F2670" w:rsidRDefault="003F2670" w:rsidP="003F2670">
            <w:pPr>
              <w:pStyle w:val="CDITable-RowCentre"/>
              <w:rPr>
                <w:sz w:val="17"/>
                <w:lang w:val="en-GB"/>
              </w:rPr>
            </w:pPr>
            <w:r w:rsidRPr="003F2670">
              <w:rPr>
                <w:sz w:val="17"/>
                <w:lang w:val="en-GB"/>
              </w:rPr>
              <w:t>0.83%</w:t>
            </w:r>
          </w:p>
        </w:tc>
        <w:tc>
          <w:tcPr>
            <w:tcW w:w="737" w:type="dxa"/>
            <w:tcMar>
              <w:top w:w="113" w:type="dxa"/>
              <w:left w:w="85" w:type="dxa"/>
              <w:bottom w:w="113" w:type="dxa"/>
              <w:right w:w="85" w:type="dxa"/>
            </w:tcMar>
            <w:vAlign w:val="center"/>
          </w:tcPr>
          <w:p w14:paraId="16ABA3C3" w14:textId="77777777" w:rsidR="003F2670" w:rsidRPr="003F2670" w:rsidRDefault="003F2670" w:rsidP="003F2670">
            <w:pPr>
              <w:pStyle w:val="CDITable-RowCentre"/>
              <w:rPr>
                <w:sz w:val="17"/>
                <w:lang w:val="en-GB"/>
              </w:rPr>
            </w:pPr>
            <w:r w:rsidRPr="003F2670">
              <w:rPr>
                <w:sz w:val="17"/>
                <w:lang w:val="en-GB"/>
              </w:rPr>
              <w:t>5.05%</w:t>
            </w:r>
          </w:p>
        </w:tc>
        <w:tc>
          <w:tcPr>
            <w:tcW w:w="737" w:type="dxa"/>
            <w:tcMar>
              <w:top w:w="113" w:type="dxa"/>
              <w:left w:w="85" w:type="dxa"/>
              <w:bottom w:w="113" w:type="dxa"/>
              <w:right w:w="85" w:type="dxa"/>
            </w:tcMar>
            <w:vAlign w:val="center"/>
          </w:tcPr>
          <w:p w14:paraId="51B635E6" w14:textId="77777777" w:rsidR="003F2670" w:rsidRPr="003F2670" w:rsidRDefault="003F2670" w:rsidP="003F2670">
            <w:pPr>
              <w:pStyle w:val="CDITable-RowCentre"/>
              <w:rPr>
                <w:sz w:val="17"/>
                <w:lang w:val="en-GB"/>
              </w:rPr>
            </w:pPr>
            <w:r w:rsidRPr="003F2670">
              <w:rPr>
                <w:sz w:val="17"/>
                <w:lang w:val="en-GB"/>
              </w:rPr>
              <w:t>3.29%</w:t>
            </w:r>
          </w:p>
        </w:tc>
        <w:tc>
          <w:tcPr>
            <w:tcW w:w="737" w:type="dxa"/>
            <w:tcMar>
              <w:top w:w="113" w:type="dxa"/>
              <w:left w:w="85" w:type="dxa"/>
              <w:bottom w:w="113" w:type="dxa"/>
              <w:right w:w="85" w:type="dxa"/>
            </w:tcMar>
            <w:vAlign w:val="center"/>
          </w:tcPr>
          <w:p w14:paraId="563E8C06" w14:textId="77777777" w:rsidR="003F2670" w:rsidRPr="003F2670" w:rsidRDefault="003F2670" w:rsidP="003F2670">
            <w:pPr>
              <w:pStyle w:val="CDITable-RowCentre"/>
              <w:rPr>
                <w:sz w:val="17"/>
                <w:lang w:val="en-GB"/>
              </w:rPr>
            </w:pPr>
            <w:r w:rsidRPr="003F2670">
              <w:rPr>
                <w:sz w:val="17"/>
                <w:lang w:val="en-GB"/>
              </w:rPr>
              <w:t>2.29%</w:t>
            </w:r>
          </w:p>
        </w:tc>
        <w:tc>
          <w:tcPr>
            <w:tcW w:w="737" w:type="dxa"/>
            <w:tcMar>
              <w:top w:w="113" w:type="dxa"/>
              <w:left w:w="85" w:type="dxa"/>
              <w:bottom w:w="113" w:type="dxa"/>
              <w:right w:w="85" w:type="dxa"/>
            </w:tcMar>
            <w:vAlign w:val="center"/>
          </w:tcPr>
          <w:p w14:paraId="388EA95B" w14:textId="77777777" w:rsidR="003F2670" w:rsidRPr="003F2670" w:rsidRDefault="003F2670" w:rsidP="003F2670">
            <w:pPr>
              <w:pStyle w:val="CDITable-RowCentre"/>
              <w:rPr>
                <w:sz w:val="17"/>
                <w:lang w:val="en-GB"/>
              </w:rPr>
            </w:pPr>
            <w:r w:rsidRPr="003F2670">
              <w:rPr>
                <w:sz w:val="17"/>
                <w:lang w:val="en-GB"/>
              </w:rPr>
              <w:t>2.70%</w:t>
            </w:r>
          </w:p>
        </w:tc>
        <w:tc>
          <w:tcPr>
            <w:tcW w:w="737" w:type="dxa"/>
            <w:tcMar>
              <w:top w:w="113" w:type="dxa"/>
              <w:left w:w="85" w:type="dxa"/>
              <w:bottom w:w="113" w:type="dxa"/>
              <w:right w:w="85" w:type="dxa"/>
            </w:tcMar>
            <w:vAlign w:val="center"/>
          </w:tcPr>
          <w:p w14:paraId="5403E678" w14:textId="77777777" w:rsidR="003F2670" w:rsidRPr="003F2670" w:rsidRDefault="003F2670" w:rsidP="003F2670">
            <w:pPr>
              <w:pStyle w:val="CDITable-RowCentre"/>
              <w:rPr>
                <w:sz w:val="17"/>
                <w:lang w:val="en-GB"/>
              </w:rPr>
            </w:pPr>
            <w:r w:rsidRPr="003F2670">
              <w:rPr>
                <w:sz w:val="17"/>
                <w:lang w:val="en-GB"/>
              </w:rPr>
              <w:t>2.31%</w:t>
            </w:r>
          </w:p>
        </w:tc>
      </w:tr>
      <w:tr w:rsidR="003F2670" w:rsidRPr="003F2670" w14:paraId="176E561F" w14:textId="77777777" w:rsidTr="00543BF4">
        <w:trPr>
          <w:trHeight w:val="60"/>
        </w:trPr>
        <w:tc>
          <w:tcPr>
            <w:tcW w:w="1814" w:type="dxa"/>
            <w:shd w:val="clear" w:color="auto" w:fill="DCF4FC" w:themeFill="background2" w:themeFillTint="33"/>
            <w:tcMar>
              <w:top w:w="113" w:type="dxa"/>
              <w:left w:w="85" w:type="dxa"/>
              <w:bottom w:w="113" w:type="dxa"/>
              <w:right w:w="85" w:type="dxa"/>
            </w:tcMar>
            <w:vAlign w:val="center"/>
          </w:tcPr>
          <w:p w14:paraId="7A08F3C9" w14:textId="5544F33D" w:rsidR="003F2670" w:rsidRPr="003F2670" w:rsidRDefault="003F2670" w:rsidP="003F2670">
            <w:pPr>
              <w:pStyle w:val="CDITable-RowLeft"/>
              <w:rPr>
                <w:b/>
                <w:bCs/>
                <w:sz w:val="17"/>
                <w:szCs w:val="17"/>
                <w:lang w:val="en-GB"/>
              </w:rPr>
            </w:pPr>
            <w:r w:rsidRPr="003F2670">
              <w:rPr>
                <w:b/>
                <w:bCs/>
                <w:sz w:val="17"/>
                <w:szCs w:val="17"/>
                <w:lang w:val="en-GB"/>
              </w:rPr>
              <w:t>Ceftriaxone DS (MIC ≥ 0.125 mg/L)</w:t>
            </w:r>
          </w:p>
        </w:tc>
        <w:tc>
          <w:tcPr>
            <w:tcW w:w="737" w:type="dxa"/>
            <w:shd w:val="clear" w:color="auto" w:fill="DCF4FC" w:themeFill="background2" w:themeFillTint="33"/>
            <w:tcMar>
              <w:top w:w="113" w:type="dxa"/>
              <w:left w:w="85" w:type="dxa"/>
              <w:bottom w:w="113" w:type="dxa"/>
              <w:right w:w="85" w:type="dxa"/>
            </w:tcMar>
            <w:vAlign w:val="center"/>
          </w:tcPr>
          <w:p w14:paraId="447D7176" w14:textId="77777777" w:rsidR="003F2670" w:rsidRPr="003F2670" w:rsidRDefault="003F2670" w:rsidP="003F2670">
            <w:pPr>
              <w:pStyle w:val="CDITable-RowCentre"/>
              <w:rPr>
                <w:b/>
                <w:bCs/>
                <w:sz w:val="17"/>
                <w:lang w:val="en-GB"/>
              </w:rPr>
            </w:pPr>
            <w:r w:rsidRPr="003F2670">
              <w:rPr>
                <w:b/>
                <w:bCs/>
                <w:sz w:val="17"/>
                <w:lang w:val="en-GB"/>
              </w:rPr>
              <w:t>0.10%</w:t>
            </w:r>
          </w:p>
        </w:tc>
        <w:tc>
          <w:tcPr>
            <w:tcW w:w="737" w:type="dxa"/>
            <w:shd w:val="clear" w:color="auto" w:fill="DCF4FC" w:themeFill="background2" w:themeFillTint="33"/>
            <w:tcMar>
              <w:top w:w="113" w:type="dxa"/>
              <w:left w:w="85" w:type="dxa"/>
              <w:bottom w:w="113" w:type="dxa"/>
              <w:right w:w="85" w:type="dxa"/>
            </w:tcMar>
            <w:vAlign w:val="center"/>
          </w:tcPr>
          <w:p w14:paraId="1B76970F" w14:textId="77777777" w:rsidR="003F2670" w:rsidRPr="003F2670" w:rsidRDefault="003F2670" w:rsidP="003F2670">
            <w:pPr>
              <w:pStyle w:val="CDITable-RowCentre"/>
              <w:rPr>
                <w:b/>
                <w:bCs/>
                <w:sz w:val="17"/>
                <w:lang w:val="en-GB"/>
              </w:rPr>
            </w:pPr>
            <w:r w:rsidRPr="003F2670">
              <w:rPr>
                <w:b/>
                <w:bCs/>
                <w:sz w:val="17"/>
                <w:lang w:val="en-GB"/>
              </w:rPr>
              <w:t>0.10%</w:t>
            </w:r>
          </w:p>
        </w:tc>
        <w:tc>
          <w:tcPr>
            <w:tcW w:w="737" w:type="dxa"/>
            <w:shd w:val="clear" w:color="auto" w:fill="DCF4FC" w:themeFill="background2" w:themeFillTint="33"/>
            <w:tcMar>
              <w:top w:w="113" w:type="dxa"/>
              <w:left w:w="85" w:type="dxa"/>
              <w:bottom w:w="113" w:type="dxa"/>
              <w:right w:w="85" w:type="dxa"/>
            </w:tcMar>
            <w:vAlign w:val="center"/>
          </w:tcPr>
          <w:p w14:paraId="2F8DD019" w14:textId="77777777" w:rsidR="003F2670" w:rsidRPr="003F2670" w:rsidRDefault="003F2670" w:rsidP="003F2670">
            <w:pPr>
              <w:pStyle w:val="CDITable-RowCentre"/>
              <w:rPr>
                <w:b/>
                <w:bCs/>
                <w:sz w:val="17"/>
                <w:lang w:val="en-GB"/>
              </w:rPr>
            </w:pPr>
            <w:r w:rsidRPr="003F2670">
              <w:rPr>
                <w:b/>
                <w:bCs/>
                <w:sz w:val="17"/>
                <w:lang w:val="en-GB"/>
              </w:rPr>
              <w:t>0.30%</w:t>
            </w:r>
          </w:p>
        </w:tc>
        <w:tc>
          <w:tcPr>
            <w:tcW w:w="737" w:type="dxa"/>
            <w:shd w:val="clear" w:color="auto" w:fill="DCF4FC" w:themeFill="background2" w:themeFillTint="33"/>
            <w:tcMar>
              <w:top w:w="113" w:type="dxa"/>
              <w:left w:w="85" w:type="dxa"/>
              <w:bottom w:w="113" w:type="dxa"/>
              <w:right w:w="85" w:type="dxa"/>
            </w:tcMar>
            <w:vAlign w:val="center"/>
          </w:tcPr>
          <w:p w14:paraId="6E752B04" w14:textId="77777777" w:rsidR="003F2670" w:rsidRPr="003F2670" w:rsidRDefault="003F2670" w:rsidP="003F2670">
            <w:pPr>
              <w:pStyle w:val="CDITable-RowCentre"/>
              <w:rPr>
                <w:b/>
                <w:bCs/>
                <w:sz w:val="17"/>
                <w:lang w:val="en-GB"/>
              </w:rPr>
            </w:pPr>
            <w:r w:rsidRPr="003F2670">
              <w:rPr>
                <w:b/>
                <w:bCs/>
                <w:sz w:val="17"/>
                <w:lang w:val="en-GB"/>
              </w:rPr>
              <w:t>0.60%</w:t>
            </w:r>
          </w:p>
        </w:tc>
        <w:tc>
          <w:tcPr>
            <w:tcW w:w="737" w:type="dxa"/>
            <w:shd w:val="clear" w:color="auto" w:fill="DCF4FC" w:themeFill="background2" w:themeFillTint="33"/>
            <w:tcMar>
              <w:top w:w="113" w:type="dxa"/>
              <w:left w:w="85" w:type="dxa"/>
              <w:bottom w:w="113" w:type="dxa"/>
              <w:right w:w="85" w:type="dxa"/>
            </w:tcMar>
            <w:vAlign w:val="center"/>
          </w:tcPr>
          <w:p w14:paraId="200033CA" w14:textId="77777777" w:rsidR="003F2670" w:rsidRPr="003F2670" w:rsidRDefault="003F2670" w:rsidP="003F2670">
            <w:pPr>
              <w:pStyle w:val="CDITable-RowCentre"/>
              <w:rPr>
                <w:b/>
                <w:bCs/>
                <w:sz w:val="17"/>
                <w:lang w:val="en-GB"/>
              </w:rPr>
            </w:pPr>
            <w:r w:rsidRPr="003F2670">
              <w:rPr>
                <w:b/>
                <w:bCs/>
                <w:sz w:val="17"/>
                <w:lang w:val="en-GB"/>
              </w:rPr>
              <w:t>0.60%</w:t>
            </w:r>
          </w:p>
        </w:tc>
        <w:tc>
          <w:tcPr>
            <w:tcW w:w="737" w:type="dxa"/>
            <w:shd w:val="clear" w:color="auto" w:fill="DCF4FC" w:themeFill="background2" w:themeFillTint="33"/>
            <w:tcMar>
              <w:top w:w="113" w:type="dxa"/>
              <w:left w:w="85" w:type="dxa"/>
              <w:bottom w:w="113" w:type="dxa"/>
              <w:right w:w="85" w:type="dxa"/>
            </w:tcMar>
            <w:vAlign w:val="center"/>
          </w:tcPr>
          <w:p w14:paraId="42CF7F42" w14:textId="77777777" w:rsidR="003F2670" w:rsidRPr="003F2670" w:rsidRDefault="003F2670" w:rsidP="003F2670">
            <w:pPr>
              <w:pStyle w:val="CDITable-RowCentre"/>
              <w:rPr>
                <w:b/>
                <w:bCs/>
                <w:sz w:val="17"/>
                <w:lang w:val="en-GB"/>
              </w:rPr>
            </w:pPr>
            <w:r w:rsidRPr="003F2670">
              <w:rPr>
                <w:b/>
                <w:bCs/>
                <w:sz w:val="17"/>
                <w:lang w:val="en-GB"/>
              </w:rPr>
              <w:t>0.10%</w:t>
            </w:r>
          </w:p>
        </w:tc>
        <w:tc>
          <w:tcPr>
            <w:tcW w:w="737" w:type="dxa"/>
            <w:shd w:val="clear" w:color="auto" w:fill="DCF4FC" w:themeFill="background2" w:themeFillTint="33"/>
            <w:tcMar>
              <w:top w:w="113" w:type="dxa"/>
              <w:left w:w="85" w:type="dxa"/>
              <w:bottom w:w="113" w:type="dxa"/>
              <w:right w:w="85" w:type="dxa"/>
            </w:tcMar>
            <w:vAlign w:val="center"/>
          </w:tcPr>
          <w:p w14:paraId="2D51EDA1" w14:textId="77777777" w:rsidR="003F2670" w:rsidRPr="003F2670" w:rsidRDefault="003F2670" w:rsidP="003F2670">
            <w:pPr>
              <w:pStyle w:val="CDITable-RowCentre"/>
              <w:rPr>
                <w:b/>
                <w:bCs/>
                <w:sz w:val="17"/>
                <w:lang w:val="en-GB"/>
              </w:rPr>
            </w:pPr>
            <w:r w:rsidRPr="003F2670">
              <w:rPr>
                <w:b/>
                <w:bCs/>
                <w:sz w:val="17"/>
                <w:lang w:val="en-GB"/>
              </w:rPr>
              <w:t>0.05%</w:t>
            </w:r>
          </w:p>
        </w:tc>
        <w:tc>
          <w:tcPr>
            <w:tcW w:w="737" w:type="dxa"/>
            <w:shd w:val="clear" w:color="auto" w:fill="DCF4FC" w:themeFill="background2" w:themeFillTint="33"/>
            <w:tcMar>
              <w:top w:w="113" w:type="dxa"/>
              <w:left w:w="85" w:type="dxa"/>
              <w:bottom w:w="113" w:type="dxa"/>
              <w:right w:w="85" w:type="dxa"/>
            </w:tcMar>
            <w:vAlign w:val="center"/>
          </w:tcPr>
          <w:p w14:paraId="3B160D7C" w14:textId="77777777" w:rsidR="003F2670" w:rsidRPr="003F2670" w:rsidRDefault="003F2670" w:rsidP="003F2670">
            <w:pPr>
              <w:pStyle w:val="CDITable-RowCentre"/>
              <w:rPr>
                <w:b/>
                <w:bCs/>
                <w:sz w:val="17"/>
                <w:lang w:val="en-GB"/>
              </w:rPr>
            </w:pPr>
            <w:r w:rsidRPr="003F2670">
              <w:rPr>
                <w:b/>
                <w:bCs/>
                <w:sz w:val="17"/>
                <w:lang w:val="en-GB"/>
              </w:rPr>
              <w:t>0.04%</w:t>
            </w:r>
          </w:p>
        </w:tc>
        <w:tc>
          <w:tcPr>
            <w:tcW w:w="737" w:type="dxa"/>
            <w:shd w:val="clear" w:color="auto" w:fill="DCF4FC" w:themeFill="background2" w:themeFillTint="33"/>
            <w:tcMar>
              <w:top w:w="113" w:type="dxa"/>
              <w:left w:w="85" w:type="dxa"/>
              <w:bottom w:w="113" w:type="dxa"/>
              <w:right w:w="85" w:type="dxa"/>
            </w:tcMar>
            <w:vAlign w:val="center"/>
          </w:tcPr>
          <w:p w14:paraId="58101946" w14:textId="77777777" w:rsidR="003F2670" w:rsidRPr="003F2670" w:rsidRDefault="003F2670" w:rsidP="003F2670">
            <w:pPr>
              <w:pStyle w:val="CDITable-RowCentre"/>
              <w:rPr>
                <w:b/>
                <w:bCs/>
                <w:sz w:val="17"/>
                <w:lang w:val="en-GB"/>
              </w:rPr>
            </w:pPr>
            <w:r w:rsidRPr="003F2670">
              <w:rPr>
                <w:b/>
                <w:bCs/>
                <w:sz w:val="17"/>
                <w:lang w:val="en-GB"/>
              </w:rPr>
              <w:t>0.06%</w:t>
            </w:r>
          </w:p>
        </w:tc>
        <w:tc>
          <w:tcPr>
            <w:tcW w:w="737" w:type="dxa"/>
            <w:shd w:val="clear" w:color="auto" w:fill="DCF4FC" w:themeFill="background2" w:themeFillTint="33"/>
            <w:tcMar>
              <w:top w:w="113" w:type="dxa"/>
              <w:left w:w="85" w:type="dxa"/>
              <w:bottom w:w="113" w:type="dxa"/>
              <w:right w:w="85" w:type="dxa"/>
            </w:tcMar>
            <w:vAlign w:val="center"/>
          </w:tcPr>
          <w:p w14:paraId="7CA67A5A" w14:textId="77777777" w:rsidR="003F2670" w:rsidRPr="003F2670" w:rsidRDefault="003F2670" w:rsidP="003F2670">
            <w:pPr>
              <w:pStyle w:val="CDITable-RowCentre"/>
              <w:rPr>
                <w:b/>
                <w:bCs/>
                <w:sz w:val="17"/>
                <w:lang w:val="en-GB"/>
              </w:rPr>
            </w:pPr>
            <w:r w:rsidRPr="003F2670">
              <w:rPr>
                <w:b/>
                <w:bCs/>
                <w:sz w:val="17"/>
                <w:lang w:val="en-GB"/>
              </w:rPr>
              <w:t>0.11%</w:t>
            </w:r>
          </w:p>
        </w:tc>
        <w:tc>
          <w:tcPr>
            <w:tcW w:w="737" w:type="dxa"/>
            <w:shd w:val="clear" w:color="auto" w:fill="DCF4FC" w:themeFill="background2" w:themeFillTint="33"/>
            <w:tcMar>
              <w:top w:w="113" w:type="dxa"/>
              <w:left w:w="85" w:type="dxa"/>
              <w:bottom w:w="113" w:type="dxa"/>
              <w:right w:w="85" w:type="dxa"/>
            </w:tcMar>
            <w:vAlign w:val="center"/>
          </w:tcPr>
          <w:p w14:paraId="19B0CC6D" w14:textId="77777777" w:rsidR="003F2670" w:rsidRPr="003F2670" w:rsidRDefault="003F2670" w:rsidP="003F2670">
            <w:pPr>
              <w:pStyle w:val="CDITable-RowCentre"/>
              <w:rPr>
                <w:b/>
                <w:bCs/>
                <w:sz w:val="17"/>
                <w:lang w:val="en-GB"/>
              </w:rPr>
            </w:pPr>
            <w:r w:rsidRPr="003F2670">
              <w:rPr>
                <w:b/>
                <w:bCs/>
                <w:sz w:val="17"/>
                <w:lang w:val="en-GB"/>
              </w:rPr>
              <w:t>0.07%</w:t>
            </w:r>
          </w:p>
        </w:tc>
        <w:tc>
          <w:tcPr>
            <w:tcW w:w="737" w:type="dxa"/>
            <w:shd w:val="clear" w:color="auto" w:fill="DCF4FC" w:themeFill="background2" w:themeFillTint="33"/>
            <w:tcMar>
              <w:top w:w="113" w:type="dxa"/>
              <w:left w:w="85" w:type="dxa"/>
              <w:bottom w:w="113" w:type="dxa"/>
              <w:right w:w="85" w:type="dxa"/>
            </w:tcMar>
            <w:vAlign w:val="center"/>
          </w:tcPr>
          <w:p w14:paraId="2E9F43A5" w14:textId="77777777" w:rsidR="003F2670" w:rsidRPr="003F2670" w:rsidRDefault="003F2670" w:rsidP="003F2670">
            <w:pPr>
              <w:pStyle w:val="CDITable-RowCentre"/>
              <w:rPr>
                <w:b/>
                <w:bCs/>
                <w:sz w:val="17"/>
                <w:lang w:val="en-GB"/>
              </w:rPr>
            </w:pPr>
            <w:r w:rsidRPr="003F2670">
              <w:rPr>
                <w:b/>
                <w:bCs/>
                <w:sz w:val="17"/>
                <w:lang w:val="en-GB"/>
              </w:rPr>
              <w:t>0.03%</w:t>
            </w:r>
          </w:p>
        </w:tc>
        <w:tc>
          <w:tcPr>
            <w:tcW w:w="737" w:type="dxa"/>
            <w:shd w:val="clear" w:color="auto" w:fill="DCF4FC" w:themeFill="background2" w:themeFillTint="33"/>
            <w:tcMar>
              <w:top w:w="113" w:type="dxa"/>
              <w:left w:w="85" w:type="dxa"/>
              <w:bottom w:w="113" w:type="dxa"/>
              <w:right w:w="85" w:type="dxa"/>
            </w:tcMar>
            <w:vAlign w:val="center"/>
          </w:tcPr>
          <w:p w14:paraId="2EF2E6D0" w14:textId="77777777" w:rsidR="003F2670" w:rsidRPr="003F2670" w:rsidRDefault="003F2670" w:rsidP="003F2670">
            <w:pPr>
              <w:pStyle w:val="CDITable-RowCentre"/>
              <w:rPr>
                <w:b/>
                <w:bCs/>
                <w:sz w:val="17"/>
                <w:lang w:val="en-GB"/>
              </w:rPr>
            </w:pPr>
            <w:r w:rsidRPr="003F2670">
              <w:rPr>
                <w:b/>
                <w:bCs/>
                <w:sz w:val="17"/>
                <w:lang w:val="en-GB"/>
              </w:rPr>
              <w:t>0.51%</w:t>
            </w:r>
          </w:p>
        </w:tc>
        <w:tc>
          <w:tcPr>
            <w:tcW w:w="737" w:type="dxa"/>
            <w:shd w:val="clear" w:color="auto" w:fill="DCF4FC" w:themeFill="background2" w:themeFillTint="33"/>
            <w:tcMar>
              <w:top w:w="113" w:type="dxa"/>
              <w:left w:w="85" w:type="dxa"/>
              <w:bottom w:w="113" w:type="dxa"/>
              <w:right w:w="85" w:type="dxa"/>
            </w:tcMar>
            <w:vAlign w:val="center"/>
          </w:tcPr>
          <w:p w14:paraId="378D732F" w14:textId="77777777" w:rsidR="003F2670" w:rsidRPr="003F2670" w:rsidRDefault="003F2670" w:rsidP="003F2670">
            <w:pPr>
              <w:pStyle w:val="CDITable-RowCentre"/>
              <w:rPr>
                <w:b/>
                <w:bCs/>
                <w:sz w:val="17"/>
                <w:lang w:val="en-GB"/>
              </w:rPr>
            </w:pPr>
            <w:r w:rsidRPr="003F2670">
              <w:rPr>
                <w:b/>
                <w:bCs/>
                <w:sz w:val="17"/>
                <w:lang w:val="en-GB"/>
              </w:rPr>
              <w:t>0.22%</w:t>
            </w:r>
          </w:p>
        </w:tc>
        <w:tc>
          <w:tcPr>
            <w:tcW w:w="737" w:type="dxa"/>
            <w:shd w:val="clear" w:color="auto" w:fill="DCF4FC" w:themeFill="background2" w:themeFillTint="33"/>
            <w:tcMar>
              <w:top w:w="113" w:type="dxa"/>
              <w:left w:w="85" w:type="dxa"/>
              <w:bottom w:w="113" w:type="dxa"/>
              <w:right w:w="85" w:type="dxa"/>
            </w:tcMar>
            <w:vAlign w:val="center"/>
          </w:tcPr>
          <w:p w14:paraId="48889FB3" w14:textId="77777777" w:rsidR="003F2670" w:rsidRPr="003F2670" w:rsidRDefault="003F2670" w:rsidP="003F2670">
            <w:pPr>
              <w:pStyle w:val="CDITable-RowCentre"/>
              <w:rPr>
                <w:b/>
                <w:bCs/>
                <w:sz w:val="17"/>
                <w:lang w:val="en-GB"/>
              </w:rPr>
            </w:pPr>
            <w:r w:rsidRPr="003F2670">
              <w:rPr>
                <w:b/>
                <w:bCs/>
                <w:sz w:val="17"/>
                <w:lang w:val="en-GB"/>
              </w:rPr>
              <w:t>0.51%</w:t>
            </w:r>
          </w:p>
        </w:tc>
        <w:tc>
          <w:tcPr>
            <w:tcW w:w="737" w:type="dxa"/>
            <w:shd w:val="clear" w:color="auto" w:fill="DCF4FC" w:themeFill="background2" w:themeFillTint="33"/>
            <w:tcMar>
              <w:top w:w="113" w:type="dxa"/>
              <w:left w:w="85" w:type="dxa"/>
              <w:bottom w:w="113" w:type="dxa"/>
              <w:right w:w="85" w:type="dxa"/>
            </w:tcMar>
            <w:vAlign w:val="center"/>
          </w:tcPr>
          <w:p w14:paraId="3C6376C3" w14:textId="77777777" w:rsidR="003F2670" w:rsidRPr="003F2670" w:rsidRDefault="003F2670" w:rsidP="003F2670">
            <w:pPr>
              <w:pStyle w:val="CDITable-RowCentre"/>
              <w:rPr>
                <w:b/>
                <w:bCs/>
                <w:sz w:val="17"/>
                <w:lang w:val="en-GB"/>
              </w:rPr>
            </w:pPr>
            <w:r w:rsidRPr="003F2670">
              <w:rPr>
                <w:b/>
                <w:bCs/>
                <w:sz w:val="17"/>
                <w:lang w:val="en-GB"/>
              </w:rPr>
              <w:t>0.73%</w:t>
            </w:r>
          </w:p>
        </w:tc>
        <w:tc>
          <w:tcPr>
            <w:tcW w:w="737" w:type="dxa"/>
            <w:shd w:val="clear" w:color="auto" w:fill="DCF4FC" w:themeFill="background2" w:themeFillTint="33"/>
            <w:tcMar>
              <w:top w:w="113" w:type="dxa"/>
              <w:left w:w="85" w:type="dxa"/>
              <w:bottom w:w="113" w:type="dxa"/>
              <w:right w:w="85" w:type="dxa"/>
            </w:tcMar>
            <w:vAlign w:val="center"/>
          </w:tcPr>
          <w:p w14:paraId="4ECFDD6C" w14:textId="77777777" w:rsidR="003F2670" w:rsidRPr="003F2670" w:rsidRDefault="003F2670" w:rsidP="003F2670">
            <w:pPr>
              <w:pStyle w:val="CDITable-RowCentre"/>
              <w:rPr>
                <w:b/>
                <w:bCs/>
                <w:sz w:val="17"/>
                <w:lang w:val="en-GB"/>
              </w:rPr>
            </w:pPr>
            <w:r w:rsidRPr="003F2670">
              <w:rPr>
                <w:b/>
                <w:bCs/>
                <w:sz w:val="17"/>
                <w:lang w:val="en-GB"/>
              </w:rPr>
              <w:t>1.26%</w:t>
            </w:r>
          </w:p>
        </w:tc>
      </w:tr>
      <w:tr w:rsidR="003F2670" w:rsidRPr="003F2670" w14:paraId="6B3BBCC1" w14:textId="77777777" w:rsidTr="00543BF4">
        <w:trPr>
          <w:trHeight w:val="60"/>
        </w:trPr>
        <w:tc>
          <w:tcPr>
            <w:tcW w:w="1814" w:type="dxa"/>
            <w:tcMar>
              <w:top w:w="113" w:type="dxa"/>
              <w:left w:w="85" w:type="dxa"/>
              <w:bottom w:w="113" w:type="dxa"/>
              <w:right w:w="85" w:type="dxa"/>
            </w:tcMar>
            <w:vAlign w:val="center"/>
          </w:tcPr>
          <w:p w14:paraId="7EEAAD96" w14:textId="77777777" w:rsidR="003F2670" w:rsidRPr="003F2670" w:rsidRDefault="003F2670" w:rsidP="003F2670">
            <w:pPr>
              <w:pStyle w:val="CDITable-RowLeft"/>
              <w:rPr>
                <w:sz w:val="17"/>
                <w:szCs w:val="17"/>
                <w:lang w:val="en-GB"/>
              </w:rPr>
            </w:pPr>
            <w:r w:rsidRPr="003F2670">
              <w:rPr>
                <w:sz w:val="17"/>
                <w:szCs w:val="17"/>
                <w:lang w:val="en-GB"/>
              </w:rPr>
              <w:t xml:space="preserve">Azithromycin </w:t>
            </w:r>
            <w:proofErr w:type="spellStart"/>
            <w:r w:rsidRPr="003F2670">
              <w:rPr>
                <w:sz w:val="17"/>
                <w:szCs w:val="17"/>
                <w:lang w:val="en-GB"/>
              </w:rPr>
              <w:t>resistance</w:t>
            </w:r>
            <w:r w:rsidRPr="003F2670">
              <w:rPr>
                <w:sz w:val="17"/>
                <w:szCs w:val="17"/>
                <w:vertAlign w:val="superscript"/>
                <w:lang w:val="en-GB"/>
              </w:rPr>
              <w:t>b</w:t>
            </w:r>
            <w:proofErr w:type="spellEnd"/>
          </w:p>
        </w:tc>
        <w:tc>
          <w:tcPr>
            <w:tcW w:w="737" w:type="dxa"/>
            <w:tcMar>
              <w:top w:w="113" w:type="dxa"/>
              <w:left w:w="85" w:type="dxa"/>
              <w:bottom w:w="113" w:type="dxa"/>
              <w:right w:w="85" w:type="dxa"/>
            </w:tcMar>
            <w:vAlign w:val="center"/>
          </w:tcPr>
          <w:p w14:paraId="0C125AE4" w14:textId="77777777" w:rsidR="003F2670" w:rsidRPr="003F2670" w:rsidRDefault="003F2670" w:rsidP="003F2670">
            <w:pPr>
              <w:pStyle w:val="CDITable-RowCentre"/>
              <w:rPr>
                <w:sz w:val="17"/>
                <w:lang w:val="en-GB"/>
              </w:rPr>
            </w:pPr>
            <w:r w:rsidRPr="003F2670">
              <w:rPr>
                <w:sz w:val="17"/>
                <w:lang w:val="en-GB"/>
              </w:rPr>
              <w:t>n/a</w:t>
            </w:r>
          </w:p>
        </w:tc>
        <w:tc>
          <w:tcPr>
            <w:tcW w:w="737" w:type="dxa"/>
            <w:tcMar>
              <w:top w:w="113" w:type="dxa"/>
              <w:left w:w="85" w:type="dxa"/>
              <w:bottom w:w="113" w:type="dxa"/>
              <w:right w:w="85" w:type="dxa"/>
            </w:tcMar>
            <w:vAlign w:val="center"/>
          </w:tcPr>
          <w:p w14:paraId="373598FF" w14:textId="77777777" w:rsidR="003F2670" w:rsidRPr="003F2670" w:rsidRDefault="003F2670" w:rsidP="003F2670">
            <w:pPr>
              <w:pStyle w:val="CDITable-RowCentre"/>
              <w:rPr>
                <w:sz w:val="17"/>
                <w:lang w:val="en-GB"/>
              </w:rPr>
            </w:pPr>
            <w:r w:rsidRPr="003F2670">
              <w:rPr>
                <w:sz w:val="17"/>
                <w:lang w:val="en-GB"/>
              </w:rPr>
              <w:t>1.1%</w:t>
            </w:r>
          </w:p>
        </w:tc>
        <w:tc>
          <w:tcPr>
            <w:tcW w:w="737" w:type="dxa"/>
            <w:tcMar>
              <w:top w:w="113" w:type="dxa"/>
              <w:left w:w="85" w:type="dxa"/>
              <w:bottom w:w="113" w:type="dxa"/>
              <w:right w:w="85" w:type="dxa"/>
            </w:tcMar>
            <w:vAlign w:val="center"/>
          </w:tcPr>
          <w:p w14:paraId="1E3B4302" w14:textId="77777777" w:rsidR="003F2670" w:rsidRPr="003F2670" w:rsidRDefault="003F2670" w:rsidP="003F2670">
            <w:pPr>
              <w:pStyle w:val="CDITable-RowCentre"/>
              <w:rPr>
                <w:sz w:val="17"/>
                <w:lang w:val="en-GB"/>
              </w:rPr>
            </w:pPr>
            <w:r w:rsidRPr="003F2670">
              <w:rPr>
                <w:sz w:val="17"/>
                <w:lang w:val="en-GB"/>
              </w:rPr>
              <w:t>1.3%</w:t>
            </w:r>
          </w:p>
        </w:tc>
        <w:tc>
          <w:tcPr>
            <w:tcW w:w="737" w:type="dxa"/>
            <w:tcMar>
              <w:top w:w="113" w:type="dxa"/>
              <w:left w:w="85" w:type="dxa"/>
              <w:bottom w:w="113" w:type="dxa"/>
              <w:right w:w="85" w:type="dxa"/>
            </w:tcMar>
            <w:vAlign w:val="center"/>
          </w:tcPr>
          <w:p w14:paraId="62866B6E" w14:textId="77777777" w:rsidR="003F2670" w:rsidRPr="003F2670" w:rsidRDefault="003F2670" w:rsidP="003F2670">
            <w:pPr>
              <w:pStyle w:val="CDITable-RowCentre"/>
              <w:rPr>
                <w:sz w:val="17"/>
                <w:lang w:val="en-GB"/>
              </w:rPr>
            </w:pPr>
            <w:r w:rsidRPr="003F2670">
              <w:rPr>
                <w:sz w:val="17"/>
                <w:lang w:val="en-GB"/>
              </w:rPr>
              <w:t>2.1%</w:t>
            </w:r>
          </w:p>
        </w:tc>
        <w:tc>
          <w:tcPr>
            <w:tcW w:w="737" w:type="dxa"/>
            <w:tcMar>
              <w:top w:w="113" w:type="dxa"/>
              <w:left w:w="85" w:type="dxa"/>
              <w:bottom w:w="113" w:type="dxa"/>
              <w:right w:w="85" w:type="dxa"/>
            </w:tcMar>
            <w:vAlign w:val="center"/>
          </w:tcPr>
          <w:p w14:paraId="59D454A5" w14:textId="77777777" w:rsidR="003F2670" w:rsidRPr="003F2670" w:rsidRDefault="003F2670" w:rsidP="003F2670">
            <w:pPr>
              <w:pStyle w:val="CDITable-RowCentre"/>
              <w:rPr>
                <w:sz w:val="17"/>
                <w:lang w:val="en-GB"/>
              </w:rPr>
            </w:pPr>
            <w:r w:rsidRPr="003F2670">
              <w:rPr>
                <w:sz w:val="17"/>
                <w:lang w:val="en-GB"/>
              </w:rPr>
              <w:t>2.4%</w:t>
            </w:r>
          </w:p>
        </w:tc>
        <w:tc>
          <w:tcPr>
            <w:tcW w:w="737" w:type="dxa"/>
            <w:tcMar>
              <w:top w:w="113" w:type="dxa"/>
              <w:left w:w="85" w:type="dxa"/>
              <w:bottom w:w="113" w:type="dxa"/>
              <w:right w:w="85" w:type="dxa"/>
            </w:tcMar>
            <w:vAlign w:val="center"/>
          </w:tcPr>
          <w:p w14:paraId="41C0172E" w14:textId="77777777" w:rsidR="003F2670" w:rsidRPr="003F2670" w:rsidRDefault="003F2670" w:rsidP="003F2670">
            <w:pPr>
              <w:pStyle w:val="CDITable-RowCentre"/>
              <w:rPr>
                <w:sz w:val="17"/>
                <w:lang w:val="en-GB"/>
              </w:rPr>
            </w:pPr>
            <w:r w:rsidRPr="003F2670">
              <w:rPr>
                <w:sz w:val="17"/>
                <w:lang w:val="en-GB"/>
              </w:rPr>
              <w:t>2.6%</w:t>
            </w:r>
          </w:p>
        </w:tc>
        <w:tc>
          <w:tcPr>
            <w:tcW w:w="737" w:type="dxa"/>
            <w:tcMar>
              <w:top w:w="113" w:type="dxa"/>
              <w:left w:w="85" w:type="dxa"/>
              <w:bottom w:w="113" w:type="dxa"/>
              <w:right w:w="85" w:type="dxa"/>
            </w:tcMar>
            <w:vAlign w:val="center"/>
          </w:tcPr>
          <w:p w14:paraId="0146265E" w14:textId="77777777" w:rsidR="003F2670" w:rsidRPr="003F2670" w:rsidRDefault="003F2670" w:rsidP="003F2670">
            <w:pPr>
              <w:pStyle w:val="CDITable-RowCentre"/>
              <w:rPr>
                <w:sz w:val="17"/>
                <w:lang w:val="en-GB"/>
              </w:rPr>
            </w:pPr>
            <w:r w:rsidRPr="003F2670">
              <w:rPr>
                <w:sz w:val="17"/>
                <w:lang w:val="en-GB"/>
              </w:rPr>
              <w:t>5.0%</w:t>
            </w:r>
          </w:p>
        </w:tc>
        <w:tc>
          <w:tcPr>
            <w:tcW w:w="737" w:type="dxa"/>
            <w:tcMar>
              <w:top w:w="113" w:type="dxa"/>
              <w:left w:w="85" w:type="dxa"/>
              <w:bottom w:w="113" w:type="dxa"/>
              <w:right w:w="85" w:type="dxa"/>
            </w:tcMar>
            <w:vAlign w:val="center"/>
          </w:tcPr>
          <w:p w14:paraId="7B3A91C7" w14:textId="77777777" w:rsidR="003F2670" w:rsidRPr="003F2670" w:rsidRDefault="003F2670" w:rsidP="003F2670">
            <w:pPr>
              <w:pStyle w:val="CDITable-RowCentre"/>
              <w:rPr>
                <w:sz w:val="17"/>
                <w:lang w:val="en-GB"/>
              </w:rPr>
            </w:pPr>
            <w:r w:rsidRPr="003F2670">
              <w:rPr>
                <w:sz w:val="17"/>
                <w:lang w:val="en-GB"/>
              </w:rPr>
              <w:t>9.3%</w:t>
            </w:r>
          </w:p>
        </w:tc>
        <w:tc>
          <w:tcPr>
            <w:tcW w:w="737" w:type="dxa"/>
            <w:tcMar>
              <w:top w:w="113" w:type="dxa"/>
              <w:left w:w="85" w:type="dxa"/>
              <w:bottom w:w="113" w:type="dxa"/>
              <w:right w:w="85" w:type="dxa"/>
            </w:tcMar>
            <w:vAlign w:val="center"/>
          </w:tcPr>
          <w:p w14:paraId="10F770E3" w14:textId="77777777" w:rsidR="003F2670" w:rsidRPr="003F2670" w:rsidRDefault="003F2670" w:rsidP="003F2670">
            <w:pPr>
              <w:pStyle w:val="CDITable-RowCentre"/>
              <w:rPr>
                <w:sz w:val="17"/>
                <w:lang w:val="en-GB"/>
              </w:rPr>
            </w:pPr>
            <w:r w:rsidRPr="003F2670">
              <w:rPr>
                <w:sz w:val="17"/>
                <w:lang w:val="en-GB"/>
              </w:rPr>
              <w:t>6.2%</w:t>
            </w:r>
          </w:p>
        </w:tc>
        <w:tc>
          <w:tcPr>
            <w:tcW w:w="737" w:type="dxa"/>
            <w:tcMar>
              <w:top w:w="113" w:type="dxa"/>
              <w:left w:w="85" w:type="dxa"/>
              <w:bottom w:w="113" w:type="dxa"/>
              <w:right w:w="85" w:type="dxa"/>
            </w:tcMar>
            <w:vAlign w:val="center"/>
          </w:tcPr>
          <w:p w14:paraId="7FB28190" w14:textId="77777777" w:rsidR="003F2670" w:rsidRPr="003F2670" w:rsidRDefault="003F2670" w:rsidP="003F2670">
            <w:pPr>
              <w:pStyle w:val="CDITable-RowCentre"/>
              <w:rPr>
                <w:sz w:val="17"/>
                <w:lang w:val="en-GB"/>
              </w:rPr>
            </w:pPr>
            <w:r w:rsidRPr="003F2670">
              <w:rPr>
                <w:sz w:val="17"/>
                <w:lang w:val="en-GB"/>
              </w:rPr>
              <w:t>4.6%</w:t>
            </w:r>
          </w:p>
        </w:tc>
        <w:tc>
          <w:tcPr>
            <w:tcW w:w="737" w:type="dxa"/>
            <w:tcMar>
              <w:top w:w="113" w:type="dxa"/>
              <w:left w:w="85" w:type="dxa"/>
              <w:bottom w:w="113" w:type="dxa"/>
              <w:right w:w="85" w:type="dxa"/>
            </w:tcMar>
            <w:vAlign w:val="center"/>
          </w:tcPr>
          <w:p w14:paraId="7E216DFD" w14:textId="77777777" w:rsidR="003F2670" w:rsidRPr="003F2670" w:rsidRDefault="003F2670" w:rsidP="003F2670">
            <w:pPr>
              <w:pStyle w:val="CDITable-RowCentre"/>
              <w:rPr>
                <w:sz w:val="17"/>
                <w:lang w:val="en-GB"/>
              </w:rPr>
            </w:pPr>
            <w:r w:rsidRPr="003F2670">
              <w:rPr>
                <w:sz w:val="17"/>
                <w:lang w:val="en-GB"/>
              </w:rPr>
              <w:t>3.9%</w:t>
            </w:r>
          </w:p>
        </w:tc>
        <w:tc>
          <w:tcPr>
            <w:tcW w:w="737" w:type="dxa"/>
            <w:tcMar>
              <w:top w:w="113" w:type="dxa"/>
              <w:left w:w="85" w:type="dxa"/>
              <w:bottom w:w="113" w:type="dxa"/>
              <w:right w:w="85" w:type="dxa"/>
            </w:tcMar>
            <w:vAlign w:val="center"/>
          </w:tcPr>
          <w:p w14:paraId="63858CB4" w14:textId="77777777" w:rsidR="003F2670" w:rsidRPr="003F2670" w:rsidRDefault="003F2670" w:rsidP="003F2670">
            <w:pPr>
              <w:pStyle w:val="CDITable-RowCentre"/>
              <w:rPr>
                <w:sz w:val="17"/>
                <w:lang w:val="en-GB"/>
              </w:rPr>
            </w:pPr>
            <w:r w:rsidRPr="003F2670">
              <w:rPr>
                <w:sz w:val="17"/>
                <w:lang w:val="en-GB"/>
              </w:rPr>
              <w:t>4.7%</w:t>
            </w:r>
          </w:p>
        </w:tc>
        <w:tc>
          <w:tcPr>
            <w:tcW w:w="737" w:type="dxa"/>
            <w:tcMar>
              <w:top w:w="113" w:type="dxa"/>
              <w:left w:w="85" w:type="dxa"/>
              <w:bottom w:w="113" w:type="dxa"/>
              <w:right w:w="85" w:type="dxa"/>
            </w:tcMar>
            <w:vAlign w:val="center"/>
          </w:tcPr>
          <w:p w14:paraId="1573B0BB" w14:textId="77777777" w:rsidR="003F2670" w:rsidRPr="003F2670" w:rsidRDefault="003F2670" w:rsidP="003F2670">
            <w:pPr>
              <w:pStyle w:val="CDITable-RowCentre"/>
              <w:rPr>
                <w:sz w:val="17"/>
                <w:lang w:val="en-GB"/>
              </w:rPr>
            </w:pPr>
            <w:r w:rsidRPr="003F2670">
              <w:rPr>
                <w:sz w:val="17"/>
                <w:lang w:val="en-GB"/>
              </w:rPr>
              <w:t>3.9%</w:t>
            </w:r>
          </w:p>
        </w:tc>
        <w:tc>
          <w:tcPr>
            <w:tcW w:w="737" w:type="dxa"/>
            <w:tcMar>
              <w:top w:w="113" w:type="dxa"/>
              <w:left w:w="85" w:type="dxa"/>
              <w:bottom w:w="113" w:type="dxa"/>
              <w:right w:w="85" w:type="dxa"/>
            </w:tcMar>
            <w:vAlign w:val="center"/>
          </w:tcPr>
          <w:p w14:paraId="124FB986" w14:textId="77777777" w:rsidR="003F2670" w:rsidRPr="003F2670" w:rsidRDefault="003F2670" w:rsidP="003F2670">
            <w:pPr>
              <w:pStyle w:val="CDITable-RowCentre"/>
              <w:rPr>
                <w:sz w:val="17"/>
                <w:lang w:val="en-GB"/>
              </w:rPr>
            </w:pPr>
            <w:r w:rsidRPr="003F2670">
              <w:rPr>
                <w:sz w:val="17"/>
                <w:lang w:val="en-GB"/>
              </w:rPr>
              <w:t>4.5%</w:t>
            </w:r>
          </w:p>
        </w:tc>
        <w:tc>
          <w:tcPr>
            <w:tcW w:w="737" w:type="dxa"/>
            <w:tcMar>
              <w:top w:w="113" w:type="dxa"/>
              <w:left w:w="85" w:type="dxa"/>
              <w:bottom w:w="113" w:type="dxa"/>
              <w:right w:w="85" w:type="dxa"/>
            </w:tcMar>
            <w:vAlign w:val="center"/>
          </w:tcPr>
          <w:p w14:paraId="178CF704" w14:textId="77777777" w:rsidR="003F2670" w:rsidRPr="003F2670" w:rsidRDefault="003F2670" w:rsidP="003F2670">
            <w:pPr>
              <w:pStyle w:val="CDITable-RowCentre"/>
              <w:rPr>
                <w:sz w:val="17"/>
                <w:lang w:val="en-GB"/>
              </w:rPr>
            </w:pPr>
            <w:r w:rsidRPr="003F2670">
              <w:rPr>
                <w:sz w:val="17"/>
                <w:lang w:val="en-GB"/>
              </w:rPr>
              <w:t>4.6%</w:t>
            </w:r>
          </w:p>
        </w:tc>
        <w:tc>
          <w:tcPr>
            <w:tcW w:w="737" w:type="dxa"/>
            <w:tcMar>
              <w:top w:w="113" w:type="dxa"/>
              <w:left w:w="85" w:type="dxa"/>
              <w:bottom w:w="113" w:type="dxa"/>
              <w:right w:w="85" w:type="dxa"/>
            </w:tcMar>
            <w:vAlign w:val="center"/>
          </w:tcPr>
          <w:p w14:paraId="15ED03D0" w14:textId="77777777" w:rsidR="003F2670" w:rsidRPr="003F2670" w:rsidRDefault="003F2670" w:rsidP="003F2670">
            <w:pPr>
              <w:pStyle w:val="CDITable-RowCentre"/>
              <w:rPr>
                <w:sz w:val="17"/>
                <w:lang w:val="en-GB"/>
              </w:rPr>
            </w:pPr>
            <w:r w:rsidRPr="003F2670">
              <w:rPr>
                <w:sz w:val="17"/>
                <w:lang w:val="en-GB"/>
              </w:rPr>
              <w:t>7.1%</w:t>
            </w:r>
          </w:p>
        </w:tc>
        <w:tc>
          <w:tcPr>
            <w:tcW w:w="737" w:type="dxa"/>
            <w:tcMar>
              <w:top w:w="113" w:type="dxa"/>
              <w:left w:w="85" w:type="dxa"/>
              <w:bottom w:w="113" w:type="dxa"/>
              <w:right w:w="85" w:type="dxa"/>
            </w:tcMar>
            <w:vAlign w:val="center"/>
          </w:tcPr>
          <w:p w14:paraId="40B7EE3F" w14:textId="77777777" w:rsidR="003F2670" w:rsidRPr="003F2670" w:rsidRDefault="003F2670" w:rsidP="003F2670">
            <w:pPr>
              <w:pStyle w:val="CDITable-RowCentre"/>
              <w:rPr>
                <w:sz w:val="17"/>
                <w:lang w:val="en-GB"/>
              </w:rPr>
            </w:pPr>
            <w:r w:rsidRPr="003F2670">
              <w:rPr>
                <w:sz w:val="17"/>
                <w:lang w:val="en-GB"/>
              </w:rPr>
              <w:t>10.3%</w:t>
            </w:r>
          </w:p>
        </w:tc>
      </w:tr>
      <w:tr w:rsidR="003F2670" w:rsidRPr="003F2670" w14:paraId="01956FB9" w14:textId="77777777" w:rsidTr="00543BF4">
        <w:trPr>
          <w:trHeight w:val="60"/>
        </w:trPr>
        <w:tc>
          <w:tcPr>
            <w:tcW w:w="1814" w:type="dxa"/>
            <w:shd w:val="clear" w:color="auto" w:fill="DCF4FC" w:themeFill="background2" w:themeFillTint="33"/>
            <w:tcMar>
              <w:top w:w="113" w:type="dxa"/>
              <w:left w:w="85" w:type="dxa"/>
              <w:bottom w:w="113" w:type="dxa"/>
              <w:right w:w="85" w:type="dxa"/>
            </w:tcMar>
            <w:vAlign w:val="center"/>
          </w:tcPr>
          <w:p w14:paraId="6DC51818" w14:textId="77777777" w:rsidR="003F2670" w:rsidRPr="003F2670" w:rsidRDefault="003F2670" w:rsidP="003F2670">
            <w:pPr>
              <w:pStyle w:val="CDITable-RowLeft"/>
              <w:rPr>
                <w:b/>
                <w:bCs/>
                <w:sz w:val="17"/>
                <w:szCs w:val="17"/>
                <w:lang w:val="en-GB"/>
              </w:rPr>
            </w:pPr>
            <w:r w:rsidRPr="003F2670">
              <w:rPr>
                <w:b/>
                <w:bCs/>
                <w:sz w:val="17"/>
                <w:szCs w:val="17"/>
                <w:lang w:val="en-GB"/>
              </w:rPr>
              <w:t>Azithromycin HLR (MIC ≥ 256 mg/L)</w:t>
            </w:r>
          </w:p>
        </w:tc>
        <w:tc>
          <w:tcPr>
            <w:tcW w:w="737" w:type="dxa"/>
            <w:shd w:val="clear" w:color="auto" w:fill="DCF4FC" w:themeFill="background2" w:themeFillTint="33"/>
            <w:tcMar>
              <w:top w:w="113" w:type="dxa"/>
              <w:left w:w="85" w:type="dxa"/>
              <w:bottom w:w="113" w:type="dxa"/>
              <w:right w:w="85" w:type="dxa"/>
            </w:tcMar>
            <w:vAlign w:val="center"/>
          </w:tcPr>
          <w:p w14:paraId="3D3A44C8" w14:textId="77777777" w:rsidR="003F2670" w:rsidRPr="003F2670" w:rsidRDefault="003F2670" w:rsidP="003F2670">
            <w:pPr>
              <w:pStyle w:val="CDITable-RowCentre"/>
              <w:rPr>
                <w:b/>
                <w:bCs/>
                <w:sz w:val="17"/>
                <w:lang w:val="en-GB"/>
              </w:rPr>
            </w:pPr>
            <w:r w:rsidRPr="003F2670">
              <w:rPr>
                <w:b/>
                <w:bCs/>
                <w:sz w:val="17"/>
                <w:lang w:val="en-GB"/>
              </w:rPr>
              <w:t>n/a</w:t>
            </w:r>
          </w:p>
        </w:tc>
        <w:tc>
          <w:tcPr>
            <w:tcW w:w="737" w:type="dxa"/>
            <w:shd w:val="clear" w:color="auto" w:fill="DCF4FC" w:themeFill="background2" w:themeFillTint="33"/>
            <w:tcMar>
              <w:top w:w="113" w:type="dxa"/>
              <w:left w:w="85" w:type="dxa"/>
              <w:bottom w:w="113" w:type="dxa"/>
              <w:right w:w="85" w:type="dxa"/>
            </w:tcMar>
            <w:vAlign w:val="center"/>
          </w:tcPr>
          <w:p w14:paraId="7F6D946E"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29E42FC1"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3208D941" w14:textId="77777777" w:rsidR="003F2670" w:rsidRPr="003F2670" w:rsidRDefault="003F2670" w:rsidP="003F2670">
            <w:pPr>
              <w:pStyle w:val="CDITable-RowCentre"/>
              <w:rPr>
                <w:b/>
                <w:bCs/>
                <w:sz w:val="17"/>
                <w:lang w:val="en-GB"/>
              </w:rPr>
            </w:pPr>
            <w:r w:rsidRPr="003F2670">
              <w:rPr>
                <w:b/>
                <w:bCs/>
                <w:sz w:val="17"/>
                <w:lang w:val="en-GB"/>
              </w:rPr>
              <w:t>0.08%</w:t>
            </w:r>
          </w:p>
        </w:tc>
        <w:tc>
          <w:tcPr>
            <w:tcW w:w="737" w:type="dxa"/>
            <w:shd w:val="clear" w:color="auto" w:fill="DCF4FC" w:themeFill="background2" w:themeFillTint="33"/>
            <w:tcMar>
              <w:top w:w="113" w:type="dxa"/>
              <w:left w:w="85" w:type="dxa"/>
              <w:bottom w:w="113" w:type="dxa"/>
              <w:right w:w="85" w:type="dxa"/>
            </w:tcMar>
            <w:vAlign w:val="center"/>
          </w:tcPr>
          <w:p w14:paraId="188359CC" w14:textId="77777777" w:rsidR="003F2670" w:rsidRPr="003F2670" w:rsidRDefault="003F2670" w:rsidP="003F2670">
            <w:pPr>
              <w:pStyle w:val="CDITable-RowCentre"/>
              <w:rPr>
                <w:b/>
                <w:bCs/>
                <w:sz w:val="17"/>
                <w:lang w:val="en-GB"/>
              </w:rPr>
            </w:pPr>
            <w:r w:rsidRPr="003F2670">
              <w:rPr>
                <w:b/>
                <w:bCs/>
                <w:sz w:val="17"/>
                <w:lang w:val="en-GB"/>
              </w:rPr>
              <w:t>0.04%</w:t>
            </w:r>
          </w:p>
        </w:tc>
        <w:tc>
          <w:tcPr>
            <w:tcW w:w="737" w:type="dxa"/>
            <w:shd w:val="clear" w:color="auto" w:fill="DCF4FC" w:themeFill="background2" w:themeFillTint="33"/>
            <w:tcMar>
              <w:top w:w="113" w:type="dxa"/>
              <w:left w:w="85" w:type="dxa"/>
              <w:bottom w:w="113" w:type="dxa"/>
              <w:right w:w="85" w:type="dxa"/>
            </w:tcMar>
            <w:vAlign w:val="center"/>
          </w:tcPr>
          <w:p w14:paraId="0218B005" w14:textId="77777777" w:rsidR="003F2670" w:rsidRPr="003F2670" w:rsidRDefault="003F2670" w:rsidP="003F2670">
            <w:pPr>
              <w:pStyle w:val="CDITable-RowCentre"/>
              <w:rPr>
                <w:b/>
                <w:bCs/>
                <w:sz w:val="17"/>
                <w:lang w:val="en-GB"/>
              </w:rPr>
            </w:pPr>
            <w:r w:rsidRPr="003F2670">
              <w:rPr>
                <w:b/>
                <w:bCs/>
                <w:sz w:val="17"/>
                <w:lang w:val="en-GB"/>
              </w:rPr>
              <w:t>0.04%</w:t>
            </w:r>
          </w:p>
        </w:tc>
        <w:tc>
          <w:tcPr>
            <w:tcW w:w="737" w:type="dxa"/>
            <w:shd w:val="clear" w:color="auto" w:fill="DCF4FC" w:themeFill="background2" w:themeFillTint="33"/>
            <w:tcMar>
              <w:top w:w="113" w:type="dxa"/>
              <w:left w:w="85" w:type="dxa"/>
              <w:bottom w:w="113" w:type="dxa"/>
              <w:right w:w="85" w:type="dxa"/>
            </w:tcMar>
            <w:vAlign w:val="center"/>
          </w:tcPr>
          <w:p w14:paraId="0825592E" w14:textId="77777777" w:rsidR="003F2670" w:rsidRPr="003F2670" w:rsidRDefault="003F2670" w:rsidP="003F2670">
            <w:pPr>
              <w:pStyle w:val="CDITable-RowCentre"/>
              <w:rPr>
                <w:b/>
                <w:bCs/>
                <w:sz w:val="17"/>
                <w:lang w:val="en-GB"/>
              </w:rPr>
            </w:pPr>
            <w:r w:rsidRPr="003F2670">
              <w:rPr>
                <w:b/>
                <w:bCs/>
                <w:sz w:val="17"/>
                <w:lang w:val="en-GB"/>
              </w:rPr>
              <w:t>0.08%</w:t>
            </w:r>
          </w:p>
        </w:tc>
        <w:tc>
          <w:tcPr>
            <w:tcW w:w="737" w:type="dxa"/>
            <w:shd w:val="clear" w:color="auto" w:fill="DCF4FC" w:themeFill="background2" w:themeFillTint="33"/>
            <w:tcMar>
              <w:top w:w="113" w:type="dxa"/>
              <w:left w:w="85" w:type="dxa"/>
              <w:bottom w:w="113" w:type="dxa"/>
              <w:right w:w="85" w:type="dxa"/>
            </w:tcMar>
            <w:vAlign w:val="center"/>
          </w:tcPr>
          <w:p w14:paraId="1BDAF762" w14:textId="77777777" w:rsidR="003F2670" w:rsidRPr="003F2670" w:rsidRDefault="003F2670" w:rsidP="003F2670">
            <w:pPr>
              <w:pStyle w:val="CDITable-RowCentre"/>
              <w:rPr>
                <w:b/>
                <w:bCs/>
                <w:sz w:val="17"/>
                <w:lang w:val="en-GB"/>
              </w:rPr>
            </w:pPr>
            <w:r w:rsidRPr="003F2670">
              <w:rPr>
                <w:b/>
                <w:bCs/>
                <w:sz w:val="17"/>
                <w:lang w:val="en-GB"/>
              </w:rPr>
              <w:t>0.05%</w:t>
            </w:r>
          </w:p>
        </w:tc>
        <w:tc>
          <w:tcPr>
            <w:tcW w:w="737" w:type="dxa"/>
            <w:shd w:val="clear" w:color="auto" w:fill="DCF4FC" w:themeFill="background2" w:themeFillTint="33"/>
            <w:tcMar>
              <w:top w:w="113" w:type="dxa"/>
              <w:left w:w="85" w:type="dxa"/>
              <w:bottom w:w="113" w:type="dxa"/>
              <w:right w:w="85" w:type="dxa"/>
            </w:tcMar>
            <w:vAlign w:val="center"/>
          </w:tcPr>
          <w:p w14:paraId="3A512184" w14:textId="77777777" w:rsidR="003F2670" w:rsidRPr="003F2670" w:rsidRDefault="003F2670" w:rsidP="003F2670">
            <w:pPr>
              <w:pStyle w:val="CDITable-RowCentre"/>
              <w:rPr>
                <w:b/>
                <w:bCs/>
                <w:sz w:val="17"/>
                <w:lang w:val="en-GB"/>
              </w:rPr>
            </w:pPr>
            <w:r w:rsidRPr="003F2670">
              <w:rPr>
                <w:b/>
                <w:bCs/>
                <w:sz w:val="17"/>
                <w:lang w:val="en-GB"/>
              </w:rPr>
              <w:t>0.10%</w:t>
            </w:r>
          </w:p>
        </w:tc>
        <w:tc>
          <w:tcPr>
            <w:tcW w:w="737" w:type="dxa"/>
            <w:shd w:val="clear" w:color="auto" w:fill="DCF4FC" w:themeFill="background2" w:themeFillTint="33"/>
            <w:tcMar>
              <w:top w:w="113" w:type="dxa"/>
              <w:left w:w="85" w:type="dxa"/>
              <w:bottom w:w="113" w:type="dxa"/>
              <w:right w:w="85" w:type="dxa"/>
            </w:tcMar>
            <w:vAlign w:val="center"/>
          </w:tcPr>
          <w:p w14:paraId="557F9503" w14:textId="77777777" w:rsidR="003F2670" w:rsidRPr="003F2670" w:rsidRDefault="003F2670" w:rsidP="003F2670">
            <w:pPr>
              <w:pStyle w:val="CDITable-RowCentre"/>
              <w:rPr>
                <w:b/>
                <w:bCs/>
                <w:sz w:val="17"/>
                <w:lang w:val="en-GB"/>
              </w:rPr>
            </w:pPr>
            <w:r w:rsidRPr="003F2670">
              <w:rPr>
                <w:b/>
                <w:bCs/>
                <w:sz w:val="17"/>
                <w:lang w:val="en-GB"/>
              </w:rPr>
              <w:t>0.08%</w:t>
            </w:r>
          </w:p>
        </w:tc>
        <w:tc>
          <w:tcPr>
            <w:tcW w:w="737" w:type="dxa"/>
            <w:shd w:val="clear" w:color="auto" w:fill="DCF4FC" w:themeFill="background2" w:themeFillTint="33"/>
            <w:tcMar>
              <w:top w:w="113" w:type="dxa"/>
              <w:left w:w="85" w:type="dxa"/>
              <w:bottom w:w="113" w:type="dxa"/>
              <w:right w:w="85" w:type="dxa"/>
            </w:tcMar>
            <w:vAlign w:val="center"/>
          </w:tcPr>
          <w:p w14:paraId="1A848456" w14:textId="77777777" w:rsidR="003F2670" w:rsidRPr="003F2670" w:rsidRDefault="003F2670" w:rsidP="003F2670">
            <w:pPr>
              <w:pStyle w:val="CDITable-RowCentre"/>
              <w:rPr>
                <w:b/>
                <w:bCs/>
                <w:sz w:val="17"/>
                <w:lang w:val="en-GB"/>
              </w:rPr>
            </w:pPr>
            <w:r w:rsidRPr="003F2670">
              <w:rPr>
                <w:b/>
                <w:bCs/>
                <w:sz w:val="17"/>
                <w:lang w:val="en-GB"/>
              </w:rPr>
              <w:t>0.01%</w:t>
            </w:r>
          </w:p>
        </w:tc>
        <w:tc>
          <w:tcPr>
            <w:tcW w:w="737" w:type="dxa"/>
            <w:shd w:val="clear" w:color="auto" w:fill="DCF4FC" w:themeFill="background2" w:themeFillTint="33"/>
            <w:tcMar>
              <w:top w:w="113" w:type="dxa"/>
              <w:left w:w="85" w:type="dxa"/>
              <w:bottom w:w="113" w:type="dxa"/>
              <w:right w:w="85" w:type="dxa"/>
            </w:tcMar>
            <w:vAlign w:val="center"/>
          </w:tcPr>
          <w:p w14:paraId="68D58E76"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63C7400C" w14:textId="77777777" w:rsidR="003F2670" w:rsidRPr="003F2670" w:rsidRDefault="003F2670" w:rsidP="003F2670">
            <w:pPr>
              <w:pStyle w:val="CDITable-RowCentre"/>
              <w:rPr>
                <w:b/>
                <w:bCs/>
                <w:sz w:val="17"/>
                <w:lang w:val="en-GB"/>
              </w:rPr>
            </w:pPr>
            <w:r w:rsidRPr="003F2670">
              <w:rPr>
                <w:b/>
                <w:bCs/>
                <w:sz w:val="17"/>
                <w:lang w:val="en-GB"/>
              </w:rPr>
              <w:t>0.11%</w:t>
            </w:r>
          </w:p>
        </w:tc>
        <w:tc>
          <w:tcPr>
            <w:tcW w:w="737" w:type="dxa"/>
            <w:shd w:val="clear" w:color="auto" w:fill="DCF4FC" w:themeFill="background2" w:themeFillTint="33"/>
            <w:tcMar>
              <w:top w:w="113" w:type="dxa"/>
              <w:left w:w="85" w:type="dxa"/>
              <w:bottom w:w="113" w:type="dxa"/>
              <w:right w:w="85" w:type="dxa"/>
            </w:tcMar>
            <w:vAlign w:val="center"/>
          </w:tcPr>
          <w:p w14:paraId="6DF0FDE0" w14:textId="77777777" w:rsidR="003F2670" w:rsidRPr="003F2670" w:rsidRDefault="003F2670" w:rsidP="003F2670">
            <w:pPr>
              <w:pStyle w:val="CDITable-RowCentre"/>
              <w:rPr>
                <w:b/>
                <w:bCs/>
                <w:sz w:val="17"/>
                <w:lang w:val="en-GB"/>
              </w:rPr>
            </w:pPr>
            <w:r w:rsidRPr="003F2670">
              <w:rPr>
                <w:b/>
                <w:bCs/>
                <w:sz w:val="17"/>
                <w:lang w:val="en-GB"/>
              </w:rPr>
              <w:t>0.27%</w:t>
            </w:r>
          </w:p>
        </w:tc>
        <w:tc>
          <w:tcPr>
            <w:tcW w:w="737" w:type="dxa"/>
            <w:shd w:val="clear" w:color="auto" w:fill="DCF4FC" w:themeFill="background2" w:themeFillTint="33"/>
            <w:tcMar>
              <w:top w:w="113" w:type="dxa"/>
              <w:left w:w="85" w:type="dxa"/>
              <w:bottom w:w="113" w:type="dxa"/>
              <w:right w:w="85" w:type="dxa"/>
            </w:tcMar>
            <w:vAlign w:val="center"/>
          </w:tcPr>
          <w:p w14:paraId="51485B55" w14:textId="77777777" w:rsidR="003F2670" w:rsidRPr="003F2670" w:rsidRDefault="003F2670" w:rsidP="003F2670">
            <w:pPr>
              <w:pStyle w:val="CDITable-RowCentre"/>
              <w:rPr>
                <w:b/>
                <w:bCs/>
                <w:sz w:val="17"/>
                <w:lang w:val="en-GB"/>
              </w:rPr>
            </w:pPr>
            <w:r w:rsidRPr="003F2670">
              <w:rPr>
                <w:b/>
                <w:bCs/>
                <w:sz w:val="17"/>
                <w:lang w:val="en-GB"/>
              </w:rPr>
              <w:t>0.43%</w:t>
            </w:r>
          </w:p>
        </w:tc>
        <w:tc>
          <w:tcPr>
            <w:tcW w:w="737" w:type="dxa"/>
            <w:shd w:val="clear" w:color="auto" w:fill="DCF4FC" w:themeFill="background2" w:themeFillTint="33"/>
            <w:tcMar>
              <w:top w:w="113" w:type="dxa"/>
              <w:left w:w="85" w:type="dxa"/>
              <w:bottom w:w="113" w:type="dxa"/>
              <w:right w:w="85" w:type="dxa"/>
            </w:tcMar>
            <w:vAlign w:val="center"/>
          </w:tcPr>
          <w:p w14:paraId="5FE4A784" w14:textId="77777777" w:rsidR="003F2670" w:rsidRPr="003F2670" w:rsidRDefault="003F2670" w:rsidP="003F2670">
            <w:pPr>
              <w:pStyle w:val="CDITable-RowCentre"/>
              <w:rPr>
                <w:b/>
                <w:bCs/>
                <w:sz w:val="17"/>
                <w:lang w:val="en-GB"/>
              </w:rPr>
            </w:pPr>
            <w:r w:rsidRPr="003F2670">
              <w:rPr>
                <w:b/>
                <w:bCs/>
                <w:sz w:val="17"/>
                <w:lang w:val="en-GB"/>
              </w:rPr>
              <w:t>0.20%</w:t>
            </w:r>
          </w:p>
        </w:tc>
        <w:tc>
          <w:tcPr>
            <w:tcW w:w="737" w:type="dxa"/>
            <w:shd w:val="clear" w:color="auto" w:fill="DCF4FC" w:themeFill="background2" w:themeFillTint="33"/>
            <w:tcMar>
              <w:top w:w="113" w:type="dxa"/>
              <w:left w:w="85" w:type="dxa"/>
              <w:bottom w:w="113" w:type="dxa"/>
              <w:right w:w="85" w:type="dxa"/>
            </w:tcMar>
            <w:vAlign w:val="center"/>
          </w:tcPr>
          <w:p w14:paraId="61FB5269" w14:textId="77777777" w:rsidR="003F2670" w:rsidRPr="003F2670" w:rsidRDefault="003F2670" w:rsidP="003F2670">
            <w:pPr>
              <w:pStyle w:val="CDITable-RowCentre"/>
              <w:rPr>
                <w:b/>
                <w:bCs/>
                <w:sz w:val="17"/>
                <w:lang w:val="en-GB"/>
              </w:rPr>
            </w:pPr>
            <w:r w:rsidRPr="003F2670">
              <w:rPr>
                <w:b/>
                <w:bCs/>
                <w:sz w:val="17"/>
                <w:lang w:val="en-GB"/>
              </w:rPr>
              <w:t>0.29%</w:t>
            </w:r>
          </w:p>
        </w:tc>
      </w:tr>
      <w:tr w:rsidR="003F2670" w:rsidRPr="003F2670" w14:paraId="26D20D35" w14:textId="77777777" w:rsidTr="00543BF4">
        <w:trPr>
          <w:trHeight w:val="60"/>
        </w:trPr>
        <w:tc>
          <w:tcPr>
            <w:tcW w:w="1814" w:type="dxa"/>
            <w:shd w:val="clear" w:color="auto" w:fill="DCF4FC" w:themeFill="background2" w:themeFillTint="33"/>
            <w:tcMar>
              <w:top w:w="113" w:type="dxa"/>
              <w:left w:w="85" w:type="dxa"/>
              <w:bottom w:w="113" w:type="dxa"/>
              <w:right w:w="85" w:type="dxa"/>
            </w:tcMar>
            <w:vAlign w:val="center"/>
          </w:tcPr>
          <w:p w14:paraId="5CEBBD0F" w14:textId="77777777" w:rsidR="003F2670" w:rsidRPr="003F2670" w:rsidRDefault="003F2670" w:rsidP="003F2670">
            <w:pPr>
              <w:pStyle w:val="CDITable-RowLeft"/>
              <w:rPr>
                <w:b/>
                <w:bCs/>
                <w:sz w:val="17"/>
                <w:szCs w:val="17"/>
                <w:lang w:val="en-GB"/>
              </w:rPr>
            </w:pPr>
            <w:r w:rsidRPr="003F2670">
              <w:rPr>
                <w:b/>
                <w:bCs/>
                <w:sz w:val="17"/>
                <w:szCs w:val="17"/>
                <w:lang w:val="en-GB"/>
              </w:rPr>
              <w:t>XDR</w:t>
            </w:r>
          </w:p>
        </w:tc>
        <w:tc>
          <w:tcPr>
            <w:tcW w:w="737" w:type="dxa"/>
            <w:shd w:val="clear" w:color="auto" w:fill="DCF4FC" w:themeFill="background2" w:themeFillTint="33"/>
            <w:tcMar>
              <w:top w:w="113" w:type="dxa"/>
              <w:left w:w="85" w:type="dxa"/>
              <w:bottom w:w="113" w:type="dxa"/>
              <w:right w:w="85" w:type="dxa"/>
            </w:tcMar>
            <w:vAlign w:val="center"/>
          </w:tcPr>
          <w:p w14:paraId="5AC0D2C6" w14:textId="77777777" w:rsidR="003F2670" w:rsidRPr="003F2670" w:rsidRDefault="003F2670" w:rsidP="003F2670">
            <w:pPr>
              <w:pStyle w:val="CDITable-RowCentre"/>
              <w:rPr>
                <w:b/>
                <w:bCs/>
                <w:sz w:val="17"/>
                <w:lang w:val="en-GB"/>
              </w:rPr>
            </w:pPr>
            <w:r w:rsidRPr="003F2670">
              <w:rPr>
                <w:b/>
                <w:bCs/>
                <w:sz w:val="17"/>
                <w:lang w:val="en-GB"/>
              </w:rPr>
              <w:t>n/a</w:t>
            </w:r>
          </w:p>
        </w:tc>
        <w:tc>
          <w:tcPr>
            <w:tcW w:w="737" w:type="dxa"/>
            <w:shd w:val="clear" w:color="auto" w:fill="DCF4FC" w:themeFill="background2" w:themeFillTint="33"/>
            <w:tcMar>
              <w:top w:w="113" w:type="dxa"/>
              <w:left w:w="85" w:type="dxa"/>
              <w:bottom w:w="113" w:type="dxa"/>
              <w:right w:w="85" w:type="dxa"/>
            </w:tcMar>
            <w:vAlign w:val="center"/>
          </w:tcPr>
          <w:p w14:paraId="3262D191"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140E8723"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0C630CEE"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4EF3B750"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76CC6262"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19E74024"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57946657"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7326F976" w14:textId="77777777" w:rsidR="003F2670" w:rsidRPr="003F2670" w:rsidRDefault="003F2670" w:rsidP="003F2670">
            <w:pPr>
              <w:pStyle w:val="CDITable-RowCentre"/>
              <w:rPr>
                <w:b/>
                <w:bCs/>
                <w:sz w:val="17"/>
                <w:lang w:val="en-GB"/>
              </w:rPr>
            </w:pPr>
            <w:r w:rsidRPr="003F2670">
              <w:rPr>
                <w:b/>
                <w:bCs/>
                <w:sz w:val="17"/>
                <w:lang w:val="en-GB"/>
              </w:rPr>
              <w:t>0.02%</w:t>
            </w:r>
          </w:p>
        </w:tc>
        <w:tc>
          <w:tcPr>
            <w:tcW w:w="737" w:type="dxa"/>
            <w:shd w:val="clear" w:color="auto" w:fill="DCF4FC" w:themeFill="background2" w:themeFillTint="33"/>
            <w:tcMar>
              <w:top w:w="113" w:type="dxa"/>
              <w:left w:w="85" w:type="dxa"/>
              <w:bottom w:w="113" w:type="dxa"/>
              <w:right w:w="85" w:type="dxa"/>
            </w:tcMar>
            <w:vAlign w:val="center"/>
          </w:tcPr>
          <w:p w14:paraId="393D0640"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75258BC1"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3C6F6865" w14:textId="77777777" w:rsidR="003F2670" w:rsidRPr="003F2670" w:rsidRDefault="003F2670" w:rsidP="003F2670">
            <w:pPr>
              <w:pStyle w:val="CDITable-RowCentre"/>
              <w:rPr>
                <w:b/>
                <w:bCs/>
                <w:sz w:val="17"/>
                <w:lang w:val="en-GB"/>
              </w:rPr>
            </w:pPr>
            <w:r w:rsidRPr="003F2670">
              <w:rPr>
                <w:b/>
                <w:bCs/>
                <w:sz w:val="17"/>
                <w:lang w:val="en-GB"/>
              </w:rPr>
              <w:t>0.00%</w:t>
            </w:r>
          </w:p>
        </w:tc>
        <w:tc>
          <w:tcPr>
            <w:tcW w:w="737" w:type="dxa"/>
            <w:shd w:val="clear" w:color="auto" w:fill="DCF4FC" w:themeFill="background2" w:themeFillTint="33"/>
            <w:tcMar>
              <w:top w:w="113" w:type="dxa"/>
              <w:left w:w="85" w:type="dxa"/>
              <w:bottom w:w="113" w:type="dxa"/>
              <w:right w:w="85" w:type="dxa"/>
            </w:tcMar>
            <w:vAlign w:val="center"/>
          </w:tcPr>
          <w:p w14:paraId="1904B925" w14:textId="77777777" w:rsidR="003F2670" w:rsidRPr="003F2670" w:rsidRDefault="003F2670" w:rsidP="003F2670">
            <w:pPr>
              <w:pStyle w:val="CDITable-RowCentre"/>
              <w:rPr>
                <w:b/>
                <w:bCs/>
                <w:sz w:val="17"/>
                <w:lang w:val="en-GB"/>
              </w:rPr>
            </w:pPr>
            <w:r w:rsidRPr="003F2670">
              <w:rPr>
                <w:b/>
                <w:bCs/>
                <w:sz w:val="17"/>
                <w:lang w:val="en-GB"/>
              </w:rPr>
              <w:t>0.01%</w:t>
            </w:r>
          </w:p>
        </w:tc>
        <w:tc>
          <w:tcPr>
            <w:tcW w:w="737" w:type="dxa"/>
            <w:shd w:val="clear" w:color="auto" w:fill="DCF4FC" w:themeFill="background2" w:themeFillTint="33"/>
            <w:tcMar>
              <w:top w:w="113" w:type="dxa"/>
              <w:left w:w="85" w:type="dxa"/>
              <w:bottom w:w="113" w:type="dxa"/>
              <w:right w:w="85" w:type="dxa"/>
            </w:tcMar>
            <w:vAlign w:val="center"/>
          </w:tcPr>
          <w:p w14:paraId="653F7ABC" w14:textId="77777777" w:rsidR="003F2670" w:rsidRPr="003F2670" w:rsidRDefault="003F2670" w:rsidP="003F2670">
            <w:pPr>
              <w:pStyle w:val="CDITable-RowCentre"/>
              <w:rPr>
                <w:b/>
                <w:bCs/>
                <w:sz w:val="17"/>
                <w:lang w:val="en-GB"/>
              </w:rPr>
            </w:pPr>
            <w:r w:rsidRPr="003F2670">
              <w:rPr>
                <w:b/>
                <w:bCs/>
                <w:sz w:val="17"/>
                <w:lang w:val="en-GB"/>
              </w:rPr>
              <w:t>0.04%</w:t>
            </w:r>
          </w:p>
        </w:tc>
        <w:tc>
          <w:tcPr>
            <w:tcW w:w="737" w:type="dxa"/>
            <w:shd w:val="clear" w:color="auto" w:fill="DCF4FC" w:themeFill="background2" w:themeFillTint="33"/>
            <w:tcMar>
              <w:top w:w="113" w:type="dxa"/>
              <w:left w:w="85" w:type="dxa"/>
              <w:bottom w:w="113" w:type="dxa"/>
              <w:right w:w="85" w:type="dxa"/>
            </w:tcMar>
            <w:vAlign w:val="center"/>
          </w:tcPr>
          <w:p w14:paraId="4F546446" w14:textId="77777777" w:rsidR="003F2670" w:rsidRPr="003F2670" w:rsidRDefault="003F2670" w:rsidP="003F2670">
            <w:pPr>
              <w:pStyle w:val="CDITable-RowCentre"/>
              <w:rPr>
                <w:b/>
                <w:bCs/>
                <w:sz w:val="17"/>
                <w:lang w:val="en-GB"/>
              </w:rPr>
            </w:pPr>
            <w:r w:rsidRPr="003F2670">
              <w:rPr>
                <w:b/>
                <w:bCs/>
                <w:sz w:val="17"/>
                <w:lang w:val="en-GB"/>
              </w:rPr>
              <w:t>0.08%</w:t>
            </w:r>
          </w:p>
        </w:tc>
        <w:tc>
          <w:tcPr>
            <w:tcW w:w="737" w:type="dxa"/>
            <w:shd w:val="clear" w:color="auto" w:fill="DCF4FC" w:themeFill="background2" w:themeFillTint="33"/>
            <w:tcMar>
              <w:top w:w="113" w:type="dxa"/>
              <w:left w:w="85" w:type="dxa"/>
              <w:bottom w:w="113" w:type="dxa"/>
              <w:right w:w="85" w:type="dxa"/>
            </w:tcMar>
            <w:vAlign w:val="center"/>
          </w:tcPr>
          <w:p w14:paraId="7397B36F" w14:textId="77777777" w:rsidR="003F2670" w:rsidRPr="003F2670" w:rsidRDefault="003F2670" w:rsidP="003F2670">
            <w:pPr>
              <w:pStyle w:val="CDITable-RowCentre"/>
              <w:rPr>
                <w:b/>
                <w:bCs/>
                <w:sz w:val="17"/>
                <w:lang w:val="en-GB"/>
              </w:rPr>
            </w:pPr>
            <w:r w:rsidRPr="003F2670">
              <w:rPr>
                <w:b/>
                <w:bCs/>
                <w:sz w:val="17"/>
                <w:lang w:val="en-GB"/>
              </w:rPr>
              <w:t>0.10%</w:t>
            </w:r>
          </w:p>
        </w:tc>
        <w:tc>
          <w:tcPr>
            <w:tcW w:w="737" w:type="dxa"/>
            <w:shd w:val="clear" w:color="auto" w:fill="DCF4FC" w:themeFill="background2" w:themeFillTint="33"/>
            <w:tcMar>
              <w:top w:w="113" w:type="dxa"/>
              <w:left w:w="85" w:type="dxa"/>
              <w:bottom w:w="113" w:type="dxa"/>
              <w:right w:w="85" w:type="dxa"/>
            </w:tcMar>
            <w:vAlign w:val="center"/>
          </w:tcPr>
          <w:p w14:paraId="1DCB99A5" w14:textId="77777777" w:rsidR="003F2670" w:rsidRPr="003F2670" w:rsidRDefault="003F2670" w:rsidP="003F2670">
            <w:pPr>
              <w:pStyle w:val="CDITable-RowCentre"/>
              <w:rPr>
                <w:b/>
                <w:bCs/>
                <w:sz w:val="17"/>
                <w:lang w:val="en-GB"/>
              </w:rPr>
            </w:pPr>
            <w:r w:rsidRPr="003F2670">
              <w:rPr>
                <w:b/>
                <w:bCs/>
                <w:sz w:val="17"/>
                <w:lang w:val="en-GB"/>
              </w:rPr>
              <w:t>0.22%</w:t>
            </w:r>
          </w:p>
        </w:tc>
      </w:tr>
    </w:tbl>
    <w:p w14:paraId="48F20224" w14:textId="77777777" w:rsidR="003F2670" w:rsidRPr="003F2670" w:rsidRDefault="003F2670" w:rsidP="003F2670">
      <w:pPr>
        <w:pStyle w:val="CDITable-FirstFootnote"/>
        <w:rPr>
          <w:lang w:val="en-GB"/>
        </w:rPr>
      </w:pPr>
      <w:r w:rsidRPr="003F2670">
        <w:rPr>
          <w:lang w:val="en-GB"/>
        </w:rPr>
        <w:t>a</w:t>
      </w:r>
      <w:r w:rsidRPr="003F2670">
        <w:rPr>
          <w:lang w:val="en-GB"/>
        </w:rPr>
        <w:tab/>
        <w:t>DS: decreased susceptibility;</w:t>
      </w:r>
      <w:r w:rsidRPr="003F2670">
        <w:rPr>
          <w:vertAlign w:val="superscript"/>
          <w:lang w:val="en-GB"/>
        </w:rPr>
        <w:t>2</w:t>
      </w:r>
      <w:r w:rsidRPr="003F2670">
        <w:rPr>
          <w:lang w:val="en-GB"/>
        </w:rPr>
        <w:t xml:space="preserve"> HLR: high level resistance (for NG, azithromycin MIC ≥ 256 mg/L); XDR: extensively drug resistant (for NG, isolates having both ceftriaxone MIC ≥ 0.125 mg/L and azithromycin MIC ≥ 256 mg/L).</w:t>
      </w:r>
    </w:p>
    <w:p w14:paraId="63054C84" w14:textId="46472741" w:rsidR="003F2670" w:rsidRDefault="003F2670" w:rsidP="00543BF4">
      <w:pPr>
        <w:pStyle w:val="CDITable-Footnote"/>
      </w:pPr>
      <w:r w:rsidRPr="003F2670">
        <w:rPr>
          <w:lang w:val="en-GB"/>
        </w:rPr>
        <w:t>b</w:t>
      </w:r>
      <w:r w:rsidRPr="003F2670">
        <w:rPr>
          <w:lang w:val="en-GB"/>
        </w:rPr>
        <w:tab/>
        <w:t>Azithromycin resistance includes low-level and high-level resistance.</w:t>
      </w:r>
    </w:p>
    <w:p w14:paraId="25920FB8" w14:textId="77777777" w:rsidR="003F2670" w:rsidRDefault="003F2670" w:rsidP="00AC46DC">
      <w:pPr>
        <w:sectPr w:rsidR="003F2670" w:rsidSect="003F2670">
          <w:footnotePr>
            <w:numFmt w:val="lowerRoman"/>
          </w:footnotePr>
          <w:pgSz w:w="16840" w:h="11907" w:orient="landscape" w:code="9"/>
          <w:pgMar w:top="1134" w:right="1134" w:bottom="1134" w:left="1134" w:header="709" w:footer="567" w:gutter="0"/>
          <w:cols w:space="708"/>
          <w:docGrid w:linePitch="360"/>
        </w:sectPr>
      </w:pPr>
    </w:p>
    <w:p w14:paraId="0B2AB848" w14:textId="77777777" w:rsidR="008A0736" w:rsidRDefault="008A0736" w:rsidP="00543BF4">
      <w:pPr>
        <w:pStyle w:val="Heading1-noline"/>
        <w:spacing w:before="0"/>
      </w:pPr>
      <w:bookmarkStart w:id="2" w:name="_Toc195530508"/>
      <w:bookmarkStart w:id="3" w:name="_Toc201743697"/>
      <w:r>
        <w:t>Author details</w:t>
      </w:r>
      <w:bookmarkEnd w:id="2"/>
      <w:bookmarkEnd w:id="3"/>
    </w:p>
    <w:p w14:paraId="70BAE6FC" w14:textId="77777777" w:rsidR="00543BF4" w:rsidRPr="00543BF4" w:rsidRDefault="00543BF4" w:rsidP="00543BF4">
      <w:pPr>
        <w:rPr>
          <w:vertAlign w:val="superscript"/>
          <w:lang w:val="en-GB"/>
        </w:rPr>
      </w:pPr>
      <w:r w:rsidRPr="00543BF4">
        <w:rPr>
          <w:lang w:val="en-GB"/>
        </w:rPr>
        <w:t>Monica M Lahra</w:t>
      </w:r>
      <w:r w:rsidRPr="00543BF4">
        <w:rPr>
          <w:vertAlign w:val="superscript"/>
          <w:lang w:val="en-GB"/>
        </w:rPr>
        <w:t>1,2</w:t>
      </w:r>
    </w:p>
    <w:p w14:paraId="4D3C4A55" w14:textId="77777777" w:rsidR="00543BF4" w:rsidRPr="00543BF4" w:rsidRDefault="00543BF4" w:rsidP="00543BF4">
      <w:pPr>
        <w:rPr>
          <w:lang w:val="en-GB"/>
        </w:rPr>
      </w:pPr>
      <w:r w:rsidRPr="00543BF4">
        <w:rPr>
          <w:lang w:val="en-GB"/>
        </w:rPr>
        <w:t>Tiffany R Hogan</w:t>
      </w:r>
      <w:r w:rsidRPr="00543BF4">
        <w:rPr>
          <w:vertAlign w:val="superscript"/>
          <w:lang w:val="en-GB"/>
        </w:rPr>
        <w:t>1</w:t>
      </w:r>
    </w:p>
    <w:p w14:paraId="1CFC7CC4" w14:textId="77777777" w:rsidR="00543BF4" w:rsidRPr="00543BF4" w:rsidRDefault="00543BF4" w:rsidP="00543BF4">
      <w:pPr>
        <w:pStyle w:val="CDINumberedList1L1"/>
        <w:ind w:left="397" w:hanging="397"/>
        <w:rPr>
          <w:lang w:val="en-GB"/>
        </w:rPr>
      </w:pPr>
      <w:r w:rsidRPr="00543BF4">
        <w:rPr>
          <w:lang w:val="en-GB"/>
        </w:rPr>
        <w:t>NSW Health Pathology, The World Health Organization Collaborating Centre for STI and AMR and Neisseria Reference Laboratory, Microbiology, The Prince of Wales Hospital, Randwick, NSW 2031, Australia</w:t>
      </w:r>
    </w:p>
    <w:p w14:paraId="1D4B3589" w14:textId="77777777" w:rsidR="00543BF4" w:rsidRPr="00543BF4" w:rsidRDefault="00543BF4" w:rsidP="00543BF4">
      <w:pPr>
        <w:pStyle w:val="CDINumberedList1L1"/>
        <w:ind w:left="397" w:hanging="397"/>
        <w:rPr>
          <w:lang w:val="en-GB"/>
        </w:rPr>
      </w:pPr>
      <w:r w:rsidRPr="00543BF4">
        <w:rPr>
          <w:lang w:val="en-GB"/>
        </w:rPr>
        <w:t>School of Medical Sciences, Faculty of Medicine, the University of New South Wales, Kensington, NSW 2052, Australia</w:t>
      </w:r>
    </w:p>
    <w:p w14:paraId="076FA494" w14:textId="77777777" w:rsidR="00423436" w:rsidRDefault="00423436" w:rsidP="00423436">
      <w:pPr>
        <w:pStyle w:val="CDICorrespondingauthor"/>
      </w:pPr>
      <w:r>
        <w:t>Corresponding author</w:t>
      </w:r>
    </w:p>
    <w:p w14:paraId="1BF49AFF" w14:textId="77777777" w:rsidR="00543BF4" w:rsidRPr="00543BF4" w:rsidRDefault="00543BF4" w:rsidP="00543BF4">
      <w:pPr>
        <w:rPr>
          <w:lang w:val="en-GB"/>
        </w:rPr>
      </w:pPr>
      <w:r w:rsidRPr="00543BF4">
        <w:rPr>
          <w:lang w:val="en-GB"/>
        </w:rPr>
        <w:t>Professor Monica M Lahra</w:t>
      </w:r>
    </w:p>
    <w:p w14:paraId="11EAE722" w14:textId="77777777" w:rsidR="00543BF4" w:rsidRPr="00543BF4" w:rsidRDefault="00543BF4" w:rsidP="00543BF4">
      <w:pPr>
        <w:rPr>
          <w:lang w:val="en-GB"/>
        </w:rPr>
      </w:pPr>
      <w:r w:rsidRPr="00543BF4">
        <w:rPr>
          <w:lang w:val="en-GB"/>
        </w:rPr>
        <w:t>The World Health Organization Collaborating Centre for STI and AMR, Sydney and Neisseria Reference Laboratory, NSW Health Pathology Microbiology, The Prince of Wales Hospital, Randwick, NSW 2031, Australia</w:t>
      </w:r>
    </w:p>
    <w:p w14:paraId="7BB1BA32" w14:textId="77777777" w:rsidR="00543BF4" w:rsidRPr="00543BF4" w:rsidRDefault="00543BF4" w:rsidP="00543BF4">
      <w:pPr>
        <w:rPr>
          <w:lang w:val="en-GB"/>
        </w:rPr>
      </w:pPr>
      <w:r w:rsidRPr="00543BF4">
        <w:rPr>
          <w:lang w:val="en-GB"/>
        </w:rPr>
        <w:t>Telephone: +61 2 9382 3678</w:t>
      </w:r>
    </w:p>
    <w:p w14:paraId="6C410EDE" w14:textId="77777777" w:rsidR="00543BF4" w:rsidRPr="00543BF4" w:rsidRDefault="00543BF4" w:rsidP="00543BF4">
      <w:pPr>
        <w:rPr>
          <w:lang w:val="en-GB"/>
        </w:rPr>
      </w:pPr>
      <w:r w:rsidRPr="00543BF4">
        <w:rPr>
          <w:lang w:val="en-GB"/>
        </w:rPr>
        <w:t>Facsimile: +61 2 9382 3720</w:t>
      </w:r>
    </w:p>
    <w:p w14:paraId="3FD33783" w14:textId="5DA88050" w:rsidR="00543BF4" w:rsidRDefault="00543BF4" w:rsidP="00543BF4">
      <w:pPr>
        <w:rPr>
          <w:lang w:val="en-GB"/>
        </w:rPr>
      </w:pPr>
      <w:r w:rsidRPr="00543BF4">
        <w:rPr>
          <w:lang w:val="en-GB"/>
        </w:rPr>
        <w:t xml:space="preserve">Email: </w:t>
      </w:r>
      <w:hyperlink r:id="rId14" w:history="1">
        <w:r w:rsidRPr="0067259A">
          <w:rPr>
            <w:rStyle w:val="Hyperlink"/>
            <w:lang w:val="en-GB"/>
          </w:rPr>
          <w:t>monica.lahra@health.nsw.gov.au</w:t>
        </w:r>
      </w:hyperlink>
      <w:r>
        <w:rPr>
          <w:lang w:val="en-GB"/>
        </w:rPr>
        <w:t xml:space="preserve"> </w:t>
      </w:r>
      <w:r>
        <w:rPr>
          <w:lang w:val="en-GB"/>
        </w:rPr>
        <w:br w:type="page"/>
      </w:r>
    </w:p>
    <w:p w14:paraId="4082441D" w14:textId="77777777" w:rsidR="008A0736" w:rsidRDefault="008A0736" w:rsidP="00112436">
      <w:pPr>
        <w:pStyle w:val="Heading1-noline"/>
      </w:pPr>
      <w:bookmarkStart w:id="4" w:name="_Toc195530511"/>
      <w:bookmarkStart w:id="5" w:name="_Toc201743698"/>
      <w:r>
        <w:t>References</w:t>
      </w:r>
      <w:bookmarkEnd w:id="4"/>
      <w:bookmarkEnd w:id="5"/>
    </w:p>
    <w:p w14:paraId="66240A3C" w14:textId="5226A983" w:rsidR="00543BF4" w:rsidRPr="00543BF4" w:rsidRDefault="00543BF4" w:rsidP="00543BF4">
      <w:pPr>
        <w:pStyle w:val="CDINumberedList1L1"/>
        <w:numPr>
          <w:ilvl w:val="0"/>
          <w:numId w:val="10"/>
        </w:numPr>
        <w:ind w:left="397" w:hanging="397"/>
        <w:rPr>
          <w:lang w:val="en-GB"/>
        </w:rPr>
      </w:pPr>
      <w:r w:rsidRPr="00543BF4">
        <w:rPr>
          <w:lang w:val="en-GB"/>
        </w:rPr>
        <w:t xml:space="preserve">Northern Territory Government Department of Health (NT Health) Centre for Disease Control. Penicillinase-producing </w:t>
      </w:r>
      <w:r w:rsidRPr="00543BF4">
        <w:rPr>
          <w:i/>
          <w:iCs/>
          <w:lang w:val="en-GB"/>
        </w:rPr>
        <w:t>Neisseria gonorrhoeae</w:t>
      </w:r>
      <w:r w:rsidRPr="00543BF4">
        <w:rPr>
          <w:lang w:val="en-GB"/>
        </w:rPr>
        <w:t xml:space="preserve"> (PPNG) and treatment recommendations for gonorrhoea. Darwin: NT Health; 11 March 2024. [Accessed on 11 July 2024.] Available from: </w:t>
      </w:r>
      <w:hyperlink r:id="rId15" w:history="1">
        <w:r w:rsidRPr="0067259A">
          <w:rPr>
            <w:rStyle w:val="Hyperlink"/>
            <w:lang w:val="en-GB"/>
          </w:rPr>
          <w:t>https://health.nt.gov.au/__data/assets/pdf_file/0008/1356146/health-alert-ppng-240311.pdf</w:t>
        </w:r>
      </w:hyperlink>
      <w:r w:rsidRPr="00543BF4">
        <w:rPr>
          <w:lang w:val="en-GB"/>
        </w:rPr>
        <w:t>.</w:t>
      </w:r>
    </w:p>
    <w:p w14:paraId="0FA97C1D" w14:textId="5E021085" w:rsidR="00543BF4" w:rsidRPr="00543BF4" w:rsidRDefault="00543BF4" w:rsidP="00543BF4">
      <w:pPr>
        <w:pStyle w:val="CDINumberedList1L1"/>
        <w:ind w:left="397" w:hanging="397"/>
        <w:rPr>
          <w:lang w:val="en-GB"/>
        </w:rPr>
      </w:pPr>
      <w:r w:rsidRPr="00543BF4">
        <w:rPr>
          <w:lang w:val="en-GB"/>
        </w:rPr>
        <w:t xml:space="preserve">World Health Organization (WHO). Global action plan to control the spread and impact of antimicrobial resistance in </w:t>
      </w:r>
      <w:r w:rsidRPr="00543BF4">
        <w:rPr>
          <w:i/>
          <w:iCs/>
          <w:lang w:val="en-GB"/>
        </w:rPr>
        <w:t>Neisseria gonorrhoeae</w:t>
      </w:r>
      <w:r w:rsidRPr="00543BF4">
        <w:rPr>
          <w:lang w:val="en-GB"/>
        </w:rPr>
        <w:t xml:space="preserve">. Geneva: WHO; 2012. Available from: </w:t>
      </w:r>
      <w:hyperlink r:id="rId16" w:history="1">
        <w:r w:rsidRPr="0067259A">
          <w:rPr>
            <w:rStyle w:val="Hyperlink"/>
            <w:lang w:val="en-GB"/>
          </w:rPr>
          <w:t>https://apps.who.int/iris/handle/10665/44863</w:t>
        </w:r>
      </w:hyperlink>
      <w:r w:rsidRPr="00543BF4">
        <w:rPr>
          <w:lang w:val="en-GB"/>
        </w:rPr>
        <w:t xml:space="preserve">. </w:t>
      </w:r>
    </w:p>
    <w:p w14:paraId="740B0F9E" w14:textId="1A2B1BEB" w:rsidR="00543BF4" w:rsidRPr="00543BF4" w:rsidRDefault="00543BF4" w:rsidP="00543BF4">
      <w:pPr>
        <w:pStyle w:val="CDINumberedList1L1"/>
        <w:ind w:left="397" w:hanging="397"/>
        <w:rPr>
          <w:lang w:val="en-GB"/>
        </w:rPr>
      </w:pPr>
      <w:r w:rsidRPr="00543BF4">
        <w:rPr>
          <w:lang w:val="en-GB"/>
        </w:rPr>
        <w:t xml:space="preserve">Lahra MM, Hogan TR. Australian Gonococcal Surveillance Programme Annual Report, 2025. </w:t>
      </w:r>
      <w:r w:rsidRPr="00543BF4">
        <w:rPr>
          <w:i/>
          <w:iCs/>
          <w:lang w:val="en-GB"/>
        </w:rPr>
        <w:t>Commun Dis Intell (2018)</w:t>
      </w:r>
      <w:r w:rsidRPr="00543BF4">
        <w:rPr>
          <w:lang w:val="en-GB"/>
        </w:rPr>
        <w:t xml:space="preserve">. 2026;50. doi: </w:t>
      </w:r>
      <w:hyperlink r:id="rId17" w:history="1">
        <w:r w:rsidRPr="00543BF4">
          <w:rPr>
            <w:rStyle w:val="Hyperlink"/>
          </w:rPr>
          <w:t>httos://doi.org/10.33321/cdi.2026.50.057</w:t>
        </w:r>
      </w:hyperlink>
      <w:r w:rsidRPr="00543BF4">
        <w:rPr>
          <w:lang w:val="en-GB"/>
        </w:rPr>
        <w:t xml:space="preserve">. </w:t>
      </w:r>
    </w:p>
    <w:p w14:paraId="67630B3E" w14:textId="77777777" w:rsidR="00543BF4" w:rsidRPr="00543BF4" w:rsidRDefault="00543BF4" w:rsidP="00543BF4">
      <w:pPr>
        <w:pStyle w:val="CDINumberedList1L1"/>
        <w:ind w:left="397" w:hanging="397"/>
        <w:rPr>
          <w:lang w:val="en-GB"/>
        </w:rPr>
      </w:pPr>
      <w:r w:rsidRPr="00543BF4">
        <w:rPr>
          <w:lang w:val="en-GB"/>
        </w:rPr>
        <w:t xml:space="preserve">van Hal SJ, Lahra MM, Whiley DM. Determining targets for ceftriaxone resistance detection in </w:t>
      </w:r>
      <w:r w:rsidRPr="00543BF4">
        <w:rPr>
          <w:i/>
          <w:iCs/>
          <w:lang w:val="en-GB"/>
        </w:rPr>
        <w:t>Neisseria gonorrhoeae</w:t>
      </w:r>
      <w:r w:rsidRPr="00543BF4">
        <w:rPr>
          <w:lang w:val="en-GB"/>
        </w:rPr>
        <w:t xml:space="preserve"> based on genotype-phenotype data: an observational study. </w:t>
      </w:r>
      <w:r w:rsidRPr="00543BF4">
        <w:rPr>
          <w:i/>
          <w:iCs/>
          <w:lang w:val="en-GB"/>
        </w:rPr>
        <w:t>Lancet Microbe</w:t>
      </w:r>
      <w:r w:rsidRPr="00543BF4">
        <w:rPr>
          <w:lang w:val="en-GB"/>
        </w:rPr>
        <w:t xml:space="preserve">. 2025;6(11):101199. doi: </w:t>
      </w:r>
      <w:hyperlink r:id="rId18" w:history="1">
        <w:r w:rsidRPr="00543BF4">
          <w:rPr>
            <w:rStyle w:val="Hyperlink"/>
          </w:rPr>
          <w:t>https://doi.org/10.1016/j.lanmic.2025.101199</w:t>
        </w:r>
      </w:hyperlink>
      <w:r w:rsidRPr="00543BF4">
        <w:rPr>
          <w:lang w:val="en-GB"/>
        </w:rPr>
        <w:t>.</w:t>
      </w:r>
    </w:p>
    <w:p w14:paraId="5DB34AA0" w14:textId="77777777" w:rsidR="00543BF4" w:rsidRPr="00543BF4" w:rsidRDefault="00543BF4" w:rsidP="00543BF4">
      <w:pPr>
        <w:pStyle w:val="CDINumberedList1L1"/>
        <w:ind w:left="397" w:hanging="397"/>
        <w:rPr>
          <w:lang w:val="en-GB"/>
        </w:rPr>
      </w:pPr>
      <w:r w:rsidRPr="00543BF4">
        <w:rPr>
          <w:lang w:val="en-GB"/>
        </w:rPr>
        <w:t xml:space="preserve">van der Veen S, Sun X, Ge H, Chau TM, Nhung PH, </w:t>
      </w:r>
      <w:proofErr w:type="spellStart"/>
      <w:r w:rsidRPr="00543BF4">
        <w:rPr>
          <w:lang w:val="en-GB"/>
        </w:rPr>
        <w:t>Vandelannoote</w:t>
      </w:r>
      <w:proofErr w:type="spellEnd"/>
      <w:r w:rsidRPr="00543BF4">
        <w:rPr>
          <w:lang w:val="en-GB"/>
        </w:rPr>
        <w:t xml:space="preserve"> K et al. </w:t>
      </w:r>
      <w:r w:rsidRPr="00543BF4">
        <w:rPr>
          <w:i/>
          <w:iCs/>
          <w:lang w:val="en-GB"/>
        </w:rPr>
        <w:t>PenA</w:t>
      </w:r>
      <w:r w:rsidRPr="00543BF4">
        <w:rPr>
          <w:lang w:val="en-GB"/>
        </w:rPr>
        <w:t xml:space="preserve"> alleles associated with gonococcal ceftriaxone resistance in Cambodia, China, and Vietnam. </w:t>
      </w:r>
      <w:r w:rsidRPr="00543BF4">
        <w:rPr>
          <w:i/>
          <w:iCs/>
          <w:lang w:val="en-GB"/>
        </w:rPr>
        <w:t>Clin Infect Dis</w:t>
      </w:r>
      <w:r w:rsidRPr="00543BF4">
        <w:rPr>
          <w:lang w:val="en-GB"/>
        </w:rPr>
        <w:t>. 2026;81(</w:t>
      </w:r>
      <w:proofErr w:type="spellStart"/>
      <w:r w:rsidRPr="00543BF4">
        <w:rPr>
          <w:lang w:val="en-GB"/>
        </w:rPr>
        <w:t>Suppl</w:t>
      </w:r>
      <w:proofErr w:type="spellEnd"/>
      <w:r w:rsidRPr="00543BF4">
        <w:rPr>
          <w:lang w:val="en-GB"/>
        </w:rPr>
        <w:t xml:space="preserve"> 5</w:t>
      </w:r>
      <w:proofErr w:type="gramStart"/>
      <w:r w:rsidRPr="00543BF4">
        <w:rPr>
          <w:lang w:val="en-GB"/>
        </w:rPr>
        <w:t>):S</w:t>
      </w:r>
      <w:proofErr w:type="gramEnd"/>
      <w:r w:rsidRPr="00543BF4">
        <w:rPr>
          <w:lang w:val="en-GB"/>
        </w:rPr>
        <w:t xml:space="preserve">238–42. doi: </w:t>
      </w:r>
      <w:hyperlink r:id="rId19" w:history="1">
        <w:r w:rsidRPr="00543BF4">
          <w:rPr>
            <w:rStyle w:val="Hyperlink"/>
          </w:rPr>
          <w:t>https://doi.org/10.1093/cid/ciaf530</w:t>
        </w:r>
      </w:hyperlink>
      <w:r w:rsidRPr="00543BF4">
        <w:rPr>
          <w:lang w:val="en-GB"/>
        </w:rPr>
        <w:t>.</w:t>
      </w:r>
    </w:p>
    <w:p w14:paraId="4242B4B1" w14:textId="77777777" w:rsidR="00543BF4" w:rsidRPr="00543BF4" w:rsidRDefault="00543BF4" w:rsidP="00543BF4">
      <w:pPr>
        <w:pStyle w:val="CDINumberedList1L1"/>
        <w:ind w:left="397" w:hanging="397"/>
        <w:rPr>
          <w:lang w:val="en-GB"/>
        </w:rPr>
      </w:pPr>
      <w:proofErr w:type="spellStart"/>
      <w:r w:rsidRPr="00543BF4">
        <w:rPr>
          <w:lang w:val="en-GB"/>
        </w:rPr>
        <w:t>Tapsall</w:t>
      </w:r>
      <w:proofErr w:type="spellEnd"/>
      <w:r w:rsidRPr="00543BF4">
        <w:rPr>
          <w:lang w:val="en-GB"/>
        </w:rPr>
        <w:t xml:space="preserve"> JW, Ndowa F, Lewis DA, </w:t>
      </w:r>
      <w:proofErr w:type="spellStart"/>
      <w:r w:rsidRPr="00543BF4">
        <w:rPr>
          <w:lang w:val="en-GB"/>
        </w:rPr>
        <w:t>Unemo</w:t>
      </w:r>
      <w:proofErr w:type="spellEnd"/>
      <w:r w:rsidRPr="00543BF4">
        <w:rPr>
          <w:lang w:val="en-GB"/>
        </w:rPr>
        <w:t xml:space="preserve"> M. Meeting the public health challenge of multidrug- and extensively drug-resistant </w:t>
      </w:r>
      <w:r w:rsidRPr="00543BF4">
        <w:rPr>
          <w:i/>
          <w:iCs/>
          <w:lang w:val="en-GB"/>
        </w:rPr>
        <w:t>Neisseria gonorrhoeae</w:t>
      </w:r>
      <w:r w:rsidRPr="00543BF4">
        <w:rPr>
          <w:lang w:val="en-GB"/>
        </w:rPr>
        <w:t xml:space="preserve">. </w:t>
      </w:r>
      <w:r w:rsidRPr="00543BF4">
        <w:rPr>
          <w:i/>
          <w:iCs/>
          <w:lang w:val="en-GB"/>
        </w:rPr>
        <w:t>Expert Rev Anti Infect Ther</w:t>
      </w:r>
      <w:r w:rsidRPr="00543BF4">
        <w:rPr>
          <w:lang w:val="en-GB"/>
        </w:rPr>
        <w:t xml:space="preserve">. 2009;7(7):821–34. doi: </w:t>
      </w:r>
      <w:hyperlink r:id="rId20" w:history="1">
        <w:r w:rsidRPr="00543BF4">
          <w:rPr>
            <w:rStyle w:val="Hyperlink"/>
          </w:rPr>
          <w:t>https://doi.org/10.1586/eri.09.63</w:t>
        </w:r>
      </w:hyperlink>
      <w:r w:rsidRPr="00543BF4">
        <w:rPr>
          <w:lang w:val="en-GB"/>
        </w:rPr>
        <w:t>.</w:t>
      </w:r>
    </w:p>
    <w:p w14:paraId="141AB89B" w14:textId="6775F9FF" w:rsidR="00543BF4" w:rsidRPr="00543BF4" w:rsidRDefault="00543BF4" w:rsidP="00543BF4">
      <w:pPr>
        <w:pStyle w:val="CDINumberedList1L1"/>
        <w:ind w:left="397" w:hanging="397"/>
        <w:rPr>
          <w:lang w:val="en-GB"/>
        </w:rPr>
      </w:pPr>
      <w:r w:rsidRPr="00543BF4">
        <w:rPr>
          <w:lang w:val="en-GB"/>
        </w:rPr>
        <w:t xml:space="preserve">van Hal SJ, Sherry N, Coombs G, Mowlaboccus S, Whiley DM, Lahra MM. Emergence of an extensively drug-resistant </w:t>
      </w:r>
      <w:r w:rsidRPr="00543BF4">
        <w:rPr>
          <w:i/>
          <w:iCs/>
          <w:lang w:val="en-GB"/>
        </w:rPr>
        <w:t>Neisseria gonorrhoeae</w:t>
      </w:r>
      <w:r w:rsidRPr="00543BF4">
        <w:rPr>
          <w:lang w:val="en-GB"/>
        </w:rPr>
        <w:t xml:space="preserve"> clone. </w:t>
      </w:r>
      <w:r w:rsidRPr="00543BF4">
        <w:rPr>
          <w:i/>
          <w:iCs/>
          <w:lang w:val="en-GB"/>
        </w:rPr>
        <w:t>Lancet Infect Dis</w:t>
      </w:r>
      <w:r w:rsidRPr="00543BF4">
        <w:rPr>
          <w:lang w:val="en-GB"/>
        </w:rPr>
        <w:t>. 2024;24(9</w:t>
      </w:r>
      <w:proofErr w:type="gramStart"/>
      <w:r w:rsidRPr="00543BF4">
        <w:rPr>
          <w:lang w:val="en-GB"/>
        </w:rPr>
        <w:t>):e</w:t>
      </w:r>
      <w:proofErr w:type="gramEnd"/>
      <w:r w:rsidRPr="00543BF4">
        <w:rPr>
          <w:lang w:val="en-GB"/>
        </w:rPr>
        <w:t xml:space="preserve">547–8. doi: </w:t>
      </w:r>
      <w:hyperlink r:id="rId21" w:history="1">
        <w:r w:rsidRPr="0067259A">
          <w:rPr>
            <w:rStyle w:val="Hyperlink"/>
          </w:rPr>
          <w:t>https://doi.org/10.1016/S1473-3099(24)00486-9</w:t>
        </w:r>
      </w:hyperlink>
      <w:r w:rsidRPr="00543BF4">
        <w:rPr>
          <w:lang w:val="en-GB"/>
        </w:rPr>
        <w:t>.</w:t>
      </w:r>
    </w:p>
    <w:p w14:paraId="6028BEAA" w14:textId="1C87D075" w:rsidR="00543BF4" w:rsidRPr="00543BF4" w:rsidRDefault="00543BF4" w:rsidP="00543BF4">
      <w:pPr>
        <w:pStyle w:val="CDINumberedList1L1"/>
        <w:ind w:left="397" w:hanging="397"/>
        <w:rPr>
          <w:lang w:val="en-GB"/>
        </w:rPr>
      </w:pPr>
      <w:r w:rsidRPr="00543BF4">
        <w:rPr>
          <w:lang w:val="en-GB"/>
        </w:rPr>
        <w:t xml:space="preserve">Lahra MM, van Hal S, Hogan TR. Australian Gonococcal Surveillance Programme Annual Report, 2024. </w:t>
      </w:r>
      <w:r w:rsidRPr="00543BF4">
        <w:rPr>
          <w:i/>
          <w:iCs/>
          <w:lang w:val="en-GB"/>
        </w:rPr>
        <w:t>Commun Dis Intell (2018)</w:t>
      </w:r>
      <w:r w:rsidRPr="00543BF4">
        <w:rPr>
          <w:lang w:val="en-GB"/>
        </w:rPr>
        <w:t>. 2025:49. doi:</w:t>
      </w:r>
      <w:r>
        <w:rPr>
          <w:lang w:val="en-GB"/>
        </w:rPr>
        <w:t> </w:t>
      </w:r>
      <w:hyperlink r:id="rId22" w:history="1">
        <w:r w:rsidRPr="00543BF4">
          <w:rPr>
            <w:rStyle w:val="Hyperlink"/>
          </w:rPr>
          <w:t>https://doi.org/10.33321/cdi.2025.49.056</w:t>
        </w:r>
      </w:hyperlink>
      <w:r w:rsidRPr="00543BF4">
        <w:rPr>
          <w:lang w:val="en-GB"/>
        </w:rPr>
        <w:t>.</w:t>
      </w:r>
    </w:p>
    <w:p w14:paraId="56769A47" w14:textId="2CFE7551" w:rsidR="00CC05A5" w:rsidRPr="00B652E8" w:rsidRDefault="00543BF4" w:rsidP="000B7BD4">
      <w:pPr>
        <w:pStyle w:val="CDINumberedList1L1"/>
        <w:ind w:left="397" w:hanging="397"/>
      </w:pPr>
      <w:r w:rsidRPr="00543BF4">
        <w:rPr>
          <w:lang w:val="en-GB"/>
        </w:rPr>
        <w:t xml:space="preserve">Ong JJ, Bourne C, Dean JA, Ryder N, Cornelisse VJ, Murray S et al. Australian sexually transmitted infection (STI) management guidelines for use in primary care, 2022 update. </w:t>
      </w:r>
      <w:r w:rsidRPr="00543BF4">
        <w:rPr>
          <w:i/>
          <w:iCs/>
          <w:lang w:val="en-GB"/>
        </w:rPr>
        <w:t>Sexual Health</w:t>
      </w:r>
      <w:r w:rsidRPr="00543BF4">
        <w:rPr>
          <w:lang w:val="en-GB"/>
        </w:rPr>
        <w:t xml:space="preserve">. 2023;20(1):1-8. doi: </w:t>
      </w:r>
      <w:hyperlink r:id="rId23" w:history="1">
        <w:r w:rsidRPr="0067259A">
          <w:rPr>
            <w:rStyle w:val="Hyperlink"/>
          </w:rPr>
          <w:t>https://doi.org/10.1071/SH22134</w:t>
        </w:r>
      </w:hyperlink>
      <w:r w:rsidRPr="00543BF4">
        <w:rPr>
          <w:lang w:val="en-GB"/>
        </w:rPr>
        <w:t>.</w:t>
      </w:r>
      <w:r w:rsidR="00CC05A5" w:rsidRPr="00B652E8">
        <w:br w:type="page"/>
      </w:r>
    </w:p>
    <w:p w14:paraId="1F096D03" w14:textId="77777777" w:rsidR="00CC05A5" w:rsidRPr="0089025E" w:rsidRDefault="00CC05A5" w:rsidP="00CC05A5">
      <w:pPr>
        <w:pStyle w:val="CDICopyright"/>
      </w:pPr>
      <w:bookmarkStart w:id="6" w:name="_Hlk185172676"/>
      <w:r w:rsidRPr="0089025E">
        <w:t xml:space="preserve">© </w:t>
      </w:r>
      <w:fldSimple w:instr=" DOCPROPERTY  Year  \* MERGEFORMAT ">
        <w:r w:rsidR="001C676E">
          <w:t>2026</w:t>
        </w:r>
      </w:fldSimple>
      <w:r w:rsidRPr="0089025E">
        <w:t xml:space="preserve"> Commonwealth of Australia as represented by the </w:t>
      </w:r>
      <w:r w:rsidR="00B071B0">
        <w:t>Australian Centre for Disease Control</w:t>
      </w:r>
    </w:p>
    <w:p w14:paraId="47A7D00D" w14:textId="77777777" w:rsidR="00CC05A5" w:rsidRPr="0089025E" w:rsidRDefault="00CC05A5" w:rsidP="00CC05A5">
      <w:pPr>
        <w:pStyle w:val="CDICopyright"/>
      </w:pPr>
      <w:r w:rsidRPr="0089025E">
        <w:t>ISSN: 2209-6051 Online</w:t>
      </w:r>
    </w:p>
    <w:p w14:paraId="0BE552E6" w14:textId="77777777" w:rsidR="00CC05A5" w:rsidRDefault="00CC05A5" w:rsidP="00CC05A5">
      <w:pPr>
        <w:pStyle w:val="CDICopyright"/>
      </w:pPr>
      <w:r w:rsidRPr="0089025E">
        <w:t>This journal is indexed by Index Medicus and Medline.</w:t>
      </w:r>
    </w:p>
    <w:p w14:paraId="77AA02AA" w14:textId="77777777" w:rsidR="00CC05A5" w:rsidRPr="007F2B27" w:rsidRDefault="00CC05A5" w:rsidP="00CC05A5">
      <w:pPr>
        <w:pStyle w:val="CDICopyrightHeading"/>
      </w:pPr>
      <w:r w:rsidRPr="007F2B27">
        <w:t>Creative Commons Licence</w:t>
      </w:r>
    </w:p>
    <w:p w14:paraId="50352E0A" w14:textId="77777777" w:rsidR="00CC05A5" w:rsidRPr="0089025E" w:rsidRDefault="00CC05A5" w:rsidP="00CC05A5">
      <w:pPr>
        <w:pStyle w:val="CDICopyright"/>
      </w:pPr>
      <w:r w:rsidRPr="0089025E">
        <w:t xml:space="preserve">This publication is licensed under a Creative Commons </w:t>
      </w:r>
      <w:hyperlink r:id="rId24" w:history="1">
        <w:r w:rsidRPr="0022524E">
          <w:rPr>
            <w:rStyle w:val="Hyperlink"/>
          </w:rPr>
          <w:t>Attribution-NonCommercial-NoDerivatives 4.0 International Licence</w:t>
        </w:r>
      </w:hyperlink>
      <w:r w:rsidRPr="0089025E">
        <w:t xml:space="preserve"> (Licence). You</w:t>
      </w:r>
      <w:r>
        <w:t xml:space="preserve"> </w:t>
      </w:r>
      <w:r w:rsidRPr="0089025E">
        <w:t>must read and understand the Licence before using any material from this publication.</w:t>
      </w:r>
    </w:p>
    <w:bookmarkEnd w:id="6"/>
    <w:p w14:paraId="23342042" w14:textId="77777777" w:rsidR="00CC05A5" w:rsidRPr="007F2B27" w:rsidRDefault="00CC05A5" w:rsidP="00CC05A5">
      <w:pPr>
        <w:pStyle w:val="CDICopyrightHeading"/>
      </w:pPr>
      <w:r w:rsidRPr="007F2B27">
        <w:t>Restrictions</w:t>
      </w:r>
    </w:p>
    <w:p w14:paraId="21C649A9" w14:textId="77777777" w:rsidR="00CC05A5" w:rsidRPr="0089025E" w:rsidRDefault="00CC05A5" w:rsidP="00CC05A5">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4F04AF63" w14:textId="77777777" w:rsidR="00CC05A5" w:rsidRPr="00E9313B" w:rsidRDefault="00CC05A5" w:rsidP="00CC05A5">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B071B0">
        <w:t>)</w:t>
      </w:r>
      <w:r w:rsidRPr="00E9313B">
        <w:t>;</w:t>
      </w:r>
    </w:p>
    <w:p w14:paraId="01C93E63" w14:textId="77777777" w:rsidR="00CC05A5" w:rsidRPr="003C23C9" w:rsidRDefault="00CC05A5" w:rsidP="00CC05A5">
      <w:pPr>
        <w:pStyle w:val="CDICopyrightBullets"/>
      </w:pPr>
      <w:r w:rsidRPr="0022524E">
        <w:t>any logos (including the Australian Centre for Disease Control’s logo) and trademarks</w:t>
      </w:r>
      <w:r w:rsidRPr="003C23C9">
        <w:t>;</w:t>
      </w:r>
    </w:p>
    <w:p w14:paraId="206B1224" w14:textId="77777777" w:rsidR="00CC05A5" w:rsidRPr="00E9313B" w:rsidRDefault="00CC05A5" w:rsidP="00CC05A5">
      <w:pPr>
        <w:pStyle w:val="CDICopyrightBullets"/>
      </w:pPr>
      <w:r w:rsidRPr="00E9313B">
        <w:t xml:space="preserve">any photographs and images; </w:t>
      </w:r>
    </w:p>
    <w:p w14:paraId="46A3AF12" w14:textId="77777777" w:rsidR="00CC05A5" w:rsidRPr="00E9313B" w:rsidRDefault="00CC05A5" w:rsidP="00CC05A5">
      <w:pPr>
        <w:pStyle w:val="CDICopyrightBullets"/>
      </w:pPr>
      <w:r w:rsidRPr="00E9313B">
        <w:t>any signatures; and</w:t>
      </w:r>
    </w:p>
    <w:p w14:paraId="108014AB" w14:textId="77777777" w:rsidR="00CC05A5" w:rsidRPr="003C23C9" w:rsidRDefault="00CC05A5" w:rsidP="00CC05A5">
      <w:pPr>
        <w:pStyle w:val="CDICopyrightBullets"/>
      </w:pPr>
      <w:r w:rsidRPr="00E9313B">
        <w:t>any</w:t>
      </w:r>
      <w:r w:rsidRPr="003C23C9">
        <w:t xml:space="preserve"> material belonging to third parties.</w:t>
      </w:r>
    </w:p>
    <w:p w14:paraId="1CA59068" w14:textId="77777777" w:rsidR="00CC05A5" w:rsidRPr="00CC3648" w:rsidRDefault="00CC05A5" w:rsidP="00CC05A5">
      <w:pPr>
        <w:pStyle w:val="CDICopyrightHeading"/>
      </w:pPr>
      <w:r w:rsidRPr="00CC3648">
        <w:t>Disclaimer</w:t>
      </w:r>
    </w:p>
    <w:p w14:paraId="16A1A6AC" w14:textId="77777777" w:rsidR="00CC05A5" w:rsidRPr="0089025E" w:rsidRDefault="00CC05A5" w:rsidP="00CC05A5">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Pr="0022524E">
        <w:t>the Australian Government</w:t>
      </w:r>
      <w:r w:rsidR="00B071B0">
        <w:t xml:space="preserve"> or </w:t>
      </w:r>
      <w:r w:rsidRPr="0022524E">
        <w:t>the Australian Centre for Disease Control</w:t>
      </w:r>
      <w:r w:rsidRPr="0089025E">
        <w:t>. Data may be subject to revision.</w:t>
      </w:r>
    </w:p>
    <w:p w14:paraId="5283D380" w14:textId="77777777" w:rsidR="00CC05A5" w:rsidRPr="007F2B27" w:rsidRDefault="00CC05A5" w:rsidP="00CC05A5">
      <w:pPr>
        <w:pStyle w:val="CDICopyrightHeading"/>
      </w:pPr>
      <w:r w:rsidRPr="007F2B27">
        <w:t>Enquiries</w:t>
      </w:r>
    </w:p>
    <w:p w14:paraId="2655A620" w14:textId="77777777" w:rsidR="00CC05A5" w:rsidRPr="00863F8D" w:rsidRDefault="00CC05A5" w:rsidP="00CC05A5">
      <w:pPr>
        <w:pStyle w:val="CDICopyright"/>
      </w:pPr>
      <w:r w:rsidRPr="00863F8D">
        <w:t xml:space="preserve">Enquiries </w:t>
      </w:r>
      <w:r w:rsidRPr="00B52457">
        <w:t>regarding</w:t>
      </w:r>
      <w:r w:rsidRPr="00863F8D">
        <w:t xml:space="preserve"> any other use of this publication should be addressed to the </w:t>
      </w:r>
      <w:r w:rsidRPr="005D5B20">
        <w:t>CDI Editor</w:t>
      </w:r>
      <w:r>
        <w:t>.</w:t>
      </w:r>
    </w:p>
    <w:p w14:paraId="3ED2DE2F" w14:textId="77777777" w:rsidR="00CC05A5" w:rsidRPr="00A65DFA" w:rsidRDefault="00CC05A5" w:rsidP="00CC05A5">
      <w:pPr>
        <w:pStyle w:val="CDIAbout"/>
      </w:pPr>
      <w:bookmarkStart w:id="7" w:name="_Toc190257376"/>
      <w:r>
        <w:t xml:space="preserve">About </w:t>
      </w:r>
      <w:bookmarkEnd w:id="7"/>
      <w:r>
        <w:t>CDI</w:t>
      </w:r>
    </w:p>
    <w:p w14:paraId="3AA292A2" w14:textId="77777777" w:rsidR="00CC05A5" w:rsidRDefault="00CC05A5" w:rsidP="00CC05A5">
      <w:pPr>
        <w:pStyle w:val="CDIAbouttextLess"/>
      </w:pPr>
      <w:r w:rsidRPr="009572C6">
        <w:rPr>
          <w:i/>
          <w:iCs/>
        </w:rPr>
        <w:t xml:space="preserve">Communicable Diseases Intelligence </w:t>
      </w:r>
      <w:r w:rsidRPr="009572C6">
        <w:t>(CDI) is a peer-reviewed scientific journal published by the Australian Centre for Disease Control.</w:t>
      </w:r>
    </w:p>
    <w:p w14:paraId="09E0175D" w14:textId="77777777" w:rsidR="00CC05A5" w:rsidRDefault="00CC05A5" w:rsidP="00B071B0">
      <w:pPr>
        <w:pStyle w:val="CDIAbouttextLess"/>
        <w:spacing w:before="120"/>
      </w:pPr>
      <w:r w:rsidRPr="009572C6">
        <w:t>The journal aims to disseminate information on the epidemiology, surveillance, prevention and control of communicable diseases of relevance to Australia and the near region.</w:t>
      </w:r>
    </w:p>
    <w:p w14:paraId="74ECFB56" w14:textId="77777777" w:rsidR="00CC05A5" w:rsidRPr="00D8087F" w:rsidRDefault="00CC05A5" w:rsidP="00CC05A5">
      <w:pPr>
        <w:pStyle w:val="CDIAbouttext"/>
      </w:pPr>
      <w:r w:rsidRPr="00D8087F">
        <w:rPr>
          <w:b/>
          <w:bCs/>
        </w:rPr>
        <w:t>Editor</w:t>
      </w:r>
      <w:r w:rsidRPr="00D8087F">
        <w:t xml:space="preserve">: </w:t>
      </w:r>
      <w:r w:rsidR="00D066C6">
        <w:t xml:space="preserve">Dr </w:t>
      </w:r>
      <w:r w:rsidR="00934A24">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4273070E" w14:textId="77777777" w:rsidR="00CC05A5" w:rsidRPr="00D8087F" w:rsidRDefault="00CC05A5" w:rsidP="00CC05A5">
      <w:pPr>
        <w:pStyle w:val="CDIAbouttext"/>
      </w:pPr>
      <w:r w:rsidRPr="005D5B20">
        <w:rPr>
          <w:b/>
          <w:bCs/>
        </w:rPr>
        <w:t>Editorial Advisory Board</w:t>
      </w:r>
      <w:r w:rsidRPr="00D8087F">
        <w:t>: David Durrheim, Mark Ferson, Clare Huppatz, John Kaldor, Martyn Kirk and Meru Sheel</w:t>
      </w:r>
    </w:p>
    <w:p w14:paraId="51E284D1" w14:textId="77777777" w:rsidR="00CC05A5" w:rsidRPr="00B87589" w:rsidRDefault="00CC05A5" w:rsidP="00CC05A5">
      <w:pPr>
        <w:pStyle w:val="CDIAbouttext"/>
        <w:rPr>
          <w:b/>
          <w:bCs/>
        </w:rPr>
      </w:pPr>
      <w:r w:rsidRPr="00B87589">
        <w:rPr>
          <w:b/>
          <w:bCs/>
        </w:rPr>
        <w:t xml:space="preserve">Submit an </w:t>
      </w:r>
      <w:proofErr w:type="gramStart"/>
      <w:r w:rsidRPr="00B87589">
        <w:rPr>
          <w:b/>
          <w:bCs/>
        </w:rPr>
        <w:t>Article</w:t>
      </w:r>
      <w:proofErr w:type="gramEnd"/>
    </w:p>
    <w:p w14:paraId="7A0E32DE" w14:textId="77777777" w:rsidR="00CC05A5" w:rsidRPr="0089025E" w:rsidRDefault="00CC05A5" w:rsidP="00CC05A5">
      <w:pPr>
        <w:pStyle w:val="CDIAbouttextLess"/>
      </w:pPr>
      <w:r w:rsidRPr="005D5B20">
        <w:t>Guidelines for authors</w:t>
      </w:r>
      <w:r w:rsidRPr="009572C6">
        <w:t xml:space="preserve"> and details on how to submit your publication is available on our website, or by email to the</w:t>
      </w:r>
      <w:r>
        <w:br/>
      </w:r>
      <w:r w:rsidRPr="005D5B20">
        <w:t>CDI Editor</w:t>
      </w:r>
      <w:r>
        <w:t>.</w:t>
      </w:r>
    </w:p>
    <w:p w14:paraId="0DC272E6" w14:textId="77777777" w:rsidR="00CC05A5" w:rsidRPr="00B87589" w:rsidRDefault="00CC05A5" w:rsidP="00CC05A5">
      <w:pPr>
        <w:pStyle w:val="CDIAbouttext"/>
        <w:rPr>
          <w:b/>
          <w:bCs/>
        </w:rPr>
      </w:pPr>
      <w:r w:rsidRPr="00B87589">
        <w:rPr>
          <w:b/>
          <w:bCs/>
        </w:rPr>
        <w:t>Contact us</w:t>
      </w:r>
    </w:p>
    <w:p w14:paraId="77BEABF5" w14:textId="77777777" w:rsidR="00CC05A5" w:rsidRPr="00087CC4" w:rsidRDefault="00CC05A5" w:rsidP="00CC05A5">
      <w:pPr>
        <w:pStyle w:val="CDIAbouttextLess"/>
      </w:pPr>
      <w:r w:rsidRPr="009572C6">
        <w:t>Communicable Diseases Intelligence</w:t>
      </w:r>
      <w:r w:rsidRPr="00087CC4">
        <w:t xml:space="preserve"> (CDI)</w:t>
      </w:r>
    </w:p>
    <w:p w14:paraId="68D7BE01" w14:textId="77777777" w:rsidR="00CC05A5" w:rsidRPr="00087CC4" w:rsidRDefault="00CC05A5" w:rsidP="00CC05A5">
      <w:pPr>
        <w:pStyle w:val="CDIAbouttextLess"/>
      </w:pPr>
      <w:r>
        <w:t>Australian Centre for Disease Control</w:t>
      </w:r>
    </w:p>
    <w:p w14:paraId="37A10AB3" w14:textId="77777777" w:rsidR="00CC05A5" w:rsidRPr="0089025E" w:rsidRDefault="00CC05A5" w:rsidP="00CC05A5">
      <w:pPr>
        <w:pStyle w:val="CDIAbouttextLess"/>
      </w:pPr>
      <w:r w:rsidRPr="00087CC4">
        <w:t xml:space="preserve">PO Box </w:t>
      </w:r>
      <w:r w:rsidR="003814F5">
        <w:t>79</w:t>
      </w:r>
      <w:r w:rsidR="00F60942">
        <w:t>5</w:t>
      </w:r>
      <w:r w:rsidRPr="00087CC4">
        <w:t xml:space="preserve">, </w:t>
      </w:r>
      <w:r w:rsidR="00F60942">
        <w:t>Canberra</w:t>
      </w:r>
      <w:r w:rsidRPr="0089025E">
        <w:t xml:space="preserve"> ACT 2601</w:t>
      </w:r>
      <w:r w:rsidR="00F60942">
        <w:t>, Australia</w:t>
      </w:r>
    </w:p>
    <w:p w14:paraId="382442CE" w14:textId="77777777" w:rsidR="00CC05A5" w:rsidRDefault="00CC05A5" w:rsidP="00CC05A5">
      <w:pPr>
        <w:pStyle w:val="CDIAbouttextLess"/>
      </w:pPr>
      <w:r w:rsidRPr="0089025E">
        <w:t xml:space="preserve">Website: </w:t>
      </w:r>
      <w:hyperlink r:id="rId25" w:history="1">
        <w:r>
          <w:rPr>
            <w:rStyle w:val="Hyperlink"/>
          </w:rPr>
          <w:t>cdc.gov.au/cdi</w:t>
        </w:r>
      </w:hyperlink>
    </w:p>
    <w:p w14:paraId="6223A124" w14:textId="77777777" w:rsidR="00CC05A5" w:rsidRPr="00CA2A15" w:rsidRDefault="00CC05A5" w:rsidP="00CC05A5">
      <w:pPr>
        <w:pStyle w:val="CDIAbouttextLess"/>
      </w:pPr>
      <w:r w:rsidRPr="0089025E">
        <w:t xml:space="preserve">Email: </w:t>
      </w:r>
      <w:hyperlink r:id="rId26" w:history="1">
        <w:r w:rsidR="00C20A97">
          <w:rPr>
            <w:rStyle w:val="Hyperlink"/>
          </w:rPr>
          <w:t>cdi.editor@cdc.gov.au</w:t>
        </w:r>
      </w:hyperlink>
    </w:p>
    <w:sectPr w:rsidR="00CC05A5" w:rsidRPr="00CA2A15" w:rsidSect="00256B63">
      <w:footnotePr>
        <w:numFmt w:val="lowerRoman"/>
      </w:footnotePr>
      <w:pgSz w:w="11907" w:h="16840" w:code="9"/>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6345F" w14:textId="77777777" w:rsidR="009C2D1E" w:rsidRDefault="009C2D1E" w:rsidP="00E54DBA">
      <w:r>
        <w:separator/>
      </w:r>
    </w:p>
    <w:p w14:paraId="3B140764" w14:textId="77777777" w:rsidR="009C2D1E" w:rsidRDefault="009C2D1E"/>
    <w:p w14:paraId="0A6C49DE" w14:textId="77777777" w:rsidR="009C2D1E" w:rsidRDefault="009C2D1E" w:rsidP="008714B0"/>
  </w:endnote>
  <w:endnote w:type="continuationSeparator" w:id="0">
    <w:p w14:paraId="6733F2A3" w14:textId="77777777" w:rsidR="009C2D1E" w:rsidRDefault="009C2D1E" w:rsidP="00E54DBA">
      <w:r>
        <w:continuationSeparator/>
      </w:r>
    </w:p>
    <w:p w14:paraId="4EF04A87" w14:textId="77777777" w:rsidR="009C2D1E" w:rsidRDefault="009C2D1E"/>
    <w:p w14:paraId="73680BC9" w14:textId="77777777" w:rsidR="009C2D1E" w:rsidRDefault="009C2D1E"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CE55" w14:textId="77777777" w:rsidR="00B87589" w:rsidRDefault="00256B63">
    <w:r>
      <w:rPr>
        <w:noProof/>
        <w14:ligatures w14:val="none"/>
      </w:rPr>
      <mc:AlternateContent>
        <mc:Choice Requires="wps">
          <w:drawing>
            <wp:anchor distT="0" distB="0" distL="0" distR="0" simplePos="0" relativeHeight="251662336" behindDoc="0" locked="0" layoutInCell="1" allowOverlap="1" wp14:anchorId="0DFE1C8F" wp14:editId="3E18AB42">
              <wp:simplePos x="635" y="635"/>
              <wp:positionH relativeFrom="page">
                <wp:align>center</wp:align>
              </wp:positionH>
              <wp:positionV relativeFrom="page">
                <wp:align>bottom</wp:align>
              </wp:positionV>
              <wp:extent cx="551815" cy="518795"/>
              <wp:effectExtent l="0" t="0" r="635" b="0"/>
              <wp:wrapNone/>
              <wp:docPr id="32127409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4870A6B"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FE1C8F"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64870A6B"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A18D" w14:textId="43B1C88F"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1C676E">
        <w:t>2026</w:t>
      </w:r>
    </w:fldSimple>
    <w:r w:rsidR="009B78A9">
      <w:t>;</w:t>
    </w:r>
    <w:fldSimple w:instr=" DOCPROPERTY  Vol  \* MERGEFORMAT ">
      <w:r w:rsidR="001C676E">
        <w:t>50</w:t>
      </w:r>
    </w:fldSimple>
    <w:r w:rsidR="00385655" w:rsidRPr="001D0612">
      <w:t xml:space="preserve"> </w:t>
    </w:r>
    <w:r w:rsidR="00385655" w:rsidRPr="00B85B74">
      <w:t>•</w:t>
    </w:r>
    <w:r w:rsidR="00385655">
      <w:t xml:space="preserve"> </w:t>
    </w:r>
    <w:fldSimple w:instr=" DOCPROPERTY  DOI  \* MERGEFORMAT ">
      <w:r w:rsidR="000C194D">
        <w:t>doi.org/10.33321/cdi.2026.50.060</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0C194D">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9A1E5" w14:textId="77777777" w:rsidR="009C2D1E" w:rsidRPr="00B91FB5" w:rsidRDefault="009C2D1E" w:rsidP="00B91FB5">
      <w:pPr>
        <w:spacing w:line="240" w:lineRule="auto"/>
        <w:rPr>
          <w:sz w:val="18"/>
          <w:szCs w:val="18"/>
        </w:rPr>
      </w:pPr>
      <w:r w:rsidRPr="00B91FB5">
        <w:rPr>
          <w:sz w:val="18"/>
          <w:szCs w:val="18"/>
        </w:rPr>
        <w:separator/>
      </w:r>
    </w:p>
  </w:footnote>
  <w:footnote w:type="continuationSeparator" w:id="0">
    <w:p w14:paraId="022C031A" w14:textId="77777777" w:rsidR="009C2D1E" w:rsidRDefault="009C2D1E" w:rsidP="00E54DBA">
      <w:r>
        <w:continuationSeparator/>
      </w:r>
    </w:p>
  </w:footnote>
  <w:footnote w:type="continuationNotice" w:id="1">
    <w:p w14:paraId="55B80BFA" w14:textId="77777777" w:rsidR="009C2D1E" w:rsidRPr="00224EFF" w:rsidRDefault="009C2D1E"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5593" w14:textId="77777777" w:rsidR="00B87589" w:rsidRDefault="00256B63">
    <w:pPr>
      <w:pStyle w:val="Header"/>
    </w:pPr>
    <w:r>
      <w:rPr>
        <w:noProof/>
        <w14:ligatures w14:val="none"/>
      </w:rPr>
      <mc:AlternateContent>
        <mc:Choice Requires="wps">
          <w:drawing>
            <wp:anchor distT="0" distB="0" distL="0" distR="0" simplePos="0" relativeHeight="251659264" behindDoc="0" locked="0" layoutInCell="1" allowOverlap="1" wp14:anchorId="7BB08985" wp14:editId="1F055488">
              <wp:simplePos x="635" y="635"/>
              <wp:positionH relativeFrom="page">
                <wp:align>center</wp:align>
              </wp:positionH>
              <wp:positionV relativeFrom="page">
                <wp:align>top</wp:align>
              </wp:positionV>
              <wp:extent cx="551815" cy="518795"/>
              <wp:effectExtent l="0" t="0" r="635" b="14605"/>
              <wp:wrapNone/>
              <wp:docPr id="9290362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56193DA9"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B08985"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56193DA9" w14:textId="77777777" w:rsidR="00256B63" w:rsidRPr="00256B63" w:rsidRDefault="00256B63" w:rsidP="00256B63">
                    <w:pPr>
                      <w:rPr>
                        <w:rFonts w:ascii="Calibri" w:eastAsia="Calibri" w:hAnsi="Calibri" w:cs="Calibri"/>
                        <w:noProof/>
                        <w:color w:val="FF0000"/>
                        <w:sz w:val="24"/>
                        <w:szCs w:val="24"/>
                      </w:rPr>
                    </w:pPr>
                    <w:r w:rsidRPr="00256B63">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EEB2EB3C"/>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1636253599">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76E"/>
    <w:rsid w:val="00000B5B"/>
    <w:rsid w:val="00001611"/>
    <w:rsid w:val="00002B8D"/>
    <w:rsid w:val="000073ED"/>
    <w:rsid w:val="0001020A"/>
    <w:rsid w:val="000104A8"/>
    <w:rsid w:val="0001246E"/>
    <w:rsid w:val="000124B1"/>
    <w:rsid w:val="00013B65"/>
    <w:rsid w:val="000147ED"/>
    <w:rsid w:val="00014B0F"/>
    <w:rsid w:val="0001562E"/>
    <w:rsid w:val="00016FE6"/>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655"/>
    <w:rsid w:val="00084BAB"/>
    <w:rsid w:val="000864E0"/>
    <w:rsid w:val="00087301"/>
    <w:rsid w:val="000879D8"/>
    <w:rsid w:val="00087CC4"/>
    <w:rsid w:val="00090F9D"/>
    <w:rsid w:val="000969B3"/>
    <w:rsid w:val="000A26CA"/>
    <w:rsid w:val="000A5F42"/>
    <w:rsid w:val="000B4AE0"/>
    <w:rsid w:val="000B4B63"/>
    <w:rsid w:val="000C194D"/>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B6D"/>
    <w:rsid w:val="00110B7D"/>
    <w:rsid w:val="00112436"/>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4C4B"/>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0E7D"/>
    <w:rsid w:val="001A26DD"/>
    <w:rsid w:val="001A4A96"/>
    <w:rsid w:val="001A5900"/>
    <w:rsid w:val="001A5D05"/>
    <w:rsid w:val="001A796C"/>
    <w:rsid w:val="001B0E7B"/>
    <w:rsid w:val="001B248E"/>
    <w:rsid w:val="001B2614"/>
    <w:rsid w:val="001B37B8"/>
    <w:rsid w:val="001B4B8D"/>
    <w:rsid w:val="001B4D8C"/>
    <w:rsid w:val="001B552F"/>
    <w:rsid w:val="001C0893"/>
    <w:rsid w:val="001C1303"/>
    <w:rsid w:val="001C1BD1"/>
    <w:rsid w:val="001C2B4B"/>
    <w:rsid w:val="001C2C3A"/>
    <w:rsid w:val="001C5BB1"/>
    <w:rsid w:val="001C5F09"/>
    <w:rsid w:val="001C676E"/>
    <w:rsid w:val="001C70B2"/>
    <w:rsid w:val="001C7CE1"/>
    <w:rsid w:val="001D0612"/>
    <w:rsid w:val="001D37C7"/>
    <w:rsid w:val="001D5B20"/>
    <w:rsid w:val="001D6888"/>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A5F"/>
    <w:rsid w:val="0024018F"/>
    <w:rsid w:val="00242659"/>
    <w:rsid w:val="002428F7"/>
    <w:rsid w:val="00242A9E"/>
    <w:rsid w:val="0024315F"/>
    <w:rsid w:val="00245439"/>
    <w:rsid w:val="0024631C"/>
    <w:rsid w:val="00252C9A"/>
    <w:rsid w:val="00254E56"/>
    <w:rsid w:val="00256309"/>
    <w:rsid w:val="00256B63"/>
    <w:rsid w:val="00257484"/>
    <w:rsid w:val="00260636"/>
    <w:rsid w:val="00262EA6"/>
    <w:rsid w:val="002644A8"/>
    <w:rsid w:val="00264B29"/>
    <w:rsid w:val="00271AFA"/>
    <w:rsid w:val="00275C5C"/>
    <w:rsid w:val="00275C78"/>
    <w:rsid w:val="00275F5D"/>
    <w:rsid w:val="00280594"/>
    <w:rsid w:val="00281EE3"/>
    <w:rsid w:val="00282B56"/>
    <w:rsid w:val="00284E4A"/>
    <w:rsid w:val="00290E04"/>
    <w:rsid w:val="002A3799"/>
    <w:rsid w:val="002A3BCC"/>
    <w:rsid w:val="002A4516"/>
    <w:rsid w:val="002A569F"/>
    <w:rsid w:val="002A5B2C"/>
    <w:rsid w:val="002A6E55"/>
    <w:rsid w:val="002A7066"/>
    <w:rsid w:val="002B001E"/>
    <w:rsid w:val="002B09B7"/>
    <w:rsid w:val="002B3482"/>
    <w:rsid w:val="002B493C"/>
    <w:rsid w:val="002B75A9"/>
    <w:rsid w:val="002B7779"/>
    <w:rsid w:val="002C21B0"/>
    <w:rsid w:val="002C3003"/>
    <w:rsid w:val="002C4CD7"/>
    <w:rsid w:val="002C5D55"/>
    <w:rsid w:val="002D74C3"/>
    <w:rsid w:val="002E12D6"/>
    <w:rsid w:val="002E2FB3"/>
    <w:rsid w:val="002E5438"/>
    <w:rsid w:val="002F327B"/>
    <w:rsid w:val="003013D0"/>
    <w:rsid w:val="00301626"/>
    <w:rsid w:val="003052F5"/>
    <w:rsid w:val="003059EC"/>
    <w:rsid w:val="00316727"/>
    <w:rsid w:val="00316CCD"/>
    <w:rsid w:val="00324F7E"/>
    <w:rsid w:val="0032526F"/>
    <w:rsid w:val="00325841"/>
    <w:rsid w:val="003316F4"/>
    <w:rsid w:val="003323BC"/>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71080"/>
    <w:rsid w:val="0037146D"/>
    <w:rsid w:val="00372A88"/>
    <w:rsid w:val="00373D51"/>
    <w:rsid w:val="00374F80"/>
    <w:rsid w:val="003814F5"/>
    <w:rsid w:val="00381A0F"/>
    <w:rsid w:val="00381E8E"/>
    <w:rsid w:val="00385655"/>
    <w:rsid w:val="003858B4"/>
    <w:rsid w:val="00390F66"/>
    <w:rsid w:val="00392D07"/>
    <w:rsid w:val="00393B4D"/>
    <w:rsid w:val="003A1B3A"/>
    <w:rsid w:val="003A25A3"/>
    <w:rsid w:val="003A40F5"/>
    <w:rsid w:val="003A5BF3"/>
    <w:rsid w:val="003B3487"/>
    <w:rsid w:val="003B42D5"/>
    <w:rsid w:val="003B5B8C"/>
    <w:rsid w:val="003B7ADD"/>
    <w:rsid w:val="003C02BF"/>
    <w:rsid w:val="003C2299"/>
    <w:rsid w:val="003C23C9"/>
    <w:rsid w:val="003C554E"/>
    <w:rsid w:val="003C5E16"/>
    <w:rsid w:val="003C7841"/>
    <w:rsid w:val="003D0190"/>
    <w:rsid w:val="003D15AE"/>
    <w:rsid w:val="003D18AF"/>
    <w:rsid w:val="003D2AE3"/>
    <w:rsid w:val="003D3CAC"/>
    <w:rsid w:val="003D5EAA"/>
    <w:rsid w:val="003D79B1"/>
    <w:rsid w:val="003E3A4E"/>
    <w:rsid w:val="003E4B09"/>
    <w:rsid w:val="003E74EE"/>
    <w:rsid w:val="003F0552"/>
    <w:rsid w:val="003F2670"/>
    <w:rsid w:val="003F2891"/>
    <w:rsid w:val="003F2AC2"/>
    <w:rsid w:val="003F3BC2"/>
    <w:rsid w:val="003F5172"/>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3456"/>
    <w:rsid w:val="00433DFA"/>
    <w:rsid w:val="00435D67"/>
    <w:rsid w:val="0043642C"/>
    <w:rsid w:val="0043704E"/>
    <w:rsid w:val="00437680"/>
    <w:rsid w:val="004427FD"/>
    <w:rsid w:val="004568FC"/>
    <w:rsid w:val="00461653"/>
    <w:rsid w:val="00464A58"/>
    <w:rsid w:val="00464E0D"/>
    <w:rsid w:val="00470721"/>
    <w:rsid w:val="00470C19"/>
    <w:rsid w:val="00471494"/>
    <w:rsid w:val="00472B68"/>
    <w:rsid w:val="00473D2D"/>
    <w:rsid w:val="0047591B"/>
    <w:rsid w:val="00481503"/>
    <w:rsid w:val="00484919"/>
    <w:rsid w:val="00491C26"/>
    <w:rsid w:val="00492014"/>
    <w:rsid w:val="004973B4"/>
    <w:rsid w:val="004A19B8"/>
    <w:rsid w:val="004A2125"/>
    <w:rsid w:val="004A38F6"/>
    <w:rsid w:val="004B0C95"/>
    <w:rsid w:val="004B0E96"/>
    <w:rsid w:val="004B1266"/>
    <w:rsid w:val="004B4EB6"/>
    <w:rsid w:val="004B4F34"/>
    <w:rsid w:val="004C04D3"/>
    <w:rsid w:val="004C083C"/>
    <w:rsid w:val="004C3BDE"/>
    <w:rsid w:val="004C62AA"/>
    <w:rsid w:val="004C67C6"/>
    <w:rsid w:val="004D1D6A"/>
    <w:rsid w:val="004D29DE"/>
    <w:rsid w:val="004E1094"/>
    <w:rsid w:val="004E2E81"/>
    <w:rsid w:val="004F5434"/>
    <w:rsid w:val="00505184"/>
    <w:rsid w:val="0050662A"/>
    <w:rsid w:val="00510EAC"/>
    <w:rsid w:val="005138AF"/>
    <w:rsid w:val="005226F2"/>
    <w:rsid w:val="00526875"/>
    <w:rsid w:val="0052708C"/>
    <w:rsid w:val="00531F38"/>
    <w:rsid w:val="00532189"/>
    <w:rsid w:val="00532FB6"/>
    <w:rsid w:val="00536DD8"/>
    <w:rsid w:val="00542A57"/>
    <w:rsid w:val="00543294"/>
    <w:rsid w:val="00543BF4"/>
    <w:rsid w:val="00545068"/>
    <w:rsid w:val="0054635D"/>
    <w:rsid w:val="005466D8"/>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5B2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0820"/>
    <w:rsid w:val="00631406"/>
    <w:rsid w:val="006324FF"/>
    <w:rsid w:val="00632787"/>
    <w:rsid w:val="00632B07"/>
    <w:rsid w:val="006351D6"/>
    <w:rsid w:val="00636E0D"/>
    <w:rsid w:val="0064142F"/>
    <w:rsid w:val="00643CB4"/>
    <w:rsid w:val="00644B9D"/>
    <w:rsid w:val="00644F78"/>
    <w:rsid w:val="00647DEA"/>
    <w:rsid w:val="0065219D"/>
    <w:rsid w:val="00656427"/>
    <w:rsid w:val="00656FDA"/>
    <w:rsid w:val="00660255"/>
    <w:rsid w:val="00661FE1"/>
    <w:rsid w:val="0066362A"/>
    <w:rsid w:val="00663EA5"/>
    <w:rsid w:val="00666D94"/>
    <w:rsid w:val="00670BE1"/>
    <w:rsid w:val="00676161"/>
    <w:rsid w:val="006763A3"/>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4512"/>
    <w:rsid w:val="006C5B50"/>
    <w:rsid w:val="006C74A3"/>
    <w:rsid w:val="006C76D0"/>
    <w:rsid w:val="006C7D54"/>
    <w:rsid w:val="006D1381"/>
    <w:rsid w:val="006D31BC"/>
    <w:rsid w:val="006D424A"/>
    <w:rsid w:val="006D4979"/>
    <w:rsid w:val="006D508B"/>
    <w:rsid w:val="006D6625"/>
    <w:rsid w:val="006E0B0E"/>
    <w:rsid w:val="006E222D"/>
    <w:rsid w:val="006E7943"/>
    <w:rsid w:val="006E7AC3"/>
    <w:rsid w:val="006F24EA"/>
    <w:rsid w:val="006F5FEC"/>
    <w:rsid w:val="00700338"/>
    <w:rsid w:val="0070113C"/>
    <w:rsid w:val="00702D05"/>
    <w:rsid w:val="00703009"/>
    <w:rsid w:val="00704CA9"/>
    <w:rsid w:val="0071048D"/>
    <w:rsid w:val="00710F86"/>
    <w:rsid w:val="007111A8"/>
    <w:rsid w:val="00714CD2"/>
    <w:rsid w:val="00723B5F"/>
    <w:rsid w:val="00725C33"/>
    <w:rsid w:val="00726C6A"/>
    <w:rsid w:val="00731BC3"/>
    <w:rsid w:val="00731FF7"/>
    <w:rsid w:val="00733216"/>
    <w:rsid w:val="00734159"/>
    <w:rsid w:val="007401FD"/>
    <w:rsid w:val="00741192"/>
    <w:rsid w:val="00742FA3"/>
    <w:rsid w:val="007430BF"/>
    <w:rsid w:val="00743A33"/>
    <w:rsid w:val="00743DF3"/>
    <w:rsid w:val="00745AE2"/>
    <w:rsid w:val="00746080"/>
    <w:rsid w:val="0075144A"/>
    <w:rsid w:val="0075709F"/>
    <w:rsid w:val="00760A97"/>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537E"/>
    <w:rsid w:val="007B7854"/>
    <w:rsid w:val="007C1CF5"/>
    <w:rsid w:val="007C457F"/>
    <w:rsid w:val="007C482B"/>
    <w:rsid w:val="007C56A1"/>
    <w:rsid w:val="007C6454"/>
    <w:rsid w:val="007D5B5D"/>
    <w:rsid w:val="007D6F3B"/>
    <w:rsid w:val="007E01E0"/>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50D54"/>
    <w:rsid w:val="00852E2B"/>
    <w:rsid w:val="00854079"/>
    <w:rsid w:val="00856FF3"/>
    <w:rsid w:val="0086228F"/>
    <w:rsid w:val="00862C50"/>
    <w:rsid w:val="00863F8D"/>
    <w:rsid w:val="0086578D"/>
    <w:rsid w:val="008673F6"/>
    <w:rsid w:val="00867976"/>
    <w:rsid w:val="008714B0"/>
    <w:rsid w:val="00872A7F"/>
    <w:rsid w:val="0087374B"/>
    <w:rsid w:val="00876331"/>
    <w:rsid w:val="00877B90"/>
    <w:rsid w:val="00880726"/>
    <w:rsid w:val="00884312"/>
    <w:rsid w:val="008863B2"/>
    <w:rsid w:val="0089025E"/>
    <w:rsid w:val="00895527"/>
    <w:rsid w:val="00897881"/>
    <w:rsid w:val="008A0736"/>
    <w:rsid w:val="008A3532"/>
    <w:rsid w:val="008A3544"/>
    <w:rsid w:val="008A4460"/>
    <w:rsid w:val="008B48B8"/>
    <w:rsid w:val="008B5348"/>
    <w:rsid w:val="008B58F8"/>
    <w:rsid w:val="008B5BAA"/>
    <w:rsid w:val="008B62FF"/>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4A24"/>
    <w:rsid w:val="00935DC9"/>
    <w:rsid w:val="00937B01"/>
    <w:rsid w:val="00937F3C"/>
    <w:rsid w:val="009446C0"/>
    <w:rsid w:val="00947BAF"/>
    <w:rsid w:val="00947D0A"/>
    <w:rsid w:val="00951883"/>
    <w:rsid w:val="009527E3"/>
    <w:rsid w:val="009533E1"/>
    <w:rsid w:val="0095410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91B09"/>
    <w:rsid w:val="0099319C"/>
    <w:rsid w:val="00993CB2"/>
    <w:rsid w:val="0099796D"/>
    <w:rsid w:val="009A0251"/>
    <w:rsid w:val="009A218B"/>
    <w:rsid w:val="009A5166"/>
    <w:rsid w:val="009A76F8"/>
    <w:rsid w:val="009B2B11"/>
    <w:rsid w:val="009B2B83"/>
    <w:rsid w:val="009B720F"/>
    <w:rsid w:val="009B78A9"/>
    <w:rsid w:val="009C18EE"/>
    <w:rsid w:val="009C2D1E"/>
    <w:rsid w:val="009C49F8"/>
    <w:rsid w:val="009D0F93"/>
    <w:rsid w:val="009D56E7"/>
    <w:rsid w:val="009D77CC"/>
    <w:rsid w:val="009D797A"/>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41BBE"/>
    <w:rsid w:val="00A443E3"/>
    <w:rsid w:val="00A45BDD"/>
    <w:rsid w:val="00A46060"/>
    <w:rsid w:val="00A46A0A"/>
    <w:rsid w:val="00A51E0E"/>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212"/>
    <w:rsid w:val="00A955B2"/>
    <w:rsid w:val="00A95A81"/>
    <w:rsid w:val="00AA075C"/>
    <w:rsid w:val="00AA3329"/>
    <w:rsid w:val="00AA35E6"/>
    <w:rsid w:val="00AA50B6"/>
    <w:rsid w:val="00AA78FF"/>
    <w:rsid w:val="00AB1606"/>
    <w:rsid w:val="00AB3472"/>
    <w:rsid w:val="00AB3C13"/>
    <w:rsid w:val="00AB7613"/>
    <w:rsid w:val="00AC0F5D"/>
    <w:rsid w:val="00AC27EF"/>
    <w:rsid w:val="00AC4595"/>
    <w:rsid w:val="00AC46DC"/>
    <w:rsid w:val="00AC659C"/>
    <w:rsid w:val="00AC66D9"/>
    <w:rsid w:val="00AC7CD7"/>
    <w:rsid w:val="00AD0762"/>
    <w:rsid w:val="00AD3C9E"/>
    <w:rsid w:val="00AE0209"/>
    <w:rsid w:val="00AE3DCF"/>
    <w:rsid w:val="00AE4452"/>
    <w:rsid w:val="00AE6604"/>
    <w:rsid w:val="00AE7C38"/>
    <w:rsid w:val="00AF1538"/>
    <w:rsid w:val="00AF2679"/>
    <w:rsid w:val="00AF2814"/>
    <w:rsid w:val="00AF5008"/>
    <w:rsid w:val="00AF6920"/>
    <w:rsid w:val="00B01F99"/>
    <w:rsid w:val="00B02B37"/>
    <w:rsid w:val="00B05276"/>
    <w:rsid w:val="00B05373"/>
    <w:rsid w:val="00B0666B"/>
    <w:rsid w:val="00B071B0"/>
    <w:rsid w:val="00B07528"/>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2E78"/>
    <w:rsid w:val="00B53955"/>
    <w:rsid w:val="00B53BFC"/>
    <w:rsid w:val="00B63C79"/>
    <w:rsid w:val="00B6408A"/>
    <w:rsid w:val="00B6478A"/>
    <w:rsid w:val="00B652E8"/>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6F53"/>
    <w:rsid w:val="00BC086C"/>
    <w:rsid w:val="00BC0BD3"/>
    <w:rsid w:val="00BC4B9A"/>
    <w:rsid w:val="00BC4EAA"/>
    <w:rsid w:val="00BC5BA6"/>
    <w:rsid w:val="00BD0107"/>
    <w:rsid w:val="00BD2220"/>
    <w:rsid w:val="00BD4DBE"/>
    <w:rsid w:val="00BE0C33"/>
    <w:rsid w:val="00BE0FE9"/>
    <w:rsid w:val="00BE262C"/>
    <w:rsid w:val="00BE4C25"/>
    <w:rsid w:val="00BE6C3D"/>
    <w:rsid w:val="00BE73E6"/>
    <w:rsid w:val="00BF42FE"/>
    <w:rsid w:val="00C02B29"/>
    <w:rsid w:val="00C06389"/>
    <w:rsid w:val="00C06DA4"/>
    <w:rsid w:val="00C07606"/>
    <w:rsid w:val="00C12542"/>
    <w:rsid w:val="00C130EE"/>
    <w:rsid w:val="00C20A97"/>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319"/>
    <w:rsid w:val="00C63F9F"/>
    <w:rsid w:val="00C6558E"/>
    <w:rsid w:val="00C66F97"/>
    <w:rsid w:val="00C735E0"/>
    <w:rsid w:val="00C7723C"/>
    <w:rsid w:val="00C81439"/>
    <w:rsid w:val="00C82027"/>
    <w:rsid w:val="00C838F5"/>
    <w:rsid w:val="00C841C0"/>
    <w:rsid w:val="00C91F37"/>
    <w:rsid w:val="00C94309"/>
    <w:rsid w:val="00C97898"/>
    <w:rsid w:val="00CA07E5"/>
    <w:rsid w:val="00CA1AF4"/>
    <w:rsid w:val="00CA2A15"/>
    <w:rsid w:val="00CA4725"/>
    <w:rsid w:val="00CA6068"/>
    <w:rsid w:val="00CA757A"/>
    <w:rsid w:val="00CB15E1"/>
    <w:rsid w:val="00CB3460"/>
    <w:rsid w:val="00CB3D46"/>
    <w:rsid w:val="00CB3D75"/>
    <w:rsid w:val="00CC05A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1968"/>
    <w:rsid w:val="00CF320C"/>
    <w:rsid w:val="00CF3A4B"/>
    <w:rsid w:val="00CF4001"/>
    <w:rsid w:val="00CF75DF"/>
    <w:rsid w:val="00D05837"/>
    <w:rsid w:val="00D066C6"/>
    <w:rsid w:val="00D11736"/>
    <w:rsid w:val="00D12D8A"/>
    <w:rsid w:val="00D13E0C"/>
    <w:rsid w:val="00D20FB5"/>
    <w:rsid w:val="00D22CC8"/>
    <w:rsid w:val="00D25896"/>
    <w:rsid w:val="00D26EE6"/>
    <w:rsid w:val="00D32A59"/>
    <w:rsid w:val="00D33918"/>
    <w:rsid w:val="00D34AAF"/>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7E8"/>
    <w:rsid w:val="00D63E60"/>
    <w:rsid w:val="00D6407A"/>
    <w:rsid w:val="00D64A19"/>
    <w:rsid w:val="00D7189B"/>
    <w:rsid w:val="00D7327C"/>
    <w:rsid w:val="00D74140"/>
    <w:rsid w:val="00D74EC3"/>
    <w:rsid w:val="00D80045"/>
    <w:rsid w:val="00D8087F"/>
    <w:rsid w:val="00D842AC"/>
    <w:rsid w:val="00D84FBE"/>
    <w:rsid w:val="00D9122D"/>
    <w:rsid w:val="00D93AD4"/>
    <w:rsid w:val="00DA2E9E"/>
    <w:rsid w:val="00DA6E56"/>
    <w:rsid w:val="00DA78DD"/>
    <w:rsid w:val="00DB0DF2"/>
    <w:rsid w:val="00DB1C65"/>
    <w:rsid w:val="00DB4A67"/>
    <w:rsid w:val="00DB5461"/>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3D2"/>
    <w:rsid w:val="00E41455"/>
    <w:rsid w:val="00E42AD2"/>
    <w:rsid w:val="00E50856"/>
    <w:rsid w:val="00E538CC"/>
    <w:rsid w:val="00E54BBD"/>
    <w:rsid w:val="00E54DBA"/>
    <w:rsid w:val="00E57DB7"/>
    <w:rsid w:val="00E61A68"/>
    <w:rsid w:val="00E62A74"/>
    <w:rsid w:val="00E62A9E"/>
    <w:rsid w:val="00E63D7C"/>
    <w:rsid w:val="00E640D5"/>
    <w:rsid w:val="00E64C4F"/>
    <w:rsid w:val="00E66E2E"/>
    <w:rsid w:val="00E67691"/>
    <w:rsid w:val="00E714F6"/>
    <w:rsid w:val="00E80F90"/>
    <w:rsid w:val="00E81FDE"/>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8FF"/>
    <w:rsid w:val="00EE1D64"/>
    <w:rsid w:val="00EE3E29"/>
    <w:rsid w:val="00EE489F"/>
    <w:rsid w:val="00EE558A"/>
    <w:rsid w:val="00EF082D"/>
    <w:rsid w:val="00EF55AE"/>
    <w:rsid w:val="00EF56E8"/>
    <w:rsid w:val="00F03754"/>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09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B17AB"/>
    <w:rsid w:val="00FB48CF"/>
    <w:rsid w:val="00FC002E"/>
    <w:rsid w:val="00FC4C23"/>
    <w:rsid w:val="00FC6204"/>
    <w:rsid w:val="00FC642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6D27D"/>
  <w15:docId w15:val="{EB9DF944-954D-4C87-B572-A3B6FECC4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BF4"/>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112436"/>
    <w:pPr>
      <w:keepNext/>
      <w:autoSpaceDE w:val="0"/>
      <w:autoSpaceDN w:val="0"/>
      <w:adjustRightInd w:val="0"/>
      <w:spacing w:before="360" w:line="240" w:lineRule="auto"/>
      <w:textAlignment w:val="center"/>
      <w:outlineLvl w:val="1"/>
    </w:pPr>
    <w:rPr>
      <w:rFonts w:asciiTheme="majorHAnsi" w:hAnsiTheme="majorHAnsi" w:cs="MyriadPro-Bold"/>
      <w:b/>
      <w:bCs/>
      <w:sz w:val="32"/>
      <w:szCs w:val="28"/>
    </w:rPr>
  </w:style>
  <w:style w:type="paragraph" w:styleId="Heading3">
    <w:name w:val="heading 3"/>
    <w:basedOn w:val="Normal"/>
    <w:next w:val="Normal"/>
    <w:link w:val="Heading3Char"/>
    <w:uiPriority w:val="9"/>
    <w:unhideWhenUsed/>
    <w:qFormat/>
    <w:rsid w:val="00112436"/>
    <w:pPr>
      <w:keepNext/>
      <w:keepLines/>
      <w:autoSpaceDE w:val="0"/>
      <w:autoSpaceDN w:val="0"/>
      <w:adjustRightInd w:val="0"/>
      <w:spacing w:before="360" w:line="240" w:lineRule="auto"/>
      <w:textAlignment w:val="center"/>
      <w:outlineLvl w:val="2"/>
    </w:pPr>
    <w:rPr>
      <w:rFonts w:asciiTheme="majorHAnsi" w:hAnsiTheme="majorHAnsi" w:cs="MyriadPro-Regular"/>
      <w:bCs/>
      <w:sz w:val="28"/>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112436"/>
    <w:rPr>
      <w:rFonts w:asciiTheme="majorHAnsi" w:hAnsiTheme="majorHAnsi" w:cs="MyriadPro-Bold"/>
      <w:b/>
      <w:bCs/>
      <w:sz w:val="32"/>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112436"/>
    <w:pPr>
      <w:spacing w:before="400"/>
    </w:pPr>
    <w:rPr>
      <w:rFonts w:asciiTheme="majorHAnsi" w:hAnsiTheme="majorHAnsi" w:cs="Arial"/>
      <w:b/>
      <w:bCs/>
      <w:sz w:val="52"/>
      <w:szCs w:val="54"/>
    </w:rPr>
  </w:style>
  <w:style w:type="character" w:customStyle="1" w:styleId="TitleChar">
    <w:name w:val="Title Char"/>
    <w:basedOn w:val="DefaultParagraphFont"/>
    <w:link w:val="Title"/>
    <w:uiPriority w:val="10"/>
    <w:rsid w:val="00112436"/>
    <w:rPr>
      <w:rFonts w:asciiTheme="majorHAnsi" w:hAnsiTheme="majorHAnsi" w:cs="Arial"/>
      <w:b/>
      <w:bCs/>
      <w:sz w:val="52"/>
      <w:szCs w:val="54"/>
      <w14:ligatures w14:val="standardContextual"/>
    </w:rPr>
  </w:style>
  <w:style w:type="character" w:customStyle="1" w:styleId="Heading3Char">
    <w:name w:val="Heading 3 Char"/>
    <w:basedOn w:val="DefaultParagraphFont"/>
    <w:link w:val="Heading3"/>
    <w:uiPriority w:val="9"/>
    <w:rsid w:val="00112436"/>
    <w:rPr>
      <w:rFonts w:asciiTheme="majorHAnsi" w:hAnsiTheme="majorHAnsi" w:cs="MyriadPro-Regular"/>
      <w:bCs/>
      <w:sz w:val="28"/>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B05373"/>
    <w:pPr>
      <w:spacing w:before="240"/>
    </w:pPr>
    <w:rPr>
      <w:rFonts w:asciiTheme="majorHAnsi" w:hAnsiTheme="majorHAnsi"/>
      <w:sz w:val="28"/>
    </w:rPr>
  </w:style>
  <w:style w:type="character" w:customStyle="1" w:styleId="SubtitleChar">
    <w:name w:val="Subtitle Char"/>
    <w:basedOn w:val="DefaultParagraphFont"/>
    <w:link w:val="Subtitle"/>
    <w:uiPriority w:val="11"/>
    <w:rsid w:val="00B05373"/>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256B63"/>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6B63"/>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24018F"/>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24018F"/>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955A0C"/>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B652E8"/>
    <w:pPr>
      <w:spacing w:before="1920"/>
    </w:pPr>
    <w:rPr>
      <w:rFonts w:ascii="Arial" w:hAnsi="Arial"/>
      <w:noProof/>
      <w:sz w:val="20"/>
      <w14:ligatures w14:val="none"/>
    </w:rPr>
  </w:style>
  <w:style w:type="paragraph" w:customStyle="1" w:styleId="CDIFigure-Placeholder">
    <w:name w:val="CDI Figure - Placeholder"/>
    <w:basedOn w:val="Normal"/>
    <w:rsid w:val="006763A3"/>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256B63"/>
    <w:pPr>
      <w:spacing w:before="360"/>
    </w:pPr>
  </w:style>
  <w:style w:type="paragraph" w:customStyle="1" w:styleId="CDITable-HeaderRowLeft">
    <w:name w:val="CDI Table - Header Row Left"/>
    <w:basedOn w:val="CDITable-Title"/>
    <w:rsid w:val="006763A3"/>
    <w:pPr>
      <w:spacing w:beforeAutospacing="1" w:afterAutospacing="1" w:line="240" w:lineRule="auto"/>
    </w:pPr>
    <w:rPr>
      <w:color w:val="FFFFFF" w:themeColor="background1"/>
      <w:sz w:val="18"/>
    </w:rPr>
  </w:style>
  <w:style w:type="paragraph" w:customStyle="1" w:styleId="CDITable-RowLeft">
    <w:name w:val="CDI Table - Row Left"/>
    <w:basedOn w:val="Normal"/>
    <w:rsid w:val="0073415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AC46DC"/>
    <w:pPr>
      <w:jc w:val="center"/>
    </w:pPr>
  </w:style>
  <w:style w:type="paragraph" w:customStyle="1" w:styleId="CDITable-HeaderRowCentre">
    <w:name w:val="CDI Table - Header Row Centre"/>
    <w:basedOn w:val="Normal"/>
    <w:rsid w:val="006763A3"/>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B652E8"/>
    <w:rPr>
      <w:rFonts w:ascii="Arial" w:hAnsi="Arial"/>
      <w:noProof/>
      <w:sz w:val="20"/>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noProof/>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112436"/>
    <w:pPr>
      <w:pageBreakBefore w:val="0"/>
      <w:pBdr>
        <w:bottom w:val="none" w:sz="0" w:space="0" w:color="auto"/>
      </w:pBdr>
    </w:pPr>
    <w:rPr>
      <w:sz w:val="40"/>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154C4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154C4B"/>
    <w:rPr>
      <w:b/>
      <w:bCs/>
      <w:sz w:val="20"/>
      <w:szCs w:val="20"/>
      <w14:ligatures w14:val="standardContextual"/>
    </w:rPr>
  </w:style>
  <w:style w:type="paragraph" w:customStyle="1" w:styleId="Normal-morespaceafter">
    <w:name w:val="Normal - more space after"/>
    <w:basedOn w:val="Normal"/>
    <w:rsid w:val="00256B63"/>
    <w:pPr>
      <w:spacing w:after="360"/>
    </w:p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24018F"/>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styleId="Footer">
    <w:name w:val="footer"/>
    <w:basedOn w:val="Normal"/>
    <w:link w:val="FooterChar"/>
    <w:uiPriority w:val="99"/>
    <w:unhideWhenUsed/>
    <w:rsid w:val="003F267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F2670"/>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1016/j.lanmic.2025.101199" TargetMode="External"/><Relationship Id="rId26" Type="http://schemas.openxmlformats.org/officeDocument/2006/relationships/hyperlink" Target="mailto:cdi.editor@cdc.gov.au" TargetMode="External"/><Relationship Id="rId3" Type="http://schemas.openxmlformats.org/officeDocument/2006/relationships/numbering" Target="numbering.xml"/><Relationship Id="rId21" Type="http://schemas.openxmlformats.org/officeDocument/2006/relationships/hyperlink" Target="https://doi.org/10.1016/S1473-3099(24)00486-9"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os://doi.org/10.33321/cdi.2026.50.057" TargetMode="External"/><Relationship Id="rId25" Type="http://schemas.openxmlformats.org/officeDocument/2006/relationships/hyperlink" Target="https://www.cdc.gov.au/cdi" TargetMode="External"/><Relationship Id="rId2" Type="http://schemas.openxmlformats.org/officeDocument/2006/relationships/customXml" Target="../customXml/item2.xml"/><Relationship Id="rId16" Type="http://schemas.openxmlformats.org/officeDocument/2006/relationships/hyperlink" Target="https://apps.who.int/iris/handle/10665/44863" TargetMode="External"/><Relationship Id="rId20" Type="http://schemas.openxmlformats.org/officeDocument/2006/relationships/hyperlink" Target="https://doi.org/10.1586/eri.09.6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creativecommons.org/licenses/by-nc-nd/4.0/legalcode" TargetMode="External"/><Relationship Id="rId5" Type="http://schemas.openxmlformats.org/officeDocument/2006/relationships/settings" Target="settings.xml"/><Relationship Id="rId15" Type="http://schemas.openxmlformats.org/officeDocument/2006/relationships/hyperlink" Target="https://health.nt.gov.au/__data/assets/pdf_file/0008/1356146/health-alert-ppng-240311.pdf" TargetMode="External"/><Relationship Id="rId23" Type="http://schemas.openxmlformats.org/officeDocument/2006/relationships/hyperlink" Target="https://doi.org/10.1071/SH22134" TargetMode="External"/><Relationship Id="rId28" Type="http://schemas.openxmlformats.org/officeDocument/2006/relationships/theme" Target="theme/theme1.xml"/><Relationship Id="rId10" Type="http://schemas.openxmlformats.org/officeDocument/2006/relationships/hyperlink" Target="https://www.cdc.gov.au/cdi" TargetMode="External"/><Relationship Id="rId19" Type="http://schemas.openxmlformats.org/officeDocument/2006/relationships/hyperlink" Target="https://doi.org/10.1093/cid/ciaf530"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monica.lahra@health.nsw.gov.au" TargetMode="External"/><Relationship Id="rId22" Type="http://schemas.openxmlformats.org/officeDocument/2006/relationships/hyperlink" Target="https://doi.org/10.33321/cdi.2025.49.056"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banner-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CDI-banner-template-2026.dotx</Template>
  <TotalTime>1</TotalTime>
  <Pages>7</Pages>
  <Words>2485</Words>
  <Characters>11408</Characters>
  <Application>Microsoft Office Word</Application>
  <DocSecurity>0</DocSecurity>
  <Lines>1140</Lines>
  <Paragraphs>992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Communicable Diseases Intelligence - Australian Gonococcal Surveillance Program, 1 January to 31 March 2026</vt:lpstr>
      <vt:lpstr>Results</vt:lpstr>
      <vt:lpstr>        Ceftriaxone</vt:lpstr>
      <vt:lpstr>        Azithromycin</vt:lpstr>
      <vt:lpstr>Author details</vt:lpstr>
      <vt:lpstr>    Corresponding author</vt:lpstr>
      <vt:lpstr>References</vt:lpstr>
    </vt:vector>
  </TitlesOfParts>
  <Company/>
  <LinksUpToDate>false</LinksUpToDate>
  <CharactersWithSpaces>12901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Australian Gonococcal Surveillance Program, 1 January to 31 March 2026</dc:title>
  <dc:subject>The Australian National Neisseria Network (NNN) comprises reference laboratories in each state and territory that report data on antimicrobial susceptibility testing to an agreed group of antimicrobial agents for the Australian Gonococcal Surveillance Programme (AGSP). The AGSP data are presented quarterly in tabulated form, as well as in the AGSP annual report. This report presents national gonococcal antimicrobial resistance surveillance data from 1 January to 31 March 2026.</dc:subject>
  <dc:creator>Tiffany R Hogan;Monica M Lahra</dc:creator>
  <cp:keywords>antimicrobial resistance; disease surveillance; gonococcal infection; Neisseria gonorrhoeae</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2026-09-30T22:14:00Z</dcterms:created>
  <dcterms:modified xsi:type="dcterms:W3CDTF">2026-10-12T02:16:00Z</dcterms:modified>
  <cp:category>Quarterly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doi.org/10.33321/cdi.2026.50.060</vt:lpwstr>
  </property>
  <property fmtid="{D5CDD505-2E9C-101B-9397-08002B2CF9AE}" pid="6" name="ClassificationContentMarkingHeaderShapeIds">
    <vt:lpwstr>5a669df4,375ff7dd,1fbb0bcc</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51aafa05,132640f1,64da1a32</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2025-08-25T22:55:46Z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84015998-5bb4-462f-9254-c4960bf3897b</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