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150F7" w14:textId="77777777" w:rsidR="00EE59C5" w:rsidRDefault="00EE59C5" w:rsidP="00EE59C5">
      <w:pPr>
        <w:pStyle w:val="Title"/>
        <w:rPr>
          <w:rFonts w:eastAsia="Times New Roman"/>
        </w:rPr>
      </w:pPr>
      <w:r>
        <w:rPr>
          <w:rFonts w:eastAsia="Times New Roman"/>
        </w:rPr>
        <w:t xml:space="preserve">High influenza vaccination uptake in Victorian healthcare workers in 2020 </w:t>
      </w:r>
    </w:p>
    <w:p w14:paraId="4B2C0BD7" w14:textId="77777777" w:rsidR="00EE59C5" w:rsidRDefault="00EE59C5" w:rsidP="00EE59C5">
      <w:r>
        <w:t xml:space="preserve">Lyn-li Lim, Alex J Hoskins, Leon J Worth, Katherine C Walker, Ann L Bull, Noleen Bennett </w:t>
      </w:r>
    </w:p>
    <w:p w14:paraId="73CF1776" w14:textId="3660B08D" w:rsidR="00EE59C5" w:rsidRDefault="00EE59C5" w:rsidP="00EE59C5">
      <w:r>
        <w:t>Beard et al.</w:t>
      </w:r>
      <w:r>
        <w:rPr>
          <w:vertAlign w:val="superscript"/>
        </w:rPr>
        <w:t>1</w:t>
      </w:r>
      <w:r>
        <w:t xml:space="preserve"> recently reported increases in annual influenza vaccination rates in 2020 for groups funded by the National Immunisation Program. Achieving high uptake of influenza vaccination in health care workers (HCWs) is an important strategy to protect HCWs, patients and staff.</w:t>
      </w:r>
      <w:r>
        <w:rPr>
          <w:vertAlign w:val="superscript"/>
        </w:rPr>
        <w:t>2,3</w:t>
      </w:r>
      <w:r>
        <w:t xml:space="preserve"> Since 2005, annual data regarding overall uptake of vaccination in HCWs have been submitted by Victorian healthcare facilities to the Victorian Healthcare Associated Infection (VICNISS) Coordinating Centre. In response to the COVID-19 pandemic, the 2020 state-wide target for HCW influenza vaccination uptake was set at ≥ 90%. Enhanced monitoring was also implemented, including weekly submission of vaccination data to the VICNISS Coordinating Centre. Herein, we report these findings.</w:t>
      </w:r>
      <w:r w:rsidR="00E70A89">
        <w:rPr>
          <w:rStyle w:val="FootnoteReference"/>
        </w:rPr>
        <w:footnoteReference w:id="2"/>
      </w:r>
    </w:p>
    <w:p w14:paraId="6AC3FA55" w14:textId="5CC838B1" w:rsidR="00EE59C5" w:rsidRDefault="00EE59C5" w:rsidP="00EE59C5">
      <w:r>
        <w:t>Facilities provided an estimate of total staff employed at the beginning of the reporting period to establish a denominator. Weekly numerator data (numbers of staff vaccinated, declined, and of unknown vaccination status) were submitted across 22 April – 14 August 2020. Facilities could cease data submission upon achieving the 90% target for vaccination uptake. Data were analysed by facility size (number of employed HCWs), location (metropolitan or rural) and Australian Institute of Health and Welfare (AIHW) peer grouping,</w:t>
      </w:r>
      <w:r>
        <w:rPr>
          <w:vertAlign w:val="superscript"/>
        </w:rPr>
        <w:t>5</w:t>
      </w:r>
      <w:r>
        <w:t xml:space="preserve"> modified to include new hospitals since publication.</w:t>
      </w:r>
      <w:r w:rsidR="00E70A89">
        <w:rPr>
          <w:rStyle w:val="FootnoteReference"/>
        </w:rPr>
        <w:footnoteReference w:id="3"/>
      </w:r>
    </w:p>
    <w:p w14:paraId="7B678171" w14:textId="77777777" w:rsidR="00EE59C5" w:rsidRDefault="00EE59C5" w:rsidP="00EE59C5">
      <w:r>
        <w:t>During the 18-week reporting period, 100 facilities submitted data, representing all Victorian public hospitals. Of these, 75 met the 90% vaccination uptake target by week 6 of the vaccination campaign (Table 1). Smaller facilities had higher vaccination uptake: median uptake in facilities with &lt; 500, 500–999, and ≥ 1000 HCWs was 98.7%, 96.1% and 94.0% respectively. Median uptake was higher in rural (98.4%) than in metropolitan (89.9%) facilities. By AIHW peer grouping,</w:t>
      </w:r>
      <w:r>
        <w:rPr>
          <w:vertAlign w:val="superscript"/>
        </w:rPr>
        <w:t>5</w:t>
      </w:r>
      <w:r>
        <w:t xml:space="preserve"> median vaccination uptake was lower in 1A and 1B (94.2%) and unpeered (87.6%) hospitals than for AIHW peer groups 2 (97.5%), 3A and 3B (98.5%) and 4 (98.9%). Of 13 facilities that did not achieve the 90% target, the median vaccination uptake was 85.2% and median number of data submissions to week 18 was 12 (range 4 to 18).</w:t>
      </w:r>
    </w:p>
    <w:p w14:paraId="7C8E20F5" w14:textId="77777777" w:rsidR="003E37E8" w:rsidRDefault="003E37E8">
      <w:pPr>
        <w:rPr>
          <w:b/>
        </w:rPr>
      </w:pPr>
      <w:r>
        <w:br w:type="page"/>
      </w:r>
    </w:p>
    <w:p w14:paraId="4CDDC1D6" w14:textId="78EB7901" w:rsidR="00EE59C5" w:rsidRDefault="00EE59C5" w:rsidP="00EE59C5">
      <w:pPr>
        <w:pStyle w:val="CDIFigures"/>
      </w:pPr>
      <w:r>
        <w:lastRenderedPageBreak/>
        <w:t>Table 1. Comparison of Victorian facility characteristics achieving 2020 HCW influenza vaccination target, weekly progressive data over 18 weeks (n = 100)</w:t>
      </w:r>
    </w:p>
    <w:tbl>
      <w:tblPr>
        <w:tblStyle w:val="CDI-StandardTable"/>
        <w:tblW w:w="0" w:type="auto"/>
        <w:tblCellMar>
          <w:top w:w="170" w:type="dxa"/>
          <w:left w:w="57" w:type="dxa"/>
          <w:bottom w:w="170" w:type="dxa"/>
          <w:right w:w="57" w:type="dxa"/>
        </w:tblCellMar>
        <w:tblLook w:val="04A0" w:firstRow="1" w:lastRow="0" w:firstColumn="1" w:lastColumn="0" w:noHBand="0" w:noVBand="1"/>
        <w:tblDescription w:val="Table 1 displays a comparison of Victorian facility characteristics achieving 2020 HCW vaccination target. The data is presented by weekly progressive updates over the 18-week influenza campaign.  100 facilities contributed to this dataset. 87 facilities achieved the Victorian state government target of 90%; of these, 75 achieved this by Week 6 or earlier into their campaigns. 13 facilities did not achieve the 90%."/>
      </w:tblPr>
      <w:tblGrid>
        <w:gridCol w:w="1276"/>
        <w:gridCol w:w="567"/>
        <w:gridCol w:w="992"/>
        <w:gridCol w:w="993"/>
        <w:gridCol w:w="992"/>
        <w:gridCol w:w="1134"/>
        <w:gridCol w:w="567"/>
        <w:gridCol w:w="992"/>
        <w:gridCol w:w="1134"/>
        <w:gridCol w:w="992"/>
        <w:gridCol w:w="827"/>
      </w:tblGrid>
      <w:tr w:rsidR="00EE59C5" w:rsidRPr="003E37E8" w14:paraId="45E70637" w14:textId="77777777" w:rsidTr="00706B99">
        <w:trPr>
          <w:cnfStyle w:val="100000000000" w:firstRow="1" w:lastRow="0" w:firstColumn="0" w:lastColumn="0" w:oddVBand="0" w:evenVBand="0" w:oddHBand="0" w:evenHBand="0" w:firstRowFirstColumn="0" w:firstRowLastColumn="0" w:lastRowFirstColumn="0" w:lastRowLastColumn="0"/>
          <w:tblHeader/>
        </w:trPr>
        <w:tc>
          <w:tcPr>
            <w:tcW w:w="1276" w:type="dxa"/>
            <w:vMerge w:val="restart"/>
            <w:tcBorders>
              <w:bottom w:val="single" w:sz="2" w:space="0" w:color="FFFFFF" w:themeColor="background1"/>
              <w:right w:val="single" w:sz="2" w:space="0" w:color="FFFFFF" w:themeColor="background1"/>
            </w:tcBorders>
            <w:hideMark/>
          </w:tcPr>
          <w:p w14:paraId="72621D42" w14:textId="77777777" w:rsidR="00EE59C5" w:rsidRPr="003E37E8" w:rsidRDefault="00EE59C5">
            <w:pPr>
              <w:pStyle w:val="NormalWeb"/>
              <w:rPr>
                <w:color w:val="FFFFFF" w:themeColor="background1"/>
                <w:sz w:val="18"/>
                <w:szCs w:val="18"/>
              </w:rPr>
            </w:pPr>
            <w:r w:rsidRPr="003E37E8">
              <w:rPr>
                <w:color w:val="FFFFFF" w:themeColor="background1"/>
                <w:sz w:val="18"/>
                <w:szCs w:val="18"/>
              </w:rPr>
              <w:t>Week</w:t>
            </w:r>
          </w:p>
        </w:tc>
        <w:tc>
          <w:tcPr>
            <w:tcW w:w="4678" w:type="dxa"/>
            <w:gridSpan w:val="5"/>
            <w:tcBorders>
              <w:left w:val="single" w:sz="2" w:space="0" w:color="FFFFFF" w:themeColor="background1"/>
              <w:bottom w:val="single" w:sz="2" w:space="0" w:color="FFFFFF" w:themeColor="background1"/>
              <w:right w:val="single" w:sz="2" w:space="0" w:color="FFFFFF" w:themeColor="background1"/>
            </w:tcBorders>
            <w:hideMark/>
          </w:tcPr>
          <w:p w14:paraId="39096A1C"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Facilities achieving ≥ 90% target</w:t>
            </w:r>
          </w:p>
        </w:tc>
        <w:tc>
          <w:tcPr>
            <w:tcW w:w="4512" w:type="dxa"/>
            <w:gridSpan w:val="5"/>
            <w:tcBorders>
              <w:left w:val="single" w:sz="2" w:space="0" w:color="FFFFFF" w:themeColor="background1"/>
              <w:bottom w:val="single" w:sz="2" w:space="0" w:color="FFFFFF" w:themeColor="background1"/>
            </w:tcBorders>
            <w:hideMark/>
          </w:tcPr>
          <w:p w14:paraId="393874D6"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Facilities achieving &lt; 90% target</w:t>
            </w:r>
          </w:p>
        </w:tc>
      </w:tr>
      <w:tr w:rsidR="0059767E" w:rsidRPr="003E37E8" w14:paraId="4BA534A4" w14:textId="77777777" w:rsidTr="00706B99">
        <w:trPr>
          <w:cnfStyle w:val="100000000000" w:firstRow="1" w:lastRow="0" w:firstColumn="0" w:lastColumn="0" w:oddVBand="0" w:evenVBand="0" w:oddHBand="0" w:evenHBand="0" w:firstRowFirstColumn="0" w:firstRowLastColumn="0" w:lastRowFirstColumn="0" w:lastRowLastColumn="0"/>
          <w:tblHeader/>
        </w:trPr>
        <w:tc>
          <w:tcPr>
            <w:tcW w:w="1276" w:type="dxa"/>
            <w:vMerge/>
            <w:tcBorders>
              <w:top w:val="single" w:sz="2" w:space="0" w:color="FFFFFF" w:themeColor="background1"/>
              <w:bottom w:val="single" w:sz="2" w:space="0" w:color="FFFFFF" w:themeColor="background1"/>
              <w:right w:val="single" w:sz="2" w:space="0" w:color="FFFFFF" w:themeColor="background1"/>
            </w:tcBorders>
            <w:hideMark/>
          </w:tcPr>
          <w:p w14:paraId="4AE648F7" w14:textId="77777777" w:rsidR="00EE59C5" w:rsidRPr="003E37E8" w:rsidRDefault="00EE59C5">
            <w:pPr>
              <w:rPr>
                <w:color w:val="FFFFFF" w:themeColor="background1"/>
                <w:sz w:val="18"/>
                <w:szCs w:val="18"/>
              </w:rPr>
            </w:pPr>
          </w:p>
        </w:tc>
        <w:tc>
          <w:tcPr>
            <w:tcW w:w="567"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F8A1587" w14:textId="77777777" w:rsidR="00EE59C5" w:rsidRPr="003E37E8" w:rsidRDefault="00EE59C5" w:rsidP="0059767E">
            <w:pPr>
              <w:pStyle w:val="NormalWeb"/>
              <w:jc w:val="center"/>
              <w:rPr>
                <w:color w:val="FFFFFF" w:themeColor="background1"/>
                <w:sz w:val="18"/>
                <w:szCs w:val="18"/>
              </w:rPr>
            </w:pPr>
            <w:r w:rsidRPr="003E37E8">
              <w:rPr>
                <w:color w:val="FFFFFF" w:themeColor="background1"/>
                <w:sz w:val="18"/>
                <w:szCs w:val="18"/>
              </w:rPr>
              <w:t>n = 87</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F68C829"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Size</w:t>
            </w:r>
            <w:r w:rsidRPr="003E37E8">
              <w:rPr>
                <w:color w:val="FFFFFF" w:themeColor="background1"/>
                <w:sz w:val="18"/>
                <w:szCs w:val="18"/>
              </w:rPr>
              <w:br/>
              <w:t>(&lt; 500 staff)</w:t>
            </w:r>
          </w:p>
        </w:tc>
        <w:tc>
          <w:tcPr>
            <w:tcW w:w="9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1D3D14C"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Size</w:t>
            </w:r>
            <w:r w:rsidRPr="003E37E8">
              <w:rPr>
                <w:color w:val="FFFFFF" w:themeColor="background1"/>
                <w:sz w:val="18"/>
                <w:szCs w:val="18"/>
              </w:rPr>
              <w:br/>
              <w:t>(≥ 500 staff)</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6110296"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Location (Metro)</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59D1440"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Location (Rural)</w:t>
            </w:r>
          </w:p>
        </w:tc>
        <w:tc>
          <w:tcPr>
            <w:tcW w:w="567"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61EBA55" w14:textId="77777777" w:rsidR="00EE59C5" w:rsidRPr="003E37E8" w:rsidRDefault="00EE59C5" w:rsidP="0059767E">
            <w:pPr>
              <w:pStyle w:val="NormalWeb"/>
              <w:jc w:val="center"/>
              <w:rPr>
                <w:color w:val="FFFFFF" w:themeColor="background1"/>
                <w:sz w:val="18"/>
                <w:szCs w:val="18"/>
              </w:rPr>
            </w:pPr>
            <w:r w:rsidRPr="003E37E8">
              <w:rPr>
                <w:color w:val="FFFFFF" w:themeColor="background1"/>
                <w:sz w:val="18"/>
                <w:szCs w:val="18"/>
              </w:rPr>
              <w:t>n = 13</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3DF3BF9"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Size</w:t>
            </w:r>
            <w:r w:rsidRPr="003E37E8">
              <w:rPr>
                <w:color w:val="FFFFFF" w:themeColor="background1"/>
                <w:sz w:val="18"/>
                <w:szCs w:val="18"/>
              </w:rPr>
              <w:br/>
              <w:t>(&lt; 500 staff)</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60CAB47"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Size</w:t>
            </w:r>
            <w:r w:rsidRPr="003E37E8">
              <w:rPr>
                <w:color w:val="FFFFFF" w:themeColor="background1"/>
                <w:sz w:val="18"/>
                <w:szCs w:val="18"/>
              </w:rPr>
              <w:br/>
              <w:t>(≥ 500 staff)</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F13AB51"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Location (Metro)</w:t>
            </w:r>
          </w:p>
        </w:tc>
        <w:tc>
          <w:tcPr>
            <w:tcW w:w="827" w:type="dxa"/>
            <w:tcBorders>
              <w:top w:val="single" w:sz="2" w:space="0" w:color="FFFFFF" w:themeColor="background1"/>
              <w:left w:val="single" w:sz="2" w:space="0" w:color="FFFFFF" w:themeColor="background1"/>
              <w:bottom w:val="single" w:sz="2" w:space="0" w:color="FFFFFF" w:themeColor="background1"/>
            </w:tcBorders>
            <w:hideMark/>
          </w:tcPr>
          <w:p w14:paraId="70A02B2C"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Location (Rural)</w:t>
            </w:r>
          </w:p>
        </w:tc>
      </w:tr>
      <w:tr w:rsidR="00EE59C5" w:rsidRPr="003E37E8" w14:paraId="111C4B28" w14:textId="77777777" w:rsidTr="00706B99">
        <w:trPr>
          <w:cnfStyle w:val="100000000000" w:firstRow="1" w:lastRow="0" w:firstColumn="0" w:lastColumn="0" w:oddVBand="0" w:evenVBand="0" w:oddHBand="0" w:evenHBand="0" w:firstRowFirstColumn="0" w:firstRowLastColumn="0" w:lastRowFirstColumn="0" w:lastRowLastColumn="0"/>
          <w:tblHeader/>
        </w:trPr>
        <w:tc>
          <w:tcPr>
            <w:tcW w:w="1276" w:type="dxa"/>
            <w:vMerge/>
            <w:tcBorders>
              <w:top w:val="single" w:sz="2" w:space="0" w:color="FFFFFF" w:themeColor="background1"/>
              <w:right w:val="single" w:sz="2" w:space="0" w:color="FFFFFF" w:themeColor="background1"/>
            </w:tcBorders>
            <w:hideMark/>
          </w:tcPr>
          <w:p w14:paraId="1BE14295" w14:textId="77777777" w:rsidR="00EE59C5" w:rsidRPr="003E37E8" w:rsidRDefault="00EE59C5">
            <w:pPr>
              <w:rPr>
                <w:color w:val="FFFFFF" w:themeColor="background1"/>
                <w:sz w:val="18"/>
                <w:szCs w:val="18"/>
              </w:rPr>
            </w:pPr>
          </w:p>
        </w:tc>
        <w:tc>
          <w:tcPr>
            <w:tcW w:w="567" w:type="dxa"/>
            <w:vMerge/>
            <w:tcBorders>
              <w:top w:val="single" w:sz="2" w:space="0" w:color="FFFFFF" w:themeColor="background1"/>
              <w:left w:val="single" w:sz="2" w:space="0" w:color="FFFFFF" w:themeColor="background1"/>
              <w:right w:val="single" w:sz="2" w:space="0" w:color="FFFFFF" w:themeColor="background1"/>
            </w:tcBorders>
            <w:hideMark/>
          </w:tcPr>
          <w:p w14:paraId="2BC42127" w14:textId="77777777" w:rsidR="00EE59C5" w:rsidRPr="003E37E8" w:rsidRDefault="00EE59C5" w:rsidP="00EE59C5">
            <w:pPr>
              <w:jc w:val="center"/>
              <w:rPr>
                <w:color w:val="FFFFFF" w:themeColor="background1"/>
                <w:sz w:val="18"/>
                <w:szCs w:val="18"/>
              </w:rPr>
            </w:pP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1E389289"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n = 63</w:t>
            </w:r>
          </w:p>
        </w:tc>
        <w:tc>
          <w:tcPr>
            <w:tcW w:w="993" w:type="dxa"/>
            <w:tcBorders>
              <w:top w:val="single" w:sz="2" w:space="0" w:color="FFFFFF" w:themeColor="background1"/>
              <w:left w:val="single" w:sz="2" w:space="0" w:color="FFFFFF" w:themeColor="background1"/>
              <w:right w:val="single" w:sz="2" w:space="0" w:color="FFFFFF" w:themeColor="background1"/>
            </w:tcBorders>
            <w:hideMark/>
          </w:tcPr>
          <w:p w14:paraId="7B5A628A"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n = 24</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558340FE"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n = 8</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276129AA"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n = 79</w:t>
            </w:r>
          </w:p>
        </w:tc>
        <w:tc>
          <w:tcPr>
            <w:tcW w:w="567" w:type="dxa"/>
            <w:vMerge/>
            <w:tcBorders>
              <w:top w:val="single" w:sz="2" w:space="0" w:color="FFFFFF" w:themeColor="background1"/>
              <w:left w:val="single" w:sz="2" w:space="0" w:color="FFFFFF" w:themeColor="background1"/>
              <w:right w:val="single" w:sz="2" w:space="0" w:color="FFFFFF" w:themeColor="background1"/>
            </w:tcBorders>
            <w:hideMark/>
          </w:tcPr>
          <w:p w14:paraId="55882CFB" w14:textId="77777777" w:rsidR="00EE59C5" w:rsidRPr="003E37E8" w:rsidRDefault="00EE59C5" w:rsidP="00EE59C5">
            <w:pPr>
              <w:jc w:val="center"/>
              <w:rPr>
                <w:color w:val="FFFFFF" w:themeColor="background1"/>
                <w:sz w:val="18"/>
                <w:szCs w:val="18"/>
              </w:rPr>
            </w:pP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64328B4C"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n = 2</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0216D4F4"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n = 11</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40F44F29"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n = 11</w:t>
            </w:r>
          </w:p>
        </w:tc>
        <w:tc>
          <w:tcPr>
            <w:tcW w:w="827" w:type="dxa"/>
            <w:tcBorders>
              <w:top w:val="single" w:sz="2" w:space="0" w:color="FFFFFF" w:themeColor="background1"/>
              <w:left w:val="single" w:sz="2" w:space="0" w:color="FFFFFF" w:themeColor="background1"/>
            </w:tcBorders>
            <w:hideMark/>
          </w:tcPr>
          <w:p w14:paraId="778DAC6A" w14:textId="77777777" w:rsidR="00EE59C5" w:rsidRPr="003E37E8" w:rsidRDefault="00EE59C5" w:rsidP="00EE59C5">
            <w:pPr>
              <w:pStyle w:val="NormalWeb"/>
              <w:jc w:val="center"/>
              <w:rPr>
                <w:color w:val="FFFFFF" w:themeColor="background1"/>
                <w:sz w:val="18"/>
                <w:szCs w:val="18"/>
              </w:rPr>
            </w:pPr>
            <w:r w:rsidRPr="003E37E8">
              <w:rPr>
                <w:color w:val="FFFFFF" w:themeColor="background1"/>
                <w:sz w:val="18"/>
                <w:szCs w:val="18"/>
              </w:rPr>
              <w:t>n = 2</w:t>
            </w:r>
          </w:p>
        </w:tc>
      </w:tr>
      <w:tr w:rsidR="003E37E8" w:rsidRPr="003E37E8" w14:paraId="5EACF6FC" w14:textId="77777777" w:rsidTr="00706B99">
        <w:tc>
          <w:tcPr>
            <w:tcW w:w="1276" w:type="dxa"/>
            <w:hideMark/>
          </w:tcPr>
          <w:p w14:paraId="057BFFB2" w14:textId="77777777" w:rsidR="00EE59C5" w:rsidRPr="003E37E8" w:rsidRDefault="00EE59C5">
            <w:pPr>
              <w:pStyle w:val="NormalWeb"/>
              <w:rPr>
                <w:sz w:val="18"/>
                <w:szCs w:val="18"/>
              </w:rPr>
            </w:pPr>
            <w:r w:rsidRPr="003E37E8">
              <w:rPr>
                <w:sz w:val="18"/>
                <w:szCs w:val="18"/>
              </w:rPr>
              <w:t>Week 1</w:t>
            </w:r>
          </w:p>
        </w:tc>
        <w:tc>
          <w:tcPr>
            <w:tcW w:w="567" w:type="dxa"/>
            <w:hideMark/>
          </w:tcPr>
          <w:p w14:paraId="010D120E" w14:textId="77777777" w:rsidR="00EE59C5" w:rsidRPr="003E37E8" w:rsidRDefault="00EE59C5" w:rsidP="00EE59C5">
            <w:pPr>
              <w:pStyle w:val="NormalWeb"/>
              <w:jc w:val="center"/>
              <w:rPr>
                <w:sz w:val="18"/>
                <w:szCs w:val="18"/>
              </w:rPr>
            </w:pPr>
            <w:r w:rsidRPr="003E37E8">
              <w:rPr>
                <w:sz w:val="18"/>
                <w:szCs w:val="18"/>
              </w:rPr>
              <w:t>33</w:t>
            </w:r>
          </w:p>
        </w:tc>
        <w:tc>
          <w:tcPr>
            <w:tcW w:w="992" w:type="dxa"/>
            <w:hideMark/>
          </w:tcPr>
          <w:p w14:paraId="6D7A5403" w14:textId="77777777" w:rsidR="00EE59C5" w:rsidRPr="003E37E8" w:rsidRDefault="00EE59C5" w:rsidP="00EE59C5">
            <w:pPr>
              <w:pStyle w:val="NormalWeb"/>
              <w:jc w:val="center"/>
              <w:rPr>
                <w:sz w:val="18"/>
                <w:szCs w:val="18"/>
              </w:rPr>
            </w:pPr>
            <w:r w:rsidRPr="003E37E8">
              <w:rPr>
                <w:sz w:val="18"/>
                <w:szCs w:val="18"/>
              </w:rPr>
              <w:t>29</w:t>
            </w:r>
          </w:p>
        </w:tc>
        <w:tc>
          <w:tcPr>
            <w:tcW w:w="993" w:type="dxa"/>
            <w:hideMark/>
          </w:tcPr>
          <w:p w14:paraId="08F5E863" w14:textId="77777777" w:rsidR="00EE59C5" w:rsidRPr="003E37E8" w:rsidRDefault="00EE59C5" w:rsidP="00EE59C5">
            <w:pPr>
              <w:pStyle w:val="NormalWeb"/>
              <w:jc w:val="center"/>
              <w:rPr>
                <w:sz w:val="18"/>
                <w:szCs w:val="18"/>
              </w:rPr>
            </w:pPr>
            <w:r w:rsidRPr="003E37E8">
              <w:rPr>
                <w:sz w:val="18"/>
                <w:szCs w:val="18"/>
              </w:rPr>
              <w:t>4</w:t>
            </w:r>
          </w:p>
        </w:tc>
        <w:tc>
          <w:tcPr>
            <w:tcW w:w="992" w:type="dxa"/>
            <w:hideMark/>
          </w:tcPr>
          <w:p w14:paraId="5CE0CF31" w14:textId="77777777" w:rsidR="00EE59C5" w:rsidRPr="003E37E8" w:rsidRDefault="00EE59C5" w:rsidP="00EE59C5">
            <w:pPr>
              <w:pStyle w:val="NormalWeb"/>
              <w:jc w:val="center"/>
              <w:rPr>
                <w:sz w:val="18"/>
                <w:szCs w:val="18"/>
              </w:rPr>
            </w:pPr>
            <w:r w:rsidRPr="003E37E8">
              <w:rPr>
                <w:sz w:val="18"/>
                <w:szCs w:val="18"/>
              </w:rPr>
              <w:t>1</w:t>
            </w:r>
          </w:p>
        </w:tc>
        <w:tc>
          <w:tcPr>
            <w:tcW w:w="1134" w:type="dxa"/>
            <w:hideMark/>
          </w:tcPr>
          <w:p w14:paraId="3779719A" w14:textId="77777777" w:rsidR="00EE59C5" w:rsidRPr="003E37E8" w:rsidRDefault="00EE59C5" w:rsidP="00EE59C5">
            <w:pPr>
              <w:pStyle w:val="NormalWeb"/>
              <w:jc w:val="center"/>
              <w:rPr>
                <w:sz w:val="18"/>
                <w:szCs w:val="18"/>
              </w:rPr>
            </w:pPr>
            <w:r w:rsidRPr="003E37E8">
              <w:rPr>
                <w:sz w:val="18"/>
                <w:szCs w:val="18"/>
              </w:rPr>
              <w:t>32</w:t>
            </w:r>
          </w:p>
        </w:tc>
        <w:tc>
          <w:tcPr>
            <w:tcW w:w="567" w:type="dxa"/>
            <w:hideMark/>
          </w:tcPr>
          <w:p w14:paraId="490802E0" w14:textId="77777777" w:rsidR="00EE59C5" w:rsidRPr="003E37E8" w:rsidRDefault="00EE59C5" w:rsidP="00EE59C5">
            <w:pPr>
              <w:pStyle w:val="NormalWeb"/>
              <w:jc w:val="center"/>
              <w:rPr>
                <w:sz w:val="18"/>
                <w:szCs w:val="18"/>
              </w:rPr>
            </w:pPr>
            <w:r w:rsidRPr="003E37E8">
              <w:rPr>
                <w:sz w:val="18"/>
                <w:szCs w:val="18"/>
              </w:rPr>
              <w:t>0</w:t>
            </w:r>
          </w:p>
        </w:tc>
        <w:tc>
          <w:tcPr>
            <w:tcW w:w="992" w:type="dxa"/>
            <w:hideMark/>
          </w:tcPr>
          <w:p w14:paraId="536334B9" w14:textId="77777777" w:rsidR="00EE59C5" w:rsidRPr="003E37E8" w:rsidRDefault="00EE59C5" w:rsidP="00EE59C5">
            <w:pPr>
              <w:pStyle w:val="NormalWeb"/>
              <w:jc w:val="center"/>
              <w:rPr>
                <w:sz w:val="18"/>
                <w:szCs w:val="18"/>
              </w:rPr>
            </w:pPr>
            <w:r w:rsidRPr="003E37E8">
              <w:rPr>
                <w:sz w:val="18"/>
                <w:szCs w:val="18"/>
              </w:rPr>
              <w:t>–</w:t>
            </w:r>
          </w:p>
        </w:tc>
        <w:tc>
          <w:tcPr>
            <w:tcW w:w="1134" w:type="dxa"/>
            <w:hideMark/>
          </w:tcPr>
          <w:p w14:paraId="1FEA85E2" w14:textId="77777777" w:rsidR="00EE59C5" w:rsidRPr="003E37E8" w:rsidRDefault="00EE59C5" w:rsidP="00EE59C5">
            <w:pPr>
              <w:pStyle w:val="NormalWeb"/>
              <w:jc w:val="center"/>
              <w:rPr>
                <w:sz w:val="18"/>
                <w:szCs w:val="18"/>
              </w:rPr>
            </w:pPr>
            <w:r w:rsidRPr="003E37E8">
              <w:rPr>
                <w:sz w:val="18"/>
                <w:szCs w:val="18"/>
              </w:rPr>
              <w:t>–</w:t>
            </w:r>
          </w:p>
        </w:tc>
        <w:tc>
          <w:tcPr>
            <w:tcW w:w="992" w:type="dxa"/>
            <w:hideMark/>
          </w:tcPr>
          <w:p w14:paraId="031EFF6E" w14:textId="77777777" w:rsidR="00EE59C5" w:rsidRPr="003E37E8" w:rsidRDefault="00EE59C5" w:rsidP="00EE59C5">
            <w:pPr>
              <w:pStyle w:val="NormalWeb"/>
              <w:jc w:val="center"/>
              <w:rPr>
                <w:sz w:val="18"/>
                <w:szCs w:val="18"/>
              </w:rPr>
            </w:pPr>
            <w:r w:rsidRPr="003E37E8">
              <w:rPr>
                <w:sz w:val="18"/>
                <w:szCs w:val="18"/>
              </w:rPr>
              <w:t>–</w:t>
            </w:r>
          </w:p>
        </w:tc>
        <w:tc>
          <w:tcPr>
            <w:tcW w:w="827" w:type="dxa"/>
            <w:hideMark/>
          </w:tcPr>
          <w:p w14:paraId="5739C7A5" w14:textId="77777777" w:rsidR="00EE59C5" w:rsidRPr="003E37E8" w:rsidRDefault="00EE59C5" w:rsidP="00EE59C5">
            <w:pPr>
              <w:pStyle w:val="NormalWeb"/>
              <w:jc w:val="center"/>
              <w:rPr>
                <w:sz w:val="18"/>
                <w:szCs w:val="18"/>
              </w:rPr>
            </w:pPr>
            <w:r w:rsidRPr="003E37E8">
              <w:rPr>
                <w:sz w:val="18"/>
                <w:szCs w:val="18"/>
              </w:rPr>
              <w:t>–</w:t>
            </w:r>
          </w:p>
        </w:tc>
      </w:tr>
      <w:tr w:rsidR="003E37E8" w:rsidRPr="003E37E8" w14:paraId="1DFE0AC5" w14:textId="77777777" w:rsidTr="00706B99">
        <w:trPr>
          <w:cnfStyle w:val="000000010000" w:firstRow="0" w:lastRow="0" w:firstColumn="0" w:lastColumn="0" w:oddVBand="0" w:evenVBand="0" w:oddHBand="0" w:evenHBand="1" w:firstRowFirstColumn="0" w:firstRowLastColumn="0" w:lastRowFirstColumn="0" w:lastRowLastColumn="0"/>
        </w:trPr>
        <w:tc>
          <w:tcPr>
            <w:tcW w:w="1276" w:type="dxa"/>
            <w:hideMark/>
          </w:tcPr>
          <w:p w14:paraId="2C8BFD8F" w14:textId="77777777" w:rsidR="00EE59C5" w:rsidRPr="003E37E8" w:rsidRDefault="00EE59C5">
            <w:pPr>
              <w:pStyle w:val="NormalWeb"/>
              <w:rPr>
                <w:sz w:val="18"/>
                <w:szCs w:val="18"/>
              </w:rPr>
            </w:pPr>
            <w:r w:rsidRPr="003E37E8">
              <w:rPr>
                <w:sz w:val="18"/>
                <w:szCs w:val="18"/>
              </w:rPr>
              <w:t>Week 2</w:t>
            </w:r>
          </w:p>
        </w:tc>
        <w:tc>
          <w:tcPr>
            <w:tcW w:w="567" w:type="dxa"/>
            <w:hideMark/>
          </w:tcPr>
          <w:p w14:paraId="118B32E4" w14:textId="77777777" w:rsidR="00EE59C5" w:rsidRPr="003E37E8" w:rsidRDefault="00EE59C5" w:rsidP="00EE59C5">
            <w:pPr>
              <w:pStyle w:val="NormalWeb"/>
              <w:jc w:val="center"/>
              <w:rPr>
                <w:sz w:val="18"/>
                <w:szCs w:val="18"/>
              </w:rPr>
            </w:pPr>
            <w:r w:rsidRPr="003E37E8">
              <w:rPr>
                <w:sz w:val="18"/>
                <w:szCs w:val="18"/>
              </w:rPr>
              <w:t>16</w:t>
            </w:r>
          </w:p>
        </w:tc>
        <w:tc>
          <w:tcPr>
            <w:tcW w:w="992" w:type="dxa"/>
            <w:hideMark/>
          </w:tcPr>
          <w:p w14:paraId="242C0370" w14:textId="77777777" w:rsidR="00EE59C5" w:rsidRPr="003E37E8" w:rsidRDefault="00EE59C5" w:rsidP="00EE59C5">
            <w:pPr>
              <w:pStyle w:val="NormalWeb"/>
              <w:jc w:val="center"/>
              <w:rPr>
                <w:sz w:val="18"/>
                <w:szCs w:val="18"/>
              </w:rPr>
            </w:pPr>
            <w:r w:rsidRPr="003E37E8">
              <w:rPr>
                <w:sz w:val="18"/>
                <w:szCs w:val="18"/>
              </w:rPr>
              <w:t>14</w:t>
            </w:r>
          </w:p>
        </w:tc>
        <w:tc>
          <w:tcPr>
            <w:tcW w:w="993" w:type="dxa"/>
            <w:hideMark/>
          </w:tcPr>
          <w:p w14:paraId="478C926A" w14:textId="77777777" w:rsidR="00EE59C5" w:rsidRPr="003E37E8" w:rsidRDefault="00EE59C5" w:rsidP="00EE59C5">
            <w:pPr>
              <w:pStyle w:val="NormalWeb"/>
              <w:jc w:val="center"/>
              <w:rPr>
                <w:sz w:val="18"/>
                <w:szCs w:val="18"/>
              </w:rPr>
            </w:pPr>
            <w:r w:rsidRPr="003E37E8">
              <w:rPr>
                <w:sz w:val="18"/>
                <w:szCs w:val="18"/>
              </w:rPr>
              <w:t>2</w:t>
            </w:r>
          </w:p>
        </w:tc>
        <w:tc>
          <w:tcPr>
            <w:tcW w:w="992" w:type="dxa"/>
            <w:hideMark/>
          </w:tcPr>
          <w:p w14:paraId="76D9C538" w14:textId="77777777" w:rsidR="00EE59C5" w:rsidRPr="003E37E8" w:rsidRDefault="00EE59C5" w:rsidP="00EE59C5">
            <w:pPr>
              <w:pStyle w:val="NormalWeb"/>
              <w:jc w:val="center"/>
              <w:rPr>
                <w:sz w:val="18"/>
                <w:szCs w:val="18"/>
              </w:rPr>
            </w:pPr>
            <w:r w:rsidRPr="003E37E8">
              <w:rPr>
                <w:sz w:val="18"/>
                <w:szCs w:val="18"/>
              </w:rPr>
              <w:t>0</w:t>
            </w:r>
          </w:p>
        </w:tc>
        <w:tc>
          <w:tcPr>
            <w:tcW w:w="1134" w:type="dxa"/>
            <w:hideMark/>
          </w:tcPr>
          <w:p w14:paraId="1B6FF7F2" w14:textId="77777777" w:rsidR="00EE59C5" w:rsidRPr="003E37E8" w:rsidRDefault="00EE59C5" w:rsidP="00EE59C5">
            <w:pPr>
              <w:pStyle w:val="NormalWeb"/>
              <w:jc w:val="center"/>
              <w:rPr>
                <w:sz w:val="18"/>
                <w:szCs w:val="18"/>
              </w:rPr>
            </w:pPr>
            <w:r w:rsidRPr="003E37E8">
              <w:rPr>
                <w:sz w:val="18"/>
                <w:szCs w:val="18"/>
              </w:rPr>
              <w:t>16</w:t>
            </w:r>
          </w:p>
        </w:tc>
        <w:tc>
          <w:tcPr>
            <w:tcW w:w="567" w:type="dxa"/>
            <w:hideMark/>
          </w:tcPr>
          <w:p w14:paraId="3187C978" w14:textId="77777777" w:rsidR="00EE59C5" w:rsidRPr="003E37E8" w:rsidRDefault="00EE59C5" w:rsidP="00EE59C5">
            <w:pPr>
              <w:pStyle w:val="NormalWeb"/>
              <w:jc w:val="center"/>
              <w:rPr>
                <w:sz w:val="18"/>
                <w:szCs w:val="18"/>
              </w:rPr>
            </w:pPr>
            <w:r w:rsidRPr="003E37E8">
              <w:rPr>
                <w:sz w:val="18"/>
                <w:szCs w:val="18"/>
              </w:rPr>
              <w:t>0</w:t>
            </w:r>
          </w:p>
        </w:tc>
        <w:tc>
          <w:tcPr>
            <w:tcW w:w="992" w:type="dxa"/>
            <w:hideMark/>
          </w:tcPr>
          <w:p w14:paraId="4148D02B" w14:textId="77777777" w:rsidR="00EE59C5" w:rsidRPr="003E37E8" w:rsidRDefault="00EE59C5" w:rsidP="00EE59C5">
            <w:pPr>
              <w:pStyle w:val="NormalWeb"/>
              <w:jc w:val="center"/>
              <w:rPr>
                <w:sz w:val="18"/>
                <w:szCs w:val="18"/>
              </w:rPr>
            </w:pPr>
            <w:r w:rsidRPr="003E37E8">
              <w:rPr>
                <w:sz w:val="18"/>
                <w:szCs w:val="18"/>
              </w:rPr>
              <w:t>–</w:t>
            </w:r>
          </w:p>
        </w:tc>
        <w:tc>
          <w:tcPr>
            <w:tcW w:w="1134" w:type="dxa"/>
            <w:hideMark/>
          </w:tcPr>
          <w:p w14:paraId="2166D7B7" w14:textId="77777777" w:rsidR="00EE59C5" w:rsidRPr="003E37E8" w:rsidRDefault="00EE59C5" w:rsidP="00EE59C5">
            <w:pPr>
              <w:pStyle w:val="NormalWeb"/>
              <w:jc w:val="center"/>
              <w:rPr>
                <w:sz w:val="18"/>
                <w:szCs w:val="18"/>
              </w:rPr>
            </w:pPr>
            <w:r w:rsidRPr="003E37E8">
              <w:rPr>
                <w:sz w:val="18"/>
                <w:szCs w:val="18"/>
              </w:rPr>
              <w:t>–</w:t>
            </w:r>
          </w:p>
        </w:tc>
        <w:tc>
          <w:tcPr>
            <w:tcW w:w="992" w:type="dxa"/>
            <w:hideMark/>
          </w:tcPr>
          <w:p w14:paraId="016E5602" w14:textId="77777777" w:rsidR="00EE59C5" w:rsidRPr="003E37E8" w:rsidRDefault="00EE59C5" w:rsidP="00EE59C5">
            <w:pPr>
              <w:pStyle w:val="NormalWeb"/>
              <w:jc w:val="center"/>
              <w:rPr>
                <w:sz w:val="18"/>
                <w:szCs w:val="18"/>
              </w:rPr>
            </w:pPr>
            <w:r w:rsidRPr="003E37E8">
              <w:rPr>
                <w:sz w:val="18"/>
                <w:szCs w:val="18"/>
              </w:rPr>
              <w:t>–</w:t>
            </w:r>
          </w:p>
        </w:tc>
        <w:tc>
          <w:tcPr>
            <w:tcW w:w="827" w:type="dxa"/>
            <w:hideMark/>
          </w:tcPr>
          <w:p w14:paraId="00E64BFE" w14:textId="77777777" w:rsidR="00EE59C5" w:rsidRPr="003E37E8" w:rsidRDefault="00EE59C5" w:rsidP="00EE59C5">
            <w:pPr>
              <w:pStyle w:val="NormalWeb"/>
              <w:jc w:val="center"/>
              <w:rPr>
                <w:sz w:val="18"/>
                <w:szCs w:val="18"/>
              </w:rPr>
            </w:pPr>
            <w:r w:rsidRPr="003E37E8">
              <w:rPr>
                <w:sz w:val="18"/>
                <w:szCs w:val="18"/>
              </w:rPr>
              <w:t>–</w:t>
            </w:r>
          </w:p>
        </w:tc>
      </w:tr>
      <w:tr w:rsidR="003E37E8" w:rsidRPr="003E37E8" w14:paraId="633C1ECF" w14:textId="77777777" w:rsidTr="00706B99">
        <w:tc>
          <w:tcPr>
            <w:tcW w:w="1276" w:type="dxa"/>
            <w:hideMark/>
          </w:tcPr>
          <w:p w14:paraId="35EFEF16" w14:textId="77777777" w:rsidR="00EE59C5" w:rsidRPr="003E37E8" w:rsidRDefault="00EE59C5">
            <w:pPr>
              <w:pStyle w:val="NormalWeb"/>
              <w:rPr>
                <w:sz w:val="18"/>
                <w:szCs w:val="18"/>
              </w:rPr>
            </w:pPr>
            <w:r w:rsidRPr="003E37E8">
              <w:rPr>
                <w:sz w:val="18"/>
                <w:szCs w:val="18"/>
              </w:rPr>
              <w:t>Weeks 3–6</w:t>
            </w:r>
          </w:p>
        </w:tc>
        <w:tc>
          <w:tcPr>
            <w:tcW w:w="567" w:type="dxa"/>
            <w:hideMark/>
          </w:tcPr>
          <w:p w14:paraId="50B3DD12" w14:textId="77777777" w:rsidR="00EE59C5" w:rsidRPr="003E37E8" w:rsidRDefault="00EE59C5" w:rsidP="00EE59C5">
            <w:pPr>
              <w:pStyle w:val="NormalWeb"/>
              <w:jc w:val="center"/>
              <w:rPr>
                <w:sz w:val="18"/>
                <w:szCs w:val="18"/>
              </w:rPr>
            </w:pPr>
            <w:r w:rsidRPr="003E37E8">
              <w:rPr>
                <w:sz w:val="18"/>
                <w:szCs w:val="18"/>
              </w:rPr>
              <w:t>26</w:t>
            </w:r>
          </w:p>
        </w:tc>
        <w:tc>
          <w:tcPr>
            <w:tcW w:w="992" w:type="dxa"/>
            <w:hideMark/>
          </w:tcPr>
          <w:p w14:paraId="1F34D501" w14:textId="77777777" w:rsidR="00EE59C5" w:rsidRPr="003E37E8" w:rsidRDefault="00EE59C5" w:rsidP="00EE59C5">
            <w:pPr>
              <w:pStyle w:val="NormalWeb"/>
              <w:jc w:val="center"/>
              <w:rPr>
                <w:sz w:val="18"/>
                <w:szCs w:val="18"/>
              </w:rPr>
            </w:pPr>
            <w:r w:rsidRPr="003E37E8">
              <w:rPr>
                <w:sz w:val="18"/>
                <w:szCs w:val="18"/>
              </w:rPr>
              <w:t>16</w:t>
            </w:r>
          </w:p>
        </w:tc>
        <w:tc>
          <w:tcPr>
            <w:tcW w:w="993" w:type="dxa"/>
            <w:hideMark/>
          </w:tcPr>
          <w:p w14:paraId="48DC5C8E" w14:textId="77777777" w:rsidR="00EE59C5" w:rsidRPr="003E37E8" w:rsidRDefault="00EE59C5" w:rsidP="00EE59C5">
            <w:pPr>
              <w:pStyle w:val="NormalWeb"/>
              <w:jc w:val="center"/>
              <w:rPr>
                <w:sz w:val="18"/>
                <w:szCs w:val="18"/>
              </w:rPr>
            </w:pPr>
            <w:r w:rsidRPr="003E37E8">
              <w:rPr>
                <w:sz w:val="18"/>
                <w:szCs w:val="18"/>
              </w:rPr>
              <w:t>10</w:t>
            </w:r>
          </w:p>
        </w:tc>
        <w:tc>
          <w:tcPr>
            <w:tcW w:w="992" w:type="dxa"/>
            <w:hideMark/>
          </w:tcPr>
          <w:p w14:paraId="48D7A195" w14:textId="77777777" w:rsidR="00EE59C5" w:rsidRPr="003E37E8" w:rsidRDefault="00EE59C5" w:rsidP="00EE59C5">
            <w:pPr>
              <w:pStyle w:val="NormalWeb"/>
              <w:jc w:val="center"/>
              <w:rPr>
                <w:sz w:val="18"/>
                <w:szCs w:val="18"/>
              </w:rPr>
            </w:pPr>
            <w:r w:rsidRPr="003E37E8">
              <w:rPr>
                <w:sz w:val="18"/>
                <w:szCs w:val="18"/>
              </w:rPr>
              <w:t>1</w:t>
            </w:r>
          </w:p>
        </w:tc>
        <w:tc>
          <w:tcPr>
            <w:tcW w:w="1134" w:type="dxa"/>
            <w:hideMark/>
          </w:tcPr>
          <w:p w14:paraId="135E9D7C" w14:textId="77777777" w:rsidR="00EE59C5" w:rsidRPr="003E37E8" w:rsidRDefault="00EE59C5" w:rsidP="00EE59C5">
            <w:pPr>
              <w:pStyle w:val="NormalWeb"/>
              <w:jc w:val="center"/>
              <w:rPr>
                <w:sz w:val="18"/>
                <w:szCs w:val="18"/>
              </w:rPr>
            </w:pPr>
            <w:r w:rsidRPr="003E37E8">
              <w:rPr>
                <w:sz w:val="18"/>
                <w:szCs w:val="18"/>
              </w:rPr>
              <w:t>25</w:t>
            </w:r>
          </w:p>
        </w:tc>
        <w:tc>
          <w:tcPr>
            <w:tcW w:w="567" w:type="dxa"/>
            <w:hideMark/>
          </w:tcPr>
          <w:p w14:paraId="2FCC550C" w14:textId="77777777" w:rsidR="00EE59C5" w:rsidRPr="003E37E8" w:rsidRDefault="00EE59C5" w:rsidP="00EE59C5">
            <w:pPr>
              <w:pStyle w:val="NormalWeb"/>
              <w:jc w:val="center"/>
              <w:rPr>
                <w:sz w:val="18"/>
                <w:szCs w:val="18"/>
              </w:rPr>
            </w:pPr>
            <w:r w:rsidRPr="003E37E8">
              <w:rPr>
                <w:sz w:val="18"/>
                <w:szCs w:val="18"/>
              </w:rPr>
              <w:t>2</w:t>
            </w:r>
          </w:p>
        </w:tc>
        <w:tc>
          <w:tcPr>
            <w:tcW w:w="992" w:type="dxa"/>
            <w:hideMark/>
          </w:tcPr>
          <w:p w14:paraId="4CE76D46" w14:textId="77777777" w:rsidR="00EE59C5" w:rsidRPr="003E37E8" w:rsidRDefault="00EE59C5" w:rsidP="00EE59C5">
            <w:pPr>
              <w:pStyle w:val="NormalWeb"/>
              <w:jc w:val="center"/>
              <w:rPr>
                <w:sz w:val="18"/>
                <w:szCs w:val="18"/>
              </w:rPr>
            </w:pPr>
            <w:r w:rsidRPr="003E37E8">
              <w:rPr>
                <w:sz w:val="18"/>
                <w:szCs w:val="18"/>
              </w:rPr>
              <w:t>0</w:t>
            </w:r>
          </w:p>
        </w:tc>
        <w:tc>
          <w:tcPr>
            <w:tcW w:w="1134" w:type="dxa"/>
            <w:hideMark/>
          </w:tcPr>
          <w:p w14:paraId="6557EDF2" w14:textId="77777777" w:rsidR="00EE59C5" w:rsidRPr="003E37E8" w:rsidRDefault="00EE59C5" w:rsidP="00EE59C5">
            <w:pPr>
              <w:pStyle w:val="NormalWeb"/>
              <w:jc w:val="center"/>
              <w:rPr>
                <w:sz w:val="18"/>
                <w:szCs w:val="18"/>
              </w:rPr>
            </w:pPr>
            <w:r w:rsidRPr="003E37E8">
              <w:rPr>
                <w:sz w:val="18"/>
                <w:szCs w:val="18"/>
              </w:rPr>
              <w:t>2</w:t>
            </w:r>
          </w:p>
        </w:tc>
        <w:tc>
          <w:tcPr>
            <w:tcW w:w="992" w:type="dxa"/>
            <w:hideMark/>
          </w:tcPr>
          <w:p w14:paraId="79503CBF" w14:textId="77777777" w:rsidR="00EE59C5" w:rsidRPr="003E37E8" w:rsidRDefault="00EE59C5" w:rsidP="00EE59C5">
            <w:pPr>
              <w:pStyle w:val="NormalWeb"/>
              <w:jc w:val="center"/>
              <w:rPr>
                <w:sz w:val="18"/>
                <w:szCs w:val="18"/>
              </w:rPr>
            </w:pPr>
            <w:r w:rsidRPr="003E37E8">
              <w:rPr>
                <w:sz w:val="18"/>
                <w:szCs w:val="18"/>
              </w:rPr>
              <w:t>2</w:t>
            </w:r>
          </w:p>
        </w:tc>
        <w:tc>
          <w:tcPr>
            <w:tcW w:w="827" w:type="dxa"/>
            <w:hideMark/>
          </w:tcPr>
          <w:p w14:paraId="16375171" w14:textId="77777777" w:rsidR="00EE59C5" w:rsidRPr="003E37E8" w:rsidRDefault="00EE59C5" w:rsidP="00EE59C5">
            <w:pPr>
              <w:pStyle w:val="NormalWeb"/>
              <w:jc w:val="center"/>
              <w:rPr>
                <w:sz w:val="18"/>
                <w:szCs w:val="18"/>
              </w:rPr>
            </w:pPr>
            <w:r w:rsidRPr="003E37E8">
              <w:rPr>
                <w:sz w:val="18"/>
                <w:szCs w:val="18"/>
              </w:rPr>
              <w:t>0</w:t>
            </w:r>
          </w:p>
        </w:tc>
      </w:tr>
      <w:tr w:rsidR="003E37E8" w:rsidRPr="003E37E8" w14:paraId="7514809D" w14:textId="77777777" w:rsidTr="00706B99">
        <w:trPr>
          <w:cnfStyle w:val="000000010000" w:firstRow="0" w:lastRow="0" w:firstColumn="0" w:lastColumn="0" w:oddVBand="0" w:evenVBand="0" w:oddHBand="0" w:evenHBand="1" w:firstRowFirstColumn="0" w:firstRowLastColumn="0" w:lastRowFirstColumn="0" w:lastRowLastColumn="0"/>
        </w:trPr>
        <w:tc>
          <w:tcPr>
            <w:tcW w:w="1276" w:type="dxa"/>
            <w:hideMark/>
          </w:tcPr>
          <w:p w14:paraId="1476E556" w14:textId="77777777" w:rsidR="00EE59C5" w:rsidRPr="003E37E8" w:rsidRDefault="00EE59C5">
            <w:pPr>
              <w:pStyle w:val="NormalWeb"/>
              <w:rPr>
                <w:sz w:val="18"/>
                <w:szCs w:val="18"/>
              </w:rPr>
            </w:pPr>
            <w:r w:rsidRPr="003E37E8">
              <w:rPr>
                <w:sz w:val="18"/>
                <w:szCs w:val="18"/>
              </w:rPr>
              <w:t>Weeks 7–10</w:t>
            </w:r>
          </w:p>
        </w:tc>
        <w:tc>
          <w:tcPr>
            <w:tcW w:w="567" w:type="dxa"/>
            <w:hideMark/>
          </w:tcPr>
          <w:p w14:paraId="3048CA91" w14:textId="77777777" w:rsidR="00EE59C5" w:rsidRPr="003E37E8" w:rsidRDefault="00EE59C5" w:rsidP="00EE59C5">
            <w:pPr>
              <w:pStyle w:val="NormalWeb"/>
              <w:jc w:val="center"/>
              <w:rPr>
                <w:sz w:val="18"/>
                <w:szCs w:val="18"/>
              </w:rPr>
            </w:pPr>
            <w:r w:rsidRPr="003E37E8">
              <w:rPr>
                <w:sz w:val="18"/>
                <w:szCs w:val="18"/>
              </w:rPr>
              <w:t>5</w:t>
            </w:r>
          </w:p>
        </w:tc>
        <w:tc>
          <w:tcPr>
            <w:tcW w:w="992" w:type="dxa"/>
            <w:hideMark/>
          </w:tcPr>
          <w:p w14:paraId="738FEA99" w14:textId="77777777" w:rsidR="00EE59C5" w:rsidRPr="003E37E8" w:rsidRDefault="00EE59C5" w:rsidP="00EE59C5">
            <w:pPr>
              <w:pStyle w:val="NormalWeb"/>
              <w:jc w:val="center"/>
              <w:rPr>
                <w:sz w:val="18"/>
                <w:szCs w:val="18"/>
              </w:rPr>
            </w:pPr>
            <w:r w:rsidRPr="003E37E8">
              <w:rPr>
                <w:sz w:val="18"/>
                <w:szCs w:val="18"/>
              </w:rPr>
              <w:t>2</w:t>
            </w:r>
          </w:p>
        </w:tc>
        <w:tc>
          <w:tcPr>
            <w:tcW w:w="993" w:type="dxa"/>
            <w:hideMark/>
          </w:tcPr>
          <w:p w14:paraId="7327EC2F" w14:textId="77777777" w:rsidR="00EE59C5" w:rsidRPr="003E37E8" w:rsidRDefault="00EE59C5" w:rsidP="00EE59C5">
            <w:pPr>
              <w:pStyle w:val="NormalWeb"/>
              <w:jc w:val="center"/>
              <w:rPr>
                <w:sz w:val="18"/>
                <w:szCs w:val="18"/>
              </w:rPr>
            </w:pPr>
            <w:r w:rsidRPr="003E37E8">
              <w:rPr>
                <w:sz w:val="18"/>
                <w:szCs w:val="18"/>
              </w:rPr>
              <w:t>3</w:t>
            </w:r>
          </w:p>
        </w:tc>
        <w:tc>
          <w:tcPr>
            <w:tcW w:w="992" w:type="dxa"/>
            <w:hideMark/>
          </w:tcPr>
          <w:p w14:paraId="5D9CC9F9" w14:textId="77777777" w:rsidR="00EE59C5" w:rsidRPr="003E37E8" w:rsidRDefault="00EE59C5" w:rsidP="00EE59C5">
            <w:pPr>
              <w:pStyle w:val="NormalWeb"/>
              <w:jc w:val="center"/>
              <w:rPr>
                <w:sz w:val="18"/>
                <w:szCs w:val="18"/>
              </w:rPr>
            </w:pPr>
            <w:r w:rsidRPr="003E37E8">
              <w:rPr>
                <w:sz w:val="18"/>
                <w:szCs w:val="18"/>
              </w:rPr>
              <w:t>3</w:t>
            </w:r>
          </w:p>
        </w:tc>
        <w:tc>
          <w:tcPr>
            <w:tcW w:w="1134" w:type="dxa"/>
            <w:hideMark/>
          </w:tcPr>
          <w:p w14:paraId="62FD3BE2" w14:textId="77777777" w:rsidR="00EE59C5" w:rsidRPr="003E37E8" w:rsidRDefault="00EE59C5" w:rsidP="00EE59C5">
            <w:pPr>
              <w:pStyle w:val="NormalWeb"/>
              <w:jc w:val="center"/>
              <w:rPr>
                <w:sz w:val="18"/>
                <w:szCs w:val="18"/>
              </w:rPr>
            </w:pPr>
            <w:r w:rsidRPr="003E37E8">
              <w:rPr>
                <w:sz w:val="18"/>
                <w:szCs w:val="18"/>
              </w:rPr>
              <w:t>2</w:t>
            </w:r>
          </w:p>
        </w:tc>
        <w:tc>
          <w:tcPr>
            <w:tcW w:w="567" w:type="dxa"/>
            <w:hideMark/>
          </w:tcPr>
          <w:p w14:paraId="27EF328E" w14:textId="77777777" w:rsidR="00EE59C5" w:rsidRPr="003E37E8" w:rsidRDefault="00EE59C5" w:rsidP="00EE59C5">
            <w:pPr>
              <w:pStyle w:val="NormalWeb"/>
              <w:jc w:val="center"/>
              <w:rPr>
                <w:sz w:val="18"/>
                <w:szCs w:val="18"/>
              </w:rPr>
            </w:pPr>
            <w:r w:rsidRPr="003E37E8">
              <w:rPr>
                <w:sz w:val="18"/>
                <w:szCs w:val="18"/>
              </w:rPr>
              <w:t>4</w:t>
            </w:r>
          </w:p>
        </w:tc>
        <w:tc>
          <w:tcPr>
            <w:tcW w:w="992" w:type="dxa"/>
            <w:hideMark/>
          </w:tcPr>
          <w:p w14:paraId="1E73492E" w14:textId="77777777" w:rsidR="00EE59C5" w:rsidRPr="003E37E8" w:rsidRDefault="00EE59C5" w:rsidP="00EE59C5">
            <w:pPr>
              <w:pStyle w:val="NormalWeb"/>
              <w:jc w:val="center"/>
              <w:rPr>
                <w:sz w:val="18"/>
                <w:szCs w:val="18"/>
              </w:rPr>
            </w:pPr>
            <w:r w:rsidRPr="003E37E8">
              <w:rPr>
                <w:sz w:val="18"/>
                <w:szCs w:val="18"/>
              </w:rPr>
              <w:t>2</w:t>
            </w:r>
          </w:p>
        </w:tc>
        <w:tc>
          <w:tcPr>
            <w:tcW w:w="1134" w:type="dxa"/>
            <w:hideMark/>
          </w:tcPr>
          <w:p w14:paraId="47CB2A26" w14:textId="77777777" w:rsidR="00EE59C5" w:rsidRPr="003E37E8" w:rsidRDefault="00EE59C5" w:rsidP="00EE59C5">
            <w:pPr>
              <w:pStyle w:val="NormalWeb"/>
              <w:jc w:val="center"/>
              <w:rPr>
                <w:sz w:val="18"/>
                <w:szCs w:val="18"/>
              </w:rPr>
            </w:pPr>
            <w:r w:rsidRPr="003E37E8">
              <w:rPr>
                <w:sz w:val="18"/>
                <w:szCs w:val="18"/>
              </w:rPr>
              <w:t>2</w:t>
            </w:r>
          </w:p>
        </w:tc>
        <w:tc>
          <w:tcPr>
            <w:tcW w:w="992" w:type="dxa"/>
            <w:hideMark/>
          </w:tcPr>
          <w:p w14:paraId="581CD5BC" w14:textId="77777777" w:rsidR="00EE59C5" w:rsidRPr="003E37E8" w:rsidRDefault="00EE59C5" w:rsidP="00EE59C5">
            <w:pPr>
              <w:pStyle w:val="NormalWeb"/>
              <w:jc w:val="center"/>
              <w:rPr>
                <w:sz w:val="18"/>
                <w:szCs w:val="18"/>
              </w:rPr>
            </w:pPr>
            <w:r w:rsidRPr="003E37E8">
              <w:rPr>
                <w:sz w:val="18"/>
                <w:szCs w:val="18"/>
              </w:rPr>
              <w:t>2</w:t>
            </w:r>
          </w:p>
        </w:tc>
        <w:tc>
          <w:tcPr>
            <w:tcW w:w="827" w:type="dxa"/>
            <w:hideMark/>
          </w:tcPr>
          <w:p w14:paraId="654076A5" w14:textId="77777777" w:rsidR="00EE59C5" w:rsidRPr="003E37E8" w:rsidRDefault="00EE59C5" w:rsidP="00EE59C5">
            <w:pPr>
              <w:pStyle w:val="NormalWeb"/>
              <w:jc w:val="center"/>
              <w:rPr>
                <w:sz w:val="18"/>
                <w:szCs w:val="18"/>
              </w:rPr>
            </w:pPr>
            <w:r w:rsidRPr="003E37E8">
              <w:rPr>
                <w:sz w:val="18"/>
                <w:szCs w:val="18"/>
              </w:rPr>
              <w:t>2</w:t>
            </w:r>
          </w:p>
        </w:tc>
      </w:tr>
      <w:tr w:rsidR="003E37E8" w:rsidRPr="003E37E8" w14:paraId="6BC6CAC7" w14:textId="77777777" w:rsidTr="00706B99">
        <w:tc>
          <w:tcPr>
            <w:tcW w:w="1276" w:type="dxa"/>
            <w:hideMark/>
          </w:tcPr>
          <w:p w14:paraId="2E96FDB9" w14:textId="77777777" w:rsidR="00EE59C5" w:rsidRPr="003E37E8" w:rsidRDefault="00EE59C5">
            <w:pPr>
              <w:pStyle w:val="NormalWeb"/>
              <w:rPr>
                <w:sz w:val="18"/>
                <w:szCs w:val="18"/>
              </w:rPr>
            </w:pPr>
            <w:r w:rsidRPr="003E37E8">
              <w:rPr>
                <w:sz w:val="18"/>
                <w:szCs w:val="18"/>
              </w:rPr>
              <w:t>Weeks 11–14</w:t>
            </w:r>
          </w:p>
        </w:tc>
        <w:tc>
          <w:tcPr>
            <w:tcW w:w="567" w:type="dxa"/>
            <w:hideMark/>
          </w:tcPr>
          <w:p w14:paraId="71907141" w14:textId="77777777" w:rsidR="00EE59C5" w:rsidRPr="003E37E8" w:rsidRDefault="00EE59C5" w:rsidP="00EE59C5">
            <w:pPr>
              <w:pStyle w:val="NormalWeb"/>
              <w:jc w:val="center"/>
              <w:rPr>
                <w:sz w:val="18"/>
                <w:szCs w:val="18"/>
              </w:rPr>
            </w:pPr>
            <w:r w:rsidRPr="003E37E8">
              <w:rPr>
                <w:sz w:val="18"/>
                <w:szCs w:val="18"/>
              </w:rPr>
              <w:t>3</w:t>
            </w:r>
          </w:p>
        </w:tc>
        <w:tc>
          <w:tcPr>
            <w:tcW w:w="992" w:type="dxa"/>
            <w:hideMark/>
          </w:tcPr>
          <w:p w14:paraId="4D55BCA7" w14:textId="77777777" w:rsidR="00EE59C5" w:rsidRPr="003E37E8" w:rsidRDefault="00EE59C5" w:rsidP="00EE59C5">
            <w:pPr>
              <w:pStyle w:val="NormalWeb"/>
              <w:jc w:val="center"/>
              <w:rPr>
                <w:sz w:val="18"/>
                <w:szCs w:val="18"/>
              </w:rPr>
            </w:pPr>
            <w:r w:rsidRPr="003E37E8">
              <w:rPr>
                <w:sz w:val="18"/>
                <w:szCs w:val="18"/>
              </w:rPr>
              <w:t>1</w:t>
            </w:r>
          </w:p>
        </w:tc>
        <w:tc>
          <w:tcPr>
            <w:tcW w:w="993" w:type="dxa"/>
            <w:hideMark/>
          </w:tcPr>
          <w:p w14:paraId="6D333E30" w14:textId="77777777" w:rsidR="00EE59C5" w:rsidRPr="003E37E8" w:rsidRDefault="00EE59C5" w:rsidP="00EE59C5">
            <w:pPr>
              <w:pStyle w:val="NormalWeb"/>
              <w:jc w:val="center"/>
              <w:rPr>
                <w:sz w:val="18"/>
                <w:szCs w:val="18"/>
              </w:rPr>
            </w:pPr>
            <w:r w:rsidRPr="003E37E8">
              <w:rPr>
                <w:sz w:val="18"/>
                <w:szCs w:val="18"/>
              </w:rPr>
              <w:t>2</w:t>
            </w:r>
          </w:p>
        </w:tc>
        <w:tc>
          <w:tcPr>
            <w:tcW w:w="992" w:type="dxa"/>
            <w:hideMark/>
          </w:tcPr>
          <w:p w14:paraId="61E5AA60" w14:textId="77777777" w:rsidR="00EE59C5" w:rsidRPr="003E37E8" w:rsidRDefault="00EE59C5" w:rsidP="00EE59C5">
            <w:pPr>
              <w:pStyle w:val="NormalWeb"/>
              <w:jc w:val="center"/>
              <w:rPr>
                <w:sz w:val="18"/>
                <w:szCs w:val="18"/>
              </w:rPr>
            </w:pPr>
            <w:r w:rsidRPr="003E37E8">
              <w:rPr>
                <w:sz w:val="18"/>
                <w:szCs w:val="18"/>
              </w:rPr>
              <w:t>1</w:t>
            </w:r>
          </w:p>
        </w:tc>
        <w:tc>
          <w:tcPr>
            <w:tcW w:w="1134" w:type="dxa"/>
            <w:hideMark/>
          </w:tcPr>
          <w:p w14:paraId="42C6174A" w14:textId="77777777" w:rsidR="00EE59C5" w:rsidRPr="003E37E8" w:rsidRDefault="00EE59C5" w:rsidP="00EE59C5">
            <w:pPr>
              <w:pStyle w:val="NormalWeb"/>
              <w:jc w:val="center"/>
              <w:rPr>
                <w:sz w:val="18"/>
                <w:szCs w:val="18"/>
              </w:rPr>
            </w:pPr>
            <w:r w:rsidRPr="003E37E8">
              <w:rPr>
                <w:sz w:val="18"/>
                <w:szCs w:val="18"/>
              </w:rPr>
              <w:t>2</w:t>
            </w:r>
          </w:p>
        </w:tc>
        <w:tc>
          <w:tcPr>
            <w:tcW w:w="567" w:type="dxa"/>
            <w:hideMark/>
          </w:tcPr>
          <w:p w14:paraId="447859BC" w14:textId="77777777" w:rsidR="00EE59C5" w:rsidRPr="003E37E8" w:rsidRDefault="00EE59C5" w:rsidP="00EE59C5">
            <w:pPr>
              <w:pStyle w:val="NormalWeb"/>
              <w:jc w:val="center"/>
              <w:rPr>
                <w:sz w:val="18"/>
                <w:szCs w:val="18"/>
              </w:rPr>
            </w:pPr>
            <w:r w:rsidRPr="003E37E8">
              <w:rPr>
                <w:sz w:val="18"/>
                <w:szCs w:val="18"/>
              </w:rPr>
              <w:t>3</w:t>
            </w:r>
          </w:p>
        </w:tc>
        <w:tc>
          <w:tcPr>
            <w:tcW w:w="992" w:type="dxa"/>
            <w:hideMark/>
          </w:tcPr>
          <w:p w14:paraId="581751B2" w14:textId="77777777" w:rsidR="00EE59C5" w:rsidRPr="003E37E8" w:rsidRDefault="00EE59C5" w:rsidP="00EE59C5">
            <w:pPr>
              <w:pStyle w:val="NormalWeb"/>
              <w:jc w:val="center"/>
              <w:rPr>
                <w:sz w:val="18"/>
                <w:szCs w:val="18"/>
              </w:rPr>
            </w:pPr>
            <w:r w:rsidRPr="003E37E8">
              <w:rPr>
                <w:sz w:val="18"/>
                <w:szCs w:val="18"/>
              </w:rPr>
              <w:t>0</w:t>
            </w:r>
          </w:p>
        </w:tc>
        <w:tc>
          <w:tcPr>
            <w:tcW w:w="1134" w:type="dxa"/>
            <w:hideMark/>
          </w:tcPr>
          <w:p w14:paraId="11A5EFAF" w14:textId="77777777" w:rsidR="00EE59C5" w:rsidRPr="003E37E8" w:rsidRDefault="00EE59C5" w:rsidP="00EE59C5">
            <w:pPr>
              <w:pStyle w:val="NormalWeb"/>
              <w:jc w:val="center"/>
              <w:rPr>
                <w:sz w:val="18"/>
                <w:szCs w:val="18"/>
              </w:rPr>
            </w:pPr>
            <w:r w:rsidRPr="003E37E8">
              <w:rPr>
                <w:sz w:val="18"/>
                <w:szCs w:val="18"/>
              </w:rPr>
              <w:t>3</w:t>
            </w:r>
          </w:p>
        </w:tc>
        <w:tc>
          <w:tcPr>
            <w:tcW w:w="992" w:type="dxa"/>
            <w:hideMark/>
          </w:tcPr>
          <w:p w14:paraId="25E8D422" w14:textId="77777777" w:rsidR="00EE59C5" w:rsidRPr="003E37E8" w:rsidRDefault="00EE59C5" w:rsidP="00EE59C5">
            <w:pPr>
              <w:pStyle w:val="NormalWeb"/>
              <w:jc w:val="center"/>
              <w:rPr>
                <w:sz w:val="18"/>
                <w:szCs w:val="18"/>
              </w:rPr>
            </w:pPr>
            <w:r w:rsidRPr="003E37E8">
              <w:rPr>
                <w:sz w:val="18"/>
                <w:szCs w:val="18"/>
              </w:rPr>
              <w:t>3</w:t>
            </w:r>
          </w:p>
        </w:tc>
        <w:tc>
          <w:tcPr>
            <w:tcW w:w="827" w:type="dxa"/>
            <w:hideMark/>
          </w:tcPr>
          <w:p w14:paraId="701EE1BC" w14:textId="77777777" w:rsidR="00EE59C5" w:rsidRPr="003E37E8" w:rsidRDefault="00EE59C5" w:rsidP="00EE59C5">
            <w:pPr>
              <w:pStyle w:val="NormalWeb"/>
              <w:jc w:val="center"/>
              <w:rPr>
                <w:sz w:val="18"/>
                <w:szCs w:val="18"/>
              </w:rPr>
            </w:pPr>
            <w:r w:rsidRPr="003E37E8">
              <w:rPr>
                <w:sz w:val="18"/>
                <w:szCs w:val="18"/>
              </w:rPr>
              <w:t>0</w:t>
            </w:r>
          </w:p>
        </w:tc>
      </w:tr>
      <w:tr w:rsidR="003E37E8" w:rsidRPr="003E37E8" w14:paraId="60C959CD" w14:textId="77777777" w:rsidTr="00706B99">
        <w:trPr>
          <w:cnfStyle w:val="000000010000" w:firstRow="0" w:lastRow="0" w:firstColumn="0" w:lastColumn="0" w:oddVBand="0" w:evenVBand="0" w:oddHBand="0" w:evenHBand="1" w:firstRowFirstColumn="0" w:firstRowLastColumn="0" w:lastRowFirstColumn="0" w:lastRowLastColumn="0"/>
        </w:trPr>
        <w:tc>
          <w:tcPr>
            <w:tcW w:w="1276" w:type="dxa"/>
            <w:hideMark/>
          </w:tcPr>
          <w:p w14:paraId="445E1A45" w14:textId="77777777" w:rsidR="00EE59C5" w:rsidRPr="003E37E8" w:rsidRDefault="00EE59C5">
            <w:pPr>
              <w:pStyle w:val="NormalWeb"/>
              <w:rPr>
                <w:sz w:val="18"/>
                <w:szCs w:val="18"/>
              </w:rPr>
            </w:pPr>
            <w:r w:rsidRPr="003E37E8">
              <w:rPr>
                <w:sz w:val="18"/>
                <w:szCs w:val="18"/>
              </w:rPr>
              <w:t>Weeks 15–18</w:t>
            </w:r>
          </w:p>
        </w:tc>
        <w:tc>
          <w:tcPr>
            <w:tcW w:w="567" w:type="dxa"/>
            <w:hideMark/>
          </w:tcPr>
          <w:p w14:paraId="6922AB25" w14:textId="77777777" w:rsidR="00EE59C5" w:rsidRPr="003E37E8" w:rsidRDefault="00EE59C5" w:rsidP="00EE59C5">
            <w:pPr>
              <w:pStyle w:val="NormalWeb"/>
              <w:jc w:val="center"/>
              <w:rPr>
                <w:sz w:val="18"/>
                <w:szCs w:val="18"/>
              </w:rPr>
            </w:pPr>
            <w:r w:rsidRPr="003E37E8">
              <w:rPr>
                <w:sz w:val="18"/>
                <w:szCs w:val="18"/>
              </w:rPr>
              <w:t>4</w:t>
            </w:r>
          </w:p>
        </w:tc>
        <w:tc>
          <w:tcPr>
            <w:tcW w:w="992" w:type="dxa"/>
            <w:hideMark/>
          </w:tcPr>
          <w:p w14:paraId="720CA1B9" w14:textId="77777777" w:rsidR="00EE59C5" w:rsidRPr="003E37E8" w:rsidRDefault="00EE59C5" w:rsidP="00EE59C5">
            <w:pPr>
              <w:pStyle w:val="NormalWeb"/>
              <w:jc w:val="center"/>
              <w:rPr>
                <w:sz w:val="18"/>
                <w:szCs w:val="18"/>
              </w:rPr>
            </w:pPr>
            <w:r w:rsidRPr="003E37E8">
              <w:rPr>
                <w:sz w:val="18"/>
                <w:szCs w:val="18"/>
              </w:rPr>
              <w:t>1</w:t>
            </w:r>
          </w:p>
        </w:tc>
        <w:tc>
          <w:tcPr>
            <w:tcW w:w="993" w:type="dxa"/>
            <w:hideMark/>
          </w:tcPr>
          <w:p w14:paraId="69A53D00" w14:textId="77777777" w:rsidR="00EE59C5" w:rsidRPr="003E37E8" w:rsidRDefault="00EE59C5" w:rsidP="00EE59C5">
            <w:pPr>
              <w:pStyle w:val="NormalWeb"/>
              <w:jc w:val="center"/>
              <w:rPr>
                <w:sz w:val="18"/>
                <w:szCs w:val="18"/>
              </w:rPr>
            </w:pPr>
            <w:r w:rsidRPr="003E37E8">
              <w:rPr>
                <w:sz w:val="18"/>
                <w:szCs w:val="18"/>
              </w:rPr>
              <w:t>3</w:t>
            </w:r>
          </w:p>
        </w:tc>
        <w:tc>
          <w:tcPr>
            <w:tcW w:w="992" w:type="dxa"/>
            <w:hideMark/>
          </w:tcPr>
          <w:p w14:paraId="03222084" w14:textId="77777777" w:rsidR="00EE59C5" w:rsidRPr="003E37E8" w:rsidRDefault="00EE59C5" w:rsidP="00EE59C5">
            <w:pPr>
              <w:pStyle w:val="NormalWeb"/>
              <w:jc w:val="center"/>
              <w:rPr>
                <w:sz w:val="18"/>
                <w:szCs w:val="18"/>
              </w:rPr>
            </w:pPr>
            <w:r w:rsidRPr="003E37E8">
              <w:rPr>
                <w:sz w:val="18"/>
                <w:szCs w:val="18"/>
              </w:rPr>
              <w:t>2</w:t>
            </w:r>
          </w:p>
        </w:tc>
        <w:tc>
          <w:tcPr>
            <w:tcW w:w="1134" w:type="dxa"/>
            <w:hideMark/>
          </w:tcPr>
          <w:p w14:paraId="4F461090" w14:textId="77777777" w:rsidR="00EE59C5" w:rsidRPr="003E37E8" w:rsidRDefault="00EE59C5" w:rsidP="00EE59C5">
            <w:pPr>
              <w:pStyle w:val="NormalWeb"/>
              <w:jc w:val="center"/>
              <w:rPr>
                <w:sz w:val="18"/>
                <w:szCs w:val="18"/>
              </w:rPr>
            </w:pPr>
            <w:r w:rsidRPr="003E37E8">
              <w:rPr>
                <w:sz w:val="18"/>
                <w:szCs w:val="18"/>
              </w:rPr>
              <w:t>2</w:t>
            </w:r>
          </w:p>
        </w:tc>
        <w:tc>
          <w:tcPr>
            <w:tcW w:w="567" w:type="dxa"/>
            <w:hideMark/>
          </w:tcPr>
          <w:p w14:paraId="4DF64F63" w14:textId="77777777" w:rsidR="00EE59C5" w:rsidRPr="003E37E8" w:rsidRDefault="00EE59C5" w:rsidP="00EE59C5">
            <w:pPr>
              <w:pStyle w:val="NormalWeb"/>
              <w:jc w:val="center"/>
              <w:rPr>
                <w:sz w:val="18"/>
                <w:szCs w:val="18"/>
              </w:rPr>
            </w:pPr>
            <w:r w:rsidRPr="003E37E8">
              <w:rPr>
                <w:sz w:val="18"/>
                <w:szCs w:val="18"/>
              </w:rPr>
              <w:t>4</w:t>
            </w:r>
          </w:p>
        </w:tc>
        <w:tc>
          <w:tcPr>
            <w:tcW w:w="992" w:type="dxa"/>
            <w:hideMark/>
          </w:tcPr>
          <w:p w14:paraId="7D506918" w14:textId="77777777" w:rsidR="00EE59C5" w:rsidRPr="003E37E8" w:rsidRDefault="00EE59C5" w:rsidP="00EE59C5">
            <w:pPr>
              <w:pStyle w:val="NormalWeb"/>
              <w:jc w:val="center"/>
              <w:rPr>
                <w:sz w:val="18"/>
                <w:szCs w:val="18"/>
              </w:rPr>
            </w:pPr>
            <w:r w:rsidRPr="003E37E8">
              <w:rPr>
                <w:sz w:val="18"/>
                <w:szCs w:val="18"/>
              </w:rPr>
              <w:t>0</w:t>
            </w:r>
          </w:p>
        </w:tc>
        <w:tc>
          <w:tcPr>
            <w:tcW w:w="1134" w:type="dxa"/>
            <w:hideMark/>
          </w:tcPr>
          <w:p w14:paraId="10DCBFA6" w14:textId="77777777" w:rsidR="00EE59C5" w:rsidRPr="003E37E8" w:rsidRDefault="00EE59C5" w:rsidP="00EE59C5">
            <w:pPr>
              <w:pStyle w:val="NormalWeb"/>
              <w:jc w:val="center"/>
              <w:rPr>
                <w:sz w:val="18"/>
                <w:szCs w:val="18"/>
              </w:rPr>
            </w:pPr>
            <w:r w:rsidRPr="003E37E8">
              <w:rPr>
                <w:sz w:val="18"/>
                <w:szCs w:val="18"/>
              </w:rPr>
              <w:t>4</w:t>
            </w:r>
          </w:p>
        </w:tc>
        <w:tc>
          <w:tcPr>
            <w:tcW w:w="992" w:type="dxa"/>
            <w:hideMark/>
          </w:tcPr>
          <w:p w14:paraId="7FB0F594" w14:textId="77777777" w:rsidR="00EE59C5" w:rsidRPr="003E37E8" w:rsidRDefault="00EE59C5" w:rsidP="00EE59C5">
            <w:pPr>
              <w:pStyle w:val="NormalWeb"/>
              <w:jc w:val="center"/>
              <w:rPr>
                <w:sz w:val="18"/>
                <w:szCs w:val="18"/>
              </w:rPr>
            </w:pPr>
            <w:r w:rsidRPr="003E37E8">
              <w:rPr>
                <w:sz w:val="18"/>
                <w:szCs w:val="18"/>
              </w:rPr>
              <w:t>4</w:t>
            </w:r>
          </w:p>
        </w:tc>
        <w:tc>
          <w:tcPr>
            <w:tcW w:w="827" w:type="dxa"/>
            <w:hideMark/>
          </w:tcPr>
          <w:p w14:paraId="42CA2A66" w14:textId="77777777" w:rsidR="00EE59C5" w:rsidRPr="003E37E8" w:rsidRDefault="00EE59C5" w:rsidP="00EE59C5">
            <w:pPr>
              <w:pStyle w:val="NormalWeb"/>
              <w:jc w:val="center"/>
              <w:rPr>
                <w:sz w:val="18"/>
                <w:szCs w:val="18"/>
              </w:rPr>
            </w:pPr>
            <w:r w:rsidRPr="003E37E8">
              <w:rPr>
                <w:sz w:val="18"/>
                <w:szCs w:val="18"/>
              </w:rPr>
              <w:t>0</w:t>
            </w:r>
          </w:p>
        </w:tc>
      </w:tr>
    </w:tbl>
    <w:p w14:paraId="369BDA9F" w14:textId="77777777" w:rsidR="00D46F9A" w:rsidRDefault="00D46F9A" w:rsidP="00F52408"/>
    <w:p w14:paraId="27870A01" w14:textId="45FA83B7" w:rsidR="00EE59C5" w:rsidRDefault="00EE59C5" w:rsidP="00F52408">
      <w:r>
        <w:t>It is important to document the high vaccination rates that have been achieved in Victoria in this key target group in a non-mandatory setting. The increased uptake is likely related to multiple factors. In conjunction with public health policy and recommendations for influenza vaccination made within the context of the COVID-19 pandemic, there has been increased recognition of Victorian HCWs as a high-risk population, with implementation of a vaccination target performance monitor in place since 2014 and the successful implementation of influenza vaccination strategies for HCWs in Victorian public acute hospitals. State targets have increased from 75% to 80% (2018), 84% (2019) and 90% (2020), with sustained increases in vaccination rates reported, 83% in 2018 and 88% in 2019.</w:t>
      </w:r>
      <w:r>
        <w:rPr>
          <w:vertAlign w:val="superscript"/>
        </w:rPr>
        <w:t>6</w:t>
      </w:r>
      <w:r>
        <w:t xml:space="preserve"> Johnson et al. reported on Victorian HCWs in 2017;</w:t>
      </w:r>
      <w:r>
        <w:rPr>
          <w:vertAlign w:val="superscript"/>
        </w:rPr>
        <w:t>7</w:t>
      </w:r>
      <w:r>
        <w:t xml:space="preserve"> at that time, median vaccination uptake for 93 surveyed facilities was 73%. It was noted that about one-third of surveyed facilities had a vaccination requirement within employee contracts and 36% had a mandatory vaccination program. Johnson et al. reported that influenza vaccination strategies used in facilities with higher vaccination uptake included after-hours and weekend access to vaccination sites, education specifically addressing safety concerns, promotion at hospital public forums, and availability of database that allows for real-time feedback. </w:t>
      </w:r>
    </w:p>
    <w:p w14:paraId="02979DDC" w14:textId="2B4ACBA7" w:rsidR="00EE59C5" w:rsidRDefault="00EE59C5" w:rsidP="00F52408">
      <w:r>
        <w:t>Our data also highlight possible opportunities for targeted programs to increase vaccination uptake, with potential benefit from enhanced campaigns in larger and metropolitan facilities. Reassuringly, we demonstrate a high overall uptake of influenza vaccination in Victorian HCWs, with substantial uptake achieved within a short timeframe. In setting national frameworks for reporting of vaccination uptake, high-risk populations such as HCWs should specifically be captured as measures of public health policy implementation and quality improvement within</w:t>
      </w:r>
      <w:r w:rsidR="00FA0041">
        <w:t> </w:t>
      </w:r>
      <w:r>
        <w:t>healthcare.</w:t>
      </w:r>
    </w:p>
    <w:p w14:paraId="71578B6C" w14:textId="77777777" w:rsidR="00F00849" w:rsidRDefault="00F00849">
      <w:pPr>
        <w:rPr>
          <w:rFonts w:asciiTheme="majorHAnsi" w:eastAsiaTheme="majorEastAsia" w:hAnsiTheme="majorHAnsi" w:cstheme="majorBidi"/>
          <w:b/>
          <w:bCs/>
          <w:sz w:val="32"/>
          <w:szCs w:val="28"/>
        </w:rPr>
      </w:pPr>
      <w:r>
        <w:br w:type="page"/>
      </w:r>
    </w:p>
    <w:p w14:paraId="0D8FBE11" w14:textId="1234095A" w:rsidR="00EE59C5" w:rsidRPr="00F52408" w:rsidRDefault="00EE59C5" w:rsidP="00F52408">
      <w:pPr>
        <w:pStyle w:val="Heading1"/>
      </w:pPr>
      <w:r w:rsidRPr="00F52408">
        <w:t xml:space="preserve">Author details </w:t>
      </w:r>
    </w:p>
    <w:p w14:paraId="5E7B4E0B" w14:textId="77777777" w:rsidR="00EE59C5" w:rsidRDefault="00EE59C5" w:rsidP="00F52408">
      <w:pPr>
        <w:pStyle w:val="NoSpacing"/>
      </w:pPr>
      <w:r>
        <w:t>Dr Lyn-li Lim</w:t>
      </w:r>
      <w:r>
        <w:rPr>
          <w:vertAlign w:val="superscript"/>
        </w:rPr>
        <w:t xml:space="preserve">1 </w:t>
      </w:r>
      <w:r>
        <w:rPr>
          <w:vertAlign w:val="superscript"/>
        </w:rPr>
        <w:br/>
      </w:r>
      <w:r>
        <w:t>Ms Alex Hoskins</w:t>
      </w:r>
      <w:r>
        <w:rPr>
          <w:vertAlign w:val="superscript"/>
        </w:rPr>
        <w:t xml:space="preserve">1 </w:t>
      </w:r>
      <w:r>
        <w:rPr>
          <w:vertAlign w:val="superscript"/>
        </w:rPr>
        <w:br/>
      </w:r>
      <w:r>
        <w:t>A/Prof. Leon Worth</w:t>
      </w:r>
      <w:r>
        <w:rPr>
          <w:vertAlign w:val="superscript"/>
        </w:rPr>
        <w:t xml:space="preserve">1,2 </w:t>
      </w:r>
      <w:r>
        <w:rPr>
          <w:vertAlign w:val="superscript"/>
        </w:rPr>
        <w:br/>
      </w:r>
      <w:r>
        <w:t>Ms Katherine Walker</w:t>
      </w:r>
      <w:r>
        <w:rPr>
          <w:vertAlign w:val="superscript"/>
        </w:rPr>
        <w:t xml:space="preserve">1 </w:t>
      </w:r>
      <w:r>
        <w:rPr>
          <w:vertAlign w:val="superscript"/>
        </w:rPr>
        <w:br/>
      </w:r>
      <w:r>
        <w:t>Dr Ann Bull</w:t>
      </w:r>
      <w:r>
        <w:rPr>
          <w:vertAlign w:val="superscript"/>
        </w:rPr>
        <w:t xml:space="preserve">1 </w:t>
      </w:r>
      <w:r>
        <w:rPr>
          <w:vertAlign w:val="superscript"/>
        </w:rPr>
        <w:br/>
      </w:r>
      <w:r>
        <w:t>A/Prof. Noleen Bennett</w:t>
      </w:r>
      <w:r>
        <w:rPr>
          <w:vertAlign w:val="superscript"/>
        </w:rPr>
        <w:t xml:space="preserve">1,2 </w:t>
      </w:r>
    </w:p>
    <w:p w14:paraId="3B6DF1DC" w14:textId="77777777" w:rsidR="00EE59C5" w:rsidRPr="00F52408" w:rsidRDefault="00EE59C5" w:rsidP="00F52408">
      <w:pPr>
        <w:pStyle w:val="ListParagraph"/>
        <w:numPr>
          <w:ilvl w:val="0"/>
          <w:numId w:val="9"/>
        </w:numPr>
        <w:rPr>
          <w:rFonts w:eastAsia="Times New Roman"/>
        </w:rPr>
      </w:pPr>
      <w:r w:rsidRPr="00F52408">
        <w:rPr>
          <w:rFonts w:eastAsia="Times New Roman"/>
        </w:rPr>
        <w:t xml:space="preserve">Victorian Healthcare Associated Infections Surveillance (VICNISS) Coordinating Centre, The Doherty Institute, Melbourne, Victoria, Australia </w:t>
      </w:r>
    </w:p>
    <w:p w14:paraId="03E4540D" w14:textId="77777777" w:rsidR="00EE59C5" w:rsidRPr="00F52408" w:rsidRDefault="00EE59C5" w:rsidP="00F52408">
      <w:pPr>
        <w:pStyle w:val="ListParagraph"/>
        <w:numPr>
          <w:ilvl w:val="0"/>
          <w:numId w:val="9"/>
        </w:numPr>
        <w:rPr>
          <w:rFonts w:eastAsia="Times New Roman"/>
        </w:rPr>
      </w:pPr>
      <w:r w:rsidRPr="00F52408">
        <w:rPr>
          <w:rFonts w:eastAsia="Times New Roman"/>
        </w:rPr>
        <w:t xml:space="preserve">The University of Melbourne, Parkville, Australia </w:t>
      </w:r>
    </w:p>
    <w:p w14:paraId="69792301" w14:textId="77777777" w:rsidR="00EE59C5" w:rsidRPr="00F52408" w:rsidRDefault="00EE59C5" w:rsidP="00F52408">
      <w:pPr>
        <w:pStyle w:val="Heading2"/>
      </w:pPr>
      <w:r w:rsidRPr="00F52408">
        <w:t xml:space="preserve">Corresponding author </w:t>
      </w:r>
    </w:p>
    <w:p w14:paraId="6740C49D" w14:textId="77777777" w:rsidR="00EE59C5" w:rsidRDefault="00EE59C5" w:rsidP="00F52408">
      <w:r>
        <w:t xml:space="preserve">Dr Lyn-li Lim </w:t>
      </w:r>
    </w:p>
    <w:p w14:paraId="27C983EA" w14:textId="533FF21A" w:rsidR="00EE59C5" w:rsidRDefault="00EE59C5" w:rsidP="00F52408">
      <w:r>
        <w:t xml:space="preserve">Infectious Diseases physician, Victorian Healthcare Associated Infections Surveillance (VICNISS) Coordinating Centre, The Doherty Institute, Melbourne, Victoria, Australia </w:t>
      </w:r>
      <w:r w:rsidR="00F00849">
        <w:br/>
      </w:r>
      <w:r>
        <w:t xml:space="preserve">Phone: (03) 9342-9333 </w:t>
      </w:r>
      <w:r w:rsidR="00F00849">
        <w:br/>
      </w:r>
      <w:r>
        <w:t xml:space="preserve">Email: lynli.lim@mh.org.au </w:t>
      </w:r>
    </w:p>
    <w:p w14:paraId="78D66346" w14:textId="77777777" w:rsidR="00EE59C5" w:rsidRPr="00F52408" w:rsidRDefault="00EE59C5" w:rsidP="00F52408">
      <w:pPr>
        <w:pStyle w:val="Heading1"/>
      </w:pPr>
      <w:r w:rsidRPr="00F52408">
        <w:t xml:space="preserve">References </w:t>
      </w:r>
    </w:p>
    <w:p w14:paraId="53AB6845" w14:textId="77777777" w:rsidR="00EE59C5" w:rsidRPr="00FD1DB9" w:rsidRDefault="00EE59C5" w:rsidP="00FD1DB9">
      <w:pPr>
        <w:ind w:left="360"/>
        <w:rPr>
          <w:rFonts w:eastAsia="Times New Roman"/>
        </w:rPr>
      </w:pPr>
      <w:r w:rsidRPr="00FD1DB9">
        <w:rPr>
          <w:rFonts w:eastAsia="Times New Roman"/>
        </w:rPr>
        <w:t xml:space="preserve">Beard F, Hendry A, Macartney K. Influenza vaccination uptake in Australia in 2020: impact of the COVID-19 pandemic? </w:t>
      </w:r>
      <w:r w:rsidRPr="00FD1DB9">
        <w:rPr>
          <w:rStyle w:val="Emphasis"/>
          <w:rFonts w:eastAsia="Times New Roman"/>
          <w:b w:val="0"/>
          <w:bCs w:val="0"/>
        </w:rPr>
        <w:t>Commun Dis Intell (2018)</w:t>
      </w:r>
      <w:r w:rsidRPr="00FD1DB9">
        <w:rPr>
          <w:rFonts w:eastAsia="Times New Roman"/>
        </w:rPr>
        <w:t xml:space="preserve">. 2021;45. doi: https://doi.org/10.33321/cdi.2021.45.10. </w:t>
      </w:r>
    </w:p>
    <w:p w14:paraId="71CBF202" w14:textId="77777777" w:rsidR="00EE59C5" w:rsidRPr="00FD1DB9" w:rsidRDefault="00EE59C5" w:rsidP="00FD1DB9">
      <w:pPr>
        <w:ind w:left="360"/>
        <w:rPr>
          <w:rFonts w:eastAsia="Times New Roman"/>
        </w:rPr>
      </w:pPr>
      <w:r w:rsidRPr="00FD1DB9">
        <w:rPr>
          <w:rFonts w:eastAsia="Times New Roman"/>
        </w:rPr>
        <w:t xml:space="preserve">Australian Technical Advisory Group on Immunisation (ATAGI). Australian Immunisation Handbook. [Internet.] Canberra: Australian Government Department of Health; 2020. [Accessed 23 March 2021.] Available from: https://immunisationhandbook.health. gov.au. </w:t>
      </w:r>
    </w:p>
    <w:p w14:paraId="381039DA" w14:textId="77777777" w:rsidR="00EE59C5" w:rsidRPr="00FD1DB9" w:rsidRDefault="00EE59C5" w:rsidP="00FD1DB9">
      <w:pPr>
        <w:ind w:left="360"/>
        <w:rPr>
          <w:rFonts w:eastAsia="Times New Roman"/>
        </w:rPr>
      </w:pPr>
      <w:r w:rsidRPr="00FD1DB9">
        <w:rPr>
          <w:rFonts w:eastAsia="Times New Roman"/>
        </w:rPr>
        <w:t xml:space="preserve">Ahmed F, Lindley MC, Allred N, Weinbaum CM, Grohskopf L. Effect of influenza vaccination of healthcare personnel on morbidity and mortality among patients: systematic review and grading of evidence. </w:t>
      </w:r>
      <w:r w:rsidRPr="00FD1DB9">
        <w:rPr>
          <w:rStyle w:val="Emphasis"/>
          <w:rFonts w:eastAsia="Times New Roman"/>
          <w:b w:val="0"/>
          <w:bCs w:val="0"/>
        </w:rPr>
        <w:t>Clin Infect Dis</w:t>
      </w:r>
      <w:r w:rsidRPr="00FD1DB9">
        <w:rPr>
          <w:rFonts w:eastAsia="Times New Roman"/>
        </w:rPr>
        <w:t xml:space="preserve">. 2014;58(1):50–7. </w:t>
      </w:r>
    </w:p>
    <w:p w14:paraId="6188353D" w14:textId="77777777" w:rsidR="00EE59C5" w:rsidRPr="00FD1DB9" w:rsidRDefault="00EE59C5" w:rsidP="00FD1DB9">
      <w:pPr>
        <w:ind w:left="360"/>
        <w:rPr>
          <w:rFonts w:eastAsia="Times New Roman"/>
        </w:rPr>
      </w:pPr>
      <w:r w:rsidRPr="00FD1DB9">
        <w:rPr>
          <w:rFonts w:eastAsia="Times New Roman"/>
        </w:rPr>
        <w:t xml:space="preserve">National Health and Medical Research Council (NHMRC). Ethical considerations in quality assurance and evaluation activities. Canberra: NHMRC; 2014. Available from: https://www.nhmrc.gov.au/about-us/resources/ ethical-considerations-quality-assurance-and- evaluation-activities. </w:t>
      </w:r>
    </w:p>
    <w:p w14:paraId="416F4538" w14:textId="77777777" w:rsidR="00EE59C5" w:rsidRPr="00FD1DB9" w:rsidRDefault="00EE59C5" w:rsidP="00FD1DB9">
      <w:pPr>
        <w:ind w:left="360"/>
        <w:rPr>
          <w:rFonts w:eastAsia="Times New Roman"/>
        </w:rPr>
      </w:pPr>
      <w:r w:rsidRPr="00FD1DB9">
        <w:rPr>
          <w:rFonts w:eastAsia="Times New Roman"/>
        </w:rPr>
        <w:t xml:space="preserve">Australian Institute of Health and Welfare (AIHW). </w:t>
      </w:r>
      <w:r w:rsidRPr="00FD1DB9">
        <w:rPr>
          <w:rStyle w:val="Emphasis"/>
          <w:rFonts w:eastAsia="Times New Roman"/>
          <w:b w:val="0"/>
          <w:bCs w:val="0"/>
        </w:rPr>
        <w:t>Australian hospital peer groups</w:t>
      </w:r>
      <w:r w:rsidRPr="00FD1DB9">
        <w:rPr>
          <w:rFonts w:eastAsia="Times New Roman"/>
        </w:rPr>
        <w:t xml:space="preserve">. Health services series no. 66. Cat. no. HSE 170. Canberra: Australian Government, AIHW; 2015. Available from: https://www.aihw.gov.au/reports/hospitals/australian-hospital-peer-groups/summary. </w:t>
      </w:r>
    </w:p>
    <w:p w14:paraId="64BF49F0" w14:textId="77777777" w:rsidR="00EE59C5" w:rsidRPr="00FD1DB9" w:rsidRDefault="00EE59C5" w:rsidP="00FD1DB9">
      <w:pPr>
        <w:ind w:left="360"/>
        <w:rPr>
          <w:rFonts w:eastAsia="Times New Roman"/>
        </w:rPr>
      </w:pPr>
      <w:r w:rsidRPr="00FD1DB9">
        <w:rPr>
          <w:rFonts w:eastAsia="Times New Roman"/>
        </w:rPr>
        <w:t xml:space="preserve">Victorian Government Department of Health and Human Services (DHSS), Doherty Institute. </w:t>
      </w:r>
      <w:r w:rsidRPr="00FD1DB9">
        <w:rPr>
          <w:rStyle w:val="Emphasis"/>
          <w:rFonts w:eastAsia="Times New Roman"/>
          <w:b w:val="0"/>
          <w:bCs w:val="0"/>
        </w:rPr>
        <w:t>Healthcare-associated infection in Victoria: surveillance report for 2018–19</w:t>
      </w:r>
      <w:r w:rsidRPr="00FD1DB9">
        <w:rPr>
          <w:rFonts w:eastAsia="Times New Roman"/>
        </w:rPr>
        <w:t xml:space="preserve">. Victorian Government, DHSS; 2019. [Accessed on 5 May 2021.] Available from: https://www.vicniss.org.au/media/2220/rfq02597-pdi-vicniss-annual-report2019_a4_v12.pdf. </w:t>
      </w:r>
    </w:p>
    <w:p w14:paraId="6E018B6B" w14:textId="44E4AE24" w:rsidR="008B5348" w:rsidRDefault="00EE59C5" w:rsidP="00C83A61">
      <w:pPr>
        <w:ind w:left="360"/>
        <w:rPr>
          <w:rStyle w:val="A10"/>
        </w:rPr>
        <w:sectPr w:rsidR="008B5348"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r w:rsidRPr="00FD1DB9">
        <w:rPr>
          <w:rFonts w:eastAsia="Times New Roman"/>
        </w:rPr>
        <w:t xml:space="preserve">Johnson SA, Wang D, Bennett N, Bull AL, Richards MJ, Worth LJ. Influenza vaccination of Australian healthcare workers: strategies to achieve high uptake. </w:t>
      </w:r>
      <w:r w:rsidRPr="00FD1DB9">
        <w:rPr>
          <w:rStyle w:val="Emphasis"/>
          <w:rFonts w:eastAsia="Times New Roman"/>
          <w:b w:val="0"/>
          <w:bCs w:val="0"/>
        </w:rPr>
        <w:t>Aust N Z J Public Health</w:t>
      </w:r>
      <w:r w:rsidRPr="00FD1DB9">
        <w:rPr>
          <w:rFonts w:eastAsia="Times New Roman"/>
        </w:rPr>
        <w:t>. 2017;41(5):545–6.</w:t>
      </w:r>
      <w:r w:rsidR="008B5348">
        <w:rPr>
          <w:rStyle w:val="A10"/>
        </w:rPr>
        <w:br w:type="page"/>
      </w:r>
    </w:p>
    <w:p w14:paraId="4C4E7FAE"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7A85212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054F6E8" w14:textId="77777777" w:rsidR="000A5F42" w:rsidRPr="000606CC" w:rsidRDefault="000A5F42" w:rsidP="000A5F42">
      <w:pPr>
        <w:pStyle w:val="NoSpacing"/>
        <w:rPr>
          <w:rStyle w:val="URI"/>
          <w:rFonts w:cstheme="minorHAnsi"/>
          <w:sz w:val="20"/>
          <w:szCs w:val="18"/>
        </w:rPr>
      </w:pPr>
    </w:p>
    <w:p w14:paraId="36910F4E"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7604E1D3" w14:textId="77777777" w:rsidR="000A5F42" w:rsidRPr="000606CC" w:rsidRDefault="000A5F42" w:rsidP="000A5F42">
      <w:pPr>
        <w:pStyle w:val="NoSpacing"/>
        <w:rPr>
          <w:rStyle w:val="Strong"/>
          <w:rFonts w:cstheme="minorHAnsi"/>
          <w:sz w:val="20"/>
          <w:szCs w:val="18"/>
        </w:rPr>
      </w:pPr>
    </w:p>
    <w:p w14:paraId="3458483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39D7943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E5CDB5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B5773A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4FC4F05" w14:textId="77777777" w:rsidR="000A5F42" w:rsidRPr="000606CC" w:rsidRDefault="000A5F42" w:rsidP="000A5F42">
      <w:pPr>
        <w:pStyle w:val="NoSpacing"/>
        <w:rPr>
          <w:rStyle w:val="Strong"/>
          <w:rFonts w:cstheme="minorHAnsi"/>
          <w:sz w:val="20"/>
          <w:szCs w:val="18"/>
        </w:rPr>
      </w:pPr>
    </w:p>
    <w:p w14:paraId="2E7030C9" w14:textId="46633EF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10C4AD1" w14:textId="77777777" w:rsidR="000A5F42" w:rsidRPr="000606CC" w:rsidRDefault="000A5F42" w:rsidP="000A5F42">
      <w:pPr>
        <w:pStyle w:val="NoSpacing"/>
        <w:rPr>
          <w:rStyle w:val="Strong"/>
          <w:rFonts w:cstheme="minorHAnsi"/>
          <w:sz w:val="20"/>
          <w:szCs w:val="18"/>
        </w:rPr>
      </w:pPr>
    </w:p>
    <w:p w14:paraId="6F9EE573"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DD56F74" w14:textId="77777777" w:rsidR="000A5F42" w:rsidRPr="000606CC" w:rsidRDefault="000A5F42" w:rsidP="000A5F42">
      <w:pPr>
        <w:pStyle w:val="NoSpacing"/>
        <w:rPr>
          <w:rStyle w:val="Strong"/>
          <w:rFonts w:cstheme="minorHAnsi"/>
          <w:sz w:val="20"/>
          <w:szCs w:val="18"/>
        </w:rPr>
      </w:pPr>
    </w:p>
    <w:p w14:paraId="40218697" w14:textId="098424B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1351357" w14:textId="77777777" w:rsidR="000A5F42" w:rsidRPr="000606CC" w:rsidRDefault="000A5F42" w:rsidP="000A5F42">
      <w:pPr>
        <w:pStyle w:val="NoSpacing"/>
        <w:rPr>
          <w:rStyle w:val="Strong"/>
          <w:rFonts w:cstheme="minorHAnsi"/>
          <w:sz w:val="20"/>
          <w:szCs w:val="18"/>
        </w:rPr>
      </w:pPr>
    </w:p>
    <w:p w14:paraId="4C33CB31" w14:textId="2AA77EFF"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A0707CA" w14:textId="3558C36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AC2CD49" w14:textId="77777777" w:rsidR="000A5F42" w:rsidRPr="000606CC" w:rsidRDefault="000A5F42" w:rsidP="000A5F42">
      <w:pPr>
        <w:pStyle w:val="NoSpacing"/>
        <w:pBdr>
          <w:bottom w:val="single" w:sz="6" w:space="1" w:color="auto"/>
        </w:pBdr>
        <w:rPr>
          <w:rStyle w:val="Strong"/>
          <w:rFonts w:cstheme="minorHAnsi"/>
          <w:sz w:val="12"/>
          <w:szCs w:val="18"/>
        </w:rPr>
      </w:pPr>
    </w:p>
    <w:p w14:paraId="1E4A61EF" w14:textId="77777777" w:rsidR="000A5F42" w:rsidRPr="000606CC" w:rsidRDefault="000A5F42" w:rsidP="000A5F42">
      <w:pPr>
        <w:pStyle w:val="NoSpacing"/>
        <w:rPr>
          <w:rFonts w:cstheme="minorHAnsi"/>
          <w:sz w:val="20"/>
          <w:szCs w:val="18"/>
        </w:rPr>
      </w:pPr>
    </w:p>
    <w:p w14:paraId="269BBD68"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FBDFF5F" w14:textId="77777777" w:rsidR="000A5F42" w:rsidRPr="000606CC" w:rsidRDefault="000A5F42" w:rsidP="000A5F42">
      <w:pPr>
        <w:pStyle w:val="NoSpacing"/>
        <w:rPr>
          <w:rFonts w:cstheme="minorHAnsi"/>
          <w:sz w:val="20"/>
          <w:szCs w:val="18"/>
        </w:rPr>
      </w:pPr>
    </w:p>
    <w:p w14:paraId="76FAA90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0932DF9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FB75A5F" w14:textId="2CE37C57"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812DE28" w14:textId="77777777" w:rsidR="000A5F42" w:rsidRPr="000606CC" w:rsidRDefault="000A5F42" w:rsidP="000A5F42">
      <w:pPr>
        <w:pStyle w:val="NoSpacing"/>
        <w:rPr>
          <w:rFonts w:cstheme="minorHAnsi"/>
          <w:sz w:val="20"/>
          <w:szCs w:val="18"/>
        </w:rPr>
      </w:pPr>
    </w:p>
    <w:p w14:paraId="46E170E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1B46B76" w14:textId="0123A201"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18B742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DF386F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28D44D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096ABC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F4973DF" w14:textId="77777777" w:rsidR="000A5F42" w:rsidRPr="000606CC" w:rsidRDefault="000A5F42" w:rsidP="000A5F42">
      <w:pPr>
        <w:pStyle w:val="NoSpacing"/>
        <w:rPr>
          <w:rStyle w:val="Strong"/>
          <w:rFonts w:cstheme="minorHAnsi"/>
          <w:sz w:val="20"/>
          <w:szCs w:val="18"/>
        </w:rPr>
      </w:pPr>
    </w:p>
    <w:p w14:paraId="5FEF05C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FBDA657" w14:textId="77777777" w:rsidR="000A5F42" w:rsidRPr="000606CC" w:rsidRDefault="000A5F42" w:rsidP="000A5F42">
      <w:pPr>
        <w:pStyle w:val="NoSpacing"/>
        <w:rPr>
          <w:rStyle w:val="Strong"/>
          <w:rFonts w:cstheme="minorHAnsi"/>
          <w:sz w:val="20"/>
          <w:szCs w:val="18"/>
        </w:rPr>
      </w:pPr>
    </w:p>
    <w:p w14:paraId="59A34BE5" w14:textId="0F6297C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8A3666F" w14:textId="77777777" w:rsidR="000A5F42" w:rsidRPr="000606CC" w:rsidRDefault="000A5F42" w:rsidP="000A5F42">
      <w:pPr>
        <w:pStyle w:val="NoSpacing"/>
        <w:rPr>
          <w:rStyle w:val="URI"/>
          <w:rFonts w:cstheme="minorHAnsi"/>
          <w:sz w:val="20"/>
          <w:szCs w:val="18"/>
        </w:rPr>
      </w:pPr>
    </w:p>
    <w:p w14:paraId="5F9D8CC9" w14:textId="5363025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3A2EDA67" w14:textId="77777777" w:rsidR="001B37B8" w:rsidRPr="00E92237" w:rsidRDefault="001B37B8" w:rsidP="001B37B8">
      <w:pPr>
        <w:rPr>
          <w:rFonts w:cs="Myriad Pro"/>
          <w:color w:val="211D1E"/>
          <w:sz w:val="20"/>
          <w:szCs w:val="20"/>
        </w:rPr>
      </w:pPr>
    </w:p>
    <w:sectPr w:rsidR="001B37B8" w:rsidRPr="00E92237" w:rsidSect="002B75A9">
      <w:headerReference w:type="default" r:id="rId20"/>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229CF" w14:textId="77777777" w:rsidR="00522D57" w:rsidRDefault="00522D57" w:rsidP="00E54DBA">
      <w:r>
        <w:separator/>
      </w:r>
    </w:p>
    <w:p w14:paraId="7EDABA25" w14:textId="77777777" w:rsidR="00522D57" w:rsidRDefault="00522D57"/>
    <w:p w14:paraId="28241661" w14:textId="77777777" w:rsidR="00522D57" w:rsidRDefault="00522D57" w:rsidP="008714B0"/>
  </w:endnote>
  <w:endnote w:type="continuationSeparator" w:id="0">
    <w:p w14:paraId="128544C6" w14:textId="77777777" w:rsidR="00522D57" w:rsidRDefault="00522D57" w:rsidP="00E54DBA">
      <w:r>
        <w:continuationSeparator/>
      </w:r>
    </w:p>
    <w:p w14:paraId="1DAC27F0" w14:textId="77777777" w:rsidR="00522D57" w:rsidRDefault="00522D57"/>
    <w:p w14:paraId="7084EB04" w14:textId="77777777" w:rsidR="00522D57" w:rsidRDefault="00522D5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4E36B" w14:textId="33D3E24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D3CED">
      <w:rPr>
        <w:noProof/>
        <w:sz w:val="18"/>
      </w:rPr>
      <w:t>4</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4D3CED">
      <w:rPr>
        <w:noProof/>
        <w:sz w:val="18"/>
      </w:rPr>
      <w:t>4</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730584">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266F2">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266F2">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9326A">
      <w:rPr>
        <w:sz w:val="18"/>
      </w:rPr>
      <w:t>https://doi.org/10.33321/cdi.2021.45.37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9326A">
      <w:rPr>
        <w:sz w:val="18"/>
      </w:rPr>
      <w:t>22/7/2021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12865" w14:textId="62538AC8"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D3CED">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4D3CED">
      <w:rPr>
        <w:noProof/>
        <w:sz w:val="18"/>
      </w:rPr>
      <w:t>4</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730584">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266F2">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266F2">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9326A">
      <w:rPr>
        <w:sz w:val="18"/>
      </w:rPr>
      <w:t>https://doi.org/10.33321/cdi.2021.45.37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C9326A">
      <w:rPr>
        <w:sz w:val="18"/>
      </w:rPr>
      <w:t>22/7/2021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923B5" w14:textId="77777777" w:rsidR="00522D57" w:rsidRDefault="00522D57" w:rsidP="00E54DBA">
      <w:r>
        <w:separator/>
      </w:r>
    </w:p>
  </w:footnote>
  <w:footnote w:type="continuationSeparator" w:id="0">
    <w:p w14:paraId="683616CD" w14:textId="77777777" w:rsidR="00522D57" w:rsidRDefault="00522D57" w:rsidP="00E54DBA">
      <w:r>
        <w:continuationSeparator/>
      </w:r>
    </w:p>
  </w:footnote>
  <w:footnote w:type="continuationNotice" w:id="1">
    <w:p w14:paraId="1D033697" w14:textId="77777777" w:rsidR="00522D57" w:rsidRPr="00224EFF" w:rsidRDefault="00522D57" w:rsidP="00224EFF">
      <w:pPr>
        <w:pStyle w:val="Footer"/>
      </w:pPr>
    </w:p>
  </w:footnote>
  <w:footnote w:id="2">
    <w:p w14:paraId="3661F04F" w14:textId="25CBAE56" w:rsidR="00E70A89" w:rsidRDefault="00E70A89" w:rsidP="00E70A89">
      <w:pPr>
        <w:pStyle w:val="CDIfootnotes"/>
      </w:pPr>
      <w:r>
        <w:rPr>
          <w:rStyle w:val="FootnoteReference"/>
        </w:rPr>
        <w:footnoteRef/>
      </w:r>
      <w:r>
        <w:tab/>
      </w:r>
      <w:r>
        <w:rPr>
          <w:lang w:val="en-GB"/>
        </w:rPr>
        <w:t>Consistent with quality assurance activities defined according to National Health and Medical Research Council recommendations,</w:t>
      </w:r>
      <w:r w:rsidRPr="00DA71F1">
        <w:rPr>
          <w:vertAlign w:val="superscript"/>
          <w:lang w:val="en-GB"/>
        </w:rPr>
        <w:t>4</w:t>
      </w:r>
      <w:r>
        <w:rPr>
          <w:lang w:val="en-GB"/>
        </w:rPr>
        <w:t xml:space="preserve"> non-identifiable aggregate data were collated by participating facilities to support quality improvement initiatives. Ethics approval was therefore not required.</w:t>
      </w:r>
    </w:p>
  </w:footnote>
  <w:footnote w:id="3">
    <w:p w14:paraId="0A8DE5D2" w14:textId="002E3C0C" w:rsidR="00E70A89" w:rsidRDefault="00E70A89" w:rsidP="00E70A89">
      <w:pPr>
        <w:pStyle w:val="CDIfootnotes"/>
        <w:rPr>
          <w:lang w:val="en-GB"/>
        </w:rPr>
      </w:pPr>
      <w:r>
        <w:rPr>
          <w:rStyle w:val="FootnoteReference"/>
        </w:rPr>
        <w:footnoteRef/>
      </w:r>
      <w:r>
        <w:t xml:space="preserve"> </w:t>
      </w:r>
      <w:r>
        <w:tab/>
      </w:r>
      <w:r>
        <w:rPr>
          <w:lang w:val="en-GB"/>
        </w:rPr>
        <w:t>Group 1A were principal referral hospitals (n = 6) with 24-hour emergency departments (ED), intensive care (ICU), coronary care and oncology units, and offered the full breadth of outpatient services; Group 1B hospitals (n = 12) had an ICU and ED and offered an extensive range of surgical services excluding cardiac surgery and neurosurgery; Group 2 hospitals (n = 4) provided a large range of surgical services with some providing obstetric services; many had an ED and some had an ICU; Group 3A hospitals (n = 33) had ≥ 15 acute beds and performed some surgery; Group 3B hospitals (n = 13) had ≤ 15 acute beds and performed some minor surgery; Group 4 were very small hospitals (n = 23) that did not conduct any surgery; and unpeered hospitals (n = 9) only provided specialist services.</w:t>
      </w:r>
    </w:p>
    <w:p w14:paraId="0833D644" w14:textId="00B6526E" w:rsidR="00E70A89" w:rsidRDefault="00E70A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AEE87" w14:textId="5C15FDCF" w:rsidR="00257484" w:rsidRPr="00A153B6" w:rsidRDefault="00522D5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E59C5">
          <w:t>Letter to the editor</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2D30C"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2BC3045" wp14:editId="3894AAB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E4D7A"/>
    <w:multiLevelType w:val="multilevel"/>
    <w:tmpl w:val="F198D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C668A"/>
    <w:multiLevelType w:val="hybridMultilevel"/>
    <w:tmpl w:val="ED183D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C45ADF"/>
    <w:multiLevelType w:val="multilevel"/>
    <w:tmpl w:val="D924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CD2B73"/>
    <w:multiLevelType w:val="hybridMultilevel"/>
    <w:tmpl w:val="1CF89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8"/>
  </w:num>
  <w:num w:numId="6">
    <w:abstractNumId w:val="9"/>
  </w:num>
  <w:num w:numId="7">
    <w:abstractNumId w:val="0"/>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noPunctuationKerning/>
  <w:characterSpacingControl w:val="doNotCompress"/>
  <w:savePreviewPicture/>
  <w:hdrShapeDefaults>
    <o:shapedefaults v:ext="edit" spidmax="204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6F2"/>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13E8A"/>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87EA1"/>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2750E"/>
    <w:rsid w:val="003323BC"/>
    <w:rsid w:val="00346D42"/>
    <w:rsid w:val="00346E11"/>
    <w:rsid w:val="003601C0"/>
    <w:rsid w:val="003635F5"/>
    <w:rsid w:val="00372A88"/>
    <w:rsid w:val="00381A0F"/>
    <w:rsid w:val="003A1B3A"/>
    <w:rsid w:val="003A40F5"/>
    <w:rsid w:val="003B5B8C"/>
    <w:rsid w:val="003D79B1"/>
    <w:rsid w:val="003E37E8"/>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4D3CED"/>
    <w:rsid w:val="00510EAC"/>
    <w:rsid w:val="00522573"/>
    <w:rsid w:val="00522D57"/>
    <w:rsid w:val="005266F2"/>
    <w:rsid w:val="00542A57"/>
    <w:rsid w:val="00565974"/>
    <w:rsid w:val="005732C0"/>
    <w:rsid w:val="0057336D"/>
    <w:rsid w:val="0057489A"/>
    <w:rsid w:val="00574ACF"/>
    <w:rsid w:val="00581588"/>
    <w:rsid w:val="0058540B"/>
    <w:rsid w:val="00587C87"/>
    <w:rsid w:val="00590B80"/>
    <w:rsid w:val="0059767E"/>
    <w:rsid w:val="005B3134"/>
    <w:rsid w:val="005B4E61"/>
    <w:rsid w:val="005B595A"/>
    <w:rsid w:val="005B66C2"/>
    <w:rsid w:val="005C66A6"/>
    <w:rsid w:val="005D2465"/>
    <w:rsid w:val="005E33DD"/>
    <w:rsid w:val="005E4229"/>
    <w:rsid w:val="005E540E"/>
    <w:rsid w:val="005E55FB"/>
    <w:rsid w:val="005F16BB"/>
    <w:rsid w:val="005F51F0"/>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06B99"/>
    <w:rsid w:val="0071048D"/>
    <w:rsid w:val="00710F86"/>
    <w:rsid w:val="007111A8"/>
    <w:rsid w:val="00730584"/>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160B"/>
    <w:rsid w:val="009E2423"/>
    <w:rsid w:val="009E55D7"/>
    <w:rsid w:val="009F4150"/>
    <w:rsid w:val="009F5665"/>
    <w:rsid w:val="009F5DAD"/>
    <w:rsid w:val="00A01BCA"/>
    <w:rsid w:val="00A10458"/>
    <w:rsid w:val="00A153B6"/>
    <w:rsid w:val="00A1581B"/>
    <w:rsid w:val="00A164D5"/>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3A61"/>
    <w:rsid w:val="00C9326A"/>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6F9A"/>
    <w:rsid w:val="00D47D22"/>
    <w:rsid w:val="00D51865"/>
    <w:rsid w:val="00D51D0C"/>
    <w:rsid w:val="00D61F9A"/>
    <w:rsid w:val="00D70A14"/>
    <w:rsid w:val="00D74140"/>
    <w:rsid w:val="00D9636B"/>
    <w:rsid w:val="00DA500F"/>
    <w:rsid w:val="00DA6E56"/>
    <w:rsid w:val="00DA71F1"/>
    <w:rsid w:val="00DC24E5"/>
    <w:rsid w:val="00DC54F4"/>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70A89"/>
    <w:rsid w:val="00E92237"/>
    <w:rsid w:val="00E951EF"/>
    <w:rsid w:val="00EA3D54"/>
    <w:rsid w:val="00EA56D9"/>
    <w:rsid w:val="00EA5CE3"/>
    <w:rsid w:val="00EB51C1"/>
    <w:rsid w:val="00EB5AE1"/>
    <w:rsid w:val="00EB5E0B"/>
    <w:rsid w:val="00EC2171"/>
    <w:rsid w:val="00ED442D"/>
    <w:rsid w:val="00ED70C2"/>
    <w:rsid w:val="00EE18FF"/>
    <w:rsid w:val="00EE489F"/>
    <w:rsid w:val="00EE59C5"/>
    <w:rsid w:val="00F00849"/>
    <w:rsid w:val="00F0647F"/>
    <w:rsid w:val="00F10CE3"/>
    <w:rsid w:val="00F14F3B"/>
    <w:rsid w:val="00F16362"/>
    <w:rsid w:val="00F207C7"/>
    <w:rsid w:val="00F36B6D"/>
    <w:rsid w:val="00F43FA3"/>
    <w:rsid w:val="00F52408"/>
    <w:rsid w:val="00F5466A"/>
    <w:rsid w:val="00F55648"/>
    <w:rsid w:val="00F70046"/>
    <w:rsid w:val="00F748C2"/>
    <w:rsid w:val="00F76C5C"/>
    <w:rsid w:val="00F81EF3"/>
    <w:rsid w:val="00F84496"/>
    <w:rsid w:val="00F85DCB"/>
    <w:rsid w:val="00F86F9C"/>
    <w:rsid w:val="00F90D76"/>
    <w:rsid w:val="00FA0041"/>
    <w:rsid w:val="00FC002E"/>
    <w:rsid w:val="00FC4C23"/>
    <w:rsid w:val="00FC642E"/>
    <w:rsid w:val="00FD1DB9"/>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81A74"/>
  <w15:docId w15:val="{386B1B70-2E20-415F-A981-D3F19B9D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7C0341-EC9C-4F6D-BDFD-89435764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18</TotalTime>
  <Pages>4</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Communicable Diseases Intelligence 2021 - High influenza vaccination uptake in Victorian healthcare workers in 2020</vt:lpstr>
    </vt:vector>
  </TitlesOfParts>
  <Company>Australian Government, Department of Health</Company>
  <LinksUpToDate>false</LinksUpToDate>
  <CharactersWithSpaces>10600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High influenza vaccination uptake in Victorian healthcare workers in 2020</dc:title>
  <dc:subject>A high overall uptake of healthcare worker influenza vaccination was achieved Victorian healthcare facilities in 2020, with substantial uptake achieved within six weeks of the vaccination campaign.</dc:subject>
  <dc:creator>Lyn-li Lim;Alex J Hoskins;Leon J Worth;Katherine C Walker;Ann L Bull;Noleen Bennett</dc:creator>
  <dc:description>© Commonwealth of Australia CC BY-NC-ND ISSN: 2209-6051 (Online)</dc:description>
  <cp:lastModifiedBy>YOUSEFI, Kasra</cp:lastModifiedBy>
  <cp:revision>7</cp:revision>
  <cp:lastPrinted>2018-05-10T02:19:00Z</cp:lastPrinted>
  <dcterms:created xsi:type="dcterms:W3CDTF">2021-06-24T00:40:00Z</dcterms:created>
  <dcterms:modified xsi:type="dcterms:W3CDTF">2021-07-21T05:41:00Z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22/7/2021</vt:lpwstr>
  </property>
  <property fmtid="{D5CDD505-2E9C-101B-9397-08002B2CF9AE}" pid="5" name="DOI">
    <vt:lpwstr>https://doi.org/10.33321/cdi.2021.45.37</vt:lpwstr>
  </property>
</Properties>
</file>