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D3708" w14:textId="663D1361" w:rsidR="00D22CC8" w:rsidRPr="00B85B74" w:rsidRDefault="007F7B26" w:rsidP="00700338">
      <w:pPr>
        <w:pStyle w:val="CDIPublicationstring"/>
      </w:pPr>
      <w:r w:rsidRPr="00B85B74">
        <w:rPr>
          <w:noProof/>
        </w:rPr>
        <w:drawing>
          <wp:anchor distT="0" distB="0" distL="114300" distR="114300" simplePos="0" relativeHeight="251658240" behindDoc="1" locked="1" layoutInCell="1" allowOverlap="1" wp14:anchorId="39094F23" wp14:editId="70B3665E">
            <wp:simplePos x="0" y="0"/>
            <wp:positionH relativeFrom="page">
              <wp:align>left</wp:align>
            </wp:positionH>
            <wp:positionV relativeFrom="page">
              <wp:align>top</wp:align>
            </wp:positionV>
            <wp:extent cx="7559675" cy="10690860"/>
            <wp:effectExtent l="0" t="0" r="3175" b="0"/>
            <wp:wrapNone/>
            <wp:docPr id="632511823" name="Picture 1" descr="Dark blue shape displaying the logo of Communicable Diseases Intelligence. White and light blue shapes feature a lockup of the logo of the Australian Centre for Disease Control alongside the Commonwealth 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11823" name="Picture 1" descr="Dark blue shape displaying the logo of Communicable Diseases Intelligence. White and light blue shapes feature a lockup of the logo of the Australian Centre for Disease Control alongside the Commonwealth Coat of Arms."/>
                    <pic:cNvPicPr/>
                  </pic:nvPicPr>
                  <pic:blipFill>
                    <a:blip r:embed="rId9">
                      <a:extLst>
                        <a:ext uri="{28A0092B-C50C-407E-A947-70E740481C1C}">
                          <a14:useLocalDpi xmlns:a14="http://schemas.microsoft.com/office/drawing/2010/main" val="0"/>
                        </a:ext>
                      </a:extLst>
                    </a:blip>
                    <a:stretch>
                      <a:fillRect/>
                    </a:stretch>
                  </pic:blipFill>
                  <pic:spPr>
                    <a:xfrm>
                      <a:off x="0" y="0"/>
                      <a:ext cx="7559997" cy="10690952"/>
                    </a:xfrm>
                    <a:prstGeom prst="rect">
                      <a:avLst/>
                    </a:prstGeom>
                  </pic:spPr>
                </pic:pic>
              </a:graphicData>
            </a:graphic>
            <wp14:sizeRelH relativeFrom="margin">
              <wp14:pctWidth>0</wp14:pctWidth>
            </wp14:sizeRelH>
            <wp14:sizeRelV relativeFrom="margin">
              <wp14:pctHeight>0</wp14:pctHeight>
            </wp14:sizeRelV>
          </wp:anchor>
        </w:drawing>
      </w:r>
      <w:fldSimple w:instr=" DOCPROPERTY  Year  \* MERGEFORMAT ">
        <w:r w:rsidR="005706E8">
          <w:t>2026</w:t>
        </w:r>
      </w:fldSimple>
      <w:r w:rsidR="00D22CC8" w:rsidRPr="00B85B74">
        <w:t xml:space="preserve"> • Volume </w:t>
      </w:r>
      <w:fldSimple w:instr=" DOCPROPERTY  Vol  \* MERGEFORMAT ">
        <w:r w:rsidR="005706E8">
          <w:t>50</w:t>
        </w:r>
      </w:fldSimple>
      <w:r w:rsidR="00700338">
        <w:t xml:space="preserve"> </w:t>
      </w:r>
      <w:r w:rsidR="00700338" w:rsidRPr="00E15CF6">
        <w:t xml:space="preserve">• </w:t>
      </w:r>
      <w:hyperlink r:id="rId10" w:history="1">
        <w:r w:rsidR="00700338" w:rsidRPr="00E15CF6">
          <w:t>cdc.gov.au/cdi</w:t>
        </w:r>
      </w:hyperlink>
      <w:r w:rsidR="00D22CC8" w:rsidRPr="00B85B74">
        <w:t xml:space="preserve"> •</w:t>
      </w:r>
      <w:r w:rsidR="00700338">
        <w:t xml:space="preserve"> </w:t>
      </w:r>
      <w:r w:rsidR="00700338" w:rsidRPr="00B85B74">
        <w:t xml:space="preserve">Epub </w:t>
      </w:r>
      <w:r w:rsidR="00700338" w:rsidRPr="00D32A59">
        <w:t>date</w:t>
      </w:r>
      <w:r w:rsidR="00700338" w:rsidRPr="00B85B74">
        <w:t xml:space="preserve">: </w:t>
      </w:r>
      <w:fldSimple w:instr=" DOCPROPERTY  ePubDate  \* MERGEFORMAT ">
        <w:r w:rsidR="00FF6037">
          <w:t>29.09.2026</w:t>
        </w:r>
      </w:fldSimple>
      <w:r w:rsidR="00700338">
        <w:t xml:space="preserve"> </w:t>
      </w:r>
      <w:r w:rsidR="00700338" w:rsidRPr="00B85B74">
        <w:t xml:space="preserve">• </w:t>
      </w:r>
      <w:fldSimple w:instr=" DOCPROPERTY  DOI  \* MERGEFORMAT ">
        <w:r w:rsidR="00FF6037">
          <w:t>doi.org/10.33321/cdi.2026.50.062</w:t>
        </w:r>
      </w:fldSimple>
    </w:p>
    <w:p w14:paraId="128502A7" w14:textId="2E4299BA" w:rsidR="006B16A5" w:rsidRPr="00142578" w:rsidRDefault="00FF6037" w:rsidP="00CE2CC7">
      <w:pPr>
        <w:pStyle w:val="Title"/>
      </w:pPr>
      <w:r w:rsidRPr="00FF6037">
        <w:t>Multiple outbreaks of norovirus caused by persistent transmission in a hospitality setting in Victoria, Australia, 2023</w:t>
      </w:r>
    </w:p>
    <w:p w14:paraId="13C384DB" w14:textId="79A1D71B" w:rsidR="00013B65" w:rsidRDefault="00FF6037" w:rsidP="00BB3320">
      <w:pPr>
        <w:pStyle w:val="Subtitle"/>
      </w:pPr>
      <w:r w:rsidRPr="00FF6037">
        <w:t>Michelle Renwick, Jim Adamopoulos, Sally Atkinson, Jane McAllister, Maria</w:t>
      </w:r>
      <w:r>
        <w:t> </w:t>
      </w:r>
      <w:r w:rsidRPr="00FF6037">
        <w:t>McQuinn, Anastasia Stylianopoulos, Leesa Bruggink, Simon Crouch, Rhonda L Stuart, Shaun P Coutts</w:t>
      </w:r>
      <w:r w:rsidR="00013B65">
        <w:br w:type="page"/>
      </w:r>
    </w:p>
    <w:p w14:paraId="4ECC8446" w14:textId="77777777" w:rsidR="00B52457" w:rsidRPr="0089025E" w:rsidRDefault="00B52457" w:rsidP="00087CC4">
      <w:pPr>
        <w:pStyle w:val="CDICopyright"/>
      </w:pPr>
      <w:bookmarkStart w:id="0" w:name="_Hlk185172676"/>
      <w:r w:rsidRPr="0089025E">
        <w:lastRenderedPageBreak/>
        <w:t xml:space="preserve">© </w:t>
      </w:r>
      <w:fldSimple w:instr=" DOCPROPERTY  Year  \* MERGEFORMAT ">
        <w:r w:rsidR="005706E8">
          <w:t>2026</w:t>
        </w:r>
      </w:fldSimple>
      <w:r w:rsidRPr="0089025E">
        <w:t xml:space="preserve"> Commonwealth of Australia as represented by the </w:t>
      </w:r>
      <w:r w:rsidR="00C722FD">
        <w:t>Australian Centre for Disease Control</w:t>
      </w:r>
    </w:p>
    <w:p w14:paraId="16FB4C8C" w14:textId="77777777" w:rsidR="00B52457" w:rsidRPr="0089025E" w:rsidRDefault="00B52457" w:rsidP="00087CC4">
      <w:pPr>
        <w:pStyle w:val="CDICopyright"/>
      </w:pPr>
      <w:r w:rsidRPr="0089025E">
        <w:t>ISSN: 2209-6051 Online</w:t>
      </w:r>
    </w:p>
    <w:p w14:paraId="41B4458A" w14:textId="77777777" w:rsidR="00B52457" w:rsidRDefault="00B52457" w:rsidP="00087CC4">
      <w:pPr>
        <w:pStyle w:val="CDICopyright"/>
      </w:pPr>
      <w:r w:rsidRPr="0089025E">
        <w:t>This journal is indexed by Index Medicus and Medline.</w:t>
      </w:r>
    </w:p>
    <w:p w14:paraId="3BDC9F31" w14:textId="77777777" w:rsidR="00B52457" w:rsidRPr="007F2B27" w:rsidRDefault="00B52457" w:rsidP="00CC3648">
      <w:pPr>
        <w:pStyle w:val="CDICopyrightHeading"/>
      </w:pPr>
      <w:r w:rsidRPr="007F2B27">
        <w:t>Creative Commons Licence</w:t>
      </w:r>
    </w:p>
    <w:p w14:paraId="19D3EF66" w14:textId="77777777" w:rsidR="00B52457" w:rsidRPr="0089025E" w:rsidRDefault="00B52457" w:rsidP="007F2B27">
      <w:pPr>
        <w:pStyle w:val="CDICopyright"/>
      </w:pPr>
      <w:r w:rsidRPr="0089025E">
        <w:t xml:space="preserve">This publication is licensed under a Creative Commons </w:t>
      </w:r>
      <w:hyperlink r:id="rId11" w:history="1">
        <w:r w:rsidRPr="0022524E">
          <w:rPr>
            <w:rStyle w:val="Hyperlink"/>
          </w:rPr>
          <w:t>Attribution-NonCommercial-NoDerivatives 4.0 International Licence</w:t>
        </w:r>
      </w:hyperlink>
      <w:r w:rsidRPr="0089025E">
        <w:t xml:space="preserve"> (Licence). You</w:t>
      </w:r>
      <w:r w:rsidR="0022524E">
        <w:t xml:space="preserve"> </w:t>
      </w:r>
      <w:r w:rsidRPr="0089025E">
        <w:t>must read and understand the Licence before using any material from this publication.</w:t>
      </w:r>
    </w:p>
    <w:bookmarkEnd w:id="0"/>
    <w:p w14:paraId="7293D24D" w14:textId="77777777" w:rsidR="00B52457" w:rsidRPr="007F2B27" w:rsidRDefault="00B52457" w:rsidP="00CC3648">
      <w:pPr>
        <w:pStyle w:val="CDICopyrightHeading"/>
      </w:pPr>
      <w:r w:rsidRPr="007F2B27">
        <w:t>Restrictions</w:t>
      </w:r>
    </w:p>
    <w:p w14:paraId="2BF7C14B" w14:textId="77777777" w:rsidR="00B52457" w:rsidRPr="0089025E" w:rsidRDefault="00B52457" w:rsidP="007F2B27">
      <w:pPr>
        <w:pStyle w:val="CDICopyright"/>
      </w:pPr>
      <w:r w:rsidRPr="0089025E">
        <w:t xml:space="preserve">The Licence does not cover, and there is no permission given for, use of any of the following material found in this publication (if </w:t>
      </w:r>
      <w:r w:rsidRPr="00B52457">
        <w:t>any</w:t>
      </w:r>
      <w:r w:rsidRPr="0089025E">
        <w:t xml:space="preserve">): </w:t>
      </w:r>
    </w:p>
    <w:p w14:paraId="5ABF34AF" w14:textId="77777777" w:rsidR="00B52457" w:rsidRPr="00E9313B" w:rsidRDefault="00B52457" w:rsidP="00E9313B">
      <w:pPr>
        <w:pStyle w:val="CDICopyrightBullets"/>
      </w:pPr>
      <w:r w:rsidRPr="006C7D54">
        <w:t xml:space="preserve">the </w:t>
      </w:r>
      <w:r w:rsidRPr="00E9313B">
        <w:t>Commonwealth Coat of Arms (by way of information, the terms under which the Coat of Arms may be used can be found on the Department of Prime Minister and Cabinet website</w:t>
      </w:r>
      <w:r w:rsidR="00C722FD">
        <w:t>)</w:t>
      </w:r>
      <w:r w:rsidRPr="00E9313B">
        <w:t>;</w:t>
      </w:r>
    </w:p>
    <w:p w14:paraId="745500A0" w14:textId="77777777" w:rsidR="00B52457" w:rsidRPr="003C23C9" w:rsidRDefault="0022524E" w:rsidP="00E9313B">
      <w:pPr>
        <w:pStyle w:val="CDICopyrightBullets"/>
      </w:pPr>
      <w:r w:rsidRPr="0022524E">
        <w:t>any logos (including the Australian Centre for Disease Control’s logo) and trademarks</w:t>
      </w:r>
      <w:r w:rsidR="00B52457" w:rsidRPr="003C23C9">
        <w:t>;</w:t>
      </w:r>
    </w:p>
    <w:p w14:paraId="7C05FF45" w14:textId="77777777" w:rsidR="00B52457" w:rsidRPr="00E9313B" w:rsidRDefault="00B52457" w:rsidP="00E9313B">
      <w:pPr>
        <w:pStyle w:val="CDICopyrightBullets"/>
      </w:pPr>
      <w:r w:rsidRPr="00E9313B">
        <w:t xml:space="preserve">any photographs and images; </w:t>
      </w:r>
    </w:p>
    <w:p w14:paraId="0D1EF1BB" w14:textId="77777777" w:rsidR="00B52457" w:rsidRPr="00E9313B" w:rsidRDefault="00B52457" w:rsidP="00E9313B">
      <w:pPr>
        <w:pStyle w:val="CDICopyrightBullets"/>
      </w:pPr>
      <w:r w:rsidRPr="00E9313B">
        <w:t>any signatures; and</w:t>
      </w:r>
    </w:p>
    <w:p w14:paraId="772C498E" w14:textId="77777777" w:rsidR="00B52457" w:rsidRPr="003C23C9" w:rsidRDefault="00B52457" w:rsidP="00E9313B">
      <w:pPr>
        <w:pStyle w:val="CDICopyrightBullets"/>
      </w:pPr>
      <w:r w:rsidRPr="00E9313B">
        <w:t>any</w:t>
      </w:r>
      <w:r w:rsidRPr="003C23C9">
        <w:t xml:space="preserve"> material belonging to third parties.</w:t>
      </w:r>
    </w:p>
    <w:p w14:paraId="790EB662" w14:textId="77777777" w:rsidR="00B52457" w:rsidRPr="00CC3648" w:rsidRDefault="00B52457" w:rsidP="00CC3648">
      <w:pPr>
        <w:pStyle w:val="CDICopyrightHeading"/>
      </w:pPr>
      <w:r w:rsidRPr="00CC3648">
        <w:t>Disclaimer</w:t>
      </w:r>
    </w:p>
    <w:p w14:paraId="4477B9B9" w14:textId="77777777" w:rsidR="00B52457" w:rsidRPr="0089025E" w:rsidRDefault="00B52457" w:rsidP="007F2B27">
      <w:pPr>
        <w:pStyle w:val="CDICopyright"/>
      </w:pPr>
      <w:r w:rsidRPr="0089025E">
        <w:t xml:space="preserve">Opinions expressed in </w:t>
      </w:r>
      <w:r w:rsidRPr="00682E53">
        <w:rPr>
          <w:i/>
          <w:iCs/>
        </w:rPr>
        <w:t>Communicable Diseases Intelligence</w:t>
      </w:r>
      <w:r>
        <w:t xml:space="preserve"> </w:t>
      </w:r>
      <w:r w:rsidRPr="0089025E">
        <w:t xml:space="preserve">are those of the authors and not necessarily those of </w:t>
      </w:r>
      <w:r w:rsidR="0022524E" w:rsidRPr="0022524E">
        <w:t>the Australian Government</w:t>
      </w:r>
      <w:r w:rsidR="00C722FD">
        <w:t xml:space="preserve"> or </w:t>
      </w:r>
      <w:r w:rsidR="0022524E" w:rsidRPr="0022524E">
        <w:t>the Australian Centre for Disease Control</w:t>
      </w:r>
      <w:r w:rsidRPr="0089025E">
        <w:t>. Data may be subject to revision.</w:t>
      </w:r>
    </w:p>
    <w:p w14:paraId="401CCC3E" w14:textId="77777777" w:rsidR="00B52457" w:rsidRPr="007F2B27" w:rsidRDefault="00B52457" w:rsidP="00CC3648">
      <w:pPr>
        <w:pStyle w:val="CDICopyrightHeading"/>
      </w:pPr>
      <w:r w:rsidRPr="007F2B27">
        <w:t>Enquiries</w:t>
      </w:r>
    </w:p>
    <w:p w14:paraId="2BD43ECA" w14:textId="77777777" w:rsidR="00B52457" w:rsidRPr="00863F8D" w:rsidRDefault="00B52457" w:rsidP="007F2B27">
      <w:pPr>
        <w:pStyle w:val="CDICopyright"/>
      </w:pPr>
      <w:r w:rsidRPr="00863F8D">
        <w:t xml:space="preserve">Enquiries </w:t>
      </w:r>
      <w:r w:rsidRPr="00B52457">
        <w:t>regarding</w:t>
      </w:r>
      <w:r w:rsidRPr="00863F8D">
        <w:t xml:space="preserve"> any other use of this publication should be addressed to the </w:t>
      </w:r>
      <w:r w:rsidR="007B537E" w:rsidRPr="00FA6E06">
        <w:t>CDI Editor</w:t>
      </w:r>
      <w:r w:rsidR="00E9313B">
        <w:t>.</w:t>
      </w:r>
    </w:p>
    <w:p w14:paraId="0879A42D" w14:textId="77777777" w:rsidR="00B52457" w:rsidRPr="00A65DFA" w:rsidRDefault="00B52457" w:rsidP="00B52457">
      <w:pPr>
        <w:pStyle w:val="CDIAbout"/>
      </w:pPr>
      <w:bookmarkStart w:id="1" w:name="_Toc190257376"/>
      <w:r>
        <w:t xml:space="preserve">About </w:t>
      </w:r>
      <w:bookmarkEnd w:id="1"/>
      <w:r w:rsidR="0022524E">
        <w:t>CDI</w:t>
      </w:r>
    </w:p>
    <w:p w14:paraId="3D9C0F31" w14:textId="77777777" w:rsidR="00B52457" w:rsidRDefault="009572C6" w:rsidP="0022524E">
      <w:pPr>
        <w:pStyle w:val="CDIAbouttextLess"/>
      </w:pPr>
      <w:r w:rsidRPr="009572C6">
        <w:rPr>
          <w:i/>
          <w:iCs/>
        </w:rPr>
        <w:t xml:space="preserve">Communicable Diseases Intelligence </w:t>
      </w:r>
      <w:r w:rsidRPr="009572C6">
        <w:t>(CDI) is a peer-reviewed scientific journal published by the Australian Centre for Disease Control.</w:t>
      </w:r>
    </w:p>
    <w:p w14:paraId="26FF9129" w14:textId="77777777" w:rsidR="009572C6" w:rsidRDefault="009572C6" w:rsidP="00C722FD">
      <w:pPr>
        <w:pStyle w:val="CDIAbouttextLess"/>
        <w:spacing w:before="120"/>
      </w:pPr>
      <w:r w:rsidRPr="009572C6">
        <w:t>The journal aims to disseminate information on the epidemiology, surveillance, prevention and control of communicable diseases of relevance to Australia and the near region.</w:t>
      </w:r>
    </w:p>
    <w:p w14:paraId="35709AE0" w14:textId="77777777" w:rsidR="00B52457" w:rsidRPr="00D8087F" w:rsidRDefault="00B52457" w:rsidP="00D8087F">
      <w:pPr>
        <w:pStyle w:val="CDIAbouttext"/>
      </w:pPr>
      <w:r w:rsidRPr="00D8087F">
        <w:rPr>
          <w:b/>
          <w:bCs/>
        </w:rPr>
        <w:t>Editor</w:t>
      </w:r>
      <w:r w:rsidRPr="00D8087F">
        <w:t xml:space="preserve">: </w:t>
      </w:r>
      <w:r w:rsidR="00A53F60">
        <w:t xml:space="preserve">Dr </w:t>
      </w:r>
      <w:r w:rsidR="00AC69D8">
        <w:t>Elise Firman</w:t>
      </w:r>
      <w:r w:rsidRPr="00D8087F">
        <w:t xml:space="preserve"> </w:t>
      </w:r>
      <w:r w:rsidRPr="00B87589">
        <w:t>•</w:t>
      </w:r>
      <w:r w:rsidRPr="00D8087F">
        <w:t xml:space="preserve"> </w:t>
      </w:r>
      <w:r w:rsidRPr="00D8087F">
        <w:rPr>
          <w:b/>
          <w:bCs/>
        </w:rPr>
        <w:t>Deputy Editor</w:t>
      </w:r>
      <w:r w:rsidRPr="00D8087F">
        <w:t xml:space="preserve">: Simon Petrie </w:t>
      </w:r>
      <w:r w:rsidRPr="00B87589">
        <w:t>•</w:t>
      </w:r>
      <w:r w:rsidRPr="00D8087F">
        <w:t xml:space="preserve"> </w:t>
      </w:r>
      <w:r w:rsidRPr="00D8087F">
        <w:rPr>
          <w:b/>
          <w:bCs/>
        </w:rPr>
        <w:t>Design and Production</w:t>
      </w:r>
      <w:r w:rsidRPr="00D8087F">
        <w:t>: Lisa Thompson</w:t>
      </w:r>
    </w:p>
    <w:p w14:paraId="3BF25A11" w14:textId="77777777" w:rsidR="00B52457" w:rsidRPr="00D8087F" w:rsidRDefault="00B52457" w:rsidP="00D8087F">
      <w:pPr>
        <w:pStyle w:val="CDIAbouttext"/>
      </w:pPr>
      <w:r w:rsidRPr="00FA6E06">
        <w:rPr>
          <w:b/>
          <w:bCs/>
        </w:rPr>
        <w:t>Editorial Advisory Board</w:t>
      </w:r>
      <w:r w:rsidRPr="00D8087F">
        <w:t>: David Durrheim, Mark Ferson, Clare Huppatz, John Kaldor, Martyn Kirk and Meru Sheel</w:t>
      </w:r>
    </w:p>
    <w:p w14:paraId="5B761E15" w14:textId="77777777" w:rsidR="00B52457" w:rsidRPr="00B87589" w:rsidRDefault="00B52457" w:rsidP="00B87589">
      <w:pPr>
        <w:pStyle w:val="CDIAbouttext"/>
        <w:rPr>
          <w:b/>
          <w:bCs/>
        </w:rPr>
      </w:pPr>
      <w:r w:rsidRPr="00B87589">
        <w:rPr>
          <w:b/>
          <w:bCs/>
        </w:rPr>
        <w:t xml:space="preserve">Submit an </w:t>
      </w:r>
      <w:proofErr w:type="gramStart"/>
      <w:r w:rsidRPr="00B87589">
        <w:rPr>
          <w:b/>
          <w:bCs/>
        </w:rPr>
        <w:t>Article</w:t>
      </w:r>
      <w:proofErr w:type="gramEnd"/>
    </w:p>
    <w:p w14:paraId="5D6CF8A6" w14:textId="77777777" w:rsidR="00B52457" w:rsidRPr="0089025E" w:rsidRDefault="009572C6" w:rsidP="00CC3648">
      <w:pPr>
        <w:pStyle w:val="CDIAbouttextLess"/>
      </w:pPr>
      <w:r w:rsidRPr="00FA6E06">
        <w:t>Guidelines for authors</w:t>
      </w:r>
      <w:r w:rsidRPr="009572C6">
        <w:t xml:space="preserve"> and details on how to submit your publication is available on our website, or by email to the</w:t>
      </w:r>
      <w:r>
        <w:br/>
      </w:r>
      <w:r w:rsidR="00FD7AA0" w:rsidRPr="00FA6E06">
        <w:t>CDI Editor</w:t>
      </w:r>
      <w:r w:rsidR="00FD7AA0">
        <w:t>.</w:t>
      </w:r>
    </w:p>
    <w:p w14:paraId="388BDD29" w14:textId="77777777" w:rsidR="00B52457" w:rsidRPr="00B87589" w:rsidRDefault="00B52457" w:rsidP="00B87589">
      <w:pPr>
        <w:pStyle w:val="CDIAbouttext"/>
        <w:rPr>
          <w:b/>
          <w:bCs/>
        </w:rPr>
      </w:pPr>
      <w:r w:rsidRPr="00B87589">
        <w:rPr>
          <w:b/>
          <w:bCs/>
        </w:rPr>
        <w:t>Contact us</w:t>
      </w:r>
    </w:p>
    <w:p w14:paraId="68B0341A" w14:textId="77777777" w:rsidR="00B52457" w:rsidRPr="00087CC4" w:rsidRDefault="00B52457" w:rsidP="00360B3A">
      <w:pPr>
        <w:pStyle w:val="CDIAbouttextLess"/>
      </w:pPr>
      <w:r w:rsidRPr="009572C6">
        <w:t>Communicable Diseases Intelligence</w:t>
      </w:r>
      <w:r w:rsidRPr="00087CC4">
        <w:t xml:space="preserve"> (CDI)</w:t>
      </w:r>
    </w:p>
    <w:p w14:paraId="4ACBAADA" w14:textId="77777777" w:rsidR="00B52457" w:rsidRPr="00087CC4" w:rsidRDefault="009572C6" w:rsidP="00360B3A">
      <w:pPr>
        <w:pStyle w:val="CDIAbouttextLess"/>
      </w:pPr>
      <w:r>
        <w:t>Australian Centre for Disease Control</w:t>
      </w:r>
    </w:p>
    <w:p w14:paraId="02664C22" w14:textId="77777777" w:rsidR="00B52457" w:rsidRPr="0089025E" w:rsidRDefault="00B52457" w:rsidP="00360B3A">
      <w:pPr>
        <w:pStyle w:val="CDIAbouttextLess"/>
      </w:pPr>
      <w:r w:rsidRPr="00087CC4">
        <w:t xml:space="preserve">PO Box </w:t>
      </w:r>
      <w:r w:rsidR="0010368E">
        <w:t>79</w:t>
      </w:r>
      <w:r w:rsidR="004E5D74">
        <w:t>5</w:t>
      </w:r>
      <w:r w:rsidRPr="00087CC4">
        <w:t>, C</w:t>
      </w:r>
      <w:r w:rsidR="004E5D74">
        <w:t>anberra</w:t>
      </w:r>
      <w:r w:rsidRPr="0089025E">
        <w:t xml:space="preserve"> ACT 2601</w:t>
      </w:r>
      <w:r w:rsidR="004E5D74">
        <w:t>, Australia</w:t>
      </w:r>
    </w:p>
    <w:p w14:paraId="29836D26" w14:textId="77777777" w:rsidR="00B52457" w:rsidRDefault="00B52457" w:rsidP="00360B3A">
      <w:pPr>
        <w:pStyle w:val="CDIAbouttextLess"/>
      </w:pPr>
      <w:r w:rsidRPr="0089025E">
        <w:t xml:space="preserve">Website: </w:t>
      </w:r>
      <w:hyperlink r:id="rId12" w:history="1">
        <w:r w:rsidR="00C735E0">
          <w:rPr>
            <w:rStyle w:val="Hyperlink"/>
          </w:rPr>
          <w:t>cdc.gov.au/cdi</w:t>
        </w:r>
      </w:hyperlink>
    </w:p>
    <w:p w14:paraId="31FF1882" w14:textId="77777777" w:rsidR="00B52457" w:rsidRPr="0089025E" w:rsidRDefault="00B52457" w:rsidP="00360B3A">
      <w:pPr>
        <w:pStyle w:val="CDIAbouttextLess"/>
      </w:pPr>
      <w:r w:rsidRPr="0089025E">
        <w:t xml:space="preserve">Email: </w:t>
      </w:r>
      <w:hyperlink r:id="rId13" w:history="1">
        <w:r w:rsidR="002368EA">
          <w:rPr>
            <w:rStyle w:val="Hyperlink"/>
          </w:rPr>
          <w:t>cdi.editor@cdc.gov.au</w:t>
        </w:r>
      </w:hyperlink>
    </w:p>
    <w:p w14:paraId="68639A6F" w14:textId="77777777" w:rsidR="00F25C00" w:rsidRDefault="0098426C" w:rsidP="00A24E95">
      <w:pPr>
        <w:pStyle w:val="Heading1"/>
      </w:pPr>
      <w:bookmarkStart w:id="2" w:name="_Toc195530498"/>
      <w:bookmarkStart w:id="3" w:name="_Toc213227277"/>
      <w:r>
        <w:t>Abstract</w:t>
      </w:r>
      <w:bookmarkEnd w:id="2"/>
      <w:bookmarkEnd w:id="3"/>
    </w:p>
    <w:p w14:paraId="502879DA" w14:textId="7AB4FD6A" w:rsidR="000264AB" w:rsidRDefault="00FF6037" w:rsidP="00FF6037">
      <w:pPr>
        <w:pStyle w:val="Normal-Opening"/>
        <w:spacing w:after="360"/>
      </w:pPr>
      <w:r w:rsidRPr="00FF6037">
        <w:t xml:space="preserve">This report describes unusually persistent transmission of norovirus in a hospitality setting in Victoria, Australia. In September 2023, the Victorian State Government Department of Health was notified of six gastroenteritis outbreaks associated with events held at a single function venue. Genomically identical norovirus </w:t>
      </w:r>
      <w:proofErr w:type="gramStart"/>
      <w:r w:rsidRPr="00FF6037">
        <w:t>genogroup</w:t>
      </w:r>
      <w:proofErr w:type="gramEnd"/>
      <w:r w:rsidRPr="00FF6037">
        <w:t xml:space="preserve"> II (GII) was detected from cases in five of the outbreaks. No statistically significant association with illness was found for any food item. Information collected through staff interviews provided evidence of food handlers and wait staff continuing to work while infectious, likely resulting in sustained transmission through person-to-person routes as well as through potential contamination of the environment.</w:t>
      </w:r>
    </w:p>
    <w:p w14:paraId="552694CB" w14:textId="50CAFF03" w:rsidR="00B73144" w:rsidRDefault="00B73144" w:rsidP="00E61A68">
      <w:pPr>
        <w:pStyle w:val="CDIBoxText"/>
        <w:rPr>
          <w:lang w:val="en-GB"/>
        </w:rPr>
      </w:pPr>
      <w:r w:rsidRPr="00E61A68">
        <w:t>Keywords</w:t>
      </w:r>
      <w:r w:rsidR="00BF1476">
        <w:t xml:space="preserve">: </w:t>
      </w:r>
      <w:r w:rsidR="00FF6037" w:rsidRPr="00FF6037">
        <w:t>norovirus; outbreak; gastroenteritis; outbreak investigation</w:t>
      </w:r>
    </w:p>
    <w:p w14:paraId="4427120D" w14:textId="76EB51D3" w:rsidR="0037146D" w:rsidRDefault="00FF6037" w:rsidP="00B73144">
      <w:pPr>
        <w:pStyle w:val="Heading1"/>
      </w:pPr>
      <w:r>
        <w:t>Background and methods</w:t>
      </w:r>
    </w:p>
    <w:p w14:paraId="76D72379" w14:textId="77777777" w:rsidR="00FF6037" w:rsidRPr="00FF6037" w:rsidRDefault="00FF6037" w:rsidP="00FF6037">
      <w:pPr>
        <w:pStyle w:val="Normal-Opening"/>
        <w:rPr>
          <w:lang w:val="en-GB"/>
        </w:rPr>
      </w:pPr>
      <w:r w:rsidRPr="00FF6037">
        <w:rPr>
          <w:lang w:val="en-GB"/>
        </w:rPr>
        <w:t>On 15 September 2023, the Victorian State Government Department of Health (Victoria Health) was notified of a gastroenteritis outbreak (Outbreak 2) affecting delegates attending a conference at a hotel. Three days later, a gastroenteritis outbreak involving 80 guests of a wedding reception was reported at a separate function venue (Outbreak 3). This function venue had earlier hosted a dinner for the affected conference delegates.</w:t>
      </w:r>
    </w:p>
    <w:p w14:paraId="3678D976" w14:textId="77777777" w:rsidR="00FF6037" w:rsidRPr="00FF6037" w:rsidRDefault="00FF6037" w:rsidP="00FF6037">
      <w:pPr>
        <w:rPr>
          <w:lang w:val="en-GB"/>
        </w:rPr>
      </w:pPr>
      <w:r w:rsidRPr="00FF6037">
        <w:rPr>
          <w:lang w:val="en-GB"/>
        </w:rPr>
        <w:t xml:space="preserve">Subsequently, another four gastroenteritis outbreaks associated with separate wedding receptions held at the same venue were reported. All events served food prepared at the venue and took place over a fifteen-day period. These outbreaks are referred to as Outbreaks 1–6, indicating chronological order of exposure. </w:t>
      </w:r>
    </w:p>
    <w:p w14:paraId="553B4B1F" w14:textId="77777777" w:rsidR="00FF6037" w:rsidRPr="00FF6037" w:rsidRDefault="00FF6037" w:rsidP="00FF6037">
      <w:pPr>
        <w:rPr>
          <w:lang w:val="en-GB"/>
        </w:rPr>
      </w:pPr>
      <w:r w:rsidRPr="00FF6037">
        <w:rPr>
          <w:lang w:val="en-GB"/>
        </w:rPr>
        <w:t>Where possible, attendees were interviewed using a menu-based questionnaire. A retrospective cohort study was performed for Outbreak 2 using food consumption data collected during interviews. Descriptive epidemiology for Outbreaks 2–6 was performed using data from case interviews and case laboratory testing reports. Outbreak 1 was not investigated due to the delayed notification. All staff who worked at the function venue during this period were interviewed regarding work schedules, duties, and gastrointestinal illness.</w:t>
      </w:r>
    </w:p>
    <w:p w14:paraId="29EC628D" w14:textId="2F790DD9" w:rsidR="00AC46DC" w:rsidRPr="00AC46DC" w:rsidRDefault="00FF6037" w:rsidP="00AC46DC">
      <w:r w:rsidRPr="00FF6037">
        <w:rPr>
          <w:lang w:val="en-GB"/>
        </w:rPr>
        <w:t>Faecal specimens were collected from cases from Outbreaks 2–6 for bacterial and viral panels. Food and environmental samples were collected from the premises by local government environmental health officers and tested for bacterial pathogens. As standard laboratory methods do not detect norovirus in food samples, viral pathogen testing was not undertaken. Testing was performed at the Microbiological Diagnostic Unit Public Health Laboratory and the Victorian Infectious Disease Reference Laboratory (VIDRL).</w:t>
      </w:r>
    </w:p>
    <w:p w14:paraId="6C8D8F4A" w14:textId="518994D1" w:rsidR="00A24E95" w:rsidRDefault="00FF6037" w:rsidP="00B73144">
      <w:pPr>
        <w:pStyle w:val="Heading1"/>
        <w:rPr>
          <w:lang w:val="en-GB"/>
        </w:rPr>
      </w:pPr>
      <w:r>
        <w:rPr>
          <w:lang w:val="en-GB"/>
        </w:rPr>
        <w:t>Description of outbreak</w:t>
      </w:r>
    </w:p>
    <w:p w14:paraId="30ACF66D" w14:textId="77777777" w:rsidR="00FF6037" w:rsidRPr="00FF6037" w:rsidRDefault="00FF6037" w:rsidP="00FF6037">
      <w:pPr>
        <w:pStyle w:val="Normal-Opening"/>
        <w:rPr>
          <w:lang w:val="en-GB"/>
        </w:rPr>
      </w:pPr>
      <w:r w:rsidRPr="00FF6037">
        <w:rPr>
          <w:lang w:val="en-GB"/>
        </w:rPr>
        <w:t>A confirmed case was defined as a person who attended an event at the venue during the fifteen-day period of interest, reported symptoms of gastroenteritis (vomiting, nausea, diarrhoea, fever, abdominal pain) during or within seven days of attendance, and had norovirus genogroup II (GII) detected from a faecal specimen. A probable case differed by either not having a faecal specimen tested or having a specimen with no pathogen detected. Individuals were excluded as a case if a pathogen other than norovirus GII was detected. A total of 273 cases (41 confirmed, 232 probable) were identified out of an estimated 1,098 people at risk (Table 1).</w:t>
      </w:r>
    </w:p>
    <w:p w14:paraId="767674EF" w14:textId="77777777" w:rsidR="00FF6037" w:rsidRPr="00FF6037" w:rsidRDefault="00FF6037" w:rsidP="00FF6037">
      <w:pPr>
        <w:pStyle w:val="CDITable-Title"/>
        <w:rPr>
          <w:lang w:val="en-GB"/>
        </w:rPr>
      </w:pPr>
      <w:r w:rsidRPr="00FF6037">
        <w:rPr>
          <w:lang w:val="en-GB"/>
        </w:rPr>
        <w:t xml:space="preserve">Table 1: Attendees at risk, cases, interviews performed, and faecal specimens collected, by </w:t>
      </w:r>
      <w:proofErr w:type="spellStart"/>
      <w:proofErr w:type="gramStart"/>
      <w:r w:rsidRPr="00FF6037">
        <w:rPr>
          <w:lang w:val="en-GB"/>
        </w:rPr>
        <w:t>outbreak,</w:t>
      </w:r>
      <w:r w:rsidRPr="00FF6037">
        <w:rPr>
          <w:vertAlign w:val="superscript"/>
          <w:lang w:val="en-GB"/>
        </w:rPr>
        <w:t>a</w:t>
      </w:r>
      <w:proofErr w:type="gramEnd"/>
      <w:r w:rsidRPr="00FF6037">
        <w:rPr>
          <w:vertAlign w:val="superscript"/>
          <w:lang w:val="en-GB"/>
        </w:rPr>
        <w:t>,b</w:t>
      </w:r>
      <w:proofErr w:type="spellEnd"/>
      <w:r w:rsidRPr="00FF6037">
        <w:rPr>
          <w:lang w:val="en-GB"/>
        </w:rPr>
        <w:t xml:space="preserve"> Victoria, Australia, 2023</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1: Attendees at risk, cases, interviews performed, and faecal specimens collected, by outbreak,a,b Victoria, Australia, 2023"/>
        <w:tblDescription w:val="Table 1 shows for each outbreak (numbered 1 to 6) the number of attendees, the number of cases, the number of cases interviewed, the number of not-ill attendees interviewed, the number of faecal specimens collected and the number of confirmed cases of norovirus."/>
      </w:tblPr>
      <w:tblGrid>
        <w:gridCol w:w="1134"/>
        <w:gridCol w:w="1134"/>
        <w:gridCol w:w="1304"/>
        <w:gridCol w:w="1077"/>
        <w:gridCol w:w="1304"/>
        <w:gridCol w:w="1304"/>
        <w:gridCol w:w="1190"/>
        <w:gridCol w:w="1191"/>
      </w:tblGrid>
      <w:tr w:rsidR="00FF6037" w:rsidRPr="00FF6037" w14:paraId="7F1961D3" w14:textId="77777777" w:rsidTr="00CF0920">
        <w:trPr>
          <w:trHeight w:val="60"/>
          <w:tblHeader/>
        </w:trPr>
        <w:tc>
          <w:tcPr>
            <w:tcW w:w="1134" w:type="dxa"/>
            <w:tcBorders>
              <w:top w:val="nil"/>
              <w:bottom w:val="nil"/>
            </w:tcBorders>
            <w:shd w:val="clear" w:color="auto" w:fill="1E4496" w:themeFill="text2"/>
            <w:tcMar>
              <w:top w:w="96" w:type="dxa"/>
              <w:left w:w="113" w:type="dxa"/>
              <w:bottom w:w="96" w:type="dxa"/>
              <w:right w:w="113" w:type="dxa"/>
            </w:tcMar>
            <w:vAlign w:val="bottom"/>
          </w:tcPr>
          <w:p w14:paraId="3970DDA6" w14:textId="77777777" w:rsidR="00FF6037" w:rsidRPr="00FF6037" w:rsidRDefault="00FF6037" w:rsidP="00FF6037">
            <w:pPr>
              <w:pStyle w:val="CDITable-HeaderRowCentre"/>
            </w:pPr>
            <w:r w:rsidRPr="00FF6037">
              <w:t>Outbreak number</w:t>
            </w:r>
          </w:p>
        </w:tc>
        <w:tc>
          <w:tcPr>
            <w:tcW w:w="1134" w:type="dxa"/>
            <w:tcBorders>
              <w:top w:val="nil"/>
              <w:bottom w:val="nil"/>
            </w:tcBorders>
            <w:shd w:val="clear" w:color="auto" w:fill="1E4496" w:themeFill="text2"/>
            <w:tcMar>
              <w:top w:w="96" w:type="dxa"/>
              <w:left w:w="113" w:type="dxa"/>
              <w:bottom w:w="96" w:type="dxa"/>
              <w:right w:w="113" w:type="dxa"/>
            </w:tcMar>
            <w:vAlign w:val="bottom"/>
          </w:tcPr>
          <w:p w14:paraId="39F407A4" w14:textId="77777777" w:rsidR="00FF6037" w:rsidRPr="00FF6037" w:rsidRDefault="00FF6037" w:rsidP="00FF6037">
            <w:pPr>
              <w:pStyle w:val="CDITable-HeaderRowCentre"/>
            </w:pPr>
            <w:r w:rsidRPr="00FF6037">
              <w:t>Day of event</w:t>
            </w:r>
          </w:p>
        </w:tc>
        <w:tc>
          <w:tcPr>
            <w:tcW w:w="1304" w:type="dxa"/>
            <w:tcBorders>
              <w:top w:val="nil"/>
              <w:bottom w:val="nil"/>
            </w:tcBorders>
            <w:shd w:val="clear" w:color="auto" w:fill="1E4496" w:themeFill="text2"/>
            <w:tcMar>
              <w:top w:w="96" w:type="dxa"/>
              <w:left w:w="113" w:type="dxa"/>
              <w:bottom w:w="96" w:type="dxa"/>
              <w:right w:w="113" w:type="dxa"/>
            </w:tcMar>
            <w:vAlign w:val="bottom"/>
          </w:tcPr>
          <w:p w14:paraId="61D5EC5A" w14:textId="77777777" w:rsidR="00FF6037" w:rsidRPr="00FF6037" w:rsidRDefault="00FF6037" w:rsidP="00FF6037">
            <w:pPr>
              <w:pStyle w:val="CDITable-HeaderRowCentre"/>
            </w:pPr>
            <w:r w:rsidRPr="00FF6037">
              <w:t>At risk (Attendees)</w:t>
            </w:r>
            <w:r w:rsidRPr="00FF6037">
              <w:rPr>
                <w:vertAlign w:val="superscript"/>
              </w:rPr>
              <w:t>a</w:t>
            </w:r>
          </w:p>
        </w:tc>
        <w:tc>
          <w:tcPr>
            <w:tcW w:w="1077" w:type="dxa"/>
            <w:tcBorders>
              <w:top w:val="nil"/>
              <w:bottom w:val="nil"/>
            </w:tcBorders>
            <w:shd w:val="clear" w:color="auto" w:fill="1E4496" w:themeFill="text2"/>
            <w:tcMar>
              <w:top w:w="96" w:type="dxa"/>
              <w:left w:w="113" w:type="dxa"/>
              <w:bottom w:w="96" w:type="dxa"/>
              <w:right w:w="113" w:type="dxa"/>
            </w:tcMar>
            <w:vAlign w:val="bottom"/>
          </w:tcPr>
          <w:p w14:paraId="66D9275D" w14:textId="77777777" w:rsidR="00FF6037" w:rsidRPr="00FF6037" w:rsidRDefault="00FF6037" w:rsidP="00FF6037">
            <w:pPr>
              <w:pStyle w:val="CDITable-HeaderRowCentre"/>
            </w:pPr>
            <w:r w:rsidRPr="00FF6037">
              <w:t>Total cases</w:t>
            </w:r>
          </w:p>
        </w:tc>
        <w:tc>
          <w:tcPr>
            <w:tcW w:w="1304" w:type="dxa"/>
            <w:tcBorders>
              <w:top w:val="nil"/>
              <w:bottom w:val="nil"/>
            </w:tcBorders>
            <w:shd w:val="clear" w:color="auto" w:fill="1E4496" w:themeFill="text2"/>
            <w:tcMar>
              <w:top w:w="96" w:type="dxa"/>
              <w:left w:w="113" w:type="dxa"/>
              <w:bottom w:w="96" w:type="dxa"/>
              <w:right w:w="113" w:type="dxa"/>
            </w:tcMar>
            <w:vAlign w:val="bottom"/>
          </w:tcPr>
          <w:p w14:paraId="33C7FF7D" w14:textId="77777777" w:rsidR="00FF6037" w:rsidRPr="00FF6037" w:rsidRDefault="00FF6037" w:rsidP="00FF6037">
            <w:pPr>
              <w:pStyle w:val="CDITable-HeaderRowCentre"/>
            </w:pPr>
            <w:r w:rsidRPr="00FF6037">
              <w:t>Cases interviewed</w:t>
            </w:r>
          </w:p>
        </w:tc>
        <w:tc>
          <w:tcPr>
            <w:tcW w:w="1304" w:type="dxa"/>
            <w:tcBorders>
              <w:top w:val="nil"/>
              <w:bottom w:val="nil"/>
            </w:tcBorders>
            <w:shd w:val="clear" w:color="auto" w:fill="1E4496" w:themeFill="text2"/>
            <w:tcMar>
              <w:top w:w="96" w:type="dxa"/>
              <w:left w:w="113" w:type="dxa"/>
              <w:bottom w:w="96" w:type="dxa"/>
              <w:right w:w="113" w:type="dxa"/>
            </w:tcMar>
            <w:vAlign w:val="bottom"/>
          </w:tcPr>
          <w:p w14:paraId="1AA13D0C" w14:textId="77777777" w:rsidR="00FF6037" w:rsidRPr="00FF6037" w:rsidRDefault="00FF6037" w:rsidP="00FF6037">
            <w:pPr>
              <w:pStyle w:val="CDITable-HeaderRowCentre"/>
            </w:pPr>
            <w:r w:rsidRPr="00FF6037">
              <w:t>Attendees interviewed (not ill)</w:t>
            </w:r>
          </w:p>
        </w:tc>
        <w:tc>
          <w:tcPr>
            <w:tcW w:w="1190" w:type="dxa"/>
            <w:tcBorders>
              <w:top w:val="nil"/>
              <w:bottom w:val="nil"/>
            </w:tcBorders>
            <w:shd w:val="clear" w:color="auto" w:fill="1E4496" w:themeFill="text2"/>
            <w:tcMar>
              <w:top w:w="96" w:type="dxa"/>
              <w:left w:w="113" w:type="dxa"/>
              <w:bottom w:w="96" w:type="dxa"/>
              <w:right w:w="113" w:type="dxa"/>
            </w:tcMar>
            <w:vAlign w:val="bottom"/>
          </w:tcPr>
          <w:p w14:paraId="36AFB8A5" w14:textId="77777777" w:rsidR="00FF6037" w:rsidRPr="00FF6037" w:rsidRDefault="00FF6037" w:rsidP="00FF6037">
            <w:pPr>
              <w:pStyle w:val="CDITable-HeaderRowCentre"/>
            </w:pPr>
            <w:r w:rsidRPr="00FF6037">
              <w:t>Faecal specimens collected</w:t>
            </w:r>
          </w:p>
        </w:tc>
        <w:tc>
          <w:tcPr>
            <w:tcW w:w="1191" w:type="dxa"/>
            <w:tcBorders>
              <w:top w:val="nil"/>
              <w:bottom w:val="nil"/>
            </w:tcBorders>
            <w:shd w:val="clear" w:color="auto" w:fill="1E4496" w:themeFill="text2"/>
            <w:tcMar>
              <w:top w:w="96" w:type="dxa"/>
              <w:left w:w="113" w:type="dxa"/>
              <w:bottom w:w="96" w:type="dxa"/>
              <w:right w:w="113" w:type="dxa"/>
            </w:tcMar>
            <w:vAlign w:val="bottom"/>
          </w:tcPr>
          <w:p w14:paraId="0E4B7021" w14:textId="77777777" w:rsidR="00FF6037" w:rsidRPr="00FF6037" w:rsidRDefault="00FF6037" w:rsidP="00FF6037">
            <w:pPr>
              <w:pStyle w:val="CDITable-HeaderRowCentre"/>
            </w:pPr>
            <w:r w:rsidRPr="00FF6037">
              <w:t xml:space="preserve">Confirmed </w:t>
            </w:r>
            <w:proofErr w:type="spellStart"/>
            <w:r w:rsidRPr="00FF6037">
              <w:t>cases</w:t>
            </w:r>
            <w:r w:rsidRPr="00FF6037">
              <w:rPr>
                <w:vertAlign w:val="superscript"/>
              </w:rPr>
              <w:t>c</w:t>
            </w:r>
            <w:proofErr w:type="spellEnd"/>
          </w:p>
        </w:tc>
      </w:tr>
      <w:tr w:rsidR="00FF6037" w:rsidRPr="00FF6037" w14:paraId="051FB4F7" w14:textId="77777777" w:rsidTr="00CF0920">
        <w:trPr>
          <w:trHeight w:val="60"/>
        </w:trPr>
        <w:tc>
          <w:tcPr>
            <w:tcW w:w="1134" w:type="dxa"/>
            <w:tcBorders>
              <w:top w:val="nil"/>
            </w:tcBorders>
            <w:tcMar>
              <w:top w:w="96" w:type="dxa"/>
              <w:left w:w="113" w:type="dxa"/>
              <w:bottom w:w="96" w:type="dxa"/>
              <w:right w:w="113" w:type="dxa"/>
            </w:tcMar>
            <w:vAlign w:val="center"/>
          </w:tcPr>
          <w:p w14:paraId="0BCAD291" w14:textId="77777777" w:rsidR="00FF6037" w:rsidRPr="00FF6037" w:rsidRDefault="00FF6037" w:rsidP="00FF6037">
            <w:pPr>
              <w:pStyle w:val="CDITable-RowCentre"/>
              <w:rPr>
                <w:lang w:val="en-GB"/>
              </w:rPr>
            </w:pPr>
            <w:r w:rsidRPr="00FF6037">
              <w:rPr>
                <w:lang w:val="en-GB"/>
              </w:rPr>
              <w:t>1</w:t>
            </w:r>
          </w:p>
        </w:tc>
        <w:tc>
          <w:tcPr>
            <w:tcW w:w="1134" w:type="dxa"/>
            <w:tcBorders>
              <w:top w:val="nil"/>
            </w:tcBorders>
            <w:tcMar>
              <w:top w:w="96" w:type="dxa"/>
              <w:left w:w="113" w:type="dxa"/>
              <w:bottom w:w="96" w:type="dxa"/>
              <w:right w:w="113" w:type="dxa"/>
            </w:tcMar>
            <w:vAlign w:val="center"/>
          </w:tcPr>
          <w:p w14:paraId="7EFCC257" w14:textId="77777777" w:rsidR="00FF6037" w:rsidRPr="00FF6037" w:rsidRDefault="00FF6037" w:rsidP="00FF6037">
            <w:pPr>
              <w:pStyle w:val="CDITable-RowCentre"/>
              <w:rPr>
                <w:lang w:val="en-GB"/>
              </w:rPr>
            </w:pPr>
            <w:r w:rsidRPr="00FF6037">
              <w:rPr>
                <w:lang w:val="en-GB"/>
              </w:rPr>
              <w:t>0</w:t>
            </w:r>
          </w:p>
        </w:tc>
        <w:tc>
          <w:tcPr>
            <w:tcW w:w="1304" w:type="dxa"/>
            <w:tcBorders>
              <w:top w:val="nil"/>
            </w:tcBorders>
            <w:tcMar>
              <w:top w:w="96" w:type="dxa"/>
              <w:left w:w="113" w:type="dxa"/>
              <w:bottom w:w="96" w:type="dxa"/>
              <w:right w:w="113" w:type="dxa"/>
            </w:tcMar>
            <w:vAlign w:val="center"/>
          </w:tcPr>
          <w:p w14:paraId="41B87040" w14:textId="77777777" w:rsidR="00FF6037" w:rsidRPr="00FF6037" w:rsidRDefault="00FF6037" w:rsidP="00FF6037">
            <w:pPr>
              <w:pStyle w:val="CDITable-RowCentre"/>
              <w:rPr>
                <w:lang w:val="en-GB"/>
              </w:rPr>
            </w:pPr>
            <w:r w:rsidRPr="00FF6037">
              <w:rPr>
                <w:lang w:val="en-GB"/>
              </w:rPr>
              <w:t>—</w:t>
            </w:r>
            <w:r w:rsidRPr="00FF6037">
              <w:rPr>
                <w:vertAlign w:val="superscript"/>
                <w:lang w:val="en-GB"/>
              </w:rPr>
              <w:t>b</w:t>
            </w:r>
          </w:p>
        </w:tc>
        <w:tc>
          <w:tcPr>
            <w:tcW w:w="1077" w:type="dxa"/>
            <w:tcBorders>
              <w:top w:val="nil"/>
            </w:tcBorders>
            <w:tcMar>
              <w:top w:w="96" w:type="dxa"/>
              <w:left w:w="113" w:type="dxa"/>
              <w:bottom w:w="96" w:type="dxa"/>
              <w:right w:w="113" w:type="dxa"/>
            </w:tcMar>
            <w:vAlign w:val="center"/>
          </w:tcPr>
          <w:p w14:paraId="5BB72FC6" w14:textId="77777777" w:rsidR="00FF6037" w:rsidRPr="00FF6037" w:rsidRDefault="00FF6037" w:rsidP="00FF6037">
            <w:pPr>
              <w:pStyle w:val="CDITable-RowCentre"/>
              <w:rPr>
                <w:lang w:val="en-GB"/>
              </w:rPr>
            </w:pPr>
            <w:r w:rsidRPr="00FF6037">
              <w:rPr>
                <w:lang w:val="en-GB"/>
              </w:rPr>
              <w:t>30</w:t>
            </w:r>
          </w:p>
        </w:tc>
        <w:tc>
          <w:tcPr>
            <w:tcW w:w="1304" w:type="dxa"/>
            <w:tcBorders>
              <w:top w:val="nil"/>
            </w:tcBorders>
            <w:tcMar>
              <w:top w:w="96" w:type="dxa"/>
              <w:left w:w="113" w:type="dxa"/>
              <w:bottom w:w="96" w:type="dxa"/>
              <w:right w:w="113" w:type="dxa"/>
            </w:tcMar>
            <w:vAlign w:val="center"/>
          </w:tcPr>
          <w:p w14:paraId="1DB0A7AF" w14:textId="77777777" w:rsidR="00FF6037" w:rsidRPr="00FF6037" w:rsidRDefault="00FF6037" w:rsidP="00FF6037">
            <w:pPr>
              <w:pStyle w:val="CDITable-RowCentre"/>
              <w:rPr>
                <w:lang w:val="en-GB"/>
              </w:rPr>
            </w:pPr>
            <w:r w:rsidRPr="00FF6037">
              <w:rPr>
                <w:lang w:val="en-GB"/>
              </w:rPr>
              <w:t>0</w:t>
            </w:r>
          </w:p>
        </w:tc>
        <w:tc>
          <w:tcPr>
            <w:tcW w:w="1304" w:type="dxa"/>
            <w:tcBorders>
              <w:top w:val="nil"/>
            </w:tcBorders>
            <w:tcMar>
              <w:top w:w="96" w:type="dxa"/>
              <w:left w:w="113" w:type="dxa"/>
              <w:bottom w:w="96" w:type="dxa"/>
              <w:right w:w="113" w:type="dxa"/>
            </w:tcMar>
            <w:vAlign w:val="center"/>
          </w:tcPr>
          <w:p w14:paraId="1D1D9581" w14:textId="77777777" w:rsidR="00FF6037" w:rsidRPr="00FF6037" w:rsidRDefault="00FF6037" w:rsidP="00FF6037">
            <w:pPr>
              <w:pStyle w:val="CDITable-RowCentre"/>
              <w:rPr>
                <w:lang w:val="en-GB"/>
              </w:rPr>
            </w:pPr>
            <w:r w:rsidRPr="00FF6037">
              <w:rPr>
                <w:lang w:val="en-GB"/>
              </w:rPr>
              <w:t>0</w:t>
            </w:r>
          </w:p>
        </w:tc>
        <w:tc>
          <w:tcPr>
            <w:tcW w:w="1190" w:type="dxa"/>
            <w:tcBorders>
              <w:top w:val="nil"/>
            </w:tcBorders>
            <w:tcMar>
              <w:top w:w="96" w:type="dxa"/>
              <w:left w:w="113" w:type="dxa"/>
              <w:bottom w:w="96" w:type="dxa"/>
              <w:right w:w="113" w:type="dxa"/>
            </w:tcMar>
            <w:vAlign w:val="center"/>
          </w:tcPr>
          <w:p w14:paraId="12FD40CB" w14:textId="77777777" w:rsidR="00FF6037" w:rsidRPr="00FF6037" w:rsidRDefault="00FF6037" w:rsidP="00FF6037">
            <w:pPr>
              <w:pStyle w:val="CDITable-RowCentre"/>
              <w:rPr>
                <w:lang w:val="en-GB"/>
              </w:rPr>
            </w:pPr>
            <w:r w:rsidRPr="00FF6037">
              <w:rPr>
                <w:lang w:val="en-GB"/>
              </w:rPr>
              <w:t>0</w:t>
            </w:r>
          </w:p>
        </w:tc>
        <w:tc>
          <w:tcPr>
            <w:tcW w:w="1191" w:type="dxa"/>
            <w:tcBorders>
              <w:top w:val="nil"/>
            </w:tcBorders>
            <w:tcMar>
              <w:top w:w="96" w:type="dxa"/>
              <w:left w:w="113" w:type="dxa"/>
              <w:bottom w:w="96" w:type="dxa"/>
              <w:right w:w="113" w:type="dxa"/>
            </w:tcMar>
            <w:vAlign w:val="center"/>
          </w:tcPr>
          <w:p w14:paraId="18AB77CD" w14:textId="77777777" w:rsidR="00FF6037" w:rsidRPr="00FF6037" w:rsidRDefault="00FF6037" w:rsidP="00FF6037">
            <w:pPr>
              <w:pStyle w:val="CDITable-RowCentre"/>
              <w:rPr>
                <w:lang w:val="en-GB"/>
              </w:rPr>
            </w:pPr>
            <w:r w:rsidRPr="00FF6037">
              <w:rPr>
                <w:lang w:val="en-GB"/>
              </w:rPr>
              <w:t>0</w:t>
            </w:r>
          </w:p>
        </w:tc>
      </w:tr>
      <w:tr w:rsidR="00FF6037" w:rsidRPr="00FF6037" w14:paraId="67637AA9" w14:textId="77777777" w:rsidTr="00CF0920">
        <w:trPr>
          <w:trHeight w:val="60"/>
        </w:trPr>
        <w:tc>
          <w:tcPr>
            <w:tcW w:w="1134" w:type="dxa"/>
            <w:tcMar>
              <w:top w:w="96" w:type="dxa"/>
              <w:left w:w="113" w:type="dxa"/>
              <w:bottom w:w="96" w:type="dxa"/>
              <w:right w:w="113" w:type="dxa"/>
            </w:tcMar>
            <w:vAlign w:val="center"/>
          </w:tcPr>
          <w:p w14:paraId="2C6E11C4" w14:textId="77777777" w:rsidR="00FF6037" w:rsidRPr="00FF6037" w:rsidRDefault="00FF6037" w:rsidP="00FF6037">
            <w:pPr>
              <w:pStyle w:val="CDITable-RowCentre"/>
              <w:rPr>
                <w:lang w:val="en-GB"/>
              </w:rPr>
            </w:pPr>
            <w:r w:rsidRPr="00FF6037">
              <w:rPr>
                <w:lang w:val="en-GB"/>
              </w:rPr>
              <w:t>2</w:t>
            </w:r>
          </w:p>
        </w:tc>
        <w:tc>
          <w:tcPr>
            <w:tcW w:w="1134" w:type="dxa"/>
            <w:tcMar>
              <w:top w:w="96" w:type="dxa"/>
              <w:left w:w="113" w:type="dxa"/>
              <w:bottom w:w="96" w:type="dxa"/>
              <w:right w:w="113" w:type="dxa"/>
            </w:tcMar>
            <w:vAlign w:val="center"/>
          </w:tcPr>
          <w:p w14:paraId="15AC6239" w14:textId="77777777" w:rsidR="00FF6037" w:rsidRPr="00FF6037" w:rsidRDefault="00FF6037" w:rsidP="00FF6037">
            <w:pPr>
              <w:pStyle w:val="CDITable-RowCentre"/>
              <w:rPr>
                <w:lang w:val="en-GB"/>
              </w:rPr>
            </w:pPr>
            <w:r w:rsidRPr="00FF6037">
              <w:rPr>
                <w:lang w:val="en-GB"/>
              </w:rPr>
              <w:t>3</w:t>
            </w:r>
          </w:p>
        </w:tc>
        <w:tc>
          <w:tcPr>
            <w:tcW w:w="1304" w:type="dxa"/>
            <w:tcMar>
              <w:top w:w="96" w:type="dxa"/>
              <w:left w:w="113" w:type="dxa"/>
              <w:bottom w:w="96" w:type="dxa"/>
              <w:right w:w="113" w:type="dxa"/>
            </w:tcMar>
            <w:vAlign w:val="center"/>
          </w:tcPr>
          <w:p w14:paraId="1140EC44" w14:textId="77777777" w:rsidR="00FF6037" w:rsidRPr="00FF6037" w:rsidRDefault="00FF6037" w:rsidP="00FF6037">
            <w:pPr>
              <w:pStyle w:val="CDITable-RowCentre"/>
              <w:rPr>
                <w:lang w:val="en-GB"/>
              </w:rPr>
            </w:pPr>
            <w:r w:rsidRPr="00FF6037">
              <w:rPr>
                <w:lang w:val="en-GB"/>
              </w:rPr>
              <w:t>346</w:t>
            </w:r>
          </w:p>
        </w:tc>
        <w:tc>
          <w:tcPr>
            <w:tcW w:w="1077" w:type="dxa"/>
            <w:tcMar>
              <w:top w:w="96" w:type="dxa"/>
              <w:left w:w="113" w:type="dxa"/>
              <w:bottom w:w="96" w:type="dxa"/>
              <w:right w:w="113" w:type="dxa"/>
            </w:tcMar>
            <w:vAlign w:val="center"/>
          </w:tcPr>
          <w:p w14:paraId="02B4B217" w14:textId="77777777" w:rsidR="00FF6037" w:rsidRPr="00FF6037" w:rsidRDefault="00FF6037" w:rsidP="00FF6037">
            <w:pPr>
              <w:pStyle w:val="CDITable-RowCentre"/>
              <w:rPr>
                <w:lang w:val="en-GB"/>
              </w:rPr>
            </w:pPr>
            <w:r w:rsidRPr="00FF6037">
              <w:rPr>
                <w:lang w:val="en-GB"/>
              </w:rPr>
              <w:t>88</w:t>
            </w:r>
          </w:p>
        </w:tc>
        <w:tc>
          <w:tcPr>
            <w:tcW w:w="1304" w:type="dxa"/>
            <w:tcMar>
              <w:top w:w="96" w:type="dxa"/>
              <w:left w:w="113" w:type="dxa"/>
              <w:bottom w:w="96" w:type="dxa"/>
              <w:right w:w="113" w:type="dxa"/>
            </w:tcMar>
            <w:vAlign w:val="center"/>
          </w:tcPr>
          <w:p w14:paraId="6920D779" w14:textId="77777777" w:rsidR="00FF6037" w:rsidRPr="00FF6037" w:rsidRDefault="00FF6037" w:rsidP="00FF6037">
            <w:pPr>
              <w:pStyle w:val="CDITable-RowCentre"/>
              <w:rPr>
                <w:lang w:val="en-GB"/>
              </w:rPr>
            </w:pPr>
            <w:r w:rsidRPr="00FF6037">
              <w:rPr>
                <w:lang w:val="en-GB"/>
              </w:rPr>
              <w:t>37</w:t>
            </w:r>
          </w:p>
        </w:tc>
        <w:tc>
          <w:tcPr>
            <w:tcW w:w="1304" w:type="dxa"/>
            <w:tcMar>
              <w:top w:w="96" w:type="dxa"/>
              <w:left w:w="113" w:type="dxa"/>
              <w:bottom w:w="96" w:type="dxa"/>
              <w:right w:w="113" w:type="dxa"/>
            </w:tcMar>
            <w:vAlign w:val="center"/>
          </w:tcPr>
          <w:p w14:paraId="2BF722DD" w14:textId="77777777" w:rsidR="00FF6037" w:rsidRPr="00FF6037" w:rsidRDefault="00FF6037" w:rsidP="00FF6037">
            <w:pPr>
              <w:pStyle w:val="CDITable-RowCentre"/>
              <w:rPr>
                <w:lang w:val="en-GB"/>
              </w:rPr>
            </w:pPr>
            <w:r w:rsidRPr="00FF6037">
              <w:rPr>
                <w:lang w:val="en-GB"/>
              </w:rPr>
              <w:t>21</w:t>
            </w:r>
          </w:p>
        </w:tc>
        <w:tc>
          <w:tcPr>
            <w:tcW w:w="1190" w:type="dxa"/>
            <w:tcMar>
              <w:top w:w="96" w:type="dxa"/>
              <w:left w:w="113" w:type="dxa"/>
              <w:bottom w:w="96" w:type="dxa"/>
              <w:right w:w="113" w:type="dxa"/>
            </w:tcMar>
            <w:vAlign w:val="center"/>
          </w:tcPr>
          <w:p w14:paraId="430143F6" w14:textId="77777777" w:rsidR="00FF6037" w:rsidRPr="00FF6037" w:rsidRDefault="00FF6037" w:rsidP="00FF6037">
            <w:pPr>
              <w:pStyle w:val="CDITable-RowCentre"/>
              <w:rPr>
                <w:lang w:val="en-GB"/>
              </w:rPr>
            </w:pPr>
            <w:r w:rsidRPr="00FF6037">
              <w:rPr>
                <w:lang w:val="en-GB"/>
              </w:rPr>
              <w:t>9</w:t>
            </w:r>
          </w:p>
        </w:tc>
        <w:tc>
          <w:tcPr>
            <w:tcW w:w="1191" w:type="dxa"/>
            <w:tcMar>
              <w:top w:w="96" w:type="dxa"/>
              <w:left w:w="113" w:type="dxa"/>
              <w:bottom w:w="96" w:type="dxa"/>
              <w:right w:w="113" w:type="dxa"/>
            </w:tcMar>
            <w:vAlign w:val="center"/>
          </w:tcPr>
          <w:p w14:paraId="22991FBE" w14:textId="77777777" w:rsidR="00FF6037" w:rsidRPr="00FF6037" w:rsidRDefault="00FF6037" w:rsidP="00FF6037">
            <w:pPr>
              <w:pStyle w:val="CDITable-RowCentre"/>
              <w:rPr>
                <w:lang w:val="en-GB"/>
              </w:rPr>
            </w:pPr>
            <w:r w:rsidRPr="00FF6037">
              <w:rPr>
                <w:lang w:val="en-GB"/>
              </w:rPr>
              <w:t>9</w:t>
            </w:r>
          </w:p>
        </w:tc>
      </w:tr>
      <w:tr w:rsidR="00FF6037" w:rsidRPr="00FF6037" w14:paraId="73774952" w14:textId="77777777" w:rsidTr="00CF0920">
        <w:trPr>
          <w:trHeight w:val="60"/>
        </w:trPr>
        <w:tc>
          <w:tcPr>
            <w:tcW w:w="1134" w:type="dxa"/>
            <w:tcMar>
              <w:top w:w="96" w:type="dxa"/>
              <w:left w:w="113" w:type="dxa"/>
              <w:bottom w:w="96" w:type="dxa"/>
              <w:right w:w="113" w:type="dxa"/>
            </w:tcMar>
            <w:vAlign w:val="center"/>
          </w:tcPr>
          <w:p w14:paraId="6E659FE6" w14:textId="77777777" w:rsidR="00FF6037" w:rsidRPr="00FF6037" w:rsidRDefault="00FF6037" w:rsidP="00FF6037">
            <w:pPr>
              <w:pStyle w:val="CDITable-RowCentre"/>
              <w:rPr>
                <w:lang w:val="en-GB"/>
              </w:rPr>
            </w:pPr>
            <w:r w:rsidRPr="00FF6037">
              <w:rPr>
                <w:lang w:val="en-GB"/>
              </w:rPr>
              <w:t>3</w:t>
            </w:r>
          </w:p>
        </w:tc>
        <w:tc>
          <w:tcPr>
            <w:tcW w:w="1134" w:type="dxa"/>
            <w:tcMar>
              <w:top w:w="96" w:type="dxa"/>
              <w:left w:w="113" w:type="dxa"/>
              <w:bottom w:w="96" w:type="dxa"/>
              <w:right w:w="113" w:type="dxa"/>
            </w:tcMar>
            <w:vAlign w:val="center"/>
          </w:tcPr>
          <w:p w14:paraId="4BB43A15" w14:textId="77777777" w:rsidR="00FF6037" w:rsidRPr="00FF6037" w:rsidRDefault="00FF6037" w:rsidP="00FF6037">
            <w:pPr>
              <w:pStyle w:val="CDITable-RowCentre"/>
              <w:rPr>
                <w:lang w:val="en-GB"/>
              </w:rPr>
            </w:pPr>
            <w:r w:rsidRPr="00FF6037">
              <w:rPr>
                <w:lang w:val="en-GB"/>
              </w:rPr>
              <w:t>6</w:t>
            </w:r>
          </w:p>
        </w:tc>
        <w:tc>
          <w:tcPr>
            <w:tcW w:w="1304" w:type="dxa"/>
            <w:tcMar>
              <w:top w:w="96" w:type="dxa"/>
              <w:left w:w="113" w:type="dxa"/>
              <w:bottom w:w="96" w:type="dxa"/>
              <w:right w:w="113" w:type="dxa"/>
            </w:tcMar>
            <w:vAlign w:val="center"/>
          </w:tcPr>
          <w:p w14:paraId="5C251776" w14:textId="77777777" w:rsidR="00FF6037" w:rsidRPr="00FF6037" w:rsidRDefault="00FF6037" w:rsidP="00FF6037">
            <w:pPr>
              <w:pStyle w:val="CDITable-RowCentre"/>
              <w:rPr>
                <w:lang w:val="en-GB"/>
              </w:rPr>
            </w:pPr>
            <w:r w:rsidRPr="00FF6037">
              <w:rPr>
                <w:lang w:val="en-GB"/>
              </w:rPr>
              <w:t>276</w:t>
            </w:r>
          </w:p>
        </w:tc>
        <w:tc>
          <w:tcPr>
            <w:tcW w:w="1077" w:type="dxa"/>
            <w:tcMar>
              <w:top w:w="96" w:type="dxa"/>
              <w:left w:w="113" w:type="dxa"/>
              <w:bottom w:w="96" w:type="dxa"/>
              <w:right w:w="113" w:type="dxa"/>
            </w:tcMar>
            <w:vAlign w:val="center"/>
          </w:tcPr>
          <w:p w14:paraId="1601EFEC" w14:textId="77777777" w:rsidR="00FF6037" w:rsidRPr="00FF6037" w:rsidRDefault="00FF6037" w:rsidP="00FF6037">
            <w:pPr>
              <w:pStyle w:val="CDITable-RowCentre"/>
              <w:rPr>
                <w:lang w:val="en-GB"/>
              </w:rPr>
            </w:pPr>
            <w:r w:rsidRPr="00FF6037">
              <w:rPr>
                <w:lang w:val="en-GB"/>
              </w:rPr>
              <w:t>80</w:t>
            </w:r>
          </w:p>
        </w:tc>
        <w:tc>
          <w:tcPr>
            <w:tcW w:w="1304" w:type="dxa"/>
            <w:tcMar>
              <w:top w:w="96" w:type="dxa"/>
              <w:left w:w="113" w:type="dxa"/>
              <w:bottom w:w="96" w:type="dxa"/>
              <w:right w:w="113" w:type="dxa"/>
            </w:tcMar>
            <w:vAlign w:val="center"/>
          </w:tcPr>
          <w:p w14:paraId="635DF358" w14:textId="77777777" w:rsidR="00FF6037" w:rsidRPr="00FF6037" w:rsidRDefault="00FF6037" w:rsidP="00FF6037">
            <w:pPr>
              <w:pStyle w:val="CDITable-RowCentre"/>
              <w:rPr>
                <w:lang w:val="en-GB"/>
              </w:rPr>
            </w:pPr>
            <w:r w:rsidRPr="00FF6037">
              <w:rPr>
                <w:lang w:val="en-GB"/>
              </w:rPr>
              <w:t>27</w:t>
            </w:r>
          </w:p>
        </w:tc>
        <w:tc>
          <w:tcPr>
            <w:tcW w:w="1304" w:type="dxa"/>
            <w:tcMar>
              <w:top w:w="96" w:type="dxa"/>
              <w:left w:w="113" w:type="dxa"/>
              <w:bottom w:w="96" w:type="dxa"/>
              <w:right w:w="113" w:type="dxa"/>
            </w:tcMar>
            <w:vAlign w:val="center"/>
          </w:tcPr>
          <w:p w14:paraId="264D632B" w14:textId="77777777" w:rsidR="00FF6037" w:rsidRPr="00FF6037" w:rsidRDefault="00FF6037" w:rsidP="00FF6037">
            <w:pPr>
              <w:pStyle w:val="CDITable-RowCentre"/>
              <w:rPr>
                <w:lang w:val="en-GB"/>
              </w:rPr>
            </w:pPr>
            <w:r w:rsidRPr="00FF6037">
              <w:rPr>
                <w:lang w:val="en-GB"/>
              </w:rPr>
              <w:t>0</w:t>
            </w:r>
          </w:p>
        </w:tc>
        <w:tc>
          <w:tcPr>
            <w:tcW w:w="1190" w:type="dxa"/>
            <w:tcMar>
              <w:top w:w="96" w:type="dxa"/>
              <w:left w:w="113" w:type="dxa"/>
              <w:bottom w:w="96" w:type="dxa"/>
              <w:right w:w="113" w:type="dxa"/>
            </w:tcMar>
            <w:vAlign w:val="center"/>
          </w:tcPr>
          <w:p w14:paraId="01E22731" w14:textId="77777777" w:rsidR="00FF6037" w:rsidRPr="00FF6037" w:rsidRDefault="00FF6037" w:rsidP="00FF6037">
            <w:pPr>
              <w:pStyle w:val="CDITable-RowCentre"/>
              <w:rPr>
                <w:lang w:val="en-GB"/>
              </w:rPr>
            </w:pPr>
            <w:r w:rsidRPr="00FF6037">
              <w:rPr>
                <w:lang w:val="en-GB"/>
              </w:rPr>
              <w:t>23</w:t>
            </w:r>
          </w:p>
        </w:tc>
        <w:tc>
          <w:tcPr>
            <w:tcW w:w="1191" w:type="dxa"/>
            <w:tcMar>
              <w:top w:w="96" w:type="dxa"/>
              <w:left w:w="113" w:type="dxa"/>
              <w:bottom w:w="96" w:type="dxa"/>
              <w:right w:w="113" w:type="dxa"/>
            </w:tcMar>
            <w:vAlign w:val="center"/>
          </w:tcPr>
          <w:p w14:paraId="5C06299D" w14:textId="77777777" w:rsidR="00FF6037" w:rsidRPr="00FF6037" w:rsidRDefault="00FF6037" w:rsidP="00FF6037">
            <w:pPr>
              <w:pStyle w:val="CDITable-RowCentre"/>
              <w:rPr>
                <w:lang w:val="en-GB"/>
              </w:rPr>
            </w:pPr>
            <w:r w:rsidRPr="00FF6037">
              <w:rPr>
                <w:lang w:val="en-GB"/>
              </w:rPr>
              <w:t>21</w:t>
            </w:r>
          </w:p>
        </w:tc>
      </w:tr>
      <w:tr w:rsidR="00FF6037" w:rsidRPr="00FF6037" w14:paraId="1D6E71C7" w14:textId="77777777" w:rsidTr="00CF0920">
        <w:trPr>
          <w:trHeight w:val="60"/>
        </w:trPr>
        <w:tc>
          <w:tcPr>
            <w:tcW w:w="1134" w:type="dxa"/>
            <w:tcMar>
              <w:top w:w="96" w:type="dxa"/>
              <w:left w:w="113" w:type="dxa"/>
              <w:bottom w:w="96" w:type="dxa"/>
              <w:right w:w="113" w:type="dxa"/>
            </w:tcMar>
            <w:vAlign w:val="center"/>
          </w:tcPr>
          <w:p w14:paraId="4244C51A" w14:textId="77777777" w:rsidR="00FF6037" w:rsidRPr="00FF6037" w:rsidRDefault="00FF6037" w:rsidP="00FF6037">
            <w:pPr>
              <w:pStyle w:val="CDITable-RowCentre"/>
              <w:rPr>
                <w:lang w:val="en-GB"/>
              </w:rPr>
            </w:pPr>
            <w:r w:rsidRPr="00FF6037">
              <w:rPr>
                <w:lang w:val="en-GB"/>
              </w:rPr>
              <w:t>4</w:t>
            </w:r>
          </w:p>
        </w:tc>
        <w:tc>
          <w:tcPr>
            <w:tcW w:w="1134" w:type="dxa"/>
            <w:tcMar>
              <w:top w:w="96" w:type="dxa"/>
              <w:left w:w="113" w:type="dxa"/>
              <w:bottom w:w="96" w:type="dxa"/>
              <w:right w:w="113" w:type="dxa"/>
            </w:tcMar>
            <w:vAlign w:val="center"/>
          </w:tcPr>
          <w:p w14:paraId="634A4917" w14:textId="77777777" w:rsidR="00FF6037" w:rsidRPr="00FF6037" w:rsidRDefault="00FF6037" w:rsidP="00FF6037">
            <w:pPr>
              <w:pStyle w:val="CDITable-RowCentre"/>
              <w:rPr>
                <w:lang w:val="en-GB"/>
              </w:rPr>
            </w:pPr>
            <w:r w:rsidRPr="00FF6037">
              <w:rPr>
                <w:lang w:val="en-GB"/>
              </w:rPr>
              <w:t>12</w:t>
            </w:r>
          </w:p>
        </w:tc>
        <w:tc>
          <w:tcPr>
            <w:tcW w:w="1304" w:type="dxa"/>
            <w:tcMar>
              <w:top w:w="96" w:type="dxa"/>
              <w:left w:w="113" w:type="dxa"/>
              <w:bottom w:w="96" w:type="dxa"/>
              <w:right w:w="113" w:type="dxa"/>
            </w:tcMar>
            <w:vAlign w:val="center"/>
          </w:tcPr>
          <w:p w14:paraId="33E2DE9C" w14:textId="77777777" w:rsidR="00FF6037" w:rsidRPr="00FF6037" w:rsidRDefault="00FF6037" w:rsidP="00FF6037">
            <w:pPr>
              <w:pStyle w:val="CDITable-RowCentre"/>
              <w:rPr>
                <w:lang w:val="en-GB"/>
              </w:rPr>
            </w:pPr>
            <w:r w:rsidRPr="00FF6037">
              <w:rPr>
                <w:lang w:val="en-GB"/>
              </w:rPr>
              <w:t>109</w:t>
            </w:r>
          </w:p>
        </w:tc>
        <w:tc>
          <w:tcPr>
            <w:tcW w:w="1077" w:type="dxa"/>
            <w:tcMar>
              <w:top w:w="96" w:type="dxa"/>
              <w:left w:w="113" w:type="dxa"/>
              <w:bottom w:w="96" w:type="dxa"/>
              <w:right w:w="113" w:type="dxa"/>
            </w:tcMar>
            <w:vAlign w:val="center"/>
          </w:tcPr>
          <w:p w14:paraId="2182C5B0" w14:textId="77777777" w:rsidR="00FF6037" w:rsidRPr="00FF6037" w:rsidRDefault="00FF6037" w:rsidP="00FF6037">
            <w:pPr>
              <w:pStyle w:val="CDITable-RowCentre"/>
              <w:rPr>
                <w:lang w:val="en-GB"/>
              </w:rPr>
            </w:pPr>
            <w:r w:rsidRPr="00FF6037">
              <w:rPr>
                <w:lang w:val="en-GB"/>
              </w:rPr>
              <w:t>28</w:t>
            </w:r>
          </w:p>
        </w:tc>
        <w:tc>
          <w:tcPr>
            <w:tcW w:w="1304" w:type="dxa"/>
            <w:tcMar>
              <w:top w:w="96" w:type="dxa"/>
              <w:left w:w="113" w:type="dxa"/>
              <w:bottom w:w="96" w:type="dxa"/>
              <w:right w:w="113" w:type="dxa"/>
            </w:tcMar>
            <w:vAlign w:val="center"/>
          </w:tcPr>
          <w:p w14:paraId="30E6C190" w14:textId="77777777" w:rsidR="00FF6037" w:rsidRPr="00FF6037" w:rsidRDefault="00FF6037" w:rsidP="00FF6037">
            <w:pPr>
              <w:pStyle w:val="CDITable-RowCentre"/>
              <w:rPr>
                <w:lang w:val="en-GB"/>
              </w:rPr>
            </w:pPr>
            <w:r w:rsidRPr="00FF6037">
              <w:rPr>
                <w:lang w:val="en-GB"/>
              </w:rPr>
              <w:t>10</w:t>
            </w:r>
          </w:p>
        </w:tc>
        <w:tc>
          <w:tcPr>
            <w:tcW w:w="1304" w:type="dxa"/>
            <w:tcMar>
              <w:top w:w="96" w:type="dxa"/>
              <w:left w:w="113" w:type="dxa"/>
              <w:bottom w:w="96" w:type="dxa"/>
              <w:right w:w="113" w:type="dxa"/>
            </w:tcMar>
            <w:vAlign w:val="center"/>
          </w:tcPr>
          <w:p w14:paraId="1F9C75E0" w14:textId="77777777" w:rsidR="00FF6037" w:rsidRPr="00FF6037" w:rsidRDefault="00FF6037" w:rsidP="00FF6037">
            <w:pPr>
              <w:pStyle w:val="CDITable-RowCentre"/>
              <w:rPr>
                <w:lang w:val="en-GB"/>
              </w:rPr>
            </w:pPr>
            <w:r w:rsidRPr="00FF6037">
              <w:rPr>
                <w:lang w:val="en-GB"/>
              </w:rPr>
              <w:t>0</w:t>
            </w:r>
          </w:p>
        </w:tc>
        <w:tc>
          <w:tcPr>
            <w:tcW w:w="1190" w:type="dxa"/>
            <w:tcMar>
              <w:top w:w="96" w:type="dxa"/>
              <w:left w:w="113" w:type="dxa"/>
              <w:bottom w:w="96" w:type="dxa"/>
              <w:right w:w="113" w:type="dxa"/>
            </w:tcMar>
            <w:vAlign w:val="center"/>
          </w:tcPr>
          <w:p w14:paraId="5062CD91" w14:textId="77777777" w:rsidR="00FF6037" w:rsidRPr="00FF6037" w:rsidRDefault="00FF6037" w:rsidP="00FF6037">
            <w:pPr>
              <w:pStyle w:val="CDITable-RowCentre"/>
              <w:rPr>
                <w:lang w:val="en-GB"/>
              </w:rPr>
            </w:pPr>
            <w:r w:rsidRPr="00FF6037">
              <w:rPr>
                <w:lang w:val="en-GB"/>
              </w:rPr>
              <w:t>6</w:t>
            </w:r>
          </w:p>
        </w:tc>
        <w:tc>
          <w:tcPr>
            <w:tcW w:w="1191" w:type="dxa"/>
            <w:tcMar>
              <w:top w:w="96" w:type="dxa"/>
              <w:left w:w="113" w:type="dxa"/>
              <w:bottom w:w="96" w:type="dxa"/>
              <w:right w:w="113" w:type="dxa"/>
            </w:tcMar>
            <w:vAlign w:val="center"/>
          </w:tcPr>
          <w:p w14:paraId="7975208B" w14:textId="77777777" w:rsidR="00FF6037" w:rsidRPr="00FF6037" w:rsidRDefault="00FF6037" w:rsidP="00FF6037">
            <w:pPr>
              <w:pStyle w:val="CDITable-RowCentre"/>
              <w:rPr>
                <w:lang w:val="en-GB"/>
              </w:rPr>
            </w:pPr>
            <w:r w:rsidRPr="00FF6037">
              <w:rPr>
                <w:lang w:val="en-GB"/>
              </w:rPr>
              <w:t>6</w:t>
            </w:r>
          </w:p>
        </w:tc>
      </w:tr>
      <w:tr w:rsidR="00FF6037" w:rsidRPr="00FF6037" w14:paraId="6D594577" w14:textId="77777777" w:rsidTr="00CF0920">
        <w:trPr>
          <w:trHeight w:val="60"/>
        </w:trPr>
        <w:tc>
          <w:tcPr>
            <w:tcW w:w="1134" w:type="dxa"/>
            <w:tcBorders>
              <w:bottom w:val="single" w:sz="6" w:space="0" w:color="1E4496" w:themeColor="text2"/>
            </w:tcBorders>
            <w:tcMar>
              <w:top w:w="96" w:type="dxa"/>
              <w:left w:w="113" w:type="dxa"/>
              <w:bottom w:w="96" w:type="dxa"/>
              <w:right w:w="113" w:type="dxa"/>
            </w:tcMar>
            <w:vAlign w:val="center"/>
          </w:tcPr>
          <w:p w14:paraId="310FADBE" w14:textId="77777777" w:rsidR="00FF6037" w:rsidRPr="00FF6037" w:rsidRDefault="00FF6037" w:rsidP="00FF6037">
            <w:pPr>
              <w:pStyle w:val="CDITable-RowCentre"/>
              <w:rPr>
                <w:lang w:val="en-GB"/>
              </w:rPr>
            </w:pPr>
            <w:r w:rsidRPr="00FF6037">
              <w:rPr>
                <w:lang w:val="en-GB"/>
              </w:rPr>
              <w:t>5</w:t>
            </w:r>
          </w:p>
        </w:tc>
        <w:tc>
          <w:tcPr>
            <w:tcW w:w="1134" w:type="dxa"/>
            <w:tcBorders>
              <w:bottom w:val="single" w:sz="6" w:space="0" w:color="1E4496" w:themeColor="text2"/>
            </w:tcBorders>
            <w:tcMar>
              <w:top w:w="96" w:type="dxa"/>
              <w:left w:w="113" w:type="dxa"/>
              <w:bottom w:w="96" w:type="dxa"/>
              <w:right w:w="113" w:type="dxa"/>
            </w:tcMar>
            <w:vAlign w:val="center"/>
          </w:tcPr>
          <w:p w14:paraId="418932AE" w14:textId="77777777" w:rsidR="00FF6037" w:rsidRPr="00FF6037" w:rsidRDefault="00FF6037" w:rsidP="00FF6037">
            <w:pPr>
              <w:pStyle w:val="CDITable-RowCentre"/>
              <w:rPr>
                <w:lang w:val="en-GB"/>
              </w:rPr>
            </w:pPr>
            <w:r w:rsidRPr="00FF6037">
              <w:rPr>
                <w:lang w:val="en-GB"/>
              </w:rPr>
              <w:t>13</w:t>
            </w:r>
          </w:p>
        </w:tc>
        <w:tc>
          <w:tcPr>
            <w:tcW w:w="1304" w:type="dxa"/>
            <w:tcBorders>
              <w:bottom w:val="single" w:sz="6" w:space="0" w:color="1E4496" w:themeColor="text2"/>
            </w:tcBorders>
            <w:tcMar>
              <w:top w:w="96" w:type="dxa"/>
              <w:left w:w="113" w:type="dxa"/>
              <w:bottom w:w="96" w:type="dxa"/>
              <w:right w:w="113" w:type="dxa"/>
            </w:tcMar>
            <w:vAlign w:val="center"/>
          </w:tcPr>
          <w:p w14:paraId="476A2330" w14:textId="77777777" w:rsidR="00FF6037" w:rsidRPr="00FF6037" w:rsidRDefault="00FF6037" w:rsidP="00FF6037">
            <w:pPr>
              <w:pStyle w:val="CDITable-RowCentre"/>
              <w:rPr>
                <w:lang w:val="en-GB"/>
              </w:rPr>
            </w:pPr>
            <w:r w:rsidRPr="00FF6037">
              <w:rPr>
                <w:lang w:val="en-GB"/>
              </w:rPr>
              <w:t>237</w:t>
            </w:r>
          </w:p>
        </w:tc>
        <w:tc>
          <w:tcPr>
            <w:tcW w:w="1077" w:type="dxa"/>
            <w:tcBorders>
              <w:bottom w:val="single" w:sz="6" w:space="0" w:color="1E4496" w:themeColor="text2"/>
            </w:tcBorders>
            <w:tcMar>
              <w:top w:w="96" w:type="dxa"/>
              <w:left w:w="113" w:type="dxa"/>
              <w:bottom w:w="96" w:type="dxa"/>
              <w:right w:w="113" w:type="dxa"/>
            </w:tcMar>
            <w:vAlign w:val="center"/>
          </w:tcPr>
          <w:p w14:paraId="4DD4CA71" w14:textId="77777777" w:rsidR="00FF6037" w:rsidRPr="00FF6037" w:rsidRDefault="00FF6037" w:rsidP="00FF6037">
            <w:pPr>
              <w:pStyle w:val="CDITable-RowCentre"/>
              <w:rPr>
                <w:lang w:val="en-GB"/>
              </w:rPr>
            </w:pPr>
            <w:r w:rsidRPr="00FF6037">
              <w:rPr>
                <w:lang w:val="en-GB"/>
              </w:rPr>
              <w:t>42</w:t>
            </w:r>
          </w:p>
        </w:tc>
        <w:tc>
          <w:tcPr>
            <w:tcW w:w="1304" w:type="dxa"/>
            <w:tcBorders>
              <w:bottom w:val="single" w:sz="6" w:space="0" w:color="1E4496" w:themeColor="text2"/>
            </w:tcBorders>
            <w:tcMar>
              <w:top w:w="96" w:type="dxa"/>
              <w:left w:w="113" w:type="dxa"/>
              <w:bottom w:w="96" w:type="dxa"/>
              <w:right w:w="113" w:type="dxa"/>
            </w:tcMar>
            <w:vAlign w:val="center"/>
          </w:tcPr>
          <w:p w14:paraId="7767415D" w14:textId="77777777" w:rsidR="00FF6037" w:rsidRPr="00FF6037" w:rsidRDefault="00FF6037" w:rsidP="00FF6037">
            <w:pPr>
              <w:pStyle w:val="CDITable-RowCentre"/>
              <w:rPr>
                <w:lang w:val="en-GB"/>
              </w:rPr>
            </w:pPr>
            <w:r w:rsidRPr="00FF6037">
              <w:rPr>
                <w:lang w:val="en-GB"/>
              </w:rPr>
              <w:t>9</w:t>
            </w:r>
          </w:p>
        </w:tc>
        <w:tc>
          <w:tcPr>
            <w:tcW w:w="1304" w:type="dxa"/>
            <w:tcBorders>
              <w:bottom w:val="single" w:sz="6" w:space="0" w:color="1E4496" w:themeColor="text2"/>
            </w:tcBorders>
            <w:tcMar>
              <w:top w:w="96" w:type="dxa"/>
              <w:left w:w="113" w:type="dxa"/>
              <w:bottom w:w="96" w:type="dxa"/>
              <w:right w:w="113" w:type="dxa"/>
            </w:tcMar>
            <w:vAlign w:val="center"/>
          </w:tcPr>
          <w:p w14:paraId="4F4397B4" w14:textId="77777777" w:rsidR="00FF6037" w:rsidRPr="00FF6037" w:rsidRDefault="00FF6037" w:rsidP="00FF6037">
            <w:pPr>
              <w:pStyle w:val="CDITable-RowCentre"/>
              <w:rPr>
                <w:lang w:val="en-GB"/>
              </w:rPr>
            </w:pPr>
            <w:r w:rsidRPr="00FF6037">
              <w:rPr>
                <w:lang w:val="en-GB"/>
              </w:rPr>
              <w:t>0</w:t>
            </w:r>
          </w:p>
        </w:tc>
        <w:tc>
          <w:tcPr>
            <w:tcW w:w="1190" w:type="dxa"/>
            <w:tcBorders>
              <w:bottom w:val="single" w:sz="6" w:space="0" w:color="1E4496" w:themeColor="text2"/>
            </w:tcBorders>
            <w:tcMar>
              <w:top w:w="96" w:type="dxa"/>
              <w:left w:w="113" w:type="dxa"/>
              <w:bottom w:w="96" w:type="dxa"/>
              <w:right w:w="113" w:type="dxa"/>
            </w:tcMar>
            <w:vAlign w:val="center"/>
          </w:tcPr>
          <w:p w14:paraId="6F1FA53C" w14:textId="77777777" w:rsidR="00FF6037" w:rsidRPr="00FF6037" w:rsidRDefault="00FF6037" w:rsidP="00FF6037">
            <w:pPr>
              <w:pStyle w:val="CDITable-RowCentre"/>
              <w:rPr>
                <w:lang w:val="en-GB"/>
              </w:rPr>
            </w:pPr>
            <w:r w:rsidRPr="00FF6037">
              <w:rPr>
                <w:lang w:val="en-GB"/>
              </w:rPr>
              <w:t>6</w:t>
            </w:r>
          </w:p>
        </w:tc>
        <w:tc>
          <w:tcPr>
            <w:tcW w:w="1191" w:type="dxa"/>
            <w:tcBorders>
              <w:bottom w:val="single" w:sz="6" w:space="0" w:color="1E4496" w:themeColor="text2"/>
            </w:tcBorders>
            <w:tcMar>
              <w:top w:w="96" w:type="dxa"/>
              <w:left w:w="113" w:type="dxa"/>
              <w:bottom w:w="96" w:type="dxa"/>
              <w:right w:w="113" w:type="dxa"/>
            </w:tcMar>
            <w:vAlign w:val="center"/>
          </w:tcPr>
          <w:p w14:paraId="2C12EEA0" w14:textId="77777777" w:rsidR="00FF6037" w:rsidRPr="00FF6037" w:rsidRDefault="00FF6037" w:rsidP="00FF6037">
            <w:pPr>
              <w:pStyle w:val="CDITable-RowCentre"/>
              <w:rPr>
                <w:lang w:val="en-GB"/>
              </w:rPr>
            </w:pPr>
            <w:r w:rsidRPr="00FF6037">
              <w:rPr>
                <w:lang w:val="en-GB"/>
              </w:rPr>
              <w:t>4</w:t>
            </w:r>
          </w:p>
        </w:tc>
      </w:tr>
      <w:tr w:rsidR="00FF6037" w:rsidRPr="00FF6037" w14:paraId="71BB5EF8" w14:textId="77777777" w:rsidTr="00CF0920">
        <w:trPr>
          <w:trHeight w:val="60"/>
        </w:trPr>
        <w:tc>
          <w:tcPr>
            <w:tcW w:w="1134" w:type="dxa"/>
            <w:tcBorders>
              <w:top w:val="single" w:sz="6" w:space="0" w:color="1E4496" w:themeColor="text2"/>
              <w:bottom w:val="nil"/>
            </w:tcBorders>
            <w:tcMar>
              <w:top w:w="96" w:type="dxa"/>
              <w:left w:w="113" w:type="dxa"/>
              <w:bottom w:w="96" w:type="dxa"/>
              <w:right w:w="113" w:type="dxa"/>
            </w:tcMar>
            <w:vAlign w:val="center"/>
          </w:tcPr>
          <w:p w14:paraId="14CAE22A" w14:textId="77777777" w:rsidR="00FF6037" w:rsidRPr="00FF6037" w:rsidRDefault="00FF6037" w:rsidP="00FF6037">
            <w:pPr>
              <w:pStyle w:val="CDITable-RowCentre"/>
              <w:rPr>
                <w:lang w:val="en-GB"/>
              </w:rPr>
            </w:pPr>
            <w:r w:rsidRPr="00FF6037">
              <w:rPr>
                <w:lang w:val="en-GB"/>
              </w:rPr>
              <w:t>6</w:t>
            </w:r>
          </w:p>
        </w:tc>
        <w:tc>
          <w:tcPr>
            <w:tcW w:w="1134" w:type="dxa"/>
            <w:tcBorders>
              <w:top w:val="single" w:sz="6" w:space="0" w:color="1E4496" w:themeColor="text2"/>
              <w:bottom w:val="nil"/>
            </w:tcBorders>
            <w:tcMar>
              <w:top w:w="96" w:type="dxa"/>
              <w:left w:w="113" w:type="dxa"/>
              <w:bottom w:w="96" w:type="dxa"/>
              <w:right w:w="113" w:type="dxa"/>
            </w:tcMar>
            <w:vAlign w:val="center"/>
          </w:tcPr>
          <w:p w14:paraId="46532984" w14:textId="77777777" w:rsidR="00FF6037" w:rsidRPr="00FF6037" w:rsidRDefault="00FF6037" w:rsidP="00FF6037">
            <w:pPr>
              <w:pStyle w:val="CDITable-RowCentre"/>
              <w:rPr>
                <w:lang w:val="en-GB"/>
              </w:rPr>
            </w:pPr>
            <w:r w:rsidRPr="00FF6037">
              <w:rPr>
                <w:lang w:val="en-GB"/>
              </w:rPr>
              <w:t>14</w:t>
            </w:r>
          </w:p>
        </w:tc>
        <w:tc>
          <w:tcPr>
            <w:tcW w:w="1304" w:type="dxa"/>
            <w:tcBorders>
              <w:top w:val="single" w:sz="6" w:space="0" w:color="1E4496" w:themeColor="text2"/>
              <w:bottom w:val="nil"/>
            </w:tcBorders>
            <w:tcMar>
              <w:top w:w="96" w:type="dxa"/>
              <w:left w:w="113" w:type="dxa"/>
              <w:bottom w:w="96" w:type="dxa"/>
              <w:right w:w="113" w:type="dxa"/>
            </w:tcMar>
            <w:vAlign w:val="center"/>
          </w:tcPr>
          <w:p w14:paraId="7F6C98FF" w14:textId="77777777" w:rsidR="00FF6037" w:rsidRPr="00FF6037" w:rsidRDefault="00FF6037" w:rsidP="00FF6037">
            <w:pPr>
              <w:pStyle w:val="CDITable-RowCentre"/>
              <w:rPr>
                <w:lang w:val="en-GB"/>
              </w:rPr>
            </w:pPr>
            <w:r w:rsidRPr="00FF6037">
              <w:rPr>
                <w:lang w:val="en-GB"/>
              </w:rPr>
              <w:t>130</w:t>
            </w:r>
          </w:p>
        </w:tc>
        <w:tc>
          <w:tcPr>
            <w:tcW w:w="1077" w:type="dxa"/>
            <w:tcBorders>
              <w:top w:val="single" w:sz="6" w:space="0" w:color="1E4496" w:themeColor="text2"/>
              <w:bottom w:val="nil"/>
            </w:tcBorders>
            <w:tcMar>
              <w:top w:w="96" w:type="dxa"/>
              <w:left w:w="113" w:type="dxa"/>
              <w:bottom w:w="96" w:type="dxa"/>
              <w:right w:w="113" w:type="dxa"/>
            </w:tcMar>
            <w:vAlign w:val="center"/>
          </w:tcPr>
          <w:p w14:paraId="04366BFF" w14:textId="77777777" w:rsidR="00FF6037" w:rsidRPr="00FF6037" w:rsidRDefault="00FF6037" w:rsidP="00FF6037">
            <w:pPr>
              <w:pStyle w:val="CDITable-RowCentre"/>
              <w:rPr>
                <w:lang w:val="en-GB"/>
              </w:rPr>
            </w:pPr>
            <w:r w:rsidRPr="00FF6037">
              <w:rPr>
                <w:lang w:val="en-GB"/>
              </w:rPr>
              <w:t>5</w:t>
            </w:r>
          </w:p>
        </w:tc>
        <w:tc>
          <w:tcPr>
            <w:tcW w:w="1304" w:type="dxa"/>
            <w:tcBorders>
              <w:top w:val="single" w:sz="6" w:space="0" w:color="1E4496" w:themeColor="text2"/>
              <w:bottom w:val="nil"/>
            </w:tcBorders>
            <w:tcMar>
              <w:top w:w="96" w:type="dxa"/>
              <w:left w:w="113" w:type="dxa"/>
              <w:bottom w:w="96" w:type="dxa"/>
              <w:right w:w="113" w:type="dxa"/>
            </w:tcMar>
            <w:vAlign w:val="center"/>
          </w:tcPr>
          <w:p w14:paraId="36D9C4C4" w14:textId="77777777" w:rsidR="00FF6037" w:rsidRPr="00FF6037" w:rsidRDefault="00FF6037" w:rsidP="00FF6037">
            <w:pPr>
              <w:pStyle w:val="CDITable-RowCentre"/>
              <w:rPr>
                <w:lang w:val="en-GB"/>
              </w:rPr>
            </w:pPr>
            <w:r w:rsidRPr="00FF6037">
              <w:rPr>
                <w:lang w:val="en-GB"/>
              </w:rPr>
              <w:t>0</w:t>
            </w:r>
          </w:p>
        </w:tc>
        <w:tc>
          <w:tcPr>
            <w:tcW w:w="1304" w:type="dxa"/>
            <w:tcBorders>
              <w:top w:val="single" w:sz="6" w:space="0" w:color="1E4496" w:themeColor="text2"/>
              <w:bottom w:val="nil"/>
            </w:tcBorders>
            <w:tcMar>
              <w:top w:w="96" w:type="dxa"/>
              <w:left w:w="113" w:type="dxa"/>
              <w:bottom w:w="96" w:type="dxa"/>
              <w:right w:w="113" w:type="dxa"/>
            </w:tcMar>
            <w:vAlign w:val="center"/>
          </w:tcPr>
          <w:p w14:paraId="5B5E76B5" w14:textId="77777777" w:rsidR="00FF6037" w:rsidRPr="00FF6037" w:rsidRDefault="00FF6037" w:rsidP="00FF6037">
            <w:pPr>
              <w:pStyle w:val="CDITable-RowCentre"/>
              <w:rPr>
                <w:lang w:val="en-GB"/>
              </w:rPr>
            </w:pPr>
            <w:r w:rsidRPr="00FF6037">
              <w:rPr>
                <w:lang w:val="en-GB"/>
              </w:rPr>
              <w:t>0</w:t>
            </w:r>
          </w:p>
        </w:tc>
        <w:tc>
          <w:tcPr>
            <w:tcW w:w="1190" w:type="dxa"/>
            <w:tcBorders>
              <w:top w:val="single" w:sz="6" w:space="0" w:color="1E4496" w:themeColor="text2"/>
              <w:bottom w:val="nil"/>
            </w:tcBorders>
            <w:tcMar>
              <w:top w:w="96" w:type="dxa"/>
              <w:left w:w="113" w:type="dxa"/>
              <w:bottom w:w="96" w:type="dxa"/>
              <w:right w:w="113" w:type="dxa"/>
            </w:tcMar>
            <w:vAlign w:val="center"/>
          </w:tcPr>
          <w:p w14:paraId="51FCDFFC" w14:textId="77777777" w:rsidR="00FF6037" w:rsidRPr="00FF6037" w:rsidRDefault="00FF6037" w:rsidP="00FF6037">
            <w:pPr>
              <w:pStyle w:val="CDITable-RowCentre"/>
              <w:rPr>
                <w:lang w:val="en-GB"/>
              </w:rPr>
            </w:pPr>
            <w:r w:rsidRPr="00FF6037">
              <w:rPr>
                <w:lang w:val="en-GB"/>
              </w:rPr>
              <w:t>2</w:t>
            </w:r>
          </w:p>
        </w:tc>
        <w:tc>
          <w:tcPr>
            <w:tcW w:w="1191" w:type="dxa"/>
            <w:tcBorders>
              <w:top w:val="single" w:sz="6" w:space="0" w:color="1E4496" w:themeColor="text2"/>
              <w:bottom w:val="nil"/>
            </w:tcBorders>
            <w:tcMar>
              <w:top w:w="96" w:type="dxa"/>
              <w:left w:w="113" w:type="dxa"/>
              <w:bottom w:w="96" w:type="dxa"/>
              <w:right w:w="113" w:type="dxa"/>
            </w:tcMar>
            <w:vAlign w:val="center"/>
          </w:tcPr>
          <w:p w14:paraId="6D29A567" w14:textId="77777777" w:rsidR="00FF6037" w:rsidRPr="00FF6037" w:rsidRDefault="00FF6037" w:rsidP="00FF6037">
            <w:pPr>
              <w:pStyle w:val="CDITable-RowCentre"/>
              <w:rPr>
                <w:lang w:val="en-GB"/>
              </w:rPr>
            </w:pPr>
            <w:r w:rsidRPr="00FF6037">
              <w:rPr>
                <w:lang w:val="en-GB"/>
              </w:rPr>
              <w:t>1</w:t>
            </w:r>
          </w:p>
        </w:tc>
      </w:tr>
      <w:tr w:rsidR="00FF6037" w:rsidRPr="00FF6037" w14:paraId="4B98EA93" w14:textId="77777777" w:rsidTr="00CF0920">
        <w:trPr>
          <w:trHeight w:val="60"/>
        </w:trPr>
        <w:tc>
          <w:tcPr>
            <w:tcW w:w="1134" w:type="dxa"/>
            <w:tcBorders>
              <w:top w:val="nil"/>
            </w:tcBorders>
            <w:shd w:val="clear" w:color="auto" w:fill="53C9F1" w:themeFill="background2"/>
            <w:tcMar>
              <w:top w:w="96" w:type="dxa"/>
              <w:left w:w="113" w:type="dxa"/>
              <w:bottom w:w="96" w:type="dxa"/>
              <w:right w:w="113" w:type="dxa"/>
            </w:tcMar>
            <w:vAlign w:val="center"/>
          </w:tcPr>
          <w:p w14:paraId="3C37485B" w14:textId="77777777" w:rsidR="00FF6037" w:rsidRPr="00FF6037" w:rsidRDefault="00FF6037" w:rsidP="00CF0920">
            <w:pPr>
              <w:pStyle w:val="CDITable-TotalRowCentre"/>
              <w:rPr>
                <w:lang w:val="en-GB"/>
              </w:rPr>
            </w:pPr>
            <w:r w:rsidRPr="00FF6037">
              <w:rPr>
                <w:lang w:val="en-GB"/>
              </w:rPr>
              <w:t>Total</w:t>
            </w:r>
          </w:p>
        </w:tc>
        <w:tc>
          <w:tcPr>
            <w:tcW w:w="1134" w:type="dxa"/>
            <w:tcBorders>
              <w:top w:val="nil"/>
            </w:tcBorders>
            <w:shd w:val="clear" w:color="auto" w:fill="53C9F1" w:themeFill="background2"/>
            <w:tcMar>
              <w:top w:w="96" w:type="dxa"/>
              <w:left w:w="113" w:type="dxa"/>
              <w:bottom w:w="96" w:type="dxa"/>
              <w:right w:w="113" w:type="dxa"/>
            </w:tcMar>
            <w:vAlign w:val="center"/>
          </w:tcPr>
          <w:p w14:paraId="2FDF9311" w14:textId="77777777" w:rsidR="00FF6037" w:rsidRPr="00FF6037" w:rsidRDefault="00FF6037" w:rsidP="00CF0920">
            <w:pPr>
              <w:pStyle w:val="CDITable-TotalRowCentre"/>
              <w:rPr>
                <w:lang w:val="en-GB"/>
              </w:rPr>
            </w:pPr>
            <w:r w:rsidRPr="00FF6037">
              <w:rPr>
                <w:lang w:val="en-GB"/>
              </w:rPr>
              <w:t>—</w:t>
            </w:r>
          </w:p>
        </w:tc>
        <w:tc>
          <w:tcPr>
            <w:tcW w:w="1304" w:type="dxa"/>
            <w:tcBorders>
              <w:top w:val="nil"/>
            </w:tcBorders>
            <w:shd w:val="clear" w:color="auto" w:fill="53C9F1" w:themeFill="background2"/>
            <w:tcMar>
              <w:top w:w="96" w:type="dxa"/>
              <w:left w:w="113" w:type="dxa"/>
              <w:bottom w:w="96" w:type="dxa"/>
              <w:right w:w="113" w:type="dxa"/>
            </w:tcMar>
            <w:vAlign w:val="center"/>
          </w:tcPr>
          <w:p w14:paraId="2F19BC02" w14:textId="77777777" w:rsidR="00FF6037" w:rsidRPr="00FF6037" w:rsidRDefault="00FF6037" w:rsidP="00CF0920">
            <w:pPr>
              <w:pStyle w:val="CDITable-TotalRowCentre"/>
              <w:rPr>
                <w:lang w:val="en-GB"/>
              </w:rPr>
            </w:pPr>
            <w:r w:rsidRPr="00FF6037">
              <w:rPr>
                <w:lang w:val="en-GB"/>
              </w:rPr>
              <w:t>1,098</w:t>
            </w:r>
          </w:p>
        </w:tc>
        <w:tc>
          <w:tcPr>
            <w:tcW w:w="1077" w:type="dxa"/>
            <w:tcBorders>
              <w:top w:val="nil"/>
            </w:tcBorders>
            <w:shd w:val="clear" w:color="auto" w:fill="53C9F1" w:themeFill="background2"/>
            <w:tcMar>
              <w:top w:w="96" w:type="dxa"/>
              <w:left w:w="113" w:type="dxa"/>
              <w:bottom w:w="96" w:type="dxa"/>
              <w:right w:w="113" w:type="dxa"/>
            </w:tcMar>
            <w:vAlign w:val="center"/>
          </w:tcPr>
          <w:p w14:paraId="094E617C" w14:textId="77777777" w:rsidR="00FF6037" w:rsidRPr="00FF6037" w:rsidRDefault="00FF6037" w:rsidP="00CF0920">
            <w:pPr>
              <w:pStyle w:val="CDITable-TotalRowCentre"/>
              <w:rPr>
                <w:lang w:val="en-GB"/>
              </w:rPr>
            </w:pPr>
            <w:r w:rsidRPr="00FF6037">
              <w:rPr>
                <w:lang w:val="en-GB"/>
              </w:rPr>
              <w:t>273</w:t>
            </w:r>
          </w:p>
        </w:tc>
        <w:tc>
          <w:tcPr>
            <w:tcW w:w="1304" w:type="dxa"/>
            <w:tcBorders>
              <w:top w:val="nil"/>
            </w:tcBorders>
            <w:shd w:val="clear" w:color="auto" w:fill="53C9F1" w:themeFill="background2"/>
            <w:tcMar>
              <w:top w:w="96" w:type="dxa"/>
              <w:left w:w="113" w:type="dxa"/>
              <w:bottom w:w="96" w:type="dxa"/>
              <w:right w:w="113" w:type="dxa"/>
            </w:tcMar>
            <w:vAlign w:val="center"/>
          </w:tcPr>
          <w:p w14:paraId="1EFE93D6" w14:textId="77777777" w:rsidR="00FF6037" w:rsidRPr="00FF6037" w:rsidRDefault="00FF6037" w:rsidP="00CF0920">
            <w:pPr>
              <w:pStyle w:val="CDITable-TotalRowCentre"/>
              <w:rPr>
                <w:lang w:val="en-GB"/>
              </w:rPr>
            </w:pPr>
            <w:r w:rsidRPr="00FF6037">
              <w:rPr>
                <w:lang w:val="en-GB"/>
              </w:rPr>
              <w:t>83</w:t>
            </w:r>
          </w:p>
        </w:tc>
        <w:tc>
          <w:tcPr>
            <w:tcW w:w="1304" w:type="dxa"/>
            <w:tcBorders>
              <w:top w:val="nil"/>
            </w:tcBorders>
            <w:shd w:val="clear" w:color="auto" w:fill="53C9F1" w:themeFill="background2"/>
            <w:tcMar>
              <w:top w:w="96" w:type="dxa"/>
              <w:left w:w="113" w:type="dxa"/>
              <w:bottom w:w="96" w:type="dxa"/>
              <w:right w:w="113" w:type="dxa"/>
            </w:tcMar>
            <w:vAlign w:val="center"/>
          </w:tcPr>
          <w:p w14:paraId="277A3EA7" w14:textId="77777777" w:rsidR="00FF6037" w:rsidRPr="00FF6037" w:rsidRDefault="00FF6037" w:rsidP="00CF0920">
            <w:pPr>
              <w:pStyle w:val="CDITable-TotalRowCentre"/>
              <w:rPr>
                <w:lang w:val="en-GB"/>
              </w:rPr>
            </w:pPr>
            <w:r w:rsidRPr="00FF6037">
              <w:rPr>
                <w:lang w:val="en-GB"/>
              </w:rPr>
              <w:t>21</w:t>
            </w:r>
          </w:p>
        </w:tc>
        <w:tc>
          <w:tcPr>
            <w:tcW w:w="1190" w:type="dxa"/>
            <w:tcBorders>
              <w:top w:val="nil"/>
            </w:tcBorders>
            <w:shd w:val="clear" w:color="auto" w:fill="53C9F1" w:themeFill="background2"/>
            <w:tcMar>
              <w:top w:w="96" w:type="dxa"/>
              <w:left w:w="113" w:type="dxa"/>
              <w:bottom w:w="96" w:type="dxa"/>
              <w:right w:w="113" w:type="dxa"/>
            </w:tcMar>
            <w:vAlign w:val="center"/>
          </w:tcPr>
          <w:p w14:paraId="17C25234" w14:textId="77777777" w:rsidR="00FF6037" w:rsidRPr="00FF6037" w:rsidRDefault="00FF6037" w:rsidP="00CF0920">
            <w:pPr>
              <w:pStyle w:val="CDITable-TotalRowCentre"/>
              <w:rPr>
                <w:lang w:val="en-GB"/>
              </w:rPr>
            </w:pPr>
            <w:r w:rsidRPr="00FF6037">
              <w:rPr>
                <w:lang w:val="en-GB"/>
              </w:rPr>
              <w:t>45</w:t>
            </w:r>
          </w:p>
        </w:tc>
        <w:tc>
          <w:tcPr>
            <w:tcW w:w="1191" w:type="dxa"/>
            <w:tcBorders>
              <w:top w:val="nil"/>
            </w:tcBorders>
            <w:shd w:val="clear" w:color="auto" w:fill="53C9F1" w:themeFill="background2"/>
            <w:tcMar>
              <w:top w:w="96" w:type="dxa"/>
              <w:left w:w="113" w:type="dxa"/>
              <w:bottom w:w="96" w:type="dxa"/>
              <w:right w:w="113" w:type="dxa"/>
            </w:tcMar>
            <w:vAlign w:val="center"/>
          </w:tcPr>
          <w:p w14:paraId="14D85DF3" w14:textId="77777777" w:rsidR="00FF6037" w:rsidRPr="00FF6037" w:rsidRDefault="00FF6037" w:rsidP="00CF0920">
            <w:pPr>
              <w:pStyle w:val="CDITable-TotalRowCentre"/>
              <w:rPr>
                <w:lang w:val="en-GB"/>
              </w:rPr>
            </w:pPr>
            <w:r w:rsidRPr="00FF6037">
              <w:rPr>
                <w:lang w:val="en-GB"/>
              </w:rPr>
              <w:t>41</w:t>
            </w:r>
          </w:p>
        </w:tc>
      </w:tr>
    </w:tbl>
    <w:p w14:paraId="7A444FD4" w14:textId="77777777" w:rsidR="00FF6037" w:rsidRPr="00FF6037" w:rsidRDefault="00FF6037" w:rsidP="00FF6037">
      <w:pPr>
        <w:pStyle w:val="CDITable-FirstFootnote"/>
        <w:rPr>
          <w:lang w:val="en-GB"/>
        </w:rPr>
      </w:pPr>
      <w:proofErr w:type="gramStart"/>
      <w:r w:rsidRPr="00FF6037">
        <w:rPr>
          <w:lang w:val="en-GB"/>
        </w:rPr>
        <w:t>a</w:t>
      </w:r>
      <w:proofErr w:type="gramEnd"/>
      <w:r w:rsidRPr="00FF6037">
        <w:rPr>
          <w:lang w:val="en-GB"/>
        </w:rPr>
        <w:tab/>
        <w:t>Attendees were based on invite lists and may not be reflective of actual attendance.</w:t>
      </w:r>
    </w:p>
    <w:p w14:paraId="29B77FB6" w14:textId="77777777" w:rsidR="00FF6037" w:rsidRPr="00FF6037" w:rsidRDefault="00FF6037" w:rsidP="00FF6037">
      <w:pPr>
        <w:pStyle w:val="CDITable-Footnote"/>
        <w:rPr>
          <w:lang w:val="en-GB"/>
        </w:rPr>
      </w:pPr>
      <w:r w:rsidRPr="00FF6037">
        <w:rPr>
          <w:lang w:val="en-GB"/>
        </w:rPr>
        <w:t>b</w:t>
      </w:r>
      <w:r w:rsidRPr="00FF6037">
        <w:rPr>
          <w:lang w:val="en-GB"/>
        </w:rPr>
        <w:tab/>
        <w:t>Attendees at the function associated with Outbreak 1 were not reported.</w:t>
      </w:r>
    </w:p>
    <w:p w14:paraId="7FAB4128" w14:textId="77777777" w:rsidR="00FF6037" w:rsidRPr="00FF6037" w:rsidRDefault="00FF6037" w:rsidP="00FF6037">
      <w:pPr>
        <w:pStyle w:val="CDITable-Footnote"/>
        <w:rPr>
          <w:lang w:val="en-GB"/>
        </w:rPr>
      </w:pPr>
      <w:r w:rsidRPr="00FF6037">
        <w:rPr>
          <w:lang w:val="en-GB"/>
        </w:rPr>
        <w:t>c</w:t>
      </w:r>
      <w:r w:rsidRPr="00FF6037">
        <w:rPr>
          <w:lang w:val="en-GB"/>
        </w:rPr>
        <w:tab/>
        <w:t>Those for whom detection of norovirus GII was reported.</w:t>
      </w:r>
    </w:p>
    <w:p w14:paraId="3E9D3B49" w14:textId="6114B25F" w:rsidR="00CF0920" w:rsidRPr="00CF0920" w:rsidRDefault="00CF0920" w:rsidP="00CF0920">
      <w:pPr>
        <w:pStyle w:val="Normal-morespacebefore"/>
        <w:rPr>
          <w:lang w:val="en-GB"/>
        </w:rPr>
      </w:pPr>
      <w:r>
        <w:rPr>
          <w:lang w:val="en-GB"/>
        </w:rPr>
        <w:t>T</w:t>
      </w:r>
      <w:r w:rsidRPr="00CF0920">
        <w:rPr>
          <w:lang w:val="en-GB"/>
        </w:rPr>
        <w:t xml:space="preserve">he median age of cases was 37 years (range: 14–85 years) and 61% were female. Reported symptoms included nausea (90%); abdominal pain (83%); diarrhoea (78%); vomiting (77%); and fever (59%). Median estimated incubation period was 27.5 hours (range 4–92 hours), calculated from an arbitrary exposure time during each event (8 pm). Median duration of illness was three days (range: 1–7 days). Clinical presentation, incubation periods and duration of illness were similar between outbreaks. </w:t>
      </w:r>
    </w:p>
    <w:p w14:paraId="30F8317E" w14:textId="77777777" w:rsidR="00CF0920" w:rsidRPr="00CF0920" w:rsidRDefault="00CF0920" w:rsidP="00CF0920">
      <w:pPr>
        <w:rPr>
          <w:lang w:val="en-GB"/>
        </w:rPr>
      </w:pPr>
      <w:r w:rsidRPr="00CF0920">
        <w:rPr>
          <w:lang w:val="en-GB"/>
        </w:rPr>
        <w:t>Food exposure analysis was undertaken for Outbreak 2 only. Univariable analysis found no statistically significant association between illness and any individual food item. Venue menus indicated that several dishes were served across multiple events; however, information was unavailable regarding whether common ingredients or batches of ready-to-eat foods were used at different functions.</w:t>
      </w:r>
    </w:p>
    <w:p w14:paraId="3C8F7DAC" w14:textId="77777777" w:rsidR="00CF0920" w:rsidRPr="00CF0920" w:rsidRDefault="00CF0920" w:rsidP="00CF0920">
      <w:pPr>
        <w:pStyle w:val="CDIFigure-Title"/>
        <w:rPr>
          <w:lang w:val="en-GB"/>
        </w:rPr>
      </w:pPr>
      <w:r w:rsidRPr="00CF0920">
        <w:rPr>
          <w:lang w:val="en-GB"/>
        </w:rPr>
        <w:t xml:space="preserve">Figure 1: Epidemic curve for norovirus outbreaks 2–5, among attendees and staff, by onset date and </w:t>
      </w:r>
      <w:proofErr w:type="spellStart"/>
      <w:proofErr w:type="gramStart"/>
      <w:r w:rsidRPr="00CF0920">
        <w:rPr>
          <w:lang w:val="en-GB"/>
        </w:rPr>
        <w:t>time,</w:t>
      </w:r>
      <w:r w:rsidRPr="00CF0920">
        <w:rPr>
          <w:vertAlign w:val="superscript"/>
          <w:lang w:val="en-GB"/>
        </w:rPr>
        <w:t>a</w:t>
      </w:r>
      <w:proofErr w:type="gramEnd"/>
      <w:r w:rsidRPr="00CF0920">
        <w:rPr>
          <w:vertAlign w:val="superscript"/>
          <w:lang w:val="en-GB"/>
        </w:rPr>
        <w:t>,b</w:t>
      </w:r>
      <w:proofErr w:type="spellEnd"/>
      <w:r w:rsidRPr="00CF0920">
        <w:rPr>
          <w:lang w:val="en-GB"/>
        </w:rPr>
        <w:t xml:space="preserve"> Victoria, Australia, 2023</w:t>
      </w:r>
    </w:p>
    <w:p w14:paraId="096B603F" w14:textId="72008D96" w:rsidR="00CF0920" w:rsidRDefault="00CF0920" w:rsidP="00CF0920">
      <w:pPr>
        <w:pStyle w:val="CDIFigure-Placeholder"/>
        <w:ind w:left="-426"/>
        <w:rPr>
          <w:lang w:val="en-GB"/>
        </w:rPr>
      </w:pPr>
      <w:r>
        <w:rPr>
          <w:noProof/>
          <w:lang w:val="en-GB"/>
          <w14:ligatures w14:val="none"/>
        </w:rPr>
        <w:drawing>
          <wp:inline distT="0" distB="0" distL="0" distR="0" wp14:anchorId="1A44A550" wp14:editId="5478FAF1">
            <wp:extent cx="6696000" cy="3178800"/>
            <wp:effectExtent l="0" t="0" r="0" b="3175"/>
            <wp:docPr id="1475483084" name="Picture 1" descr="Figure 1. An epidemic curve showing the day and time of symptom onset for cases in outbreaks 2 to 5, and in staff. Peaks are evident for each individual outbreak across a 15-day period, with staff cases dispersed throughout the perio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483084" name="Picture 1" descr="Figure 1. An epidemic curve showing the day and time of symptom onset for cases in outbreaks 2 to 5, and in staff. Peaks are evident for each individual outbreak across a 15-day period, with staff cases dispersed throughout the period. "/>
                    <pic:cNvPicPr/>
                  </pic:nvPicPr>
                  <pic:blipFill>
                    <a:blip r:embed="rId14">
                      <a:extLst>
                        <a:ext uri="{28A0092B-C50C-407E-A947-70E740481C1C}">
                          <a14:useLocalDpi xmlns:a14="http://schemas.microsoft.com/office/drawing/2010/main" val="0"/>
                        </a:ext>
                      </a:extLst>
                    </a:blip>
                    <a:stretch>
                      <a:fillRect/>
                    </a:stretch>
                  </pic:blipFill>
                  <pic:spPr>
                    <a:xfrm>
                      <a:off x="0" y="0"/>
                      <a:ext cx="6696000" cy="3178800"/>
                    </a:xfrm>
                    <a:prstGeom prst="rect">
                      <a:avLst/>
                    </a:prstGeom>
                  </pic:spPr>
                </pic:pic>
              </a:graphicData>
            </a:graphic>
          </wp:inline>
        </w:drawing>
      </w:r>
    </w:p>
    <w:p w14:paraId="0AFB38E2" w14:textId="77777777" w:rsidR="00CF0920" w:rsidRPr="00CF0920" w:rsidRDefault="00CF0920" w:rsidP="00CF0920">
      <w:pPr>
        <w:pStyle w:val="CDITable-FirstFootnote"/>
        <w:rPr>
          <w:lang w:val="en-GB"/>
        </w:rPr>
      </w:pPr>
      <w:r w:rsidRPr="00CF0920">
        <w:rPr>
          <w:lang w:val="en-GB"/>
        </w:rPr>
        <w:t>a</w:t>
      </w:r>
      <w:r w:rsidRPr="00CF0920">
        <w:rPr>
          <w:lang w:val="en-GB"/>
        </w:rPr>
        <w:tab/>
        <w:t>Symptom onset data was provided at interview for outbreaks 2–5, and for 11 of 12 staff with illness.</w:t>
      </w:r>
    </w:p>
    <w:p w14:paraId="62C1E1A2" w14:textId="77777777" w:rsidR="00CF0920" w:rsidRPr="00CF0920" w:rsidRDefault="00CF0920" w:rsidP="00CF0920">
      <w:pPr>
        <w:pStyle w:val="CDITable-Footnote"/>
        <w:rPr>
          <w:lang w:val="en-GB"/>
        </w:rPr>
      </w:pPr>
      <w:r w:rsidRPr="00CF0920">
        <w:rPr>
          <w:lang w:val="en-GB"/>
        </w:rPr>
        <w:t>b</w:t>
      </w:r>
      <w:r w:rsidRPr="00CF0920">
        <w:rPr>
          <w:lang w:val="en-GB"/>
        </w:rPr>
        <w:tab/>
        <w:t>Arrows, colour coded by outbreak number, indicate the day and times of the event.</w:t>
      </w:r>
    </w:p>
    <w:p w14:paraId="67A04059" w14:textId="77777777" w:rsidR="00CF0920" w:rsidRPr="00CF0920" w:rsidRDefault="00CF0920" w:rsidP="00CF0920">
      <w:pPr>
        <w:pStyle w:val="Normal-morespacebefore"/>
        <w:rPr>
          <w:lang w:val="en-GB"/>
        </w:rPr>
      </w:pPr>
      <w:r w:rsidRPr="00CF0920">
        <w:rPr>
          <w:lang w:val="en-GB"/>
        </w:rPr>
        <w:t xml:space="preserve">Twelve staff members reported gastroenteritis symptoms during the period of interest. Four were </w:t>
      </w:r>
      <w:proofErr w:type="spellStart"/>
      <w:r w:rsidRPr="00CF0920">
        <w:rPr>
          <w:lang w:val="en-GB"/>
        </w:rPr>
        <w:t>foodhandlers</w:t>
      </w:r>
      <w:proofErr w:type="spellEnd"/>
      <w:r w:rsidRPr="00CF0920">
        <w:rPr>
          <w:lang w:val="en-GB"/>
        </w:rPr>
        <w:t>, and seven served food and drinks. Four staff members reported observing patrons vomiting at the venue one day prior to, and on the day of, the first outbreak-related event, and three of these staff helped to clean up the vomit. All four staff subsequently developed gastrointestinal illness. Following outbreaks 1 and 2, four staff members, including a chef, reported either working while symptomatic or returning to work within two days of symptom resolution.</w:t>
      </w:r>
    </w:p>
    <w:p w14:paraId="73CD8CED" w14:textId="75E5A477" w:rsidR="008A0736" w:rsidRDefault="00CF0920" w:rsidP="000F7EDE">
      <w:pPr>
        <w:pStyle w:val="Heading1"/>
      </w:pPr>
      <w:r w:rsidRPr="000E334D">
        <w:t>Laboratory</w:t>
      </w:r>
      <w:r>
        <w:t xml:space="preserve"> and </w:t>
      </w:r>
      <w:r w:rsidRPr="000F7EDE">
        <w:t>environmental</w:t>
      </w:r>
      <w:r>
        <w:t xml:space="preserve"> </w:t>
      </w:r>
      <w:r w:rsidRPr="00CF0920">
        <w:t>investigations</w:t>
      </w:r>
    </w:p>
    <w:p w14:paraId="2527429B" w14:textId="77777777" w:rsidR="00CF0920" w:rsidRPr="00CF0920" w:rsidRDefault="00CF0920" w:rsidP="00CF0920">
      <w:pPr>
        <w:pStyle w:val="Normal-Opening"/>
        <w:rPr>
          <w:lang w:val="en-GB"/>
        </w:rPr>
      </w:pPr>
      <w:r w:rsidRPr="00CF0920">
        <w:rPr>
          <w:lang w:val="en-GB"/>
        </w:rPr>
        <w:t xml:space="preserve">Norovirus GII was detected from 41 cases across Outbreaks 2–6. Genomic sequencing performed at VIDRL confirmed that the virus from the 41 cases associated with these outbreaks shared 100% identity across the 534 bp </w:t>
      </w:r>
      <w:proofErr w:type="gramStart"/>
      <w:r w:rsidRPr="00CF0920">
        <w:rPr>
          <w:lang w:val="en-GB"/>
        </w:rPr>
        <w:t>fragment</w:t>
      </w:r>
      <w:proofErr w:type="gramEnd"/>
      <w:r w:rsidRPr="00CF0920">
        <w:rPr>
          <w:lang w:val="en-GB"/>
        </w:rPr>
        <w:t xml:space="preserve"> sequenced. </w:t>
      </w:r>
    </w:p>
    <w:p w14:paraId="6E32F408" w14:textId="77777777" w:rsidR="00CF0920" w:rsidRPr="00CF0920" w:rsidRDefault="00CF0920" w:rsidP="00CF0920">
      <w:pPr>
        <w:rPr>
          <w:lang w:val="en-GB"/>
        </w:rPr>
      </w:pPr>
      <w:r w:rsidRPr="00CF0920">
        <w:rPr>
          <w:lang w:val="en-GB"/>
        </w:rPr>
        <w:t>No bacterial pathogens were detected in food or environmental samples.</w:t>
      </w:r>
    </w:p>
    <w:p w14:paraId="12088613" w14:textId="77777777" w:rsidR="00CF0920" w:rsidRPr="00CF0920" w:rsidRDefault="00CF0920" w:rsidP="000E334D">
      <w:pPr>
        <w:pStyle w:val="Heading1"/>
        <w:pageBreakBefore w:val="0"/>
        <w:spacing w:before="720"/>
        <w:rPr>
          <w:lang w:val="en-GB"/>
        </w:rPr>
      </w:pPr>
      <w:r w:rsidRPr="00CF0920">
        <w:rPr>
          <w:lang w:val="en-GB"/>
        </w:rPr>
        <w:t>Public health response</w:t>
      </w:r>
    </w:p>
    <w:p w14:paraId="1C719CE4" w14:textId="14CBDC6F" w:rsidR="00AC46DC" w:rsidRPr="00BE73E6" w:rsidRDefault="00CF0920" w:rsidP="000E334D">
      <w:pPr>
        <w:pStyle w:val="Normal-Opening"/>
        <w:rPr>
          <w:lang w:val="en-GB"/>
        </w:rPr>
      </w:pPr>
      <w:r w:rsidRPr="00CF0920">
        <w:rPr>
          <w:lang w:val="en-GB"/>
        </w:rPr>
        <w:t>Environmental health officers assessed food preparation and handling practices at the venue and found them to be adequate at the time of initial inspection following notification of Outbreak 2. Following Outbreak 3, supervised environmental cleaning of the premises was arranged in accordance with the published Victoria Health guidelines for the investigation of gastroenteritis.</w:t>
      </w:r>
      <w:r w:rsidRPr="00CF0920">
        <w:rPr>
          <w:vertAlign w:val="superscript"/>
          <w:lang w:val="en-GB"/>
        </w:rPr>
        <w:t>1</w:t>
      </w:r>
      <w:r w:rsidRPr="00CF0920">
        <w:rPr>
          <w:lang w:val="en-GB"/>
        </w:rPr>
        <w:t xml:space="preserve"> Despite these measures, additional outbreaks occurred. After Outbreak 6, venue operators voluntarily closed the premises for two weeks and undertook further intensive environmental cleaning. No additional outbreaks were reported after the venue reopened.</w:t>
      </w:r>
    </w:p>
    <w:p w14:paraId="4D9CA0EF" w14:textId="77777777" w:rsidR="006E0B0E" w:rsidRDefault="008017B6" w:rsidP="008017B6">
      <w:pPr>
        <w:pStyle w:val="Heading1"/>
      </w:pPr>
      <w:bookmarkStart w:id="4" w:name="_Toc213227283"/>
      <w:bookmarkStart w:id="5" w:name="_Toc195519590"/>
      <w:bookmarkStart w:id="6" w:name="_Toc195522359"/>
      <w:r>
        <w:t>Discussion</w:t>
      </w:r>
      <w:bookmarkEnd w:id="4"/>
    </w:p>
    <w:p w14:paraId="1ECFEA41" w14:textId="77777777" w:rsidR="000E334D" w:rsidRPr="000E334D" w:rsidRDefault="000E334D" w:rsidP="000E334D">
      <w:pPr>
        <w:pStyle w:val="Normal-Opening"/>
        <w:rPr>
          <w:lang w:val="en-GB"/>
        </w:rPr>
      </w:pPr>
      <w:r w:rsidRPr="000E334D">
        <w:rPr>
          <w:lang w:val="en-GB"/>
        </w:rPr>
        <w:t xml:space="preserve">Norovirus outbreaks in food and hospitality settings are relatively common in Victoria, with an average of 18 outbreaks recorded each year between 2018 and 2022. However, the occurrence of six gastroenteritis outbreaks linked to a single venue within a </w:t>
      </w:r>
      <w:proofErr w:type="gramStart"/>
      <w:r w:rsidRPr="000E334D">
        <w:rPr>
          <w:lang w:val="en-GB"/>
        </w:rPr>
        <w:t>15 day</w:t>
      </w:r>
      <w:proofErr w:type="gramEnd"/>
      <w:r w:rsidRPr="000E334D">
        <w:rPr>
          <w:lang w:val="en-GB"/>
        </w:rPr>
        <w:t xml:space="preserve"> period has not previously been reported in Victoria and, to the authors’ knowledge, has not been described in the literature. </w:t>
      </w:r>
    </w:p>
    <w:p w14:paraId="295A8A18" w14:textId="77777777" w:rsidR="000E334D" w:rsidRPr="000E334D" w:rsidRDefault="000E334D" w:rsidP="000E334D">
      <w:pPr>
        <w:rPr>
          <w:lang w:val="en-GB"/>
        </w:rPr>
      </w:pPr>
      <w:r w:rsidRPr="000E334D">
        <w:rPr>
          <w:lang w:val="en-GB"/>
        </w:rPr>
        <w:t xml:space="preserve">This investigation provided genomic evidence to suggest that the outbreaks were connected. During the period between Outbreaks 1 and 3, staff were identified to have worked while symptomatic or infectious, contributing to the sustained transmission of illness via person-to-person contact or surface contamination. </w:t>
      </w:r>
    </w:p>
    <w:p w14:paraId="11708354" w14:textId="77777777" w:rsidR="000E334D" w:rsidRPr="000E334D" w:rsidRDefault="000E334D" w:rsidP="000E334D">
      <w:pPr>
        <w:rPr>
          <w:lang w:val="en-GB"/>
        </w:rPr>
      </w:pPr>
      <w:r w:rsidRPr="000E334D">
        <w:rPr>
          <w:lang w:val="en-GB"/>
        </w:rPr>
        <w:t>A univariable analysis of food exposures of cases from Outbreak 2 suggested that there was no single significant food vehicle involved in transmission. Additionally, information on whether individual food batches were prepared and served across multiple events was unavailable. Despite this, reports of food handlers preparing food while symptomatic or potentially infectious, together with the service of common dishes across events, suggest that contamination of ready-to-eat foods, or of food-preparation surfaces, cannot be discounted as a potential source of transmission, particularly during the earlier outbreak events.</w:t>
      </w:r>
    </w:p>
    <w:p w14:paraId="246AE15E" w14:textId="77777777" w:rsidR="000E334D" w:rsidRPr="000E334D" w:rsidRDefault="000E334D" w:rsidP="000E334D">
      <w:pPr>
        <w:rPr>
          <w:lang w:val="en-GB"/>
        </w:rPr>
      </w:pPr>
      <w:r w:rsidRPr="000E334D">
        <w:rPr>
          <w:lang w:val="en-GB"/>
        </w:rPr>
        <w:t xml:space="preserve">Environmental contamination may have also played a role. Comprehensive supervised cleaning of the premises was only undertaken following Outbreak 3, and again following Outbreak 6, raising the possibility that contaminated environmental surfaces were not fully decontaminated throughout the </w:t>
      </w:r>
      <w:proofErr w:type="gramStart"/>
      <w:r w:rsidRPr="000E334D">
        <w:rPr>
          <w:lang w:val="en-GB"/>
        </w:rPr>
        <w:t>15 day</w:t>
      </w:r>
      <w:proofErr w:type="gramEnd"/>
      <w:r w:rsidRPr="000E334D">
        <w:rPr>
          <w:lang w:val="en-GB"/>
        </w:rPr>
        <w:t xml:space="preserve"> period and may have served as a persistent source of transmission.</w:t>
      </w:r>
    </w:p>
    <w:p w14:paraId="3354A14D" w14:textId="77777777" w:rsidR="000E334D" w:rsidRPr="000E334D" w:rsidRDefault="000E334D" w:rsidP="000E334D">
      <w:pPr>
        <w:rPr>
          <w:lang w:val="en-GB"/>
        </w:rPr>
      </w:pPr>
      <w:r w:rsidRPr="000E334D">
        <w:rPr>
          <w:lang w:val="en-GB"/>
        </w:rPr>
        <w:t>Plausible chains of transmission were identified between Outbreaks 1 to 3 and between Outbreaks 4 to 6. However, the mechanism by which norovirus was reintroduced between Outbreaks 3 and 4 remains uncertain. Although supervised cleaning had been carried out and no staff reported working while symptomatic during this interval, genomic evidence indicates that transmission continued. It is therefore possible that ill staff were not identified during interviews, or that, despite cleaning efforts, there was residual persistence of the virus in the environment.</w:t>
      </w:r>
      <w:r w:rsidRPr="000E334D">
        <w:rPr>
          <w:vertAlign w:val="superscript"/>
          <w:lang w:val="en-GB"/>
        </w:rPr>
        <w:t>2</w:t>
      </w:r>
      <w:r w:rsidRPr="000E334D">
        <w:rPr>
          <w:lang w:val="en-GB"/>
        </w:rPr>
        <w:t xml:space="preserve"> A low infective dose,</w:t>
      </w:r>
      <w:r w:rsidRPr="000E334D">
        <w:rPr>
          <w:vertAlign w:val="superscript"/>
          <w:lang w:val="en-GB"/>
        </w:rPr>
        <w:t>3</w:t>
      </w:r>
      <w:r w:rsidRPr="000E334D">
        <w:rPr>
          <w:lang w:val="en-GB"/>
        </w:rPr>
        <w:t xml:space="preserve"> or faecal shedding of norovirus in asymptomatic individuals,</w:t>
      </w:r>
      <w:r w:rsidRPr="000E334D">
        <w:rPr>
          <w:vertAlign w:val="superscript"/>
          <w:lang w:val="en-GB"/>
        </w:rPr>
        <w:t>4</w:t>
      </w:r>
      <w:r w:rsidRPr="000E334D">
        <w:rPr>
          <w:lang w:val="en-GB"/>
        </w:rPr>
        <w:t xml:space="preserve"> may also have contributed to continued transmission.</w:t>
      </w:r>
    </w:p>
    <w:p w14:paraId="50BCCBC2" w14:textId="77777777" w:rsidR="000E334D" w:rsidRPr="000E334D" w:rsidRDefault="000E334D" w:rsidP="000E334D">
      <w:pPr>
        <w:rPr>
          <w:lang w:val="en-GB"/>
        </w:rPr>
      </w:pPr>
      <w:r w:rsidRPr="000E334D">
        <w:rPr>
          <w:lang w:val="en-GB"/>
        </w:rPr>
        <w:t>Standard public health measures applied in response to the outbreaks, including supervised environmental cleaning, food safety advice and the exclusion of ill staff, were insufficient to interrupt transmission.</w:t>
      </w:r>
    </w:p>
    <w:p w14:paraId="75E1A192" w14:textId="77777777" w:rsidR="000E334D" w:rsidRPr="000E334D" w:rsidRDefault="000E334D" w:rsidP="000E334D">
      <w:pPr>
        <w:rPr>
          <w:lang w:val="en-GB"/>
        </w:rPr>
      </w:pPr>
      <w:r w:rsidRPr="000E334D">
        <w:rPr>
          <w:lang w:val="en-GB"/>
        </w:rPr>
        <w:t>In Victoria, standard advice for food handlers with gastroenteritis of viral or unknown aetiology is to exclude from work until two days after cessation of symptoms.</w:t>
      </w:r>
      <w:r w:rsidRPr="000E334D">
        <w:rPr>
          <w:vertAlign w:val="superscript"/>
          <w:lang w:val="en-GB"/>
        </w:rPr>
        <w:t>5</w:t>
      </w:r>
      <w:r w:rsidRPr="000E334D">
        <w:rPr>
          <w:lang w:val="en-GB"/>
        </w:rPr>
        <w:t xml:space="preserve"> As shedding may occur both pre-symptomatically and for more than two days after symptoms cease,</w:t>
      </w:r>
      <w:r w:rsidRPr="000E334D">
        <w:rPr>
          <w:vertAlign w:val="superscript"/>
          <w:lang w:val="en-GB"/>
        </w:rPr>
        <w:t>6</w:t>
      </w:r>
      <w:r w:rsidRPr="000E334D">
        <w:rPr>
          <w:lang w:val="en-GB"/>
        </w:rPr>
        <w:t xml:space="preserve"> this routine advice may not fully prevent workplace transmission. Workplace factors may also affect compliance with exclusion requirements. Staff experiencing relatively mild symptoms may continue working; may return to work too soon after illness; or may choose not to disclose symptoms. These issues may be particularly relevant in hospitality settings, where casual employment is common and access to paid sick leave may be limited.</w:t>
      </w:r>
      <w:r w:rsidRPr="000E334D">
        <w:rPr>
          <w:vertAlign w:val="superscript"/>
          <w:lang w:val="en-GB"/>
        </w:rPr>
        <w:t>7</w:t>
      </w:r>
      <w:r w:rsidRPr="000E334D">
        <w:rPr>
          <w:lang w:val="en-GB"/>
        </w:rPr>
        <w:t xml:space="preserve"> During gastroenteritis outbreaks, food premises should reinforce exclusion requirements through clear communication and, where possible, should provide workplace arrangements that enable staff to remain away from work while ill without financial disadvantage.</w:t>
      </w:r>
    </w:p>
    <w:p w14:paraId="6C0064E8" w14:textId="77777777" w:rsidR="000E334D" w:rsidRPr="000E334D" w:rsidRDefault="000E334D" w:rsidP="000E334D">
      <w:pPr>
        <w:pStyle w:val="Heading1"/>
        <w:rPr>
          <w:lang w:val="en-GB"/>
        </w:rPr>
      </w:pPr>
      <w:r w:rsidRPr="000E334D">
        <w:rPr>
          <w:lang w:val="en-GB"/>
        </w:rPr>
        <w:t>Acknowledgments</w:t>
      </w:r>
    </w:p>
    <w:p w14:paraId="0CD6BCF4" w14:textId="05043452" w:rsidR="0001020A" w:rsidRDefault="000E334D" w:rsidP="000E334D">
      <w:pPr>
        <w:pStyle w:val="Normal-Opening"/>
      </w:pPr>
      <w:r w:rsidRPr="000E334D">
        <w:rPr>
          <w:lang w:val="en-GB"/>
        </w:rPr>
        <w:t xml:space="preserve">We would like to acknowledge the invaluable assistance provided during this investigation by staff of the Victorian Department of Health, </w:t>
      </w:r>
      <w:proofErr w:type="gramStart"/>
      <w:r w:rsidRPr="000E334D">
        <w:rPr>
          <w:lang w:val="en-GB"/>
        </w:rPr>
        <w:t>South East</w:t>
      </w:r>
      <w:proofErr w:type="gramEnd"/>
      <w:r w:rsidRPr="000E334D">
        <w:rPr>
          <w:lang w:val="en-GB"/>
        </w:rPr>
        <w:t xml:space="preserve"> Public Health Unit, City of Port Phillip, the Microbiological Diagnostic Unit Public Health Laboratory and the Victorian Infectious Diseases Reference Laboratory.</w:t>
      </w:r>
    </w:p>
    <w:p w14:paraId="257C9883" w14:textId="77777777" w:rsidR="008A0736" w:rsidRDefault="008A0736" w:rsidP="008A0736">
      <w:pPr>
        <w:pStyle w:val="Heading1"/>
      </w:pPr>
      <w:bookmarkStart w:id="7" w:name="_Toc195530508"/>
      <w:bookmarkStart w:id="8" w:name="_Toc213227286"/>
      <w:bookmarkEnd w:id="5"/>
      <w:bookmarkEnd w:id="6"/>
      <w:r>
        <w:t>Author details</w:t>
      </w:r>
      <w:bookmarkEnd w:id="7"/>
      <w:bookmarkEnd w:id="8"/>
    </w:p>
    <w:p w14:paraId="153583FE" w14:textId="77777777" w:rsidR="000E334D" w:rsidRPr="000E334D" w:rsidRDefault="000E334D" w:rsidP="000E334D">
      <w:pPr>
        <w:pStyle w:val="Normal-Opening"/>
        <w:rPr>
          <w:lang w:val="en-GB"/>
        </w:rPr>
      </w:pPr>
      <w:r w:rsidRPr="000E334D">
        <w:rPr>
          <w:lang w:val="en-GB"/>
        </w:rPr>
        <w:t>Michelle Renwick,</w:t>
      </w:r>
      <w:r w:rsidRPr="000E334D">
        <w:rPr>
          <w:vertAlign w:val="superscript"/>
          <w:lang w:val="en-GB"/>
        </w:rPr>
        <w:t>1</w:t>
      </w:r>
    </w:p>
    <w:p w14:paraId="41156D8E" w14:textId="77777777" w:rsidR="000E334D" w:rsidRPr="000E334D" w:rsidRDefault="000E334D" w:rsidP="000E334D">
      <w:pPr>
        <w:pStyle w:val="Normal-lessspace"/>
      </w:pPr>
      <w:r w:rsidRPr="000E334D">
        <w:t>Jim Adamopoulos,</w:t>
      </w:r>
      <w:r w:rsidRPr="000E334D">
        <w:rPr>
          <w:vertAlign w:val="superscript"/>
        </w:rPr>
        <w:t>1</w:t>
      </w:r>
    </w:p>
    <w:p w14:paraId="6E18C8F5" w14:textId="77777777" w:rsidR="000E334D" w:rsidRPr="000E334D" w:rsidRDefault="000E334D" w:rsidP="000E334D">
      <w:pPr>
        <w:pStyle w:val="Normal-lessspace"/>
      </w:pPr>
      <w:r w:rsidRPr="000E334D">
        <w:t>Sally Atkinson,</w:t>
      </w:r>
      <w:r w:rsidRPr="000E334D">
        <w:rPr>
          <w:vertAlign w:val="superscript"/>
        </w:rPr>
        <w:t>1</w:t>
      </w:r>
    </w:p>
    <w:p w14:paraId="47E2602E" w14:textId="77777777" w:rsidR="000E334D" w:rsidRPr="000E334D" w:rsidRDefault="000E334D" w:rsidP="000E334D">
      <w:pPr>
        <w:pStyle w:val="Normal-lessspace"/>
      </w:pPr>
      <w:r w:rsidRPr="000E334D">
        <w:t>Jane McAllister,</w:t>
      </w:r>
      <w:r w:rsidRPr="000E334D">
        <w:rPr>
          <w:vertAlign w:val="superscript"/>
        </w:rPr>
        <w:t>1</w:t>
      </w:r>
    </w:p>
    <w:p w14:paraId="5290A43E" w14:textId="77777777" w:rsidR="000E334D" w:rsidRPr="000E334D" w:rsidRDefault="000E334D" w:rsidP="000E334D">
      <w:pPr>
        <w:pStyle w:val="Normal-lessspace"/>
      </w:pPr>
      <w:r w:rsidRPr="000E334D">
        <w:t>Maria McQuinn,</w:t>
      </w:r>
      <w:r w:rsidRPr="000E334D">
        <w:rPr>
          <w:vertAlign w:val="superscript"/>
        </w:rPr>
        <w:t>1</w:t>
      </w:r>
    </w:p>
    <w:p w14:paraId="11F9CF12" w14:textId="77777777" w:rsidR="000E334D" w:rsidRPr="000E334D" w:rsidRDefault="000E334D" w:rsidP="000E334D">
      <w:pPr>
        <w:pStyle w:val="Normal-lessspace"/>
      </w:pPr>
      <w:r w:rsidRPr="000E334D">
        <w:t>Anastasia Stylianopoulos,</w:t>
      </w:r>
      <w:r w:rsidRPr="000E334D">
        <w:rPr>
          <w:vertAlign w:val="superscript"/>
        </w:rPr>
        <w:t>1</w:t>
      </w:r>
    </w:p>
    <w:p w14:paraId="37899246" w14:textId="77777777" w:rsidR="000E334D" w:rsidRPr="000E334D" w:rsidRDefault="000E334D" w:rsidP="000E334D">
      <w:pPr>
        <w:pStyle w:val="Normal-lessspace"/>
      </w:pPr>
      <w:r w:rsidRPr="000E334D">
        <w:t>Leesa Bruggink,</w:t>
      </w:r>
      <w:r w:rsidRPr="000E334D">
        <w:rPr>
          <w:vertAlign w:val="superscript"/>
        </w:rPr>
        <w:t>2</w:t>
      </w:r>
    </w:p>
    <w:p w14:paraId="33BD4BC4" w14:textId="77777777" w:rsidR="000E334D" w:rsidRPr="000E334D" w:rsidRDefault="000E334D" w:rsidP="000E334D">
      <w:pPr>
        <w:pStyle w:val="Normal-lessspace"/>
      </w:pPr>
      <w:r w:rsidRPr="000E334D">
        <w:t>Simon Crouch,</w:t>
      </w:r>
      <w:r w:rsidRPr="000E334D">
        <w:rPr>
          <w:vertAlign w:val="superscript"/>
        </w:rPr>
        <w:t>3</w:t>
      </w:r>
    </w:p>
    <w:p w14:paraId="00106ADC" w14:textId="77777777" w:rsidR="000E334D" w:rsidRPr="000E334D" w:rsidRDefault="000E334D" w:rsidP="000E334D">
      <w:pPr>
        <w:pStyle w:val="Normal-lessspace"/>
      </w:pPr>
      <w:r w:rsidRPr="000E334D">
        <w:t>Rhonda L Stuart,</w:t>
      </w:r>
      <w:r w:rsidRPr="000E334D">
        <w:rPr>
          <w:vertAlign w:val="superscript"/>
        </w:rPr>
        <w:t>3</w:t>
      </w:r>
    </w:p>
    <w:p w14:paraId="10E0266F" w14:textId="77777777" w:rsidR="000E334D" w:rsidRPr="000E334D" w:rsidRDefault="000E334D" w:rsidP="000E334D">
      <w:pPr>
        <w:pStyle w:val="Normal-lessspace"/>
      </w:pPr>
      <w:r w:rsidRPr="000E334D">
        <w:t>Shaun P Coutts</w:t>
      </w:r>
      <w:r w:rsidRPr="000E334D">
        <w:rPr>
          <w:vertAlign w:val="superscript"/>
        </w:rPr>
        <w:t>1</w:t>
      </w:r>
    </w:p>
    <w:p w14:paraId="022F1FC2" w14:textId="77777777" w:rsidR="000E334D" w:rsidRPr="000E334D" w:rsidRDefault="000E334D" w:rsidP="000E334D">
      <w:pPr>
        <w:pStyle w:val="CDINumberedList1L1"/>
        <w:rPr>
          <w:lang w:val="en-GB"/>
        </w:rPr>
      </w:pPr>
      <w:r w:rsidRPr="000E334D">
        <w:rPr>
          <w:lang w:val="en-GB"/>
        </w:rPr>
        <w:t>Victorian Department of Health, Victoria, Australia</w:t>
      </w:r>
    </w:p>
    <w:p w14:paraId="64E215C8" w14:textId="77777777" w:rsidR="000E334D" w:rsidRPr="000E334D" w:rsidRDefault="000E334D" w:rsidP="000E334D">
      <w:pPr>
        <w:pStyle w:val="CDINumberedList1L1"/>
        <w:rPr>
          <w:lang w:val="en-GB"/>
        </w:rPr>
      </w:pPr>
      <w:r w:rsidRPr="000E334D">
        <w:rPr>
          <w:lang w:val="en-GB"/>
        </w:rPr>
        <w:t>Victorian Infectious Diseases Reference Laboratory, Victoria, Australia</w:t>
      </w:r>
    </w:p>
    <w:p w14:paraId="506A8C2B" w14:textId="77777777" w:rsidR="000E334D" w:rsidRPr="000E334D" w:rsidRDefault="000E334D" w:rsidP="000E334D">
      <w:pPr>
        <w:pStyle w:val="CDINumberedList1L1"/>
        <w:rPr>
          <w:lang w:val="en-GB"/>
        </w:rPr>
      </w:pPr>
      <w:proofErr w:type="gramStart"/>
      <w:r w:rsidRPr="000E334D">
        <w:rPr>
          <w:lang w:val="en-GB"/>
        </w:rPr>
        <w:t>South East</w:t>
      </w:r>
      <w:proofErr w:type="gramEnd"/>
      <w:r w:rsidRPr="000E334D">
        <w:rPr>
          <w:lang w:val="en-GB"/>
        </w:rPr>
        <w:t xml:space="preserve"> Public Health Unit, Victoria, Australia</w:t>
      </w:r>
    </w:p>
    <w:p w14:paraId="16E4A66D" w14:textId="77777777" w:rsidR="00423436" w:rsidRDefault="00423436" w:rsidP="00423436">
      <w:pPr>
        <w:pStyle w:val="CDICorrespondingauthor"/>
      </w:pPr>
      <w:r>
        <w:t>Corresponding author</w:t>
      </w:r>
    </w:p>
    <w:p w14:paraId="78011E6B" w14:textId="7F4ECA02" w:rsidR="000E334D" w:rsidRPr="000E334D" w:rsidRDefault="000E334D" w:rsidP="000E334D">
      <w:pPr>
        <w:rPr>
          <w:lang w:val="en-GB"/>
        </w:rPr>
      </w:pPr>
      <w:r w:rsidRPr="000E334D">
        <w:rPr>
          <w:lang w:val="en-GB"/>
        </w:rPr>
        <w:t>Jane Mc</w:t>
      </w:r>
      <w:r>
        <w:rPr>
          <w:lang w:val="en-GB"/>
        </w:rPr>
        <w:t>A</w:t>
      </w:r>
      <w:r w:rsidRPr="000E334D">
        <w:rPr>
          <w:lang w:val="en-GB"/>
        </w:rPr>
        <w:t>llister</w:t>
      </w:r>
    </w:p>
    <w:p w14:paraId="5DF8E867" w14:textId="77777777" w:rsidR="000E334D" w:rsidRPr="000E334D" w:rsidRDefault="000E334D" w:rsidP="000E334D">
      <w:pPr>
        <w:rPr>
          <w:lang w:val="en-GB"/>
        </w:rPr>
      </w:pPr>
      <w:r w:rsidRPr="000E334D">
        <w:rPr>
          <w:lang w:val="en-GB"/>
        </w:rPr>
        <w:t>Victorian Department of Health, 50 Lonsdale Street, Victoria, Australia</w:t>
      </w:r>
    </w:p>
    <w:p w14:paraId="5CD16456" w14:textId="611B1560" w:rsidR="008A0736" w:rsidRDefault="000E334D" w:rsidP="00423436">
      <w:r>
        <w:rPr>
          <w:lang w:val="en-GB"/>
        </w:rPr>
        <w:t xml:space="preserve">Email: </w:t>
      </w:r>
      <w:hyperlink r:id="rId15" w:history="1">
        <w:r w:rsidRPr="009C769A">
          <w:rPr>
            <w:rStyle w:val="Hyperlink"/>
            <w:lang w:val="en-GB"/>
          </w:rPr>
          <w:t>jane.mcallister@health.vic.gov.au</w:t>
        </w:r>
      </w:hyperlink>
    </w:p>
    <w:p w14:paraId="68030EAE" w14:textId="77777777" w:rsidR="008A0736" w:rsidRDefault="008A0736" w:rsidP="00122ADA">
      <w:pPr>
        <w:pStyle w:val="Heading1"/>
      </w:pPr>
      <w:bookmarkStart w:id="9" w:name="_Toc195530511"/>
      <w:bookmarkStart w:id="10" w:name="_Toc213227287"/>
      <w:r>
        <w:t>References</w:t>
      </w:r>
      <w:bookmarkEnd w:id="9"/>
      <w:bookmarkEnd w:id="10"/>
    </w:p>
    <w:p w14:paraId="235D2879" w14:textId="573FDA7F" w:rsidR="000E334D" w:rsidRPr="000E334D" w:rsidRDefault="000E334D" w:rsidP="000E334D">
      <w:pPr>
        <w:pStyle w:val="CDINumberedList1L1"/>
        <w:numPr>
          <w:ilvl w:val="0"/>
          <w:numId w:val="10"/>
        </w:numPr>
        <w:spacing w:before="360"/>
        <w:ind w:left="397" w:hanging="397"/>
        <w:rPr>
          <w:lang w:val="en-GB"/>
        </w:rPr>
      </w:pPr>
      <w:r w:rsidRPr="000E334D">
        <w:rPr>
          <w:lang w:val="en-GB"/>
        </w:rPr>
        <w:t xml:space="preserve">Victorian State Government Department of Health (Victoria Health). Guidelines for the investigation of gastroenteritis. [Webpage.] Melbourne: Victoria Health; 21 September 2023. [Accessed on 14 May 2024.] Available from: </w:t>
      </w:r>
      <w:hyperlink r:id="rId16" w:anchor="key-messages" w:history="1">
        <w:r w:rsidRPr="000E334D">
          <w:rPr>
            <w:rStyle w:val="Hyperlink"/>
          </w:rPr>
          <w:t>https://www.health.vic.gov.au/infectious-diseases/guidelines-for-the-investigation-of-gastroenteritis#key-messages</w:t>
        </w:r>
      </w:hyperlink>
      <w:r w:rsidRPr="000E334D">
        <w:rPr>
          <w:lang w:val="en-GB"/>
        </w:rPr>
        <w:t xml:space="preserve">. </w:t>
      </w:r>
    </w:p>
    <w:p w14:paraId="47E67808" w14:textId="58892333" w:rsidR="000E334D" w:rsidRPr="000E334D" w:rsidRDefault="000E334D" w:rsidP="000E334D">
      <w:pPr>
        <w:pStyle w:val="CDINumberedList1L1"/>
        <w:rPr>
          <w:lang w:val="en-GB"/>
        </w:rPr>
      </w:pPr>
      <w:proofErr w:type="spellStart"/>
      <w:r w:rsidRPr="000E334D">
        <w:rPr>
          <w:lang w:val="en-GB"/>
        </w:rPr>
        <w:t>Lopman</w:t>
      </w:r>
      <w:proofErr w:type="spellEnd"/>
      <w:r w:rsidRPr="000E334D">
        <w:rPr>
          <w:lang w:val="en-GB"/>
        </w:rPr>
        <w:t xml:space="preserve"> B, </w:t>
      </w:r>
      <w:proofErr w:type="spellStart"/>
      <w:r w:rsidRPr="000E334D">
        <w:rPr>
          <w:lang w:val="en-GB"/>
        </w:rPr>
        <w:t>Gastañaduy</w:t>
      </w:r>
      <w:proofErr w:type="spellEnd"/>
      <w:r w:rsidRPr="000E334D">
        <w:rPr>
          <w:lang w:val="en-GB"/>
        </w:rPr>
        <w:t xml:space="preserve"> P, Park GW, Hall AJ, Parashar UD, </w:t>
      </w:r>
      <w:proofErr w:type="spellStart"/>
      <w:r w:rsidRPr="000E334D">
        <w:rPr>
          <w:lang w:val="en-GB"/>
        </w:rPr>
        <w:t>Vinjé</w:t>
      </w:r>
      <w:proofErr w:type="spellEnd"/>
      <w:r w:rsidRPr="000E334D">
        <w:rPr>
          <w:lang w:val="en-GB"/>
        </w:rPr>
        <w:t xml:space="preserve"> J. Environmental transmission of norovirus gastroenteritis. </w:t>
      </w:r>
      <w:r w:rsidRPr="000E334D">
        <w:rPr>
          <w:i/>
          <w:iCs/>
          <w:lang w:val="en-GB"/>
        </w:rPr>
        <w:t xml:space="preserve">Curr </w:t>
      </w:r>
      <w:proofErr w:type="spellStart"/>
      <w:r w:rsidRPr="000E334D">
        <w:rPr>
          <w:i/>
          <w:iCs/>
          <w:lang w:val="en-GB"/>
        </w:rPr>
        <w:t>Opin</w:t>
      </w:r>
      <w:proofErr w:type="spellEnd"/>
      <w:r w:rsidRPr="000E334D">
        <w:rPr>
          <w:i/>
          <w:iCs/>
          <w:lang w:val="en-GB"/>
        </w:rPr>
        <w:t xml:space="preserve"> </w:t>
      </w:r>
      <w:proofErr w:type="spellStart"/>
      <w:r w:rsidRPr="000E334D">
        <w:rPr>
          <w:i/>
          <w:iCs/>
          <w:lang w:val="en-GB"/>
        </w:rPr>
        <w:t>Virol</w:t>
      </w:r>
      <w:proofErr w:type="spellEnd"/>
      <w:r w:rsidRPr="000E334D">
        <w:rPr>
          <w:lang w:val="en-GB"/>
        </w:rPr>
        <w:t>. 2012;2(1):96–102. doi:</w:t>
      </w:r>
      <w:r>
        <w:rPr>
          <w:lang w:val="en-GB"/>
        </w:rPr>
        <w:t> </w:t>
      </w:r>
      <w:hyperlink r:id="rId17" w:history="1">
        <w:r w:rsidRPr="000E334D">
          <w:rPr>
            <w:rStyle w:val="Hyperlink"/>
          </w:rPr>
          <w:t>https://doi.org/10.1016/j.coviro.2011.11.005</w:t>
        </w:r>
      </w:hyperlink>
      <w:r w:rsidRPr="000E334D">
        <w:rPr>
          <w:lang w:val="en-GB"/>
        </w:rPr>
        <w:t>.</w:t>
      </w:r>
    </w:p>
    <w:p w14:paraId="6F97AF15" w14:textId="77777777" w:rsidR="000E334D" w:rsidRPr="000E334D" w:rsidRDefault="000E334D" w:rsidP="000E334D">
      <w:pPr>
        <w:pStyle w:val="CDINumberedList1L1"/>
        <w:rPr>
          <w:lang w:val="en-GB"/>
        </w:rPr>
      </w:pPr>
      <w:r w:rsidRPr="000E334D">
        <w:rPr>
          <w:lang w:val="en-GB"/>
        </w:rPr>
        <w:t xml:space="preserve">Teunis PF, Moe CL, Liu P, Miller SE, Lindesmith L, Baric RS et al. Norwalk virus: how infectious is it? </w:t>
      </w:r>
      <w:r w:rsidRPr="000E334D">
        <w:rPr>
          <w:i/>
          <w:iCs/>
          <w:lang w:val="en-GB"/>
        </w:rPr>
        <w:t xml:space="preserve">J Med </w:t>
      </w:r>
      <w:proofErr w:type="spellStart"/>
      <w:r w:rsidRPr="000E334D">
        <w:rPr>
          <w:i/>
          <w:iCs/>
          <w:lang w:val="en-GB"/>
        </w:rPr>
        <w:t>Virol</w:t>
      </w:r>
      <w:proofErr w:type="spellEnd"/>
      <w:r w:rsidRPr="000E334D">
        <w:rPr>
          <w:lang w:val="en-GB"/>
        </w:rPr>
        <w:t xml:space="preserve">. 2008;80(8):1468–76. doi: </w:t>
      </w:r>
      <w:hyperlink r:id="rId18" w:history="1">
        <w:r w:rsidRPr="000E334D">
          <w:rPr>
            <w:rStyle w:val="Hyperlink"/>
          </w:rPr>
          <w:t>https://doi.org/10.1002/jmv.21237</w:t>
        </w:r>
      </w:hyperlink>
      <w:r w:rsidRPr="000E334D">
        <w:rPr>
          <w:lang w:val="en-GB"/>
        </w:rPr>
        <w:t>.</w:t>
      </w:r>
    </w:p>
    <w:p w14:paraId="2924B337" w14:textId="77777777" w:rsidR="000E334D" w:rsidRPr="000E334D" w:rsidRDefault="000E334D" w:rsidP="000E334D">
      <w:pPr>
        <w:pStyle w:val="CDINumberedList1L1"/>
        <w:rPr>
          <w:lang w:val="en-GB"/>
        </w:rPr>
      </w:pPr>
      <w:r w:rsidRPr="000E334D">
        <w:rPr>
          <w:lang w:val="en-GB"/>
        </w:rPr>
        <w:t xml:space="preserve">Wang J, Gao Z, Yang ZR, Liu K, Zhang H. Global prevalence of asymptomatic norovirus infection in outbreaks: a systematic review and meta-analysis. </w:t>
      </w:r>
      <w:r w:rsidRPr="000E334D">
        <w:rPr>
          <w:i/>
          <w:iCs/>
          <w:lang w:val="en-GB"/>
        </w:rPr>
        <w:t>BMC Infect Dis</w:t>
      </w:r>
      <w:r w:rsidRPr="000E334D">
        <w:rPr>
          <w:lang w:val="en-GB"/>
        </w:rPr>
        <w:t xml:space="preserve">. 2023;23(1):595. doi: </w:t>
      </w:r>
      <w:hyperlink r:id="rId19" w:history="1">
        <w:r w:rsidRPr="000E334D">
          <w:rPr>
            <w:rStyle w:val="Hyperlink"/>
          </w:rPr>
          <w:t>https://doi.org/10.1186/s12879-023-08519-y</w:t>
        </w:r>
      </w:hyperlink>
      <w:r w:rsidRPr="000E334D">
        <w:rPr>
          <w:lang w:val="en-GB"/>
        </w:rPr>
        <w:t>.</w:t>
      </w:r>
    </w:p>
    <w:p w14:paraId="7FFBFEBF" w14:textId="54C9408F" w:rsidR="000E334D" w:rsidRPr="000E334D" w:rsidRDefault="000E334D" w:rsidP="000E334D">
      <w:pPr>
        <w:pStyle w:val="CDINumberedList1L1"/>
        <w:rPr>
          <w:lang w:val="en-GB"/>
        </w:rPr>
      </w:pPr>
      <w:r w:rsidRPr="000E334D">
        <w:rPr>
          <w:lang w:val="en-GB"/>
        </w:rPr>
        <w:t>Victoria Health. Viral gastroenteritis (not rotavirus). [Webpage.] Melbourne: Victoria Health; 29</w:t>
      </w:r>
      <w:r>
        <w:rPr>
          <w:lang w:val="en-GB"/>
        </w:rPr>
        <w:t> </w:t>
      </w:r>
      <w:r w:rsidRPr="000E334D">
        <w:rPr>
          <w:lang w:val="en-GB"/>
        </w:rPr>
        <w:t xml:space="preserve">November 2022. [Accessed on 14 May 2024.] Available from: </w:t>
      </w:r>
      <w:hyperlink r:id="rId20" w:anchor="control-measures-for-viral-gastroenteritis-not-rotavirus" w:history="1">
        <w:r w:rsidRPr="000E334D">
          <w:rPr>
            <w:rStyle w:val="Hyperlink"/>
          </w:rPr>
          <w:t>https://www.health.vic.gov.au/infectious-diseases/viral-gastroenteritis-not-rotavirus#control-measures-for-viral-gastroenteritis-not-rotavirus</w:t>
        </w:r>
      </w:hyperlink>
      <w:r w:rsidRPr="000E334D">
        <w:rPr>
          <w:lang w:val="en-GB"/>
        </w:rPr>
        <w:t>.</w:t>
      </w:r>
    </w:p>
    <w:p w14:paraId="0168E751" w14:textId="76E45A17" w:rsidR="000E334D" w:rsidRPr="000E334D" w:rsidRDefault="000E334D" w:rsidP="000E334D">
      <w:pPr>
        <w:pStyle w:val="CDINumberedList1L1"/>
        <w:rPr>
          <w:lang w:val="en-GB"/>
        </w:rPr>
      </w:pPr>
      <w:r w:rsidRPr="000E334D">
        <w:rPr>
          <w:lang w:val="en-GB"/>
        </w:rPr>
        <w:t xml:space="preserve">Atmar RL, </w:t>
      </w:r>
      <w:proofErr w:type="spellStart"/>
      <w:r w:rsidRPr="000E334D">
        <w:rPr>
          <w:lang w:val="en-GB"/>
        </w:rPr>
        <w:t>Opekun</w:t>
      </w:r>
      <w:proofErr w:type="spellEnd"/>
      <w:r w:rsidRPr="000E334D">
        <w:rPr>
          <w:lang w:val="en-GB"/>
        </w:rPr>
        <w:t xml:space="preserve"> AR, Gilger MA, Estes MK, Crawford SE, Neill FH et al. Norwalk virus shedding after experimental human infection. </w:t>
      </w:r>
      <w:r w:rsidRPr="000E334D">
        <w:rPr>
          <w:i/>
          <w:iCs/>
          <w:lang w:val="en-GB"/>
        </w:rPr>
        <w:t>Emerg Infect Dis</w:t>
      </w:r>
      <w:r w:rsidRPr="000E334D">
        <w:rPr>
          <w:lang w:val="en-GB"/>
        </w:rPr>
        <w:t>. 2008;14(10):1553–7. doi:</w:t>
      </w:r>
      <w:r>
        <w:rPr>
          <w:lang w:val="en-GB"/>
        </w:rPr>
        <w:t> </w:t>
      </w:r>
      <w:hyperlink r:id="rId21" w:history="1">
        <w:r w:rsidRPr="000E334D">
          <w:rPr>
            <w:rStyle w:val="Hyperlink"/>
          </w:rPr>
          <w:t>https://doi.org/10.3201/eid1410.080117</w:t>
        </w:r>
      </w:hyperlink>
      <w:r w:rsidRPr="000E334D">
        <w:rPr>
          <w:lang w:val="en-GB"/>
        </w:rPr>
        <w:t xml:space="preserve">. </w:t>
      </w:r>
    </w:p>
    <w:p w14:paraId="58572870" w14:textId="307EC0B4" w:rsidR="0058264F" w:rsidRPr="001E3ECB" w:rsidRDefault="000E334D" w:rsidP="000E334D">
      <w:pPr>
        <w:pStyle w:val="CDINumberedList1L1"/>
      </w:pPr>
      <w:r w:rsidRPr="000E334D">
        <w:rPr>
          <w:lang w:val="en-GB"/>
        </w:rPr>
        <w:t xml:space="preserve">Hahn MH, McVicar D, Wooden M. Is casual employment in Australia bad for workers’ health? </w:t>
      </w:r>
      <w:proofErr w:type="spellStart"/>
      <w:r w:rsidRPr="000E334D">
        <w:rPr>
          <w:i/>
          <w:iCs/>
          <w:lang w:val="en-GB"/>
        </w:rPr>
        <w:t>Occup</w:t>
      </w:r>
      <w:proofErr w:type="spellEnd"/>
      <w:r w:rsidRPr="000E334D">
        <w:rPr>
          <w:i/>
          <w:iCs/>
          <w:lang w:val="en-GB"/>
        </w:rPr>
        <w:t xml:space="preserve"> Environ Med</w:t>
      </w:r>
      <w:r w:rsidRPr="000E334D">
        <w:rPr>
          <w:lang w:val="en-GB"/>
        </w:rPr>
        <w:t xml:space="preserve">. 2021;78(1):15–21. doi: </w:t>
      </w:r>
      <w:hyperlink r:id="rId22" w:history="1">
        <w:r w:rsidRPr="000E334D">
          <w:rPr>
            <w:rStyle w:val="Hyperlink"/>
          </w:rPr>
          <w:t>https://doi.org/10.1136/oemed-2020-106568</w:t>
        </w:r>
      </w:hyperlink>
      <w:r w:rsidRPr="000E334D">
        <w:rPr>
          <w:lang w:val="en-GB"/>
        </w:rPr>
        <w:t>.</w:t>
      </w:r>
    </w:p>
    <w:sectPr w:rsidR="0058264F" w:rsidRPr="001E3ECB" w:rsidSect="001E3ECB">
      <w:headerReference w:type="even" r:id="rId23"/>
      <w:footerReference w:type="even" r:id="rId24"/>
      <w:footerReference w:type="default" r:id="rId25"/>
      <w:headerReference w:type="first" r:id="rId26"/>
      <w:footerReference w:type="first" r:id="rId27"/>
      <w:footnotePr>
        <w:numFmt w:val="lowerRoman"/>
      </w:footnotePr>
      <w:pgSz w:w="11907" w:h="16840" w:code="9"/>
      <w:pgMar w:top="1134"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B4742" w14:textId="77777777" w:rsidR="00CF0E4D" w:rsidRDefault="00CF0E4D" w:rsidP="00E54DBA">
      <w:r>
        <w:separator/>
      </w:r>
    </w:p>
    <w:p w14:paraId="0BF98A02" w14:textId="77777777" w:rsidR="00CF0E4D" w:rsidRDefault="00CF0E4D"/>
    <w:p w14:paraId="7F302D83" w14:textId="77777777" w:rsidR="00CF0E4D" w:rsidRDefault="00CF0E4D" w:rsidP="008714B0"/>
  </w:endnote>
  <w:endnote w:type="continuationSeparator" w:id="0">
    <w:p w14:paraId="50344144" w14:textId="77777777" w:rsidR="00CF0E4D" w:rsidRDefault="00CF0E4D" w:rsidP="00E54DBA">
      <w:r>
        <w:continuationSeparator/>
      </w:r>
    </w:p>
    <w:p w14:paraId="7FB8B52D" w14:textId="77777777" w:rsidR="00CF0E4D" w:rsidRDefault="00CF0E4D"/>
    <w:p w14:paraId="6C0B79A1" w14:textId="77777777" w:rsidR="00CF0E4D" w:rsidRDefault="00CF0E4D"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rope ExtraLight">
    <w:altName w:val="Calibri"/>
    <w:charset w:val="00"/>
    <w:family w:val="auto"/>
    <w:pitch w:val="variable"/>
    <w:sig w:usb0="A00002BF" w:usb1="5000206B" w:usb2="00000000" w:usb3="00000000" w:csb0="0000019F" w:csb1="00000000"/>
  </w:font>
  <w:font w:name="MyriadPro-Bold">
    <w:altName w:val="Calibri"/>
    <w:panose1 w:val="00000000000000000000"/>
    <w:charset w:val="00"/>
    <w:family w:val="auto"/>
    <w:notTrueType/>
    <w:pitch w:val="default"/>
    <w:sig w:usb0="00000003" w:usb1="00000000" w:usb2="00000000" w:usb3="00000000" w:csb0="00000001" w:csb1="00000000"/>
  </w:font>
  <w:font w:name="MyriadPro-Regular">
    <w:altName w:val="Calibri"/>
    <w:panose1 w:val="00000000000000000000"/>
    <w:charset w:val="00"/>
    <w:family w:val="auto"/>
    <w:notTrueType/>
    <w:pitch w:val="default"/>
    <w:sig w:usb0="00000003" w:usb1="00000000" w:usb2="00000000" w:usb3="00000000" w:csb0="00000001" w:csb1="00000000"/>
  </w:font>
  <w:font w:name="Minion3-Bold">
    <w:altName w:val="Calibri"/>
    <w:panose1 w:val="00000000000000000000"/>
    <w:charset w:val="00"/>
    <w:family w:val="auto"/>
    <w:notTrueType/>
    <w:pitch w:val="default"/>
    <w:sig w:usb0="00000003" w:usb1="00000000" w:usb2="00000000" w:usb3="00000000" w:csb0="00000001" w:csb1="00000000"/>
  </w:font>
  <w:font w:name="Minion3Caption-Regular">
    <w:altName w:val="Calibri"/>
    <w:panose1 w:val="00000000000000000000"/>
    <w:charset w:val="00"/>
    <w:family w:val="auto"/>
    <w:notTrueType/>
    <w:pitch w:val="default"/>
    <w:sig w:usb0="00000003" w:usb1="00000000" w:usb2="00000000" w:usb3="00000000" w:csb0="00000001" w:csb1="00000000"/>
  </w:font>
  <w:font w:name="Minion3-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D999B" w14:textId="77777777" w:rsidR="00B87589" w:rsidRDefault="00271616">
    <w:r>
      <w:rPr>
        <w:noProof/>
        <w14:ligatures w14:val="none"/>
      </w:rPr>
      <mc:AlternateContent>
        <mc:Choice Requires="wps">
          <w:drawing>
            <wp:anchor distT="0" distB="0" distL="0" distR="0" simplePos="0" relativeHeight="251667456" behindDoc="0" locked="0" layoutInCell="1" allowOverlap="1" wp14:anchorId="77D0CF78" wp14:editId="6DA7AAE2">
              <wp:simplePos x="635" y="635"/>
              <wp:positionH relativeFrom="page">
                <wp:align>center</wp:align>
              </wp:positionH>
              <wp:positionV relativeFrom="page">
                <wp:align>bottom</wp:align>
              </wp:positionV>
              <wp:extent cx="551815" cy="518795"/>
              <wp:effectExtent l="0" t="0" r="635" b="0"/>
              <wp:wrapNone/>
              <wp:docPr id="184457404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798E1789"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D0CF78" id="_x0000_t202" coordsize="21600,21600" o:spt="202" path="m,l,21600r21600,l21600,xe">
              <v:stroke joinstyle="miter"/>
              <v:path gradientshapeok="t" o:connecttype="rect"/>
            </v:shapetype>
            <v:shape id="Text Box 5" o:spid="_x0000_s1027" type="#_x0000_t202" alt="OFFICIAL" style="position:absolute;margin-left:0;margin-top:0;width:43.45pt;height:40.8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" filled="f" stroked="f">
              <v:textbox style="mso-fit-shape-to-text:t" inset="0,0,0,15pt">
                <w:txbxContent>
                  <w:p w14:paraId="798E1789"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EF1D8" w14:textId="2B02188A" w:rsidR="00AB3C13" w:rsidRPr="00800288" w:rsidRDefault="00AB3C13" w:rsidP="00800288">
    <w:pPr>
      <w:pStyle w:val="CDIFooter"/>
    </w:pPr>
    <w:hyperlink r:id="rId1" w:history="1"/>
    <w:r w:rsidR="00385655" w:rsidRPr="00385655">
      <w:rPr>
        <w:rStyle w:val="CDIFooteritalicChar"/>
      </w:rPr>
      <w:t>Commun Dis Intell (2018)</w:t>
    </w:r>
    <w:r w:rsidR="00385655" w:rsidRPr="001D0612">
      <w:t xml:space="preserve">  </w:t>
    </w:r>
    <w:fldSimple w:instr=" DOCPROPERTY  Year  \* MERGEFORMAT ">
      <w:r w:rsidR="005706E8">
        <w:t>2026</w:t>
      </w:r>
    </w:fldSimple>
    <w:r w:rsidR="009B78A9">
      <w:t>;</w:t>
    </w:r>
    <w:fldSimple w:instr=" DOCPROPERTY  Vol  \* MERGEFORMAT ">
      <w:r w:rsidR="005706E8">
        <w:t>50</w:t>
      </w:r>
    </w:fldSimple>
    <w:r w:rsidR="00385655" w:rsidRPr="001D0612">
      <w:t xml:space="preserve"> </w:t>
    </w:r>
    <w:r w:rsidR="00385655" w:rsidRPr="00B85B74">
      <w:t>•</w:t>
    </w:r>
    <w:r w:rsidR="00385655">
      <w:t xml:space="preserve"> </w:t>
    </w:r>
    <w:fldSimple w:instr=" DOCPROPERTY  DOI  \* MERGEFORMAT ">
      <w:r w:rsidR="000E334D">
        <w:t>doi.org/10.33321/cdi.2026.50.062</w:t>
      </w:r>
    </w:fldSimple>
    <w:r w:rsidR="00343991" w:rsidRPr="00800288">
      <w:t xml:space="preserve"> </w:t>
    </w:r>
    <w:r w:rsidR="00343991" w:rsidRPr="00800288">
      <w:rPr>
        <w:rStyle w:val="CDICopyrighttextbullet"/>
        <w:rFonts w:cstheme="minorBidi"/>
        <w:color w:val="auto"/>
      </w:rPr>
      <w:t>•</w:t>
    </w:r>
    <w:r w:rsidR="00343991" w:rsidRPr="00800288">
      <w:t xml:space="preserve"> Epub</w:t>
    </w:r>
    <w:r w:rsidR="00C735E0">
      <w:t xml:space="preserve"> date:</w:t>
    </w:r>
    <w:r w:rsidR="00343991" w:rsidRPr="00800288">
      <w:t xml:space="preserve"> </w:t>
    </w:r>
    <w:fldSimple w:instr=" DOCPROPERTY  ePubDate  \* MERGEFORMAT ">
      <w:r w:rsidR="000E334D">
        <w:t>29.09.2026</w:t>
      </w:r>
    </w:fldSimple>
    <w:r w:rsidR="00040B99" w:rsidRPr="00800288">
      <w:ptab w:relativeTo="margin" w:alignment="right" w:leader="none"/>
    </w:r>
    <w:r w:rsidR="00343991" w:rsidRPr="00800288">
      <w:fldChar w:fldCharType="begin"/>
    </w:r>
    <w:r w:rsidR="00343991" w:rsidRPr="00800288">
      <w:instrText xml:space="preserve"> PAGE   \* MERGEFORMAT </w:instrText>
    </w:r>
    <w:r w:rsidR="00343991" w:rsidRPr="00800288">
      <w:fldChar w:fldCharType="separate"/>
    </w:r>
    <w:r w:rsidR="00343991" w:rsidRPr="00800288">
      <w:t>3</w:t>
    </w:r>
    <w:r w:rsidR="00343991" w:rsidRPr="0080028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1AE" w14:textId="77777777" w:rsidR="00B87589" w:rsidRDefault="00271616">
    <w:r>
      <w:rPr>
        <w:noProof/>
        <w14:ligatures w14:val="none"/>
      </w:rPr>
      <mc:AlternateContent>
        <mc:Choice Requires="wps">
          <w:drawing>
            <wp:anchor distT="0" distB="0" distL="0" distR="0" simplePos="0" relativeHeight="251666432" behindDoc="0" locked="0" layoutInCell="1" allowOverlap="1" wp14:anchorId="59D007ED" wp14:editId="5067EAE1">
              <wp:simplePos x="635" y="635"/>
              <wp:positionH relativeFrom="page">
                <wp:align>center</wp:align>
              </wp:positionH>
              <wp:positionV relativeFrom="page">
                <wp:align>bottom</wp:align>
              </wp:positionV>
              <wp:extent cx="551815" cy="518795"/>
              <wp:effectExtent l="0" t="0" r="635" b="0"/>
              <wp:wrapNone/>
              <wp:docPr id="94273972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35AB17A3"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D007ED" id="_x0000_t202" coordsize="21600,21600" o:spt="202" path="m,l,21600r21600,l21600,xe">
              <v:stroke joinstyle="miter"/>
              <v:path gradientshapeok="t" o:connecttype="rect"/>
            </v:shapetype>
            <v:shape id="Text Box 4" o:spid="_x0000_s1029" type="#_x0000_t202" alt="OFFICIAL" style="position:absolute;margin-left:0;margin-top:0;width:43.45pt;height:40.8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" filled="f" stroked="f">
              <v:textbox style="mso-fit-shape-to-text:t" inset="0,0,0,15pt">
                <w:txbxContent>
                  <w:p w14:paraId="35AB17A3"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68741" w14:textId="77777777" w:rsidR="00CF0E4D" w:rsidRPr="00B91FB5" w:rsidRDefault="00CF0E4D" w:rsidP="00B91FB5">
      <w:pPr>
        <w:spacing w:line="240" w:lineRule="auto"/>
        <w:rPr>
          <w:sz w:val="18"/>
          <w:szCs w:val="18"/>
        </w:rPr>
      </w:pPr>
      <w:r w:rsidRPr="00B91FB5">
        <w:rPr>
          <w:sz w:val="18"/>
          <w:szCs w:val="18"/>
        </w:rPr>
        <w:separator/>
      </w:r>
    </w:p>
  </w:footnote>
  <w:footnote w:type="continuationSeparator" w:id="0">
    <w:p w14:paraId="3B622290" w14:textId="77777777" w:rsidR="00CF0E4D" w:rsidRDefault="00CF0E4D" w:rsidP="00E54DBA">
      <w:r>
        <w:continuationSeparator/>
      </w:r>
    </w:p>
  </w:footnote>
  <w:footnote w:type="continuationNotice" w:id="1">
    <w:p w14:paraId="02014983" w14:textId="77777777" w:rsidR="00CF0E4D" w:rsidRPr="00224EFF" w:rsidRDefault="00CF0E4D" w:rsidP="00224E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8EFDB" w14:textId="77777777" w:rsidR="00B87589" w:rsidRDefault="00271616">
    <w:pPr>
      <w:pStyle w:val="Header"/>
    </w:pPr>
    <w:r>
      <w:rPr>
        <w:noProof/>
        <w14:ligatures w14:val="none"/>
      </w:rPr>
      <mc:AlternateContent>
        <mc:Choice Requires="wps">
          <w:drawing>
            <wp:anchor distT="0" distB="0" distL="0" distR="0" simplePos="0" relativeHeight="251664384" behindDoc="0" locked="0" layoutInCell="1" allowOverlap="1" wp14:anchorId="17D8A147" wp14:editId="3BD03A82">
              <wp:simplePos x="635" y="635"/>
              <wp:positionH relativeFrom="page">
                <wp:align>center</wp:align>
              </wp:positionH>
              <wp:positionV relativeFrom="page">
                <wp:align>top</wp:align>
              </wp:positionV>
              <wp:extent cx="551815" cy="518795"/>
              <wp:effectExtent l="0" t="0" r="635" b="14605"/>
              <wp:wrapNone/>
              <wp:docPr id="4654446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24BCA5DB"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D8A147" id="_x0000_t202" coordsize="21600,21600" o:spt="202" path="m,l,21600r21600,l21600,xe">
              <v:stroke joinstyle="miter"/>
              <v:path gradientshapeok="t" o:connecttype="rect"/>
            </v:shapetype>
            <v:shape id="Text Box 2" o:spid="_x0000_s1026" type="#_x0000_t202" alt="OFFICIAL" style="position:absolute;margin-left:0;margin-top:0;width:43.45pt;height:40.8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" filled="f" stroked="f">
              <v:textbox style="mso-fit-shape-to-text:t" inset="0,15pt,0,0">
                <w:txbxContent>
                  <w:p w14:paraId="24BCA5DB"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50CD3" w14:textId="77777777" w:rsidR="00B87589" w:rsidRDefault="00271616">
    <w:pPr>
      <w:pStyle w:val="Header"/>
    </w:pPr>
    <w:r>
      <w:rPr>
        <w:noProof/>
        <w14:ligatures w14:val="none"/>
      </w:rPr>
      <mc:AlternateContent>
        <mc:Choice Requires="wps">
          <w:drawing>
            <wp:anchor distT="0" distB="0" distL="0" distR="0" simplePos="0" relativeHeight="251663360" behindDoc="0" locked="0" layoutInCell="1" allowOverlap="1" wp14:anchorId="7389ABCF" wp14:editId="731460BD">
              <wp:simplePos x="635" y="635"/>
              <wp:positionH relativeFrom="page">
                <wp:align>center</wp:align>
              </wp:positionH>
              <wp:positionV relativeFrom="page">
                <wp:align>top</wp:align>
              </wp:positionV>
              <wp:extent cx="551815" cy="518795"/>
              <wp:effectExtent l="0" t="0" r="635" b="14605"/>
              <wp:wrapNone/>
              <wp:docPr id="169664966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70B03F4E"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89ABCF" id="_x0000_t202" coordsize="21600,21600" o:spt="202" path="m,l,21600r21600,l21600,xe">
              <v:stroke joinstyle="miter"/>
              <v:path gradientshapeok="t" o:connecttype="rect"/>
            </v:shapetype>
            <v:shape id="Text Box 1" o:spid="_x0000_s1028" type="#_x0000_t202" alt="OFFICIAL" style="position:absolute;margin-left:0;margin-top:0;width:43.45pt;height:40.8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" filled="f" stroked="f">
              <v:textbox style="mso-fit-shape-to-text:t" inset="0,15pt,0,0">
                <w:txbxContent>
                  <w:p w14:paraId="70B03F4E"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91E94"/>
    <w:multiLevelType w:val="hybridMultilevel"/>
    <w:tmpl w:val="09A44BB6"/>
    <w:lvl w:ilvl="0" w:tplc="92961A60">
      <w:start w:val="1"/>
      <w:numFmt w:val="bullet"/>
      <w:pStyle w:val="CDITable-RowBullets"/>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5F1EF6"/>
    <w:multiLevelType w:val="hybridMultilevel"/>
    <w:tmpl w:val="FBF47AD4"/>
    <w:lvl w:ilvl="0" w:tplc="B0D0A176">
      <w:start w:val="1"/>
      <w:numFmt w:val="decimal"/>
      <w:pStyle w:val="CDINumberedList1L1"/>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29CB7B26"/>
    <w:multiLevelType w:val="hybridMultilevel"/>
    <w:tmpl w:val="5C0EEDE2"/>
    <w:lvl w:ilvl="0" w:tplc="8318AE78">
      <w:start w:val="1"/>
      <w:numFmt w:val="bullet"/>
      <w:pStyle w:val="CDIBullets"/>
      <w:lvlText w:val=""/>
      <w:lvlJc w:val="left"/>
      <w:pPr>
        <w:ind w:left="717"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A15146"/>
    <w:multiLevelType w:val="multilevel"/>
    <w:tmpl w:val="65E20FA4"/>
    <w:styleLink w:val="CDInavybullet"/>
    <w:lvl w:ilvl="0">
      <w:start w:val="1"/>
      <w:numFmt w:val="bullet"/>
      <w:lvlText w:val=""/>
      <w:lvlJc w:val="left"/>
      <w:pPr>
        <w:ind w:left="720" w:hanging="360"/>
      </w:pPr>
      <w:rPr>
        <w:rFonts w:ascii="Symbol" w:hAnsi="Symbol" w:hint="default"/>
        <w:color w:val="083E9C"/>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BE56707"/>
    <w:multiLevelType w:val="hybridMultilevel"/>
    <w:tmpl w:val="CB20149E"/>
    <w:lvl w:ilvl="0" w:tplc="AF84EEEE">
      <w:start w:val="1"/>
      <w:numFmt w:val="bullet"/>
      <w:pStyle w:val="CDICopyright-lessspac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560A59"/>
    <w:multiLevelType w:val="multilevel"/>
    <w:tmpl w:val="39B67F0C"/>
    <w:lvl w:ilvl="0">
      <w:start w:val="1"/>
      <w:numFmt w:val="bullet"/>
      <w:pStyle w:val="CDICopyrightBullets"/>
      <w:lvlText w:val=""/>
      <w:lvlJc w:val="left"/>
      <w:pPr>
        <w:ind w:left="717" w:hanging="360"/>
      </w:pPr>
      <w:rPr>
        <w:rFonts w:ascii="Symbol" w:hAnsi="Symbol" w:hint="default"/>
        <w:color w:val="auto"/>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608516B"/>
    <w:multiLevelType w:val="hybridMultilevel"/>
    <w:tmpl w:val="40B0EB26"/>
    <w:lvl w:ilvl="0" w:tplc="91CE0806">
      <w:start w:val="1"/>
      <w:numFmt w:val="bullet"/>
      <w:pStyle w:val="CDIBoxBullet"/>
      <w:lvlText w:val=""/>
      <w:lvlJc w:val="left"/>
      <w:pPr>
        <w:ind w:left="360" w:hanging="360"/>
      </w:pPr>
      <w:rPr>
        <w:rFonts w:ascii="Symbol" w:hAnsi="Symbol" w:hint="default"/>
        <w:color w:val="1E4496"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A90445D"/>
    <w:multiLevelType w:val="hybridMultilevel"/>
    <w:tmpl w:val="5ED80582"/>
    <w:lvl w:ilvl="0" w:tplc="67BC335E">
      <w:start w:val="1"/>
      <w:numFmt w:val="bullet"/>
      <w:pStyle w:val="CDIBulletsL2"/>
      <w:lvlText w:val=""/>
      <w:lvlJc w:val="left"/>
      <w:pPr>
        <w:ind w:left="1074" w:hanging="360"/>
      </w:pPr>
      <w:rPr>
        <w:rFonts w:ascii="Symbol" w:hAnsi="Symbol" w:hint="default"/>
        <w:color w:val="auto"/>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num w:numId="1" w16cid:durableId="479153694">
    <w:abstractNumId w:val="1"/>
  </w:num>
  <w:num w:numId="2" w16cid:durableId="283313819">
    <w:abstractNumId w:val="2"/>
  </w:num>
  <w:num w:numId="3" w16cid:durableId="528883462">
    <w:abstractNumId w:val="0"/>
  </w:num>
  <w:num w:numId="4" w16cid:durableId="1956327888">
    <w:abstractNumId w:val="1"/>
    <w:lvlOverride w:ilvl="0">
      <w:startOverride w:val="1"/>
    </w:lvlOverride>
  </w:num>
  <w:num w:numId="5" w16cid:durableId="1590312649">
    <w:abstractNumId w:val="6"/>
  </w:num>
  <w:num w:numId="6" w16cid:durableId="1497988032">
    <w:abstractNumId w:val="4"/>
  </w:num>
  <w:num w:numId="7" w16cid:durableId="682168431">
    <w:abstractNumId w:val="3"/>
  </w:num>
  <w:num w:numId="8" w16cid:durableId="972060625">
    <w:abstractNumId w:val="5"/>
  </w:num>
  <w:num w:numId="9" w16cid:durableId="786123373">
    <w:abstractNumId w:val="7"/>
  </w:num>
  <w:num w:numId="10" w16cid:durableId="1000696915">
    <w:abstractNumId w:val="1"/>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noPunctuationKerning/>
  <w:characterSpacingControl w:val="doNotCompress"/>
  <w:savePreviewPicture/>
  <w:hdrShapeDefaults>
    <o:shapedefaults v:ext="edit" spidmax="2050"/>
  </w:hdrShapeDefaults>
  <w:footnotePr>
    <w:numFmt w:val="lowerRoman"/>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6E8"/>
    <w:rsid w:val="00000B5B"/>
    <w:rsid w:val="00001611"/>
    <w:rsid w:val="00002B8D"/>
    <w:rsid w:val="000073ED"/>
    <w:rsid w:val="0001020A"/>
    <w:rsid w:val="000104A8"/>
    <w:rsid w:val="0001246E"/>
    <w:rsid w:val="000124B1"/>
    <w:rsid w:val="00013B65"/>
    <w:rsid w:val="000147ED"/>
    <w:rsid w:val="00014B0F"/>
    <w:rsid w:val="00015416"/>
    <w:rsid w:val="0001562E"/>
    <w:rsid w:val="00016FE6"/>
    <w:rsid w:val="0002314E"/>
    <w:rsid w:val="0002642D"/>
    <w:rsid w:val="000264AB"/>
    <w:rsid w:val="00026D55"/>
    <w:rsid w:val="000306B9"/>
    <w:rsid w:val="00031064"/>
    <w:rsid w:val="00031692"/>
    <w:rsid w:val="00032531"/>
    <w:rsid w:val="000325A0"/>
    <w:rsid w:val="00032601"/>
    <w:rsid w:val="00032BCB"/>
    <w:rsid w:val="00034DCB"/>
    <w:rsid w:val="00040B99"/>
    <w:rsid w:val="000420DA"/>
    <w:rsid w:val="00043B80"/>
    <w:rsid w:val="00045035"/>
    <w:rsid w:val="000471BF"/>
    <w:rsid w:val="00047B68"/>
    <w:rsid w:val="000522C6"/>
    <w:rsid w:val="00052600"/>
    <w:rsid w:val="0005643C"/>
    <w:rsid w:val="0006264A"/>
    <w:rsid w:val="00065A6B"/>
    <w:rsid w:val="00066764"/>
    <w:rsid w:val="000705FF"/>
    <w:rsid w:val="000733B3"/>
    <w:rsid w:val="00073D77"/>
    <w:rsid w:val="0007479B"/>
    <w:rsid w:val="00074D39"/>
    <w:rsid w:val="00080A4B"/>
    <w:rsid w:val="000810E8"/>
    <w:rsid w:val="00081655"/>
    <w:rsid w:val="00084BAB"/>
    <w:rsid w:val="000864E0"/>
    <w:rsid w:val="00087301"/>
    <w:rsid w:val="000879D8"/>
    <w:rsid w:val="00087CC4"/>
    <w:rsid w:val="00090F9D"/>
    <w:rsid w:val="000969B3"/>
    <w:rsid w:val="000A26CA"/>
    <w:rsid w:val="000A5F42"/>
    <w:rsid w:val="000A7822"/>
    <w:rsid w:val="000B4AE0"/>
    <w:rsid w:val="000B4B63"/>
    <w:rsid w:val="000C34E2"/>
    <w:rsid w:val="000C3D48"/>
    <w:rsid w:val="000C3FB4"/>
    <w:rsid w:val="000C6D3B"/>
    <w:rsid w:val="000D38EE"/>
    <w:rsid w:val="000D4B4D"/>
    <w:rsid w:val="000D6A8E"/>
    <w:rsid w:val="000E1322"/>
    <w:rsid w:val="000E334D"/>
    <w:rsid w:val="000E6C4C"/>
    <w:rsid w:val="000F223B"/>
    <w:rsid w:val="000F32C7"/>
    <w:rsid w:val="000F44BA"/>
    <w:rsid w:val="000F73D7"/>
    <w:rsid w:val="000F7EDE"/>
    <w:rsid w:val="0010033C"/>
    <w:rsid w:val="001020EE"/>
    <w:rsid w:val="00102232"/>
    <w:rsid w:val="00102F4B"/>
    <w:rsid w:val="0010368E"/>
    <w:rsid w:val="00110B7D"/>
    <w:rsid w:val="00112E44"/>
    <w:rsid w:val="00113D58"/>
    <w:rsid w:val="001176D5"/>
    <w:rsid w:val="001200CB"/>
    <w:rsid w:val="00122ADA"/>
    <w:rsid w:val="00126546"/>
    <w:rsid w:val="0013546A"/>
    <w:rsid w:val="001371D9"/>
    <w:rsid w:val="001378A3"/>
    <w:rsid w:val="00137C98"/>
    <w:rsid w:val="00142578"/>
    <w:rsid w:val="00144F10"/>
    <w:rsid w:val="00146435"/>
    <w:rsid w:val="00153D94"/>
    <w:rsid w:val="00155582"/>
    <w:rsid w:val="00161590"/>
    <w:rsid w:val="00161C85"/>
    <w:rsid w:val="00162FE6"/>
    <w:rsid w:val="00163BE3"/>
    <w:rsid w:val="001704D1"/>
    <w:rsid w:val="0017056E"/>
    <w:rsid w:val="00171CC0"/>
    <w:rsid w:val="001723AC"/>
    <w:rsid w:val="00175494"/>
    <w:rsid w:val="00175629"/>
    <w:rsid w:val="00182456"/>
    <w:rsid w:val="001830EC"/>
    <w:rsid w:val="00183534"/>
    <w:rsid w:val="0018758E"/>
    <w:rsid w:val="00194A12"/>
    <w:rsid w:val="00197A4A"/>
    <w:rsid w:val="00197ACB"/>
    <w:rsid w:val="001A26DD"/>
    <w:rsid w:val="001A4A96"/>
    <w:rsid w:val="001A5900"/>
    <w:rsid w:val="001A5D05"/>
    <w:rsid w:val="001A796C"/>
    <w:rsid w:val="001B0E7B"/>
    <w:rsid w:val="001B248E"/>
    <w:rsid w:val="001B2614"/>
    <w:rsid w:val="001B2629"/>
    <w:rsid w:val="001B37B8"/>
    <w:rsid w:val="001B4B8D"/>
    <w:rsid w:val="001B552F"/>
    <w:rsid w:val="001C0893"/>
    <w:rsid w:val="001C1303"/>
    <w:rsid w:val="001C1643"/>
    <w:rsid w:val="001C1BD1"/>
    <w:rsid w:val="001C2B4B"/>
    <w:rsid w:val="001C2C3A"/>
    <w:rsid w:val="001C5BB1"/>
    <w:rsid w:val="001C5F09"/>
    <w:rsid w:val="001C70B2"/>
    <w:rsid w:val="001C7CE1"/>
    <w:rsid w:val="001D0612"/>
    <w:rsid w:val="001D37C7"/>
    <w:rsid w:val="001D5B20"/>
    <w:rsid w:val="001D6888"/>
    <w:rsid w:val="001E3ECB"/>
    <w:rsid w:val="001E4E1D"/>
    <w:rsid w:val="001E562B"/>
    <w:rsid w:val="001E5D4C"/>
    <w:rsid w:val="001F0D9D"/>
    <w:rsid w:val="001F6248"/>
    <w:rsid w:val="002006BA"/>
    <w:rsid w:val="002212C9"/>
    <w:rsid w:val="00221481"/>
    <w:rsid w:val="00223F42"/>
    <w:rsid w:val="00224EFF"/>
    <w:rsid w:val="0022524E"/>
    <w:rsid w:val="0022732D"/>
    <w:rsid w:val="002276DC"/>
    <w:rsid w:val="00227E00"/>
    <w:rsid w:val="00227F05"/>
    <w:rsid w:val="002307CB"/>
    <w:rsid w:val="00231046"/>
    <w:rsid w:val="0023151F"/>
    <w:rsid w:val="00234F21"/>
    <w:rsid w:val="002368EA"/>
    <w:rsid w:val="00236A5F"/>
    <w:rsid w:val="00242659"/>
    <w:rsid w:val="002428F7"/>
    <w:rsid w:val="00242A9E"/>
    <w:rsid w:val="0024315F"/>
    <w:rsid w:val="00245439"/>
    <w:rsid w:val="0024631C"/>
    <w:rsid w:val="00252C9A"/>
    <w:rsid w:val="00254E56"/>
    <w:rsid w:val="00256309"/>
    <w:rsid w:val="002571C9"/>
    <w:rsid w:val="00257484"/>
    <w:rsid w:val="00260636"/>
    <w:rsid w:val="00262EA6"/>
    <w:rsid w:val="00264B29"/>
    <w:rsid w:val="00271616"/>
    <w:rsid w:val="00271AFA"/>
    <w:rsid w:val="00272A9B"/>
    <w:rsid w:val="00275C5C"/>
    <w:rsid w:val="00275C78"/>
    <w:rsid w:val="00275F5D"/>
    <w:rsid w:val="00280594"/>
    <w:rsid w:val="00281EE3"/>
    <w:rsid w:val="00282B56"/>
    <w:rsid w:val="0028429F"/>
    <w:rsid w:val="00284E4A"/>
    <w:rsid w:val="00290E04"/>
    <w:rsid w:val="002A3799"/>
    <w:rsid w:val="002A3BCC"/>
    <w:rsid w:val="002A4516"/>
    <w:rsid w:val="002A569F"/>
    <w:rsid w:val="002A5B2C"/>
    <w:rsid w:val="002A7066"/>
    <w:rsid w:val="002B001E"/>
    <w:rsid w:val="002B09B7"/>
    <w:rsid w:val="002B3482"/>
    <w:rsid w:val="002B3A40"/>
    <w:rsid w:val="002B493C"/>
    <w:rsid w:val="002B75A9"/>
    <w:rsid w:val="002B7779"/>
    <w:rsid w:val="002C21B0"/>
    <w:rsid w:val="002C3003"/>
    <w:rsid w:val="002C4CD7"/>
    <w:rsid w:val="002C5D55"/>
    <w:rsid w:val="002D74C3"/>
    <w:rsid w:val="002E12D6"/>
    <w:rsid w:val="002E2FB3"/>
    <w:rsid w:val="002E5438"/>
    <w:rsid w:val="002F327B"/>
    <w:rsid w:val="00301626"/>
    <w:rsid w:val="003052F5"/>
    <w:rsid w:val="003059EC"/>
    <w:rsid w:val="00316727"/>
    <w:rsid w:val="00316CCD"/>
    <w:rsid w:val="003230B3"/>
    <w:rsid w:val="00324F7E"/>
    <w:rsid w:val="0032526F"/>
    <w:rsid w:val="00325841"/>
    <w:rsid w:val="003316F4"/>
    <w:rsid w:val="003323BC"/>
    <w:rsid w:val="00336729"/>
    <w:rsid w:val="003370A9"/>
    <w:rsid w:val="0034063D"/>
    <w:rsid w:val="0034139B"/>
    <w:rsid w:val="00341720"/>
    <w:rsid w:val="00343991"/>
    <w:rsid w:val="003452F7"/>
    <w:rsid w:val="00345738"/>
    <w:rsid w:val="00346D42"/>
    <w:rsid w:val="00346E11"/>
    <w:rsid w:val="00350D1D"/>
    <w:rsid w:val="00351337"/>
    <w:rsid w:val="00351364"/>
    <w:rsid w:val="00351A5A"/>
    <w:rsid w:val="003601C0"/>
    <w:rsid w:val="00360B3A"/>
    <w:rsid w:val="003635F5"/>
    <w:rsid w:val="00371080"/>
    <w:rsid w:val="0037146D"/>
    <w:rsid w:val="00372A88"/>
    <w:rsid w:val="00373D51"/>
    <w:rsid w:val="00374F80"/>
    <w:rsid w:val="00381A0F"/>
    <w:rsid w:val="00381E8E"/>
    <w:rsid w:val="00385655"/>
    <w:rsid w:val="003858B4"/>
    <w:rsid w:val="00387735"/>
    <w:rsid w:val="00390F66"/>
    <w:rsid w:val="00392D07"/>
    <w:rsid w:val="00393B4D"/>
    <w:rsid w:val="0039501E"/>
    <w:rsid w:val="003A1B3A"/>
    <w:rsid w:val="003A25A3"/>
    <w:rsid w:val="003A40F5"/>
    <w:rsid w:val="003A5BF3"/>
    <w:rsid w:val="003B3487"/>
    <w:rsid w:val="003B5B8C"/>
    <w:rsid w:val="003B7ADD"/>
    <w:rsid w:val="003C02BF"/>
    <w:rsid w:val="003C2299"/>
    <w:rsid w:val="003C23C9"/>
    <w:rsid w:val="003C554E"/>
    <w:rsid w:val="003C5E16"/>
    <w:rsid w:val="003C7841"/>
    <w:rsid w:val="003D0190"/>
    <w:rsid w:val="003D15AE"/>
    <w:rsid w:val="003D18AF"/>
    <w:rsid w:val="003D2AE3"/>
    <w:rsid w:val="003D5EAA"/>
    <w:rsid w:val="003D79B1"/>
    <w:rsid w:val="003E3A4E"/>
    <w:rsid w:val="003E4B09"/>
    <w:rsid w:val="003E74EE"/>
    <w:rsid w:val="003F0552"/>
    <w:rsid w:val="003F2AC2"/>
    <w:rsid w:val="003F3BC2"/>
    <w:rsid w:val="003F5172"/>
    <w:rsid w:val="003F6268"/>
    <w:rsid w:val="003F725B"/>
    <w:rsid w:val="00401ED1"/>
    <w:rsid w:val="0040224C"/>
    <w:rsid w:val="00403F8B"/>
    <w:rsid w:val="004101DC"/>
    <w:rsid w:val="00410513"/>
    <w:rsid w:val="00411852"/>
    <w:rsid w:val="004118D0"/>
    <w:rsid w:val="00413397"/>
    <w:rsid w:val="00413EE1"/>
    <w:rsid w:val="00415494"/>
    <w:rsid w:val="004164BB"/>
    <w:rsid w:val="00417EF2"/>
    <w:rsid w:val="0042000E"/>
    <w:rsid w:val="00421A14"/>
    <w:rsid w:val="00421ECE"/>
    <w:rsid w:val="004228F2"/>
    <w:rsid w:val="00422FEB"/>
    <w:rsid w:val="00423436"/>
    <w:rsid w:val="0042435E"/>
    <w:rsid w:val="00425757"/>
    <w:rsid w:val="004315F5"/>
    <w:rsid w:val="00432ADD"/>
    <w:rsid w:val="00433456"/>
    <w:rsid w:val="00433DFA"/>
    <w:rsid w:val="00435D67"/>
    <w:rsid w:val="0043642C"/>
    <w:rsid w:val="0043704E"/>
    <w:rsid w:val="00437680"/>
    <w:rsid w:val="004427FD"/>
    <w:rsid w:val="00452C2E"/>
    <w:rsid w:val="004568FC"/>
    <w:rsid w:val="00461653"/>
    <w:rsid w:val="00464A58"/>
    <w:rsid w:val="00464E0D"/>
    <w:rsid w:val="00470721"/>
    <w:rsid w:val="00470C19"/>
    <w:rsid w:val="00471494"/>
    <w:rsid w:val="00472B68"/>
    <w:rsid w:val="00473D2D"/>
    <w:rsid w:val="00481503"/>
    <w:rsid w:val="00484919"/>
    <w:rsid w:val="004914F7"/>
    <w:rsid w:val="00491C26"/>
    <w:rsid w:val="00492014"/>
    <w:rsid w:val="004973B4"/>
    <w:rsid w:val="004A19B8"/>
    <w:rsid w:val="004A2125"/>
    <w:rsid w:val="004A2E24"/>
    <w:rsid w:val="004A38F6"/>
    <w:rsid w:val="004B0C95"/>
    <w:rsid w:val="004B0E96"/>
    <w:rsid w:val="004B1266"/>
    <w:rsid w:val="004B4EB6"/>
    <w:rsid w:val="004B4F34"/>
    <w:rsid w:val="004C04D3"/>
    <w:rsid w:val="004C083C"/>
    <w:rsid w:val="004C2636"/>
    <w:rsid w:val="004C3BDE"/>
    <w:rsid w:val="004C62AA"/>
    <w:rsid w:val="004C67C6"/>
    <w:rsid w:val="004D1D6A"/>
    <w:rsid w:val="004D29DE"/>
    <w:rsid w:val="004E1094"/>
    <w:rsid w:val="004E2E81"/>
    <w:rsid w:val="004E5103"/>
    <w:rsid w:val="004E5D74"/>
    <w:rsid w:val="004F5434"/>
    <w:rsid w:val="004F55C9"/>
    <w:rsid w:val="00505184"/>
    <w:rsid w:val="0050662A"/>
    <w:rsid w:val="00510EAC"/>
    <w:rsid w:val="005138AF"/>
    <w:rsid w:val="00514F40"/>
    <w:rsid w:val="005226F2"/>
    <w:rsid w:val="00526875"/>
    <w:rsid w:val="0052708C"/>
    <w:rsid w:val="00532189"/>
    <w:rsid w:val="00536DD8"/>
    <w:rsid w:val="00542A57"/>
    <w:rsid w:val="00543294"/>
    <w:rsid w:val="00545068"/>
    <w:rsid w:val="0054635D"/>
    <w:rsid w:val="005608D4"/>
    <w:rsid w:val="005635C8"/>
    <w:rsid w:val="00565974"/>
    <w:rsid w:val="005665CA"/>
    <w:rsid w:val="005706E8"/>
    <w:rsid w:val="00570913"/>
    <w:rsid w:val="00572200"/>
    <w:rsid w:val="005732C0"/>
    <w:rsid w:val="0057336D"/>
    <w:rsid w:val="0057489A"/>
    <w:rsid w:val="00574ACF"/>
    <w:rsid w:val="00581588"/>
    <w:rsid w:val="0058264F"/>
    <w:rsid w:val="0058540B"/>
    <w:rsid w:val="00587C87"/>
    <w:rsid w:val="00590B80"/>
    <w:rsid w:val="005A4E9D"/>
    <w:rsid w:val="005B14C5"/>
    <w:rsid w:val="005B3134"/>
    <w:rsid w:val="005B4E61"/>
    <w:rsid w:val="005B595A"/>
    <w:rsid w:val="005B66C2"/>
    <w:rsid w:val="005B7A44"/>
    <w:rsid w:val="005C1AA0"/>
    <w:rsid w:val="005C3CE9"/>
    <w:rsid w:val="005C485F"/>
    <w:rsid w:val="005C4923"/>
    <w:rsid w:val="005C66A6"/>
    <w:rsid w:val="005C7FD1"/>
    <w:rsid w:val="005D2465"/>
    <w:rsid w:val="005D304C"/>
    <w:rsid w:val="005D4A40"/>
    <w:rsid w:val="005D79A5"/>
    <w:rsid w:val="005E33DD"/>
    <w:rsid w:val="005E3E4C"/>
    <w:rsid w:val="005E4229"/>
    <w:rsid w:val="005E5181"/>
    <w:rsid w:val="005E540E"/>
    <w:rsid w:val="005E55FB"/>
    <w:rsid w:val="005E709A"/>
    <w:rsid w:val="005E78FD"/>
    <w:rsid w:val="005F16BB"/>
    <w:rsid w:val="005F58C4"/>
    <w:rsid w:val="00600103"/>
    <w:rsid w:val="006018F5"/>
    <w:rsid w:val="00602AC1"/>
    <w:rsid w:val="00604098"/>
    <w:rsid w:val="00605B0B"/>
    <w:rsid w:val="00606DFF"/>
    <w:rsid w:val="00607115"/>
    <w:rsid w:val="006108F2"/>
    <w:rsid w:val="00611DAB"/>
    <w:rsid w:val="00620509"/>
    <w:rsid w:val="00620768"/>
    <w:rsid w:val="006221DD"/>
    <w:rsid w:val="00624477"/>
    <w:rsid w:val="0062594B"/>
    <w:rsid w:val="00627997"/>
    <w:rsid w:val="006306A8"/>
    <w:rsid w:val="006307C1"/>
    <w:rsid w:val="00631406"/>
    <w:rsid w:val="006324FF"/>
    <w:rsid w:val="00632787"/>
    <w:rsid w:val="00632B07"/>
    <w:rsid w:val="006351D6"/>
    <w:rsid w:val="00636E0D"/>
    <w:rsid w:val="0064142F"/>
    <w:rsid w:val="00643CB4"/>
    <w:rsid w:val="00644B9D"/>
    <w:rsid w:val="00647DEA"/>
    <w:rsid w:val="0065219D"/>
    <w:rsid w:val="00656427"/>
    <w:rsid w:val="00656FDA"/>
    <w:rsid w:val="00660255"/>
    <w:rsid w:val="00661FE1"/>
    <w:rsid w:val="00662078"/>
    <w:rsid w:val="0066362A"/>
    <w:rsid w:val="00663EA5"/>
    <w:rsid w:val="00666D94"/>
    <w:rsid w:val="00676161"/>
    <w:rsid w:val="00681509"/>
    <w:rsid w:val="00682146"/>
    <w:rsid w:val="00682E53"/>
    <w:rsid w:val="00683E6F"/>
    <w:rsid w:val="006862C0"/>
    <w:rsid w:val="00690811"/>
    <w:rsid w:val="00690957"/>
    <w:rsid w:val="00693DAE"/>
    <w:rsid w:val="00697039"/>
    <w:rsid w:val="006971F3"/>
    <w:rsid w:val="006A12BE"/>
    <w:rsid w:val="006B16A5"/>
    <w:rsid w:val="006B337D"/>
    <w:rsid w:val="006C2787"/>
    <w:rsid w:val="006C5B50"/>
    <w:rsid w:val="006C74A3"/>
    <w:rsid w:val="006C76D0"/>
    <w:rsid w:val="006C7D54"/>
    <w:rsid w:val="006D1381"/>
    <w:rsid w:val="006D31BC"/>
    <w:rsid w:val="006D4979"/>
    <w:rsid w:val="006D508B"/>
    <w:rsid w:val="006D6625"/>
    <w:rsid w:val="006E0B0E"/>
    <w:rsid w:val="006E222D"/>
    <w:rsid w:val="006E7943"/>
    <w:rsid w:val="006E7AC3"/>
    <w:rsid w:val="006F24EA"/>
    <w:rsid w:val="006F540F"/>
    <w:rsid w:val="006F5FEC"/>
    <w:rsid w:val="00700338"/>
    <w:rsid w:val="0070113C"/>
    <w:rsid w:val="00702D05"/>
    <w:rsid w:val="00703009"/>
    <w:rsid w:val="00704CA9"/>
    <w:rsid w:val="0071048D"/>
    <w:rsid w:val="00710F86"/>
    <w:rsid w:val="007111A8"/>
    <w:rsid w:val="007114BA"/>
    <w:rsid w:val="00714CD2"/>
    <w:rsid w:val="0071536A"/>
    <w:rsid w:val="007179BE"/>
    <w:rsid w:val="00723B5F"/>
    <w:rsid w:val="00725C33"/>
    <w:rsid w:val="00726C6A"/>
    <w:rsid w:val="00731BC3"/>
    <w:rsid w:val="00731FF7"/>
    <w:rsid w:val="00733216"/>
    <w:rsid w:val="00734159"/>
    <w:rsid w:val="007401FD"/>
    <w:rsid w:val="00741192"/>
    <w:rsid w:val="007430BF"/>
    <w:rsid w:val="007439DE"/>
    <w:rsid w:val="00743A33"/>
    <w:rsid w:val="00743DF3"/>
    <w:rsid w:val="00745AE2"/>
    <w:rsid w:val="00746080"/>
    <w:rsid w:val="0075144A"/>
    <w:rsid w:val="00760A97"/>
    <w:rsid w:val="007616D1"/>
    <w:rsid w:val="0076543B"/>
    <w:rsid w:val="00771313"/>
    <w:rsid w:val="00774BA6"/>
    <w:rsid w:val="00775C3B"/>
    <w:rsid w:val="007804A4"/>
    <w:rsid w:val="00780C3D"/>
    <w:rsid w:val="00781AEF"/>
    <w:rsid w:val="00781C54"/>
    <w:rsid w:val="007828D7"/>
    <w:rsid w:val="007852D0"/>
    <w:rsid w:val="00786329"/>
    <w:rsid w:val="007918B3"/>
    <w:rsid w:val="00792C7D"/>
    <w:rsid w:val="00794293"/>
    <w:rsid w:val="00794A4D"/>
    <w:rsid w:val="00796377"/>
    <w:rsid w:val="00796FC4"/>
    <w:rsid w:val="007A159E"/>
    <w:rsid w:val="007A2D74"/>
    <w:rsid w:val="007A33B9"/>
    <w:rsid w:val="007A35A0"/>
    <w:rsid w:val="007A39B4"/>
    <w:rsid w:val="007A4B9B"/>
    <w:rsid w:val="007A5234"/>
    <w:rsid w:val="007A764D"/>
    <w:rsid w:val="007B119B"/>
    <w:rsid w:val="007B537E"/>
    <w:rsid w:val="007B7854"/>
    <w:rsid w:val="007C1CF5"/>
    <w:rsid w:val="007C457F"/>
    <w:rsid w:val="007C482B"/>
    <w:rsid w:val="007C56A1"/>
    <w:rsid w:val="007C6454"/>
    <w:rsid w:val="007D5B5D"/>
    <w:rsid w:val="007D6F3B"/>
    <w:rsid w:val="007E01E0"/>
    <w:rsid w:val="007E0C24"/>
    <w:rsid w:val="007E5CA0"/>
    <w:rsid w:val="007E610C"/>
    <w:rsid w:val="007E6297"/>
    <w:rsid w:val="007E7486"/>
    <w:rsid w:val="007F0B93"/>
    <w:rsid w:val="007F21B9"/>
    <w:rsid w:val="007F2B27"/>
    <w:rsid w:val="007F2ECA"/>
    <w:rsid w:val="007F7B26"/>
    <w:rsid w:val="00800288"/>
    <w:rsid w:val="008017B6"/>
    <w:rsid w:val="008019B9"/>
    <w:rsid w:val="00802960"/>
    <w:rsid w:val="0080547B"/>
    <w:rsid w:val="00805663"/>
    <w:rsid w:val="00811675"/>
    <w:rsid w:val="00811708"/>
    <w:rsid w:val="00813007"/>
    <w:rsid w:val="0081404B"/>
    <w:rsid w:val="00814759"/>
    <w:rsid w:val="00816B90"/>
    <w:rsid w:val="00817799"/>
    <w:rsid w:val="00821796"/>
    <w:rsid w:val="00822F5F"/>
    <w:rsid w:val="00823A5D"/>
    <w:rsid w:val="00824FD3"/>
    <w:rsid w:val="008261E4"/>
    <w:rsid w:val="00826589"/>
    <w:rsid w:val="00830070"/>
    <w:rsid w:val="00830AEA"/>
    <w:rsid w:val="00830F91"/>
    <w:rsid w:val="00834BCC"/>
    <w:rsid w:val="008355D9"/>
    <w:rsid w:val="00836451"/>
    <w:rsid w:val="00845F68"/>
    <w:rsid w:val="00850D54"/>
    <w:rsid w:val="00852E2B"/>
    <w:rsid w:val="00854079"/>
    <w:rsid w:val="00856EC6"/>
    <w:rsid w:val="00856FF3"/>
    <w:rsid w:val="0086228F"/>
    <w:rsid w:val="00862C50"/>
    <w:rsid w:val="00863F8D"/>
    <w:rsid w:val="008673F6"/>
    <w:rsid w:val="00867976"/>
    <w:rsid w:val="008714B0"/>
    <w:rsid w:val="00872A7F"/>
    <w:rsid w:val="0087374B"/>
    <w:rsid w:val="00876331"/>
    <w:rsid w:val="008766FF"/>
    <w:rsid w:val="00877B90"/>
    <w:rsid w:val="00880726"/>
    <w:rsid w:val="00880B4C"/>
    <w:rsid w:val="008863B2"/>
    <w:rsid w:val="0089025E"/>
    <w:rsid w:val="00895527"/>
    <w:rsid w:val="00897881"/>
    <w:rsid w:val="008A0736"/>
    <w:rsid w:val="008A3532"/>
    <w:rsid w:val="008A3544"/>
    <w:rsid w:val="008A4460"/>
    <w:rsid w:val="008B48B8"/>
    <w:rsid w:val="008B5348"/>
    <w:rsid w:val="008B58F8"/>
    <w:rsid w:val="008B5BAA"/>
    <w:rsid w:val="008B62FF"/>
    <w:rsid w:val="008B70C2"/>
    <w:rsid w:val="008C0712"/>
    <w:rsid w:val="008C4520"/>
    <w:rsid w:val="008C536D"/>
    <w:rsid w:val="008C5F09"/>
    <w:rsid w:val="008D470F"/>
    <w:rsid w:val="008D47FC"/>
    <w:rsid w:val="008D4B44"/>
    <w:rsid w:val="008E1F8F"/>
    <w:rsid w:val="008E3020"/>
    <w:rsid w:val="008E3F81"/>
    <w:rsid w:val="008E4768"/>
    <w:rsid w:val="008E761E"/>
    <w:rsid w:val="008E7F61"/>
    <w:rsid w:val="008F105F"/>
    <w:rsid w:val="008F77B3"/>
    <w:rsid w:val="009008F5"/>
    <w:rsid w:val="00900B78"/>
    <w:rsid w:val="009011D1"/>
    <w:rsid w:val="00904CC1"/>
    <w:rsid w:val="009066AF"/>
    <w:rsid w:val="00906D66"/>
    <w:rsid w:val="00910578"/>
    <w:rsid w:val="00912050"/>
    <w:rsid w:val="00912A31"/>
    <w:rsid w:val="00912DD2"/>
    <w:rsid w:val="00912E48"/>
    <w:rsid w:val="00912E68"/>
    <w:rsid w:val="00913840"/>
    <w:rsid w:val="00920F4E"/>
    <w:rsid w:val="00923159"/>
    <w:rsid w:val="0092746F"/>
    <w:rsid w:val="00933DE2"/>
    <w:rsid w:val="00935DC9"/>
    <w:rsid w:val="00937F3C"/>
    <w:rsid w:val="009446C0"/>
    <w:rsid w:val="00947BAF"/>
    <w:rsid w:val="00947D0A"/>
    <w:rsid w:val="00951883"/>
    <w:rsid w:val="009527E3"/>
    <w:rsid w:val="009533E1"/>
    <w:rsid w:val="00955A0C"/>
    <w:rsid w:val="009572C6"/>
    <w:rsid w:val="0096082E"/>
    <w:rsid w:val="00961347"/>
    <w:rsid w:val="00962C2F"/>
    <w:rsid w:val="00964753"/>
    <w:rsid w:val="00965AD4"/>
    <w:rsid w:val="009666BE"/>
    <w:rsid w:val="00967410"/>
    <w:rsid w:val="00967D73"/>
    <w:rsid w:val="00970B9A"/>
    <w:rsid w:val="00971C4F"/>
    <w:rsid w:val="009745B6"/>
    <w:rsid w:val="0098119A"/>
    <w:rsid w:val="009823EE"/>
    <w:rsid w:val="0098426C"/>
    <w:rsid w:val="00984AAF"/>
    <w:rsid w:val="00985521"/>
    <w:rsid w:val="00987E68"/>
    <w:rsid w:val="00991B09"/>
    <w:rsid w:val="0099319C"/>
    <w:rsid w:val="00993CB2"/>
    <w:rsid w:val="0099796D"/>
    <w:rsid w:val="009A0251"/>
    <w:rsid w:val="009A218B"/>
    <w:rsid w:val="009A5166"/>
    <w:rsid w:val="009A76F8"/>
    <w:rsid w:val="009B2B11"/>
    <w:rsid w:val="009B2B83"/>
    <w:rsid w:val="009B720F"/>
    <w:rsid w:val="009B78A9"/>
    <w:rsid w:val="009C31B2"/>
    <w:rsid w:val="009C49F8"/>
    <w:rsid w:val="009D0F93"/>
    <w:rsid w:val="009D56E7"/>
    <w:rsid w:val="009D77CC"/>
    <w:rsid w:val="009D797A"/>
    <w:rsid w:val="009E07CF"/>
    <w:rsid w:val="009E0F9D"/>
    <w:rsid w:val="009E2423"/>
    <w:rsid w:val="009E491D"/>
    <w:rsid w:val="009E5490"/>
    <w:rsid w:val="009E55D7"/>
    <w:rsid w:val="009E703E"/>
    <w:rsid w:val="009F4150"/>
    <w:rsid w:val="009F5151"/>
    <w:rsid w:val="009F5665"/>
    <w:rsid w:val="009F5DAD"/>
    <w:rsid w:val="009F71CB"/>
    <w:rsid w:val="009F752C"/>
    <w:rsid w:val="00A01BCA"/>
    <w:rsid w:val="00A01FD5"/>
    <w:rsid w:val="00A06C73"/>
    <w:rsid w:val="00A07088"/>
    <w:rsid w:val="00A10458"/>
    <w:rsid w:val="00A104E5"/>
    <w:rsid w:val="00A14629"/>
    <w:rsid w:val="00A153B6"/>
    <w:rsid w:val="00A164D5"/>
    <w:rsid w:val="00A20C2D"/>
    <w:rsid w:val="00A20E4F"/>
    <w:rsid w:val="00A24E95"/>
    <w:rsid w:val="00A25601"/>
    <w:rsid w:val="00A2678D"/>
    <w:rsid w:val="00A273C3"/>
    <w:rsid w:val="00A30C37"/>
    <w:rsid w:val="00A31091"/>
    <w:rsid w:val="00A34275"/>
    <w:rsid w:val="00A3671B"/>
    <w:rsid w:val="00A3687B"/>
    <w:rsid w:val="00A36C65"/>
    <w:rsid w:val="00A37AE9"/>
    <w:rsid w:val="00A37B04"/>
    <w:rsid w:val="00A40894"/>
    <w:rsid w:val="00A41BBE"/>
    <w:rsid w:val="00A443E3"/>
    <w:rsid w:val="00A45BDD"/>
    <w:rsid w:val="00A46060"/>
    <w:rsid w:val="00A46A0A"/>
    <w:rsid w:val="00A51E0E"/>
    <w:rsid w:val="00A53F60"/>
    <w:rsid w:val="00A553F8"/>
    <w:rsid w:val="00A5606F"/>
    <w:rsid w:val="00A56852"/>
    <w:rsid w:val="00A56D0C"/>
    <w:rsid w:val="00A571EC"/>
    <w:rsid w:val="00A623E8"/>
    <w:rsid w:val="00A649E7"/>
    <w:rsid w:val="00A65082"/>
    <w:rsid w:val="00A65DFA"/>
    <w:rsid w:val="00A6708F"/>
    <w:rsid w:val="00A709F0"/>
    <w:rsid w:val="00A71BF6"/>
    <w:rsid w:val="00A72AF9"/>
    <w:rsid w:val="00A74050"/>
    <w:rsid w:val="00A8036A"/>
    <w:rsid w:val="00A86837"/>
    <w:rsid w:val="00A86F9A"/>
    <w:rsid w:val="00A925D6"/>
    <w:rsid w:val="00A95A81"/>
    <w:rsid w:val="00AA075C"/>
    <w:rsid w:val="00AA3329"/>
    <w:rsid w:val="00AA35E6"/>
    <w:rsid w:val="00AA50B6"/>
    <w:rsid w:val="00AA78FF"/>
    <w:rsid w:val="00AB1606"/>
    <w:rsid w:val="00AB3472"/>
    <w:rsid w:val="00AB3C13"/>
    <w:rsid w:val="00AB7613"/>
    <w:rsid w:val="00AC0F5D"/>
    <w:rsid w:val="00AC27EF"/>
    <w:rsid w:val="00AC3843"/>
    <w:rsid w:val="00AC3AD3"/>
    <w:rsid w:val="00AC4595"/>
    <w:rsid w:val="00AC46DC"/>
    <w:rsid w:val="00AC659C"/>
    <w:rsid w:val="00AC66D9"/>
    <w:rsid w:val="00AC69D8"/>
    <w:rsid w:val="00AC7CD7"/>
    <w:rsid w:val="00AD0762"/>
    <w:rsid w:val="00AD3C9E"/>
    <w:rsid w:val="00AE0209"/>
    <w:rsid w:val="00AE3DCF"/>
    <w:rsid w:val="00AE4452"/>
    <w:rsid w:val="00AE6604"/>
    <w:rsid w:val="00AE7C38"/>
    <w:rsid w:val="00AF1538"/>
    <w:rsid w:val="00AF1FAC"/>
    <w:rsid w:val="00AF2679"/>
    <w:rsid w:val="00AF2814"/>
    <w:rsid w:val="00AF5008"/>
    <w:rsid w:val="00AF6920"/>
    <w:rsid w:val="00B01F99"/>
    <w:rsid w:val="00B02B37"/>
    <w:rsid w:val="00B05276"/>
    <w:rsid w:val="00B0666B"/>
    <w:rsid w:val="00B132DB"/>
    <w:rsid w:val="00B14264"/>
    <w:rsid w:val="00B15F5B"/>
    <w:rsid w:val="00B20A91"/>
    <w:rsid w:val="00B23214"/>
    <w:rsid w:val="00B24295"/>
    <w:rsid w:val="00B24C05"/>
    <w:rsid w:val="00B26F80"/>
    <w:rsid w:val="00B31427"/>
    <w:rsid w:val="00B3166B"/>
    <w:rsid w:val="00B32FF9"/>
    <w:rsid w:val="00B33861"/>
    <w:rsid w:val="00B33E0B"/>
    <w:rsid w:val="00B404EB"/>
    <w:rsid w:val="00B40DE2"/>
    <w:rsid w:val="00B4377A"/>
    <w:rsid w:val="00B45F1C"/>
    <w:rsid w:val="00B4641C"/>
    <w:rsid w:val="00B50210"/>
    <w:rsid w:val="00B5057E"/>
    <w:rsid w:val="00B50D8D"/>
    <w:rsid w:val="00B52457"/>
    <w:rsid w:val="00B53955"/>
    <w:rsid w:val="00B53BFC"/>
    <w:rsid w:val="00B63C79"/>
    <w:rsid w:val="00B6408A"/>
    <w:rsid w:val="00B6478A"/>
    <w:rsid w:val="00B7014D"/>
    <w:rsid w:val="00B714B8"/>
    <w:rsid w:val="00B716E8"/>
    <w:rsid w:val="00B73144"/>
    <w:rsid w:val="00B814CF"/>
    <w:rsid w:val="00B82C2C"/>
    <w:rsid w:val="00B85B74"/>
    <w:rsid w:val="00B85F35"/>
    <w:rsid w:val="00B8720B"/>
    <w:rsid w:val="00B87589"/>
    <w:rsid w:val="00B876EF"/>
    <w:rsid w:val="00B87887"/>
    <w:rsid w:val="00B91551"/>
    <w:rsid w:val="00B91FB5"/>
    <w:rsid w:val="00B9572B"/>
    <w:rsid w:val="00B96233"/>
    <w:rsid w:val="00BA2598"/>
    <w:rsid w:val="00BA4697"/>
    <w:rsid w:val="00BA5893"/>
    <w:rsid w:val="00BB0C53"/>
    <w:rsid w:val="00BB3320"/>
    <w:rsid w:val="00BB5378"/>
    <w:rsid w:val="00BB589B"/>
    <w:rsid w:val="00BB6F53"/>
    <w:rsid w:val="00BC086C"/>
    <w:rsid w:val="00BC0BD3"/>
    <w:rsid w:val="00BC4B9A"/>
    <w:rsid w:val="00BC4EAA"/>
    <w:rsid w:val="00BC5BA6"/>
    <w:rsid w:val="00BD0107"/>
    <w:rsid w:val="00BD2220"/>
    <w:rsid w:val="00BD4DBE"/>
    <w:rsid w:val="00BE0C33"/>
    <w:rsid w:val="00BE0FE9"/>
    <w:rsid w:val="00BE262C"/>
    <w:rsid w:val="00BE479F"/>
    <w:rsid w:val="00BE4C25"/>
    <w:rsid w:val="00BE6C3D"/>
    <w:rsid w:val="00BE73E6"/>
    <w:rsid w:val="00BF1476"/>
    <w:rsid w:val="00BF42FE"/>
    <w:rsid w:val="00C02B29"/>
    <w:rsid w:val="00C06DA4"/>
    <w:rsid w:val="00C07606"/>
    <w:rsid w:val="00C12542"/>
    <w:rsid w:val="00C130EE"/>
    <w:rsid w:val="00C230DA"/>
    <w:rsid w:val="00C245C5"/>
    <w:rsid w:val="00C24725"/>
    <w:rsid w:val="00C30BA9"/>
    <w:rsid w:val="00C32396"/>
    <w:rsid w:val="00C32715"/>
    <w:rsid w:val="00C3541E"/>
    <w:rsid w:val="00C36A8F"/>
    <w:rsid w:val="00C401C8"/>
    <w:rsid w:val="00C42834"/>
    <w:rsid w:val="00C42FFA"/>
    <w:rsid w:val="00C43021"/>
    <w:rsid w:val="00C47780"/>
    <w:rsid w:val="00C47C8C"/>
    <w:rsid w:val="00C47CC2"/>
    <w:rsid w:val="00C507D8"/>
    <w:rsid w:val="00C51F5A"/>
    <w:rsid w:val="00C526D3"/>
    <w:rsid w:val="00C57018"/>
    <w:rsid w:val="00C62EAC"/>
    <w:rsid w:val="00C63F9F"/>
    <w:rsid w:val="00C6558E"/>
    <w:rsid w:val="00C66F97"/>
    <w:rsid w:val="00C722FD"/>
    <w:rsid w:val="00C735E0"/>
    <w:rsid w:val="00C7723C"/>
    <w:rsid w:val="00C81439"/>
    <w:rsid w:val="00C82027"/>
    <w:rsid w:val="00C838F5"/>
    <w:rsid w:val="00C841C0"/>
    <w:rsid w:val="00C91F37"/>
    <w:rsid w:val="00C94309"/>
    <w:rsid w:val="00C97898"/>
    <w:rsid w:val="00CA07E5"/>
    <w:rsid w:val="00CA1AF4"/>
    <w:rsid w:val="00CA387F"/>
    <w:rsid w:val="00CA4725"/>
    <w:rsid w:val="00CA6068"/>
    <w:rsid w:val="00CA757A"/>
    <w:rsid w:val="00CB15E1"/>
    <w:rsid w:val="00CB3460"/>
    <w:rsid w:val="00CB3D46"/>
    <w:rsid w:val="00CB3D75"/>
    <w:rsid w:val="00CC0771"/>
    <w:rsid w:val="00CC3648"/>
    <w:rsid w:val="00CC7AF8"/>
    <w:rsid w:val="00CD1A87"/>
    <w:rsid w:val="00CD35F3"/>
    <w:rsid w:val="00CD4362"/>
    <w:rsid w:val="00CD5C93"/>
    <w:rsid w:val="00CD69CD"/>
    <w:rsid w:val="00CE2CC7"/>
    <w:rsid w:val="00CE342B"/>
    <w:rsid w:val="00CE4961"/>
    <w:rsid w:val="00CE63A5"/>
    <w:rsid w:val="00CE6CCC"/>
    <w:rsid w:val="00CF0920"/>
    <w:rsid w:val="00CF0E4D"/>
    <w:rsid w:val="00CF131F"/>
    <w:rsid w:val="00CF320C"/>
    <w:rsid w:val="00CF3A4B"/>
    <w:rsid w:val="00CF4001"/>
    <w:rsid w:val="00CF75DF"/>
    <w:rsid w:val="00D05837"/>
    <w:rsid w:val="00D11736"/>
    <w:rsid w:val="00D12D8A"/>
    <w:rsid w:val="00D13E0C"/>
    <w:rsid w:val="00D20FB5"/>
    <w:rsid w:val="00D22CC8"/>
    <w:rsid w:val="00D25896"/>
    <w:rsid w:val="00D26EE6"/>
    <w:rsid w:val="00D26FF6"/>
    <w:rsid w:val="00D32A59"/>
    <w:rsid w:val="00D33918"/>
    <w:rsid w:val="00D34AAF"/>
    <w:rsid w:val="00D36033"/>
    <w:rsid w:val="00D373A1"/>
    <w:rsid w:val="00D37C0F"/>
    <w:rsid w:val="00D4113F"/>
    <w:rsid w:val="00D43E8E"/>
    <w:rsid w:val="00D45661"/>
    <w:rsid w:val="00D45943"/>
    <w:rsid w:val="00D47D22"/>
    <w:rsid w:val="00D50346"/>
    <w:rsid w:val="00D50368"/>
    <w:rsid w:val="00D51865"/>
    <w:rsid w:val="00D51D0C"/>
    <w:rsid w:val="00D52ECE"/>
    <w:rsid w:val="00D54734"/>
    <w:rsid w:val="00D55D13"/>
    <w:rsid w:val="00D56C54"/>
    <w:rsid w:val="00D6364B"/>
    <w:rsid w:val="00D63E60"/>
    <w:rsid w:val="00D6407A"/>
    <w:rsid w:val="00D64A19"/>
    <w:rsid w:val="00D666A7"/>
    <w:rsid w:val="00D7189B"/>
    <w:rsid w:val="00D7327C"/>
    <w:rsid w:val="00D74140"/>
    <w:rsid w:val="00D74EC3"/>
    <w:rsid w:val="00D80045"/>
    <w:rsid w:val="00D8087F"/>
    <w:rsid w:val="00D842AC"/>
    <w:rsid w:val="00D84FBE"/>
    <w:rsid w:val="00D93AD4"/>
    <w:rsid w:val="00DA2E9E"/>
    <w:rsid w:val="00DA6D25"/>
    <w:rsid w:val="00DA6E56"/>
    <w:rsid w:val="00DA78DD"/>
    <w:rsid w:val="00DB0DF2"/>
    <w:rsid w:val="00DB1C65"/>
    <w:rsid w:val="00DC0C4C"/>
    <w:rsid w:val="00DC127D"/>
    <w:rsid w:val="00DC24E5"/>
    <w:rsid w:val="00DC3B05"/>
    <w:rsid w:val="00DC6705"/>
    <w:rsid w:val="00DD1EF6"/>
    <w:rsid w:val="00DD2DE8"/>
    <w:rsid w:val="00DD6220"/>
    <w:rsid w:val="00DD717B"/>
    <w:rsid w:val="00DE04B8"/>
    <w:rsid w:val="00DE1C81"/>
    <w:rsid w:val="00DE2BFC"/>
    <w:rsid w:val="00DE38B4"/>
    <w:rsid w:val="00DE4482"/>
    <w:rsid w:val="00DE5D02"/>
    <w:rsid w:val="00DF1E91"/>
    <w:rsid w:val="00DF2102"/>
    <w:rsid w:val="00DF3918"/>
    <w:rsid w:val="00DF48CC"/>
    <w:rsid w:val="00DF4E62"/>
    <w:rsid w:val="00DF78F3"/>
    <w:rsid w:val="00E005A9"/>
    <w:rsid w:val="00E03579"/>
    <w:rsid w:val="00E040CF"/>
    <w:rsid w:val="00E065BA"/>
    <w:rsid w:val="00E115A8"/>
    <w:rsid w:val="00E1166E"/>
    <w:rsid w:val="00E15CF6"/>
    <w:rsid w:val="00E2299C"/>
    <w:rsid w:val="00E24DC0"/>
    <w:rsid w:val="00E2519C"/>
    <w:rsid w:val="00E25229"/>
    <w:rsid w:val="00E25F2A"/>
    <w:rsid w:val="00E271F7"/>
    <w:rsid w:val="00E30C30"/>
    <w:rsid w:val="00E34468"/>
    <w:rsid w:val="00E35EB1"/>
    <w:rsid w:val="00E3614F"/>
    <w:rsid w:val="00E363D2"/>
    <w:rsid w:val="00E41455"/>
    <w:rsid w:val="00E42AD2"/>
    <w:rsid w:val="00E50856"/>
    <w:rsid w:val="00E538CC"/>
    <w:rsid w:val="00E54BBD"/>
    <w:rsid w:val="00E54DBA"/>
    <w:rsid w:val="00E57DB7"/>
    <w:rsid w:val="00E61A68"/>
    <w:rsid w:val="00E61FEF"/>
    <w:rsid w:val="00E62A74"/>
    <w:rsid w:val="00E62A9E"/>
    <w:rsid w:val="00E63D7C"/>
    <w:rsid w:val="00E640D5"/>
    <w:rsid w:val="00E64C4F"/>
    <w:rsid w:val="00E66E2E"/>
    <w:rsid w:val="00E67691"/>
    <w:rsid w:val="00E6790C"/>
    <w:rsid w:val="00E714F6"/>
    <w:rsid w:val="00E734F1"/>
    <w:rsid w:val="00E80F90"/>
    <w:rsid w:val="00E8436D"/>
    <w:rsid w:val="00E87669"/>
    <w:rsid w:val="00E877F0"/>
    <w:rsid w:val="00E91ABD"/>
    <w:rsid w:val="00E92237"/>
    <w:rsid w:val="00E9313B"/>
    <w:rsid w:val="00E94D1B"/>
    <w:rsid w:val="00E951EF"/>
    <w:rsid w:val="00E969B0"/>
    <w:rsid w:val="00E96FA4"/>
    <w:rsid w:val="00E97D6E"/>
    <w:rsid w:val="00EA1A80"/>
    <w:rsid w:val="00EA387D"/>
    <w:rsid w:val="00EA3D54"/>
    <w:rsid w:val="00EA42F9"/>
    <w:rsid w:val="00EA487F"/>
    <w:rsid w:val="00EA4E21"/>
    <w:rsid w:val="00EA5244"/>
    <w:rsid w:val="00EA56D9"/>
    <w:rsid w:val="00EA5CE3"/>
    <w:rsid w:val="00EA6586"/>
    <w:rsid w:val="00EA6AD8"/>
    <w:rsid w:val="00EA7AB8"/>
    <w:rsid w:val="00EB51C1"/>
    <w:rsid w:val="00EB5AE1"/>
    <w:rsid w:val="00EB5E0B"/>
    <w:rsid w:val="00EB7247"/>
    <w:rsid w:val="00EB7C2A"/>
    <w:rsid w:val="00EC05A3"/>
    <w:rsid w:val="00EC2171"/>
    <w:rsid w:val="00ED14CC"/>
    <w:rsid w:val="00ED3E32"/>
    <w:rsid w:val="00ED442D"/>
    <w:rsid w:val="00ED70C2"/>
    <w:rsid w:val="00EE155D"/>
    <w:rsid w:val="00EE18FF"/>
    <w:rsid w:val="00EE1D64"/>
    <w:rsid w:val="00EE3E29"/>
    <w:rsid w:val="00EE489F"/>
    <w:rsid w:val="00EE558A"/>
    <w:rsid w:val="00EF082D"/>
    <w:rsid w:val="00EF55AE"/>
    <w:rsid w:val="00F04552"/>
    <w:rsid w:val="00F051E5"/>
    <w:rsid w:val="00F0647F"/>
    <w:rsid w:val="00F07FA0"/>
    <w:rsid w:val="00F10CE3"/>
    <w:rsid w:val="00F12006"/>
    <w:rsid w:val="00F13443"/>
    <w:rsid w:val="00F14F3B"/>
    <w:rsid w:val="00F16362"/>
    <w:rsid w:val="00F165AE"/>
    <w:rsid w:val="00F207C7"/>
    <w:rsid w:val="00F216F0"/>
    <w:rsid w:val="00F24CCA"/>
    <w:rsid w:val="00F25C00"/>
    <w:rsid w:val="00F26301"/>
    <w:rsid w:val="00F27185"/>
    <w:rsid w:val="00F34C4E"/>
    <w:rsid w:val="00F35D78"/>
    <w:rsid w:val="00F36B6D"/>
    <w:rsid w:val="00F41618"/>
    <w:rsid w:val="00F4166D"/>
    <w:rsid w:val="00F43FA3"/>
    <w:rsid w:val="00F4712F"/>
    <w:rsid w:val="00F4772B"/>
    <w:rsid w:val="00F510E5"/>
    <w:rsid w:val="00F538A0"/>
    <w:rsid w:val="00F55648"/>
    <w:rsid w:val="00F568F7"/>
    <w:rsid w:val="00F5766B"/>
    <w:rsid w:val="00F57C42"/>
    <w:rsid w:val="00F6343B"/>
    <w:rsid w:val="00F64F80"/>
    <w:rsid w:val="00F664DD"/>
    <w:rsid w:val="00F67E07"/>
    <w:rsid w:val="00F70046"/>
    <w:rsid w:val="00F713D0"/>
    <w:rsid w:val="00F72B15"/>
    <w:rsid w:val="00F748C2"/>
    <w:rsid w:val="00F74958"/>
    <w:rsid w:val="00F76C5C"/>
    <w:rsid w:val="00F804EC"/>
    <w:rsid w:val="00F8130F"/>
    <w:rsid w:val="00F818C7"/>
    <w:rsid w:val="00F819BB"/>
    <w:rsid w:val="00F81EF3"/>
    <w:rsid w:val="00F82066"/>
    <w:rsid w:val="00F84496"/>
    <w:rsid w:val="00F85DCB"/>
    <w:rsid w:val="00F86F9C"/>
    <w:rsid w:val="00F90067"/>
    <w:rsid w:val="00F90D76"/>
    <w:rsid w:val="00F94055"/>
    <w:rsid w:val="00F95581"/>
    <w:rsid w:val="00FA4A4C"/>
    <w:rsid w:val="00FA6E06"/>
    <w:rsid w:val="00FB17AB"/>
    <w:rsid w:val="00FB48CF"/>
    <w:rsid w:val="00FC002E"/>
    <w:rsid w:val="00FC4C23"/>
    <w:rsid w:val="00FC6204"/>
    <w:rsid w:val="00FC642E"/>
    <w:rsid w:val="00FD2E5E"/>
    <w:rsid w:val="00FD6229"/>
    <w:rsid w:val="00FD7675"/>
    <w:rsid w:val="00FD7AA0"/>
    <w:rsid w:val="00FE081C"/>
    <w:rsid w:val="00FE2847"/>
    <w:rsid w:val="00FE2AE4"/>
    <w:rsid w:val="00FE3ED6"/>
    <w:rsid w:val="00FE3F9E"/>
    <w:rsid w:val="00FE689F"/>
    <w:rsid w:val="00FE6B2F"/>
    <w:rsid w:val="00FE7809"/>
    <w:rsid w:val="00FF1223"/>
    <w:rsid w:val="00FF408B"/>
    <w:rsid w:val="00FF60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CBBB71"/>
  <w15:docId w15:val="{18D973CF-CAAB-4364-B83F-11E5061F4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2C6"/>
    <w:pPr>
      <w:spacing w:before="180" w:after="0"/>
    </w:pPr>
    <w:rPr>
      <w14:ligatures w14:val="standardContextual"/>
    </w:rPr>
  </w:style>
  <w:style w:type="paragraph" w:styleId="Heading1">
    <w:name w:val="heading 1"/>
    <w:basedOn w:val="Normal"/>
    <w:next w:val="Normal"/>
    <w:link w:val="Heading1Char"/>
    <w:uiPriority w:val="9"/>
    <w:qFormat/>
    <w:rsid w:val="00E94D1B"/>
    <w:pPr>
      <w:keepNext/>
      <w:keepLines/>
      <w:pageBreakBefore/>
      <w:pBdr>
        <w:bottom w:val="single" w:sz="12" w:space="4" w:color="53C9F1" w:themeColor="background2"/>
      </w:pBdr>
      <w:autoSpaceDE w:val="0"/>
      <w:autoSpaceDN w:val="0"/>
      <w:adjustRightInd w:val="0"/>
      <w:spacing w:before="480"/>
      <w:textAlignment w:val="center"/>
      <w:outlineLvl w:val="0"/>
    </w:pPr>
    <w:rPr>
      <w:rFonts w:asciiTheme="majorHAnsi" w:hAnsiTheme="majorHAnsi" w:cs="Manrope ExtraLight"/>
      <w:b/>
      <w:color w:val="1E4496" w:themeColor="text2"/>
      <w:sz w:val="48"/>
      <w:szCs w:val="32"/>
    </w:rPr>
  </w:style>
  <w:style w:type="paragraph" w:styleId="Heading2">
    <w:name w:val="heading 2"/>
    <w:basedOn w:val="Normal"/>
    <w:next w:val="Normal"/>
    <w:link w:val="Heading2Char"/>
    <w:uiPriority w:val="9"/>
    <w:unhideWhenUsed/>
    <w:qFormat/>
    <w:rsid w:val="00920F4E"/>
    <w:pPr>
      <w:keepNext/>
      <w:autoSpaceDE w:val="0"/>
      <w:autoSpaceDN w:val="0"/>
      <w:adjustRightInd w:val="0"/>
      <w:spacing w:before="360" w:line="240" w:lineRule="auto"/>
      <w:textAlignment w:val="center"/>
      <w:outlineLvl w:val="1"/>
    </w:pPr>
    <w:rPr>
      <w:rFonts w:asciiTheme="majorHAnsi" w:hAnsiTheme="majorHAnsi" w:cs="MyriadPro-Bold"/>
      <w:b/>
      <w:bCs/>
      <w:color w:val="1E4496" w:themeColor="text2"/>
      <w:sz w:val="38"/>
      <w:szCs w:val="28"/>
    </w:rPr>
  </w:style>
  <w:style w:type="paragraph" w:styleId="Heading3">
    <w:name w:val="heading 3"/>
    <w:basedOn w:val="Normal"/>
    <w:next w:val="Normal"/>
    <w:link w:val="Heading3Char"/>
    <w:uiPriority w:val="9"/>
    <w:unhideWhenUsed/>
    <w:qFormat/>
    <w:rsid w:val="00920F4E"/>
    <w:pPr>
      <w:keepNext/>
      <w:keepLines/>
      <w:autoSpaceDE w:val="0"/>
      <w:autoSpaceDN w:val="0"/>
      <w:adjustRightInd w:val="0"/>
      <w:spacing w:before="360" w:line="240" w:lineRule="auto"/>
      <w:textAlignment w:val="center"/>
      <w:outlineLvl w:val="2"/>
    </w:pPr>
    <w:rPr>
      <w:rFonts w:asciiTheme="majorHAnsi" w:hAnsiTheme="majorHAnsi" w:cs="MyriadPro-Regular"/>
      <w:bCs/>
      <w:color w:val="1E4496" w:themeColor="text2"/>
      <w:sz w:val="32"/>
      <w:szCs w:val="26"/>
    </w:rPr>
  </w:style>
  <w:style w:type="paragraph" w:styleId="Heading4">
    <w:name w:val="heading 4"/>
    <w:basedOn w:val="Normal"/>
    <w:next w:val="Normal"/>
    <w:link w:val="Heading4Char"/>
    <w:uiPriority w:val="9"/>
    <w:unhideWhenUsed/>
    <w:qFormat/>
    <w:rsid w:val="005138AF"/>
    <w:pPr>
      <w:keepNext/>
      <w:keepLines/>
      <w:spacing w:before="360" w:line="240" w:lineRule="auto"/>
      <w:outlineLvl w:val="3"/>
    </w:pPr>
    <w:rPr>
      <w:rFonts w:asciiTheme="majorHAnsi" w:eastAsiaTheme="majorEastAsia" w:hAnsiTheme="majorHAnsi" w:cstheme="majorBidi"/>
      <w:bCs/>
      <w:iCs/>
      <w:sz w:val="28"/>
    </w:rPr>
  </w:style>
  <w:style w:type="paragraph" w:styleId="Heading5">
    <w:name w:val="heading 5"/>
    <w:basedOn w:val="Normal"/>
    <w:next w:val="Normal"/>
    <w:link w:val="Heading5Char"/>
    <w:uiPriority w:val="9"/>
    <w:unhideWhenUsed/>
    <w:rsid w:val="005138AF"/>
    <w:pPr>
      <w:keepNext/>
      <w:spacing w:before="360" w:line="240" w:lineRule="auto"/>
      <w:outlineLvl w:val="4"/>
    </w:pPr>
    <w:rPr>
      <w:rFonts w:asciiTheme="majorHAnsi" w:eastAsiaTheme="majorEastAsia" w:hAnsiTheme="majorHAnsi" w:cstheme="majorBidi"/>
      <w:b/>
      <w:bCs/>
      <w:sz w:val="24"/>
    </w:rPr>
  </w:style>
  <w:style w:type="paragraph" w:styleId="Heading6">
    <w:name w:val="heading 6"/>
    <w:basedOn w:val="Normal"/>
    <w:next w:val="Normal"/>
    <w:link w:val="Heading6Char"/>
    <w:uiPriority w:val="9"/>
    <w:unhideWhenUsed/>
    <w:rsid w:val="005138AF"/>
    <w:pPr>
      <w:keepNext/>
      <w:keepLines/>
      <w:spacing w:before="240" w:line="240" w:lineRule="auto"/>
      <w:outlineLvl w:val="5"/>
    </w:pPr>
    <w:rPr>
      <w:rFonts w:asciiTheme="majorHAnsi" w:eastAsiaTheme="majorEastAsia" w:hAnsiTheme="majorHAnsi" w:cstheme="majorBidi"/>
      <w:b/>
      <w:bCs/>
      <w:i/>
      <w:iCs/>
      <w:sz w:val="24"/>
    </w:rPr>
  </w:style>
  <w:style w:type="paragraph" w:styleId="Heading7">
    <w:name w:val="heading 7"/>
    <w:basedOn w:val="Normal"/>
    <w:next w:val="Normal"/>
    <w:link w:val="Heading7Char"/>
    <w:uiPriority w:val="9"/>
    <w:semiHidden/>
    <w:unhideWhenUsed/>
    <w:qFormat/>
    <w:rsid w:val="00741192"/>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D1B"/>
    <w:rPr>
      <w:rFonts w:asciiTheme="majorHAnsi" w:hAnsiTheme="majorHAnsi" w:cs="Manrope ExtraLight"/>
      <w:b/>
      <w:color w:val="1E4496" w:themeColor="text2"/>
      <w:sz w:val="48"/>
      <w:szCs w:val="32"/>
      <w14:ligatures w14:val="standardContextual"/>
    </w:rPr>
  </w:style>
  <w:style w:type="paragraph" w:customStyle="1" w:styleId="CDIFooter">
    <w:name w:val="CDI Footer"/>
    <w:basedOn w:val="Normal"/>
    <w:link w:val="CDIFooterChar"/>
    <w:rsid w:val="00E94D1B"/>
    <w:pPr>
      <w:spacing w:before="0" w:line="240" w:lineRule="auto"/>
    </w:pPr>
    <w:rPr>
      <w:sz w:val="18"/>
      <w:szCs w:val="18"/>
    </w:rPr>
  </w:style>
  <w:style w:type="character" w:customStyle="1" w:styleId="Heading2Char">
    <w:name w:val="Heading 2 Char"/>
    <w:basedOn w:val="DefaultParagraphFont"/>
    <w:link w:val="Heading2"/>
    <w:uiPriority w:val="9"/>
    <w:rsid w:val="00920F4E"/>
    <w:rPr>
      <w:rFonts w:asciiTheme="majorHAnsi" w:hAnsiTheme="majorHAnsi" w:cs="MyriadPro-Bold"/>
      <w:b/>
      <w:bCs/>
      <w:color w:val="1E4496" w:themeColor="text2"/>
      <w:sz w:val="38"/>
      <w:szCs w:val="28"/>
      <w14:ligatures w14:val="standardContextual"/>
    </w:rPr>
  </w:style>
  <w:style w:type="paragraph" w:customStyle="1" w:styleId="CDIBoxH1Heading">
    <w:name w:val="CDI Box H1 Heading"/>
    <w:basedOn w:val="CDIBoxHeading"/>
    <w:next w:val="Normal"/>
    <w:rsid w:val="006C5B50"/>
    <w:rPr>
      <w:b/>
      <w:bCs/>
      <w:sz w:val="48"/>
    </w:rPr>
  </w:style>
  <w:style w:type="paragraph" w:styleId="Title">
    <w:name w:val="Title"/>
    <w:basedOn w:val="Normal"/>
    <w:next w:val="Normal"/>
    <w:link w:val="TitleChar"/>
    <w:uiPriority w:val="10"/>
    <w:qFormat/>
    <w:rsid w:val="00FF6037"/>
    <w:pPr>
      <w:spacing w:before="400"/>
    </w:pPr>
    <w:rPr>
      <w:rFonts w:asciiTheme="majorHAnsi" w:hAnsiTheme="majorHAnsi" w:cs="Arial"/>
      <w:b/>
      <w:bCs/>
      <w:sz w:val="56"/>
      <w:szCs w:val="54"/>
    </w:rPr>
  </w:style>
  <w:style w:type="character" w:customStyle="1" w:styleId="TitleChar">
    <w:name w:val="Title Char"/>
    <w:basedOn w:val="DefaultParagraphFont"/>
    <w:link w:val="Title"/>
    <w:uiPriority w:val="10"/>
    <w:rsid w:val="00FF6037"/>
    <w:rPr>
      <w:rFonts w:asciiTheme="majorHAnsi" w:hAnsiTheme="majorHAnsi" w:cs="Arial"/>
      <w:b/>
      <w:bCs/>
      <w:sz w:val="56"/>
      <w:szCs w:val="54"/>
      <w14:ligatures w14:val="standardContextual"/>
    </w:rPr>
  </w:style>
  <w:style w:type="character" w:customStyle="1" w:styleId="Heading3Char">
    <w:name w:val="Heading 3 Char"/>
    <w:basedOn w:val="DefaultParagraphFont"/>
    <w:link w:val="Heading3"/>
    <w:uiPriority w:val="9"/>
    <w:rsid w:val="00920F4E"/>
    <w:rPr>
      <w:rFonts w:asciiTheme="majorHAnsi" w:hAnsiTheme="majorHAnsi" w:cs="MyriadPro-Regular"/>
      <w:bCs/>
      <w:color w:val="1E4496" w:themeColor="text2"/>
      <w:sz w:val="32"/>
      <w:szCs w:val="26"/>
      <w14:ligatures w14:val="standardContextual"/>
    </w:rPr>
  </w:style>
  <w:style w:type="character" w:customStyle="1" w:styleId="Heading4Char">
    <w:name w:val="Heading 4 Char"/>
    <w:basedOn w:val="DefaultParagraphFont"/>
    <w:link w:val="Heading4"/>
    <w:uiPriority w:val="9"/>
    <w:rsid w:val="005138AF"/>
    <w:rPr>
      <w:rFonts w:asciiTheme="majorHAnsi" w:eastAsiaTheme="majorEastAsia" w:hAnsiTheme="majorHAnsi" w:cstheme="majorBidi"/>
      <w:bCs/>
      <w:iCs/>
      <w:sz w:val="28"/>
      <w14:ligatures w14:val="standardContextual"/>
    </w:rPr>
  </w:style>
  <w:style w:type="character" w:customStyle="1" w:styleId="Heading5Char">
    <w:name w:val="Heading 5 Char"/>
    <w:basedOn w:val="DefaultParagraphFont"/>
    <w:link w:val="Heading5"/>
    <w:uiPriority w:val="9"/>
    <w:rsid w:val="005138AF"/>
    <w:rPr>
      <w:rFonts w:asciiTheme="majorHAnsi" w:eastAsiaTheme="majorEastAsia" w:hAnsiTheme="majorHAnsi" w:cstheme="majorBidi"/>
      <w:b/>
      <w:bCs/>
      <w:sz w:val="24"/>
      <w14:ligatures w14:val="standardContextual"/>
    </w:rPr>
  </w:style>
  <w:style w:type="character" w:customStyle="1" w:styleId="Heading6Char">
    <w:name w:val="Heading 6 Char"/>
    <w:basedOn w:val="DefaultParagraphFont"/>
    <w:link w:val="Heading6"/>
    <w:uiPriority w:val="9"/>
    <w:rsid w:val="005138AF"/>
    <w:rPr>
      <w:rFonts w:asciiTheme="majorHAnsi" w:eastAsiaTheme="majorEastAsia" w:hAnsiTheme="majorHAnsi" w:cstheme="majorBidi"/>
      <w:b/>
      <w:bCs/>
      <w:i/>
      <w:iCs/>
      <w:sz w:val="24"/>
      <w14:ligatures w14:val="standardContextual"/>
    </w:rPr>
  </w:style>
  <w:style w:type="paragraph" w:styleId="Subtitle">
    <w:name w:val="Subtitle"/>
    <w:basedOn w:val="Normal"/>
    <w:next w:val="Normal"/>
    <w:link w:val="SubtitleChar"/>
    <w:uiPriority w:val="11"/>
    <w:qFormat/>
    <w:rsid w:val="00A37B04"/>
    <w:pPr>
      <w:spacing w:before="240"/>
    </w:pPr>
    <w:rPr>
      <w:rFonts w:asciiTheme="majorHAnsi" w:hAnsiTheme="majorHAnsi"/>
      <w:sz w:val="28"/>
    </w:rPr>
  </w:style>
  <w:style w:type="character" w:customStyle="1" w:styleId="SubtitleChar">
    <w:name w:val="Subtitle Char"/>
    <w:basedOn w:val="DefaultParagraphFont"/>
    <w:link w:val="Subtitle"/>
    <w:uiPriority w:val="11"/>
    <w:rsid w:val="00A37B04"/>
    <w:rPr>
      <w:rFonts w:asciiTheme="majorHAnsi" w:hAnsiTheme="majorHAnsi"/>
      <w:sz w:val="28"/>
      <w14:ligatures w14:val="standardContextual"/>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customStyle="1" w:styleId="CDIFigure-Title">
    <w:name w:val="CDI Figure - Title"/>
    <w:basedOn w:val="CDITable-Title"/>
    <w:rsid w:val="00425757"/>
  </w:style>
  <w:style w:type="paragraph" w:styleId="Header">
    <w:name w:val="header"/>
    <w:basedOn w:val="Normal"/>
    <w:link w:val="HeaderChar"/>
    <w:uiPriority w:val="99"/>
    <w:unhideWhenUsed/>
    <w:rsid w:val="00690957"/>
    <w:pPr>
      <w:spacing w:before="0" w:line="240" w:lineRule="auto"/>
    </w:pPr>
  </w:style>
  <w:style w:type="paragraph" w:styleId="FootnoteText">
    <w:name w:val="footnote text"/>
    <w:basedOn w:val="Normal"/>
    <w:link w:val="FootnoteTextChar"/>
    <w:unhideWhenUsed/>
    <w:rsid w:val="00800288"/>
    <w:pPr>
      <w:spacing w:before="60"/>
      <w:ind w:left="397" w:hanging="397"/>
    </w:pPr>
    <w:rPr>
      <w:sz w:val="18"/>
      <w:szCs w:val="20"/>
    </w:rPr>
  </w:style>
  <w:style w:type="character" w:customStyle="1" w:styleId="FootnoteTextChar">
    <w:name w:val="Footnote Text Char"/>
    <w:basedOn w:val="DefaultParagraphFont"/>
    <w:link w:val="FootnoteText"/>
    <w:rsid w:val="00800288"/>
    <w:rPr>
      <w:sz w:val="18"/>
      <w:szCs w:val="20"/>
      <w14:ligatures w14:val="standardContextual"/>
    </w:rPr>
  </w:style>
  <w:style w:type="character" w:styleId="FootnoteReference">
    <w:name w:val="footnote reference"/>
    <w:basedOn w:val="DefaultParagraphFont"/>
    <w:unhideWhenUsed/>
    <w:rsid w:val="00224EFF"/>
    <w:rPr>
      <w:vertAlign w:val="superscript"/>
    </w:rPr>
  </w:style>
  <w:style w:type="paragraph" w:customStyle="1" w:styleId="Heading2-nospacebefore">
    <w:name w:val="Heading 2 - no space before"/>
    <w:basedOn w:val="Heading2"/>
    <w:link w:val="Heading2-nospacebeforeChar"/>
    <w:rsid w:val="004C62AA"/>
    <w:pPr>
      <w:spacing w:before="0"/>
    </w:pPr>
    <w:rPr>
      <w:lang w:val="en-GB"/>
    </w:rPr>
  </w:style>
  <w:style w:type="paragraph" w:customStyle="1" w:styleId="CDITable-Title">
    <w:name w:val="CDI Table - Title"/>
    <w:basedOn w:val="Normal"/>
    <w:next w:val="Normal"/>
    <w:uiPriority w:val="99"/>
    <w:rsid w:val="002571C9"/>
    <w:pPr>
      <w:keepNext/>
      <w:suppressAutoHyphens/>
      <w:autoSpaceDE w:val="0"/>
      <w:autoSpaceDN w:val="0"/>
      <w:adjustRightInd w:val="0"/>
      <w:spacing w:before="360" w:after="180"/>
      <w:textAlignment w:val="center"/>
    </w:pPr>
    <w:rPr>
      <w:rFonts w:cs="Minion3-Bold"/>
      <w:b/>
      <w:bCs/>
      <w:szCs w:val="23"/>
    </w:rPr>
  </w:style>
  <w:style w:type="paragraph" w:customStyle="1" w:styleId="CDITable-Footnote">
    <w:name w:val="CDI Table - Footnote"/>
    <w:basedOn w:val="Normal"/>
    <w:link w:val="CDITable-FootnoteChar"/>
    <w:uiPriority w:val="99"/>
    <w:rsid w:val="0052708C"/>
    <w:pPr>
      <w:autoSpaceDE w:val="0"/>
      <w:autoSpaceDN w:val="0"/>
      <w:adjustRightInd w:val="0"/>
      <w:spacing w:before="60"/>
      <w:ind w:left="284" w:hanging="284"/>
      <w:textAlignment w:val="center"/>
    </w:pPr>
    <w:rPr>
      <w:rFonts w:cs="Minion3Caption-Regular"/>
      <w:sz w:val="17"/>
      <w:szCs w:val="16"/>
    </w:rPr>
  </w:style>
  <w:style w:type="paragraph" w:customStyle="1" w:styleId="CDIAbouttext">
    <w:name w:val="CDI About text"/>
    <w:basedOn w:val="CDIBoxText"/>
    <w:rsid w:val="00423436"/>
    <w:rPr>
      <w:sz w:val="18"/>
      <w:szCs w:val="20"/>
    </w:rPr>
  </w:style>
  <w:style w:type="paragraph" w:styleId="TOCHeading">
    <w:name w:val="TOC Heading"/>
    <w:basedOn w:val="Heading1"/>
    <w:next w:val="Normal"/>
    <w:uiPriority w:val="39"/>
    <w:unhideWhenUsed/>
    <w:rsid w:val="00913840"/>
    <w:pPr>
      <w:autoSpaceDE/>
      <w:autoSpaceDN/>
      <w:adjustRightInd/>
      <w:textAlignment w:val="auto"/>
      <w:outlineLvl w:val="9"/>
    </w:pPr>
    <w:rPr>
      <w:rFonts w:eastAsiaTheme="majorEastAsia" w:cstheme="majorBidi"/>
      <w:bCs/>
      <w:kern w:val="28"/>
      <w:szCs w:val="28"/>
      <w:lang w:val="en-US" w:eastAsia="en-US"/>
    </w:rPr>
  </w:style>
  <w:style w:type="paragraph" w:customStyle="1" w:styleId="Heading3-nospacebefore">
    <w:name w:val="Heading 3 - no space before"/>
    <w:basedOn w:val="Heading3"/>
    <w:next w:val="Normal"/>
    <w:link w:val="Heading3-nospacebeforeChar"/>
    <w:rsid w:val="00BA2598"/>
    <w:pPr>
      <w:spacing w:before="0"/>
    </w:pPr>
    <w:rPr>
      <w:lang w:val="en-GB"/>
    </w:rPr>
  </w:style>
  <w:style w:type="character" w:customStyle="1" w:styleId="CDITable-FootnoteChar">
    <w:name w:val="CDI Table - Footnote Char"/>
    <w:basedOn w:val="DefaultParagraphFont"/>
    <w:link w:val="CDITable-Footnote"/>
    <w:uiPriority w:val="99"/>
    <w:rsid w:val="0052708C"/>
    <w:rPr>
      <w:rFonts w:cs="Minion3Caption-Regular"/>
      <w:sz w:val="17"/>
      <w:szCs w:val="16"/>
      <w14:ligatures w14:val="standardContextual"/>
    </w:rPr>
  </w:style>
  <w:style w:type="paragraph" w:customStyle="1" w:styleId="CDIBullets">
    <w:name w:val="CDI Bullets"/>
    <w:basedOn w:val="Normal"/>
    <w:uiPriority w:val="99"/>
    <w:rsid w:val="007179BE"/>
    <w:pPr>
      <w:numPr>
        <w:numId w:val="2"/>
      </w:numPr>
      <w:suppressAutoHyphens/>
      <w:autoSpaceDE w:val="0"/>
      <w:autoSpaceDN w:val="0"/>
      <w:adjustRightInd w:val="0"/>
      <w:ind w:left="794" w:hanging="397"/>
      <w:textAlignment w:val="center"/>
    </w:pPr>
    <w:rPr>
      <w:rFonts w:cs="Minion3-Regular"/>
      <w:szCs w:val="23"/>
    </w:rPr>
  </w:style>
  <w:style w:type="paragraph" w:customStyle="1" w:styleId="CDINumberedList1L1">
    <w:name w:val="CDI Numbered List (1.) L1"/>
    <w:basedOn w:val="Normal"/>
    <w:uiPriority w:val="99"/>
    <w:rsid w:val="00C735E0"/>
    <w:pPr>
      <w:keepLines/>
      <w:numPr>
        <w:numId w:val="1"/>
      </w:numPr>
      <w:autoSpaceDE w:val="0"/>
      <w:autoSpaceDN w:val="0"/>
      <w:adjustRightInd w:val="0"/>
      <w:ind w:left="397" w:hanging="397"/>
      <w:textAlignment w:val="center"/>
    </w:pPr>
    <w:rPr>
      <w:rFonts w:cs="Minion3-Regular"/>
      <w:szCs w:val="23"/>
    </w:rPr>
  </w:style>
  <w:style w:type="paragraph" w:customStyle="1" w:styleId="CDIBoxBullet">
    <w:name w:val="CDI Box Bullet"/>
    <w:basedOn w:val="Normal"/>
    <w:rsid w:val="007179BE"/>
    <w:pPr>
      <w:numPr>
        <w:numId w:val="5"/>
      </w:num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spacing w:before="120"/>
      <w:ind w:left="397" w:hanging="397"/>
    </w:pPr>
    <w:rPr>
      <w:rFonts w:eastAsia="Arial"/>
      <w:szCs w:val="24"/>
      <w:lang w:eastAsia="en-US"/>
    </w:rPr>
  </w:style>
  <w:style w:type="paragraph" w:customStyle="1" w:styleId="CDIBoxHeading">
    <w:name w:val="CDI Box Heading"/>
    <w:basedOn w:val="Normal"/>
    <w:rsid w:val="006C5B50"/>
    <w:pPr>
      <w:keepNext/>
      <w:keepLines/>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outlineLvl w:val="1"/>
    </w:pPr>
    <w:rPr>
      <w:rFonts w:eastAsia="Times New Roman" w:cs="Times New Roman"/>
      <w:color w:val="1E4496" w:themeColor="text2"/>
      <w:sz w:val="28"/>
      <w:szCs w:val="24"/>
      <w:lang w:eastAsia="en-US"/>
    </w:rPr>
  </w:style>
  <w:style w:type="paragraph" w:customStyle="1" w:styleId="CDIBoxText">
    <w:name w:val="CDI Box Text"/>
    <w:basedOn w:val="Normal"/>
    <w:rsid w:val="003E4B09"/>
    <w:p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pPr>
  </w:style>
  <w:style w:type="paragraph" w:customStyle="1" w:styleId="CDIPublicationstring">
    <w:name w:val="CDI Publication string"/>
    <w:basedOn w:val="Normal"/>
    <w:link w:val="CDIPublicationstringChar"/>
    <w:rsid w:val="00700338"/>
    <w:pPr>
      <w:spacing w:before="2640"/>
    </w:pPr>
    <w:rPr>
      <w:rFonts w:ascii="Arial" w:hAnsi="Arial"/>
      <w:sz w:val="20"/>
    </w:rPr>
  </w:style>
  <w:style w:type="paragraph" w:customStyle="1" w:styleId="CDIFigure-Placeholder">
    <w:name w:val="CDI Figure - Placeholder"/>
    <w:basedOn w:val="Normal"/>
    <w:rsid w:val="00BB589B"/>
    <w:pPr>
      <w:spacing w:before="240" w:after="240"/>
      <w:jc w:val="center"/>
    </w:pPr>
  </w:style>
  <w:style w:type="paragraph" w:customStyle="1" w:styleId="CDITable-FirstFootnote">
    <w:name w:val="CDI Table - First Footnote"/>
    <w:basedOn w:val="CDITable-Footnote"/>
    <w:rsid w:val="0052708C"/>
    <w:pPr>
      <w:spacing w:before="180"/>
    </w:pPr>
  </w:style>
  <w:style w:type="paragraph" w:customStyle="1" w:styleId="CDIAbout">
    <w:name w:val="CDI About"/>
    <w:basedOn w:val="CDIBoxHeading"/>
    <w:rsid w:val="00423436"/>
    <w:pPr>
      <w:spacing w:before="360"/>
      <w:outlineLvl w:val="9"/>
    </w:pPr>
    <w:rPr>
      <w:sz w:val="24"/>
    </w:rPr>
  </w:style>
  <w:style w:type="character" w:customStyle="1" w:styleId="CDICopyrighttextbullet">
    <w:name w:val="CDI Copyright text bullet"/>
    <w:basedOn w:val="DefaultParagraphFont"/>
    <w:uiPriority w:val="1"/>
    <w:rsid w:val="00734159"/>
    <w:rPr>
      <w:rFonts w:cs="Arial"/>
      <w:color w:val="1E4496" w:themeColor="text2"/>
    </w:rPr>
  </w:style>
  <w:style w:type="paragraph" w:customStyle="1" w:styleId="CDICopyrightHeading">
    <w:name w:val="CDI Copyright Heading"/>
    <w:basedOn w:val="CDICopyright"/>
    <w:rsid w:val="00CC3648"/>
    <w:pPr>
      <w:spacing w:before="180"/>
    </w:pPr>
    <w:rPr>
      <w:b/>
      <w:bCs/>
    </w:rPr>
  </w:style>
  <w:style w:type="character" w:styleId="Hyperlink">
    <w:name w:val="Hyperlink"/>
    <w:basedOn w:val="DefaultParagraphFont"/>
    <w:uiPriority w:val="99"/>
    <w:unhideWhenUsed/>
    <w:rsid w:val="00423436"/>
    <w:rPr>
      <w:color w:val="1E4496" w:themeColor="text2"/>
      <w:u w:val="single"/>
    </w:rPr>
  </w:style>
  <w:style w:type="character" w:customStyle="1" w:styleId="HeaderChar">
    <w:name w:val="Header Char"/>
    <w:basedOn w:val="DefaultParagraphFont"/>
    <w:link w:val="Header"/>
    <w:uiPriority w:val="99"/>
    <w:rsid w:val="00690957"/>
    <w:rPr>
      <w:rFonts w:ascii="Calibri" w:hAnsi="Calibri"/>
      <w14:ligatures w14:val="standardContextual"/>
    </w:rPr>
  </w:style>
  <w:style w:type="paragraph" w:customStyle="1" w:styleId="Normal-morespacebefore">
    <w:name w:val="Normal - more space before"/>
    <w:basedOn w:val="Normal"/>
    <w:rsid w:val="00662078"/>
    <w:pPr>
      <w:spacing w:before="360"/>
    </w:pPr>
  </w:style>
  <w:style w:type="paragraph" w:customStyle="1" w:styleId="CDITable-HeaderRowLeft">
    <w:name w:val="CDI Table - Header Row Left"/>
    <w:basedOn w:val="CDITable-Title"/>
    <w:rsid w:val="00987E68"/>
    <w:pPr>
      <w:spacing w:beforeAutospacing="1" w:afterAutospacing="1" w:line="240" w:lineRule="auto"/>
    </w:pPr>
    <w:rPr>
      <w:color w:val="FFFFFF" w:themeColor="background1"/>
      <w:sz w:val="18"/>
    </w:rPr>
  </w:style>
  <w:style w:type="paragraph" w:customStyle="1" w:styleId="CDITable-RowLeft">
    <w:name w:val="CDI Table - Row Left"/>
    <w:basedOn w:val="Normal"/>
    <w:rsid w:val="002571C9"/>
    <w:pPr>
      <w:spacing w:before="100" w:beforeAutospacing="1" w:after="100" w:afterAutospacing="1" w:line="240" w:lineRule="auto"/>
    </w:pPr>
    <w:rPr>
      <w:sz w:val="18"/>
    </w:rPr>
  </w:style>
  <w:style w:type="paragraph" w:customStyle="1" w:styleId="CDITable-TotalRowLeft">
    <w:name w:val="CDI Table - Total Row Left"/>
    <w:basedOn w:val="Normal"/>
    <w:rsid w:val="00AC46DC"/>
    <w:pPr>
      <w:spacing w:before="100" w:beforeAutospacing="1" w:after="100" w:afterAutospacing="1" w:line="240" w:lineRule="auto"/>
    </w:pPr>
    <w:rPr>
      <w:b/>
      <w:sz w:val="18"/>
    </w:rPr>
  </w:style>
  <w:style w:type="paragraph" w:customStyle="1" w:styleId="CDITable-TotalRowCentre">
    <w:name w:val="CDI Table - Total Row Centre"/>
    <w:basedOn w:val="CDITable-TotalRowLeft"/>
    <w:rsid w:val="00734159"/>
    <w:pPr>
      <w:jc w:val="center"/>
    </w:pPr>
  </w:style>
  <w:style w:type="paragraph" w:customStyle="1" w:styleId="CDITable-RowCentre">
    <w:name w:val="CDI Table - Row Centre"/>
    <w:basedOn w:val="CDITable-RowLeft"/>
    <w:rsid w:val="002571C9"/>
    <w:pPr>
      <w:jc w:val="center"/>
    </w:pPr>
  </w:style>
  <w:style w:type="paragraph" w:customStyle="1" w:styleId="CDITable-HeaderRowCentre">
    <w:name w:val="CDI Table - Header Row Centre"/>
    <w:basedOn w:val="Normal"/>
    <w:rsid w:val="00987E68"/>
    <w:pPr>
      <w:spacing w:beforeAutospacing="1" w:afterAutospacing="1" w:line="240" w:lineRule="auto"/>
      <w:jc w:val="center"/>
    </w:pPr>
    <w:rPr>
      <w:b/>
      <w:color w:val="FFFFFF" w:themeColor="background1"/>
      <w:sz w:val="18"/>
      <w:lang w:val="en-GB"/>
    </w:rPr>
  </w:style>
  <w:style w:type="paragraph" w:customStyle="1" w:styleId="Normal-lessspace">
    <w:name w:val="Normal - less space"/>
    <w:basedOn w:val="Normal"/>
    <w:rsid w:val="00F8130F"/>
    <w:pPr>
      <w:spacing w:before="120"/>
    </w:pPr>
    <w:rPr>
      <w:lang w:val="en-GB"/>
    </w:rPr>
  </w:style>
  <w:style w:type="paragraph" w:customStyle="1" w:styleId="Normal-nospace">
    <w:name w:val="Normal - no space"/>
    <w:basedOn w:val="Normal"/>
    <w:rsid w:val="00962C2F"/>
    <w:pPr>
      <w:spacing w:before="0"/>
    </w:pPr>
    <w:rPr>
      <w:noProof/>
    </w:rPr>
  </w:style>
  <w:style w:type="paragraph" w:customStyle="1" w:styleId="CDIShadedBoxText">
    <w:name w:val="CDI Shaded Box Text"/>
    <w:basedOn w:val="CDIBoxTex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ShadedBoxHeading">
    <w:name w:val="CDI Shaded Box Heading"/>
    <w:basedOn w:val="CDIBoxHeading"/>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NumberedList1-L1lessspace">
    <w:name w:val="CDI Numbered List (1.) - L1 less space"/>
    <w:basedOn w:val="CDINumberedList1L1"/>
    <w:rsid w:val="00343991"/>
    <w:pPr>
      <w:spacing w:before="120"/>
    </w:pPr>
  </w:style>
  <w:style w:type="paragraph" w:customStyle="1" w:styleId="CDITable-RowBullets">
    <w:name w:val="CDI Table - Row Bullets"/>
    <w:basedOn w:val="CDITable-RowLeft"/>
    <w:rsid w:val="0010033C"/>
    <w:pPr>
      <w:numPr>
        <w:numId w:val="3"/>
      </w:numPr>
      <w:spacing w:before="0" w:beforeAutospacing="0" w:after="0" w:afterAutospacing="0"/>
      <w:ind w:left="284" w:hanging="284"/>
    </w:pPr>
  </w:style>
  <w:style w:type="paragraph" w:customStyle="1" w:styleId="CDIShadedBoxBullets">
    <w:name w:val="CDI Shaded Box Bullets"/>
    <w:basedOn w:val="CDIBoxBulle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styleId="Revision">
    <w:name w:val="Revision"/>
    <w:hidden/>
    <w:uiPriority w:val="99"/>
    <w:semiHidden/>
    <w:rsid w:val="006221DD"/>
    <w:pPr>
      <w:spacing w:after="0" w:line="240" w:lineRule="auto"/>
    </w:pPr>
    <w:rPr>
      <w:rFonts w:ascii="Calibri" w:hAnsi="Calibri"/>
      <w14:ligatures w14:val="standardContextual"/>
    </w:rPr>
  </w:style>
  <w:style w:type="paragraph" w:customStyle="1" w:styleId="CDICopyright">
    <w:name w:val="CDI Copyright"/>
    <w:basedOn w:val="Normal"/>
    <w:rsid w:val="00CC3648"/>
    <w:pPr>
      <w:spacing w:before="120"/>
    </w:pPr>
    <w:rPr>
      <w:sz w:val="18"/>
    </w:rPr>
  </w:style>
  <w:style w:type="paragraph" w:customStyle="1" w:styleId="Heading1-nospacebefore">
    <w:name w:val="Heading 1 - no space before"/>
    <w:basedOn w:val="Heading1"/>
    <w:next w:val="Normal"/>
    <w:link w:val="Heading1-nospacebeforeChar"/>
    <w:rsid w:val="00122ADA"/>
    <w:pPr>
      <w:spacing w:before="0"/>
    </w:pPr>
  </w:style>
  <w:style w:type="paragraph" w:customStyle="1" w:styleId="Heading1-lessspacebefore">
    <w:name w:val="Heading 1 - less space before"/>
    <w:basedOn w:val="Heading1"/>
    <w:link w:val="Heading1-lessspacebeforeChar"/>
    <w:rsid w:val="00B87887"/>
    <w:pPr>
      <w:spacing w:before="180"/>
    </w:pPr>
    <w:rPr>
      <w:lang w:val="en-GB"/>
    </w:rPr>
  </w:style>
  <w:style w:type="character" w:customStyle="1" w:styleId="Heading1-lessspacebeforeChar">
    <w:name w:val="Heading 1 - less space before Char"/>
    <w:basedOn w:val="Heading1Char"/>
    <w:link w:val="Heading1-lessspacebefore"/>
    <w:rsid w:val="00B87887"/>
    <w:rPr>
      <w:rFonts w:asciiTheme="majorHAnsi" w:hAnsiTheme="majorHAnsi" w:cs="Manrope ExtraLight"/>
      <w:b/>
      <w:color w:val="1E4496" w:themeColor="text2"/>
      <w:sz w:val="48"/>
      <w:szCs w:val="32"/>
      <w:lang w:val="en-GB"/>
      <w14:ligatures w14:val="standardContextual"/>
    </w:rPr>
  </w:style>
  <w:style w:type="character" w:customStyle="1" w:styleId="Heading1-nospacebeforeChar">
    <w:name w:val="Heading 1 - no space before Char"/>
    <w:basedOn w:val="Heading1Char"/>
    <w:link w:val="Heading1-nospacebefore"/>
    <w:rsid w:val="00BA2598"/>
    <w:rPr>
      <w:rFonts w:ascii="Arial" w:hAnsi="Arial" w:cs="Manrope ExtraLight"/>
      <w:b/>
      <w:color w:val="1E4496" w:themeColor="text2"/>
      <w:kern w:val="2"/>
      <w:sz w:val="48"/>
      <w:szCs w:val="32"/>
      <w14:ligatures w14:val="standardContextual"/>
    </w:rPr>
  </w:style>
  <w:style w:type="character" w:customStyle="1" w:styleId="Heading2-nospacebeforeChar">
    <w:name w:val="Heading 2 - no space before Char"/>
    <w:basedOn w:val="Heading2Char"/>
    <w:link w:val="Heading2-nospacebefore"/>
    <w:rsid w:val="00BA2598"/>
    <w:rPr>
      <w:rFonts w:ascii="Arial" w:hAnsi="Arial" w:cs="MyriadPro-Bold"/>
      <w:b/>
      <w:bCs/>
      <w:color w:val="1E4496" w:themeColor="text2"/>
      <w:sz w:val="38"/>
      <w:szCs w:val="28"/>
      <w:lang w:val="en-GB"/>
      <w14:ligatures w14:val="standardContextual"/>
    </w:rPr>
  </w:style>
  <w:style w:type="paragraph" w:customStyle="1" w:styleId="Heading2-lessspacebefore">
    <w:name w:val="Heading 2 - less space before"/>
    <w:basedOn w:val="Heading2"/>
    <w:next w:val="Normal"/>
    <w:link w:val="Heading2-lessspacebeforeChar"/>
    <w:rsid w:val="00B87887"/>
    <w:pPr>
      <w:spacing w:before="180"/>
    </w:pPr>
  </w:style>
  <w:style w:type="character" w:customStyle="1" w:styleId="Heading2-lessspacebeforeChar">
    <w:name w:val="Heading 2 - less space before Char"/>
    <w:basedOn w:val="Heading2Char"/>
    <w:link w:val="Heading2-lessspacebefore"/>
    <w:rsid w:val="00B87887"/>
    <w:rPr>
      <w:rFonts w:asciiTheme="majorHAnsi" w:hAnsiTheme="majorHAnsi" w:cs="MyriadPro-Bold"/>
      <w:b/>
      <w:bCs/>
      <w:color w:val="1E4496" w:themeColor="text2"/>
      <w:sz w:val="38"/>
      <w:szCs w:val="28"/>
      <w14:ligatures w14:val="standardContextual"/>
    </w:rPr>
  </w:style>
  <w:style w:type="character" w:customStyle="1" w:styleId="Heading3-nospacebeforeChar">
    <w:name w:val="Heading 3 - no space before Char"/>
    <w:basedOn w:val="Heading3Char"/>
    <w:link w:val="Heading3-nospacebefore"/>
    <w:rsid w:val="00BA2598"/>
    <w:rPr>
      <w:rFonts w:ascii="Arial" w:hAnsi="Arial" w:cs="MyriadPro-Regular"/>
      <w:bCs/>
      <w:color w:val="1E4496" w:themeColor="text2"/>
      <w:sz w:val="32"/>
      <w:szCs w:val="26"/>
      <w:lang w:val="en-GB"/>
      <w14:ligatures w14:val="standardContextual"/>
    </w:rPr>
  </w:style>
  <w:style w:type="paragraph" w:customStyle="1" w:styleId="Heading3-lessspacebefore">
    <w:name w:val="Heading 3 - less space before"/>
    <w:basedOn w:val="Heading3"/>
    <w:next w:val="Normal"/>
    <w:link w:val="Heading3-lessspacebeforeChar"/>
    <w:rsid w:val="00B87887"/>
    <w:pPr>
      <w:spacing w:before="180"/>
    </w:pPr>
  </w:style>
  <w:style w:type="character" w:customStyle="1" w:styleId="Heading3-lessspacebeforeChar">
    <w:name w:val="Heading 3 - less space before Char"/>
    <w:basedOn w:val="Heading3Char"/>
    <w:link w:val="Heading3-lessspacebefore"/>
    <w:rsid w:val="00B87887"/>
    <w:rPr>
      <w:rFonts w:asciiTheme="majorHAnsi" w:hAnsiTheme="majorHAnsi" w:cs="MyriadPro-Regular"/>
      <w:bCs/>
      <w:color w:val="1E4496" w:themeColor="text2"/>
      <w:sz w:val="32"/>
      <w:szCs w:val="26"/>
      <w14:ligatures w14:val="standardContextual"/>
    </w:rPr>
  </w:style>
  <w:style w:type="paragraph" w:customStyle="1" w:styleId="CDICorrespondingauthor">
    <w:name w:val="CDI Corresponding author"/>
    <w:basedOn w:val="Heading4"/>
    <w:next w:val="Normal"/>
    <w:link w:val="CDICorrespondingauthorChar"/>
    <w:rsid w:val="003E4B09"/>
    <w:pPr>
      <w:outlineLvl w:val="1"/>
    </w:pPr>
  </w:style>
  <w:style w:type="character" w:customStyle="1" w:styleId="CDICorrespondingauthorChar">
    <w:name w:val="CDI Corresponding author Char"/>
    <w:basedOn w:val="Heading4Char"/>
    <w:link w:val="CDICorrespondingauthor"/>
    <w:rsid w:val="003E4B09"/>
    <w:rPr>
      <w:rFonts w:asciiTheme="majorHAnsi" w:eastAsiaTheme="majorEastAsia" w:hAnsiTheme="majorHAnsi" w:cstheme="majorBidi"/>
      <w:bCs/>
      <w:iCs/>
      <w:color w:val="1E4496" w:themeColor="text2"/>
      <w:sz w:val="28"/>
      <w:lang w:val="en-GB"/>
      <w14:ligatures w14:val="standardContextual"/>
    </w:rPr>
  </w:style>
  <w:style w:type="character" w:customStyle="1" w:styleId="CDIFooterChar">
    <w:name w:val="CDI Footer Char"/>
    <w:basedOn w:val="DefaultParagraphFont"/>
    <w:link w:val="CDIFooter"/>
    <w:rsid w:val="00E94D1B"/>
    <w:rPr>
      <w:sz w:val="18"/>
      <w:szCs w:val="18"/>
      <w14:ligatures w14:val="standardContextual"/>
    </w:rPr>
  </w:style>
  <w:style w:type="paragraph" w:customStyle="1" w:styleId="CDIDOIInformation-nospace">
    <w:name w:val="CDI DOI Information - no space"/>
    <w:basedOn w:val="CDIPublicationstring"/>
    <w:rsid w:val="003C02BF"/>
    <w:pPr>
      <w:spacing w:before="0"/>
    </w:pPr>
  </w:style>
  <w:style w:type="character" w:customStyle="1" w:styleId="CDIPublicationstringChar">
    <w:name w:val="CDI Publication string Char"/>
    <w:basedOn w:val="DefaultParagraphFont"/>
    <w:link w:val="CDIPublicationstring"/>
    <w:rsid w:val="00700338"/>
    <w:rPr>
      <w:rFonts w:ascii="Arial" w:hAnsi="Arial"/>
      <w:sz w:val="20"/>
      <w14:ligatures w14:val="standardContextual"/>
    </w:rPr>
  </w:style>
  <w:style w:type="paragraph" w:customStyle="1" w:styleId="CDIName">
    <w:name w:val="CDI Name"/>
    <w:basedOn w:val="CDIPublicationstring"/>
    <w:link w:val="CDINameChar"/>
    <w:rsid w:val="00867976"/>
    <w:rPr>
      <w:rFonts w:cs="Arial"/>
      <w:bCs/>
      <w:spacing w:val="-5"/>
      <w:szCs w:val="21"/>
    </w:rPr>
  </w:style>
  <w:style w:type="character" w:customStyle="1" w:styleId="CDINameChar">
    <w:name w:val="CDI Name Char"/>
    <w:basedOn w:val="CDIPublicationstringChar"/>
    <w:link w:val="CDIName"/>
    <w:rsid w:val="00867976"/>
    <w:rPr>
      <w:rFonts w:ascii="Arial" w:hAnsi="Arial" w:cs="Arial"/>
      <w:bCs/>
      <w:spacing w:val="-5"/>
      <w:sz w:val="21"/>
      <w:szCs w:val="21"/>
      <w14:ligatures w14:val="standardContextual"/>
    </w:rPr>
  </w:style>
  <w:style w:type="paragraph" w:customStyle="1" w:styleId="CDIAbouttextLess">
    <w:name w:val="CDI About text Less"/>
    <w:basedOn w:val="CDIAbouttext"/>
    <w:rsid w:val="00B87589"/>
    <w:pPr>
      <w:spacing w:before="60"/>
    </w:pPr>
  </w:style>
  <w:style w:type="paragraph" w:customStyle="1" w:styleId="CDICopyright-lessspace">
    <w:name w:val="CDI Copyright - less space"/>
    <w:basedOn w:val="CDICopyright"/>
    <w:rsid w:val="00D8087F"/>
    <w:pPr>
      <w:numPr>
        <w:numId w:val="6"/>
      </w:numPr>
      <w:spacing w:before="60"/>
    </w:pPr>
  </w:style>
  <w:style w:type="paragraph" w:styleId="TOC1">
    <w:name w:val="toc 1"/>
    <w:basedOn w:val="Normal"/>
    <w:next w:val="Normal"/>
    <w:autoRedefine/>
    <w:uiPriority w:val="39"/>
    <w:unhideWhenUsed/>
    <w:rsid w:val="003E4B09"/>
    <w:pPr>
      <w:tabs>
        <w:tab w:val="right" w:leader="dot" w:pos="9629"/>
      </w:tabs>
    </w:pPr>
    <w:rPr>
      <w:rFonts w:eastAsiaTheme="minorHAnsi" w:cstheme="minorHAnsi"/>
      <w:b/>
      <w:bCs/>
      <w:iCs/>
      <w:szCs w:val="24"/>
      <w:lang w:eastAsia="en-US"/>
    </w:rPr>
  </w:style>
  <w:style w:type="paragraph" w:styleId="TOC2">
    <w:name w:val="toc 2"/>
    <w:basedOn w:val="Normal"/>
    <w:next w:val="Normal"/>
    <w:autoRedefine/>
    <w:uiPriority w:val="39"/>
    <w:unhideWhenUsed/>
    <w:rsid w:val="00897881"/>
    <w:pPr>
      <w:spacing w:before="120"/>
      <w:ind w:left="284"/>
    </w:pPr>
    <w:rPr>
      <w:rFonts w:eastAsiaTheme="minorHAnsi" w:cstheme="minorHAnsi"/>
      <w:bCs/>
      <w:lang w:eastAsia="en-US"/>
    </w:rPr>
  </w:style>
  <w:style w:type="character" w:styleId="UnresolvedMention">
    <w:name w:val="Unresolved Mention"/>
    <w:basedOn w:val="DefaultParagraphFont"/>
    <w:uiPriority w:val="99"/>
    <w:semiHidden/>
    <w:unhideWhenUsed/>
    <w:rsid w:val="00B87887"/>
    <w:rPr>
      <w:color w:val="605E5C"/>
      <w:shd w:val="clear" w:color="auto" w:fill="E1DFDD"/>
    </w:rPr>
  </w:style>
  <w:style w:type="paragraph" w:customStyle="1" w:styleId="Heading1-noline">
    <w:name w:val="Heading 1 - no line"/>
    <w:basedOn w:val="Heading1"/>
    <w:next w:val="Normal"/>
    <w:rsid w:val="0098426C"/>
    <w:pPr>
      <w:pageBreakBefore w:val="0"/>
      <w:pBdr>
        <w:bottom w:val="none" w:sz="0" w:space="0" w:color="auto"/>
      </w:pBdr>
    </w:pPr>
    <w:rPr>
      <w:lang w:val="en-GB"/>
    </w:rPr>
  </w:style>
  <w:style w:type="paragraph" w:customStyle="1" w:styleId="CDICopyrightBullets">
    <w:name w:val="CDI Copyright Bullets"/>
    <w:basedOn w:val="CDICopyright"/>
    <w:rsid w:val="00BB3320"/>
    <w:pPr>
      <w:numPr>
        <w:numId w:val="8"/>
      </w:numPr>
    </w:pPr>
  </w:style>
  <w:style w:type="paragraph" w:customStyle="1" w:styleId="Heading2-newpage">
    <w:name w:val="Heading 2 - new page"/>
    <w:basedOn w:val="Heading2"/>
    <w:next w:val="Normal"/>
    <w:rsid w:val="003A25A3"/>
    <w:pPr>
      <w:pageBreakBefore/>
    </w:pPr>
  </w:style>
  <w:style w:type="numbering" w:customStyle="1" w:styleId="CDInavybullet">
    <w:name w:val="CDI navy bullet"/>
    <w:basedOn w:val="NoList"/>
    <w:rsid w:val="00E62A74"/>
    <w:pPr>
      <w:numPr>
        <w:numId w:val="7"/>
      </w:numPr>
    </w:pPr>
  </w:style>
  <w:style w:type="paragraph" w:styleId="TableofFigures">
    <w:name w:val="table of figures"/>
    <w:basedOn w:val="Normal"/>
    <w:next w:val="Normal"/>
    <w:uiPriority w:val="99"/>
    <w:unhideWhenUsed/>
    <w:rsid w:val="00FD7AA0"/>
  </w:style>
  <w:style w:type="paragraph" w:styleId="BodyText">
    <w:name w:val="Body Text"/>
    <w:basedOn w:val="Normal"/>
    <w:link w:val="BodyTextChar"/>
    <w:uiPriority w:val="99"/>
    <w:semiHidden/>
    <w:unhideWhenUsed/>
    <w:rsid w:val="000F44BA"/>
    <w:pPr>
      <w:spacing w:after="120"/>
    </w:pPr>
  </w:style>
  <w:style w:type="character" w:customStyle="1" w:styleId="BodyTextChar">
    <w:name w:val="Body Text Char"/>
    <w:basedOn w:val="DefaultParagraphFont"/>
    <w:link w:val="BodyText"/>
    <w:uiPriority w:val="99"/>
    <w:semiHidden/>
    <w:rsid w:val="000F44BA"/>
    <w:rPr>
      <w14:ligatures w14:val="standardContextual"/>
    </w:rPr>
  </w:style>
  <w:style w:type="character" w:styleId="CommentReference">
    <w:name w:val="annotation reference"/>
    <w:basedOn w:val="DefaultParagraphFont"/>
    <w:uiPriority w:val="99"/>
    <w:semiHidden/>
    <w:unhideWhenUsed/>
    <w:rsid w:val="007B537E"/>
    <w:rPr>
      <w:sz w:val="16"/>
      <w:szCs w:val="16"/>
    </w:rPr>
  </w:style>
  <w:style w:type="paragraph" w:styleId="CommentSubject">
    <w:name w:val="annotation subject"/>
    <w:basedOn w:val="Normal"/>
    <w:next w:val="Normal"/>
    <w:link w:val="CommentSubjectChar"/>
    <w:uiPriority w:val="99"/>
    <w:semiHidden/>
    <w:unhideWhenUsed/>
    <w:rsid w:val="00BE479F"/>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BE479F"/>
    <w:rPr>
      <w:b/>
      <w:bCs/>
      <w:sz w:val="20"/>
      <w:szCs w:val="20"/>
      <w14:ligatures w14:val="standardContextual"/>
    </w:rPr>
  </w:style>
  <w:style w:type="paragraph" w:customStyle="1" w:styleId="CDIFooteritalic">
    <w:name w:val="CDI Footer italic"/>
    <w:basedOn w:val="CDIFooter"/>
    <w:next w:val="CDIFooter"/>
    <w:link w:val="CDIFooteritalicChar"/>
    <w:rsid w:val="00385655"/>
    <w:rPr>
      <w:i/>
    </w:rPr>
  </w:style>
  <w:style w:type="table" w:styleId="TableGrid">
    <w:name w:val="Table Grid"/>
    <w:basedOn w:val="TableNormal"/>
    <w:uiPriority w:val="59"/>
    <w:rsid w:val="00BB3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DIFooteritalicChar">
    <w:name w:val="CDI Footer italic Char"/>
    <w:basedOn w:val="CDIFooterChar"/>
    <w:link w:val="CDIFooteritalic"/>
    <w:rsid w:val="00385655"/>
    <w:rPr>
      <w:i/>
      <w:sz w:val="18"/>
      <w:szCs w:val="18"/>
      <w14:ligatures w14:val="standardContextual"/>
    </w:rPr>
  </w:style>
  <w:style w:type="paragraph" w:customStyle="1" w:styleId="CDIBulletsL2">
    <w:name w:val="CDI Bullets L2"/>
    <w:basedOn w:val="CDIBullets"/>
    <w:rsid w:val="007179BE"/>
    <w:pPr>
      <w:numPr>
        <w:numId w:val="9"/>
      </w:numPr>
      <w:ind w:left="1191" w:hanging="397"/>
    </w:pPr>
  </w:style>
  <w:style w:type="paragraph" w:customStyle="1" w:styleId="CDINumberedListL2">
    <w:name w:val="CDI Numbered List L2"/>
    <w:basedOn w:val="Normal"/>
    <w:rsid w:val="005A4E9D"/>
    <w:pPr>
      <w:ind w:left="794" w:hanging="397"/>
    </w:pPr>
  </w:style>
  <w:style w:type="paragraph" w:customStyle="1" w:styleId="CDINumberedListL3">
    <w:name w:val="CDI Numbered List L3"/>
    <w:basedOn w:val="CDINumberedListL2"/>
    <w:rsid w:val="000522C6"/>
    <w:pPr>
      <w:ind w:left="1191"/>
    </w:pPr>
  </w:style>
  <w:style w:type="paragraph" w:customStyle="1" w:styleId="Normal-Opening">
    <w:name w:val="Normal - Opening"/>
    <w:basedOn w:val="Normal"/>
    <w:rsid w:val="003858B4"/>
    <w:pPr>
      <w:spacing w:before="360"/>
    </w:pPr>
  </w:style>
  <w:style w:type="paragraph" w:customStyle="1" w:styleId="Normal-morespaceafter">
    <w:name w:val="Normal - more space after"/>
    <w:basedOn w:val="Normal"/>
    <w:rsid w:val="00662078"/>
    <w:pPr>
      <w:spacing w:after="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di.editor@cdc.gov.au" TargetMode="External"/><Relationship Id="rId18" Type="http://schemas.openxmlformats.org/officeDocument/2006/relationships/hyperlink" Target="https://doi.org/10.1002/jmv.21237" TargetMode="External"/><Relationship Id="rId26"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yperlink" Target="https://doi.org/10.3201/eid1410.080117" TargetMode="External"/><Relationship Id="rId7" Type="http://schemas.openxmlformats.org/officeDocument/2006/relationships/footnotes" Target="footnotes.xml"/><Relationship Id="rId12" Type="http://schemas.openxmlformats.org/officeDocument/2006/relationships/hyperlink" Target="https://www.cdc.gov.au/cdi" TargetMode="External"/><Relationship Id="rId17" Type="http://schemas.openxmlformats.org/officeDocument/2006/relationships/hyperlink" Target="https://doi.org/10.1016/j.coviro.2011.11.005"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health.vic.gov.au/infectious-diseases/guidelines-for-the-investigation-of-gastroenteritis" TargetMode="External"/><Relationship Id="rId20" Type="http://schemas.openxmlformats.org/officeDocument/2006/relationships/hyperlink" Target="https://www.health.vic.gov.au/infectious-diseases/viral-gastroenteritis-not-rotaviru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reativecommons.org/licenses/by-nc-nd/4.0/legalcode"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jane.mcallister@health.vic.gov.au"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https://www.cdc.gov.au/cdi" TargetMode="External"/><Relationship Id="rId19" Type="http://schemas.openxmlformats.org/officeDocument/2006/relationships/hyperlink" Target="https://doi.org/10.1186/s12879-023-08519-y"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2.jpg"/><Relationship Id="rId22" Type="http://schemas.openxmlformats.org/officeDocument/2006/relationships/hyperlink" Target="https://doi.org/10.1136/oemed-2020-106568" TargetMode="Externa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www.cdc.gov.au/topics/communicable-diseases/cd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LISA\OneDrive%20-%20Department%20of%20Health\Documents\Custom%20Office%20Templates\2026\CDI-long-report-template-2026.dotx" TargetMode="External"/></Relationships>
</file>

<file path=word/theme/theme1.xml><?xml version="1.0" encoding="utf-8"?>
<a:theme xmlns:a="http://schemas.openxmlformats.org/drawingml/2006/main" name="Office Theme">
  <a:themeElements>
    <a:clrScheme name="CDI 2025">
      <a:dk1>
        <a:srgbClr val="000000"/>
      </a:dk1>
      <a:lt1>
        <a:srgbClr val="FFFFFF"/>
      </a:lt1>
      <a:dk2>
        <a:srgbClr val="1E4496"/>
      </a:dk2>
      <a:lt2>
        <a:srgbClr val="53C9F1"/>
      </a:lt2>
      <a:accent1>
        <a:srgbClr val="003936"/>
      </a:accent1>
      <a:accent2>
        <a:srgbClr val="52BE96"/>
      </a:accent2>
      <a:accent3>
        <a:srgbClr val="C45727"/>
      </a:accent3>
      <a:accent4>
        <a:srgbClr val="FFD133"/>
      </a:accent4>
      <a:accent5>
        <a:srgbClr val="9F1D20"/>
      </a:accent5>
      <a:accent6>
        <a:srgbClr val="9B91C6"/>
      </a:accent6>
      <a:hlink>
        <a:srgbClr val="1E4496"/>
      </a:hlink>
      <a:folHlink>
        <a:srgbClr val="522C7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3CEDF-0107-42E3-93CC-370A8D39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CDI-long-report-template-2026.dotx</Template>
  <TotalTime>0</TotalTime>
  <Pages>11</Pages>
  <Words>2171</Words>
  <Characters>13181</Characters>
  <Application>Microsoft Office Word</Application>
  <DocSecurity>0</DocSecurity>
  <Lines>286</Lines>
  <Paragraphs>156</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Communicable Diseases Intelligence - Multiple outbreaks of norovirus caused by persistent transmission in a hospitality setting in Victoria, Australia, 2023</vt:lpstr>
      <vt:lpstr>Abstract</vt:lpstr>
      <vt:lpstr>Background and methods</vt:lpstr>
      <vt:lpstr>Description of outbreak</vt:lpstr>
      <vt:lpstr>Laboratory and environmental investigations</vt:lpstr>
      <vt:lpstr>Public health response</vt:lpstr>
      <vt:lpstr>Discussion</vt:lpstr>
      <vt:lpstr>Acknowledgments</vt:lpstr>
      <vt:lpstr>Author details</vt:lpstr>
      <vt:lpstr>    Corresponding author</vt:lpstr>
      <vt:lpstr>References</vt:lpstr>
    </vt:vector>
  </TitlesOfParts>
  <Company/>
  <LinksUpToDate>false</LinksUpToDate>
  <CharactersWithSpaces>15203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 Multiple outbreaks of norovirus caused by persistent transmission in a hospitality setting in Victoria, Australia, 2023</dc:title>
  <dc:subject>This report describes unusually persistent transmission of norovirus across multiple separate events in a single hospitality setting in Victoria, Australia during 2023.</dc:subject>
  <dc:creator>Michelle Renwick; Jim Adamopoulos; Sally Atkinson; Jane McAllister; Maria McQuinn; Anastasia Stylianopoulos; Leesa Bruggink; Simon Crouch; Rhonda L Stuart; Shaun P Coutts</dc:creator>
  <cp:keywords>norovirus; outbreak; gastroenteritis; outbreak investigation</cp:keywords>
  <dc:description>© 2026 Commonwealth of Australia as represented by the Australian Centre for Disease Control. This publication is licenced under a CC BY-NC-ND licence.</dc:description>
  <cp:revision>3</cp:revision>
  <cp:lastPrinted>2024-03-07T01:06:00Z</cp:lastPrinted>
  <dcterms:created xsi:type="dcterms:W3CDTF">2026-09-09T03:20:00Z</dcterms:created>
  <dcterms:modified xsi:type="dcterms:W3CDTF">2026-09-09T05:03:00Z</dcterms:modified>
  <cp:category>Outbreak report</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2026</vt:lpwstr>
  </property>
  <property fmtid="{D5CDD505-2E9C-101B-9397-08002B2CF9AE}" pid="3" name="Vol">
    <vt:i4>50</vt:i4>
  </property>
  <property fmtid="{D5CDD505-2E9C-101B-9397-08002B2CF9AE}" pid="4" name="ePubDate">
    <vt:lpwstr>29.09.2026</vt:lpwstr>
  </property>
  <property fmtid="{D5CDD505-2E9C-101B-9397-08002B2CF9AE}" pid="5" name="DOI">
    <vt:lpwstr>doi.org/10.33321/cdi.2026.50.062</vt:lpwstr>
  </property>
  <property fmtid="{D5CDD505-2E9C-101B-9397-08002B2CF9AE}" pid="6" name="ClassificationContentMarkingHeaderShapeIds">
    <vt:lpwstr>6520d1bd,1bbe1eff,6affb1e4</vt:lpwstr>
  </property>
  <property fmtid="{D5CDD505-2E9C-101B-9397-08002B2CF9AE}" pid="7" name="ClassificationContentMarkingHeaderFontProps">
    <vt:lpwstr>#ff0000,12,Calibri</vt:lpwstr>
  </property>
  <property fmtid="{D5CDD505-2E9C-101B-9397-08002B2CF9AE}" pid="8" name="ClassificationContentMarkingHeaderText">
    <vt:lpwstr>OFFICIAL</vt:lpwstr>
  </property>
  <property fmtid="{D5CDD505-2E9C-101B-9397-08002B2CF9AE}" pid="9" name="ClassificationContentMarkingFooterShapeIds">
    <vt:lpwstr>3831110b,6df1f75b,3cfbd6bf</vt:lpwstr>
  </property>
  <property fmtid="{D5CDD505-2E9C-101B-9397-08002B2CF9AE}" pid="10" name="ClassificationContentMarkingFooterFontProps">
    <vt:lpwstr>#ff0000,12,Calibri</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2025-11-21T03:40:04Z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3d130504-3f00-4302-9cfc-b9df9a1005dc</vt:lpwstr>
  </property>
  <property fmtid="{D5CDD505-2E9C-101B-9397-08002B2CF9AE}" pid="18" name="MSIP_Label_7cd3e8b9-ffed-43a8-b7f4-cc2fa0382d36_ContentBits">
    <vt:lpwstr>3</vt:lpwstr>
  </property>
  <property fmtid="{D5CDD505-2E9C-101B-9397-08002B2CF9AE}" pid="19" name="MSIP_Label_7cd3e8b9-ffed-43a8-b7f4-cc2fa0382d36_Tag">
    <vt:lpwstr>10, 0, 1, 1</vt:lpwstr>
  </property>
</Properties>
</file>