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FC7003" w14:textId="63378493" w:rsidR="00D22CC8" w:rsidRPr="00B85B74" w:rsidRDefault="007F7B26" w:rsidP="00700338">
      <w:pPr>
        <w:pStyle w:val="CDIPublicationstring"/>
      </w:pPr>
      <w:r w:rsidRPr="00B85B74">
        <w:rPr>
          <w:noProof/>
        </w:rPr>
        <w:drawing>
          <wp:anchor distT="0" distB="0" distL="114300" distR="114300" simplePos="0" relativeHeight="251658240" behindDoc="1" locked="1" layoutInCell="1" allowOverlap="1" wp14:anchorId="39094F23" wp14:editId="5AF9B6C7">
            <wp:simplePos x="0" y="0"/>
            <wp:positionH relativeFrom="page">
              <wp:align>left</wp:align>
            </wp:positionH>
            <wp:positionV relativeFrom="page">
              <wp:align>top</wp:align>
            </wp:positionV>
            <wp:extent cx="7559675" cy="10690860"/>
            <wp:effectExtent l="0" t="0" r="3175" b="0"/>
            <wp:wrapNone/>
            <wp:docPr id="632511823" name="Picture 1" descr="Dark blue shape displaying the logo of Communicable Diseases Intelligence with a celebration graphic for Volume 50. White and light blue shapes feature a lockup of the logo of the Australian Centre for Disease Control alongside the Commonwealth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2511823" name="Picture 1" descr="Dark blue shape displaying the logo of Communicable Diseases Intelligence with a celebration graphic for Volume 50. White and light blue shapes feature a lockup of the logo of the Australian Centre for Disease Control alongside the Commonwealth Coat of Arms."/>
                    <pic:cNvPicPr/>
                  </pic:nvPicPr>
                  <pic:blipFill>
                    <a:blip r:embed="rId9">
                      <a:extLst>
                        <a:ext uri="{28A0092B-C50C-407E-A947-70E740481C1C}">
                          <a14:useLocalDpi xmlns:a14="http://schemas.microsoft.com/office/drawing/2010/main" val="0"/>
                        </a:ext>
                      </a:extLst>
                    </a:blip>
                    <a:stretch>
                      <a:fillRect/>
                    </a:stretch>
                  </pic:blipFill>
                  <pic:spPr>
                    <a:xfrm>
                      <a:off x="0" y="0"/>
                      <a:ext cx="7559998" cy="10690952"/>
                    </a:xfrm>
                    <a:prstGeom prst="rect">
                      <a:avLst/>
                    </a:prstGeom>
                  </pic:spPr>
                </pic:pic>
              </a:graphicData>
            </a:graphic>
            <wp14:sizeRelH relativeFrom="margin">
              <wp14:pctWidth>0</wp14:pctWidth>
            </wp14:sizeRelH>
            <wp14:sizeRelV relativeFrom="margin">
              <wp14:pctHeight>0</wp14:pctHeight>
            </wp14:sizeRelV>
          </wp:anchor>
        </w:drawing>
      </w:r>
      <w:fldSimple w:instr=" DOCPROPERTY  Year  \* MERGEFORMAT ">
        <w:r w:rsidR="00297156">
          <w:t>2026</w:t>
        </w:r>
      </w:fldSimple>
      <w:r w:rsidR="00D22CC8" w:rsidRPr="00B85B74">
        <w:t xml:space="preserve"> • Volume </w:t>
      </w:r>
      <w:fldSimple w:instr=" DOCPROPERTY  Vol  \* MERGEFORMAT ">
        <w:r w:rsidR="00297156">
          <w:t>50</w:t>
        </w:r>
      </w:fldSimple>
      <w:r w:rsidR="00700338">
        <w:t xml:space="preserve"> </w:t>
      </w:r>
      <w:r w:rsidR="00700338" w:rsidRPr="00E15CF6">
        <w:t xml:space="preserve">• </w:t>
      </w:r>
      <w:hyperlink r:id="rId10" w:history="1">
        <w:r w:rsidR="00700338" w:rsidRPr="00E15CF6">
          <w:t>cdc.gov.au/cdi</w:t>
        </w:r>
      </w:hyperlink>
      <w:r w:rsidR="00D22CC8" w:rsidRPr="00B85B74">
        <w:t xml:space="preserve"> •</w:t>
      </w:r>
      <w:r w:rsidR="00700338">
        <w:t xml:space="preserve"> </w:t>
      </w:r>
      <w:r w:rsidR="00700338" w:rsidRPr="00B85B74">
        <w:t xml:space="preserve">Epub </w:t>
      </w:r>
      <w:r w:rsidR="00700338" w:rsidRPr="00D32A59">
        <w:t>date</w:t>
      </w:r>
      <w:r w:rsidR="00700338" w:rsidRPr="00B85B74">
        <w:t xml:space="preserve">: </w:t>
      </w:r>
      <w:fldSimple w:instr=" DOCPROPERTY  ePubDate  \* MERGEFORMAT ">
        <w:r w:rsidR="00CE3341">
          <w:t>21.07.2026</w:t>
        </w:r>
      </w:fldSimple>
      <w:r w:rsidR="00700338">
        <w:t xml:space="preserve"> </w:t>
      </w:r>
      <w:r w:rsidR="00700338" w:rsidRPr="00B85B74">
        <w:t xml:space="preserve">• </w:t>
      </w:r>
      <w:fldSimple w:instr=" DOCPROPERTY  DOI  \* MERGEFORMAT ">
        <w:r w:rsidR="00CE3341">
          <w:t>doi.org/10.33321/cdi.2026.50.052</w:t>
        </w:r>
      </w:fldSimple>
    </w:p>
    <w:p w14:paraId="7961D284" w14:textId="5BAFD92F" w:rsidR="006B16A5" w:rsidRPr="00086093" w:rsidRDefault="00086093" w:rsidP="00CE2CC7">
      <w:pPr>
        <w:pStyle w:val="Title"/>
        <w:rPr>
          <w:szCs w:val="48"/>
        </w:rPr>
      </w:pPr>
      <w:r w:rsidRPr="00086093">
        <w:rPr>
          <w:szCs w:val="48"/>
        </w:rPr>
        <w:t>Australian Paediatric Surveillance Unit (APSU) Annual Surveillance Report 2025</w:t>
      </w:r>
    </w:p>
    <w:p w14:paraId="38D61155" w14:textId="2DB06B14" w:rsidR="00013B65" w:rsidRDefault="00086093" w:rsidP="00BB3320">
      <w:pPr>
        <w:pStyle w:val="Subtitle"/>
      </w:pPr>
      <w:r w:rsidRPr="00086093">
        <w:t>Suzy M Teutsch, Carlos A Nunez, Anne Morris, and Elizabeth J Elliott, on</w:t>
      </w:r>
      <w:r>
        <w:t> </w:t>
      </w:r>
      <w:r w:rsidRPr="00086093">
        <w:t>behalf of Chief Investigators of APSU surveillance studies of communicable diseases and complications of communicable diseases</w:t>
      </w:r>
      <w:r w:rsidR="00013B65">
        <w:br w:type="page"/>
      </w:r>
    </w:p>
    <w:p w14:paraId="0763BBA1" w14:textId="77777777" w:rsidR="00B52457" w:rsidRPr="0089025E" w:rsidRDefault="00B52457" w:rsidP="00087CC4">
      <w:pPr>
        <w:pStyle w:val="CDICopyright"/>
      </w:pPr>
      <w:bookmarkStart w:id="0" w:name="_Hlk185172676"/>
      <w:r w:rsidRPr="0089025E">
        <w:lastRenderedPageBreak/>
        <w:t xml:space="preserve">© </w:t>
      </w:r>
      <w:fldSimple w:instr=" DOCPROPERTY  Year  \* MERGEFORMAT ">
        <w:r w:rsidR="00297156">
          <w:t>2026</w:t>
        </w:r>
      </w:fldSimple>
      <w:r w:rsidRPr="0089025E">
        <w:t xml:space="preserve"> Commonwealth of Australia as represented by the </w:t>
      </w:r>
      <w:r w:rsidR="00C722FD">
        <w:t>Australian Centre for Disease Control</w:t>
      </w:r>
    </w:p>
    <w:p w14:paraId="1821C97C" w14:textId="77777777" w:rsidR="00B52457" w:rsidRPr="0089025E" w:rsidRDefault="00B52457" w:rsidP="00087CC4">
      <w:pPr>
        <w:pStyle w:val="CDICopyright"/>
      </w:pPr>
      <w:r w:rsidRPr="0089025E">
        <w:t>ISSN: 2209-6051 Online</w:t>
      </w:r>
    </w:p>
    <w:p w14:paraId="633B6426" w14:textId="77777777" w:rsidR="00B52457" w:rsidRDefault="00B52457" w:rsidP="00087CC4">
      <w:pPr>
        <w:pStyle w:val="CDICopyright"/>
      </w:pPr>
      <w:r w:rsidRPr="0089025E">
        <w:t>This journal is indexed by Index Medicus and Medline.</w:t>
      </w:r>
    </w:p>
    <w:p w14:paraId="787DF84B" w14:textId="77777777" w:rsidR="00B52457" w:rsidRPr="007F2B27" w:rsidRDefault="00B52457" w:rsidP="00CC3648">
      <w:pPr>
        <w:pStyle w:val="CDICopyrightHeading"/>
      </w:pPr>
      <w:r w:rsidRPr="007F2B27">
        <w:t>Creative Commons Licence</w:t>
      </w:r>
    </w:p>
    <w:p w14:paraId="13AB4411" w14:textId="77777777" w:rsidR="00B52457" w:rsidRPr="0089025E" w:rsidRDefault="00B52457" w:rsidP="007F2B27">
      <w:pPr>
        <w:pStyle w:val="CDICopyright"/>
      </w:pPr>
      <w:r w:rsidRPr="0089025E">
        <w:t xml:space="preserve">This publication is licensed under a Creative Commons </w:t>
      </w:r>
      <w:hyperlink r:id="rId11" w:history="1">
        <w:r w:rsidRPr="0022524E">
          <w:rPr>
            <w:rStyle w:val="Hyperlink"/>
          </w:rPr>
          <w:t>Attribution-NonCommercial-NoDerivatives 4.0 International Licence</w:t>
        </w:r>
      </w:hyperlink>
      <w:r w:rsidRPr="0089025E">
        <w:t xml:space="preserve"> (Licence). You</w:t>
      </w:r>
      <w:r w:rsidR="0022524E">
        <w:t xml:space="preserve"> </w:t>
      </w:r>
      <w:r w:rsidRPr="0089025E">
        <w:t>must read and understand the Licence before using any material from this publication.</w:t>
      </w:r>
    </w:p>
    <w:bookmarkEnd w:id="0"/>
    <w:p w14:paraId="2C5F0C87" w14:textId="77777777" w:rsidR="00B52457" w:rsidRPr="007F2B27" w:rsidRDefault="00B52457" w:rsidP="00CC3648">
      <w:pPr>
        <w:pStyle w:val="CDICopyrightHeading"/>
      </w:pPr>
      <w:r w:rsidRPr="007F2B27">
        <w:t>Restrictions</w:t>
      </w:r>
    </w:p>
    <w:p w14:paraId="55707467" w14:textId="77777777" w:rsidR="00B52457" w:rsidRPr="0089025E" w:rsidRDefault="00B52457" w:rsidP="007F2B27">
      <w:pPr>
        <w:pStyle w:val="CDICopyright"/>
      </w:pPr>
      <w:r w:rsidRPr="0089025E">
        <w:t xml:space="preserve">The Licence does not cover, and there is no permission given for, use of any of the following material found in this publication (if </w:t>
      </w:r>
      <w:r w:rsidRPr="00B52457">
        <w:t>any</w:t>
      </w:r>
      <w:r w:rsidRPr="0089025E">
        <w:t xml:space="preserve">): </w:t>
      </w:r>
    </w:p>
    <w:p w14:paraId="562E79B2" w14:textId="77777777" w:rsidR="00B52457" w:rsidRPr="00E9313B" w:rsidRDefault="00B52457" w:rsidP="00E9313B">
      <w:pPr>
        <w:pStyle w:val="CDICopyrightBullets"/>
      </w:pPr>
      <w:r w:rsidRPr="006C7D54">
        <w:t xml:space="preserve">the </w:t>
      </w:r>
      <w:r w:rsidRPr="00E9313B">
        <w:t>Commonwealth Coat of Arms (by way of information, the terms under which the Coat of Arms may be used can be found on the Department of Prime Minister and Cabinet website</w:t>
      </w:r>
      <w:r w:rsidR="00C722FD">
        <w:t>)</w:t>
      </w:r>
      <w:r w:rsidRPr="00E9313B">
        <w:t>;</w:t>
      </w:r>
    </w:p>
    <w:p w14:paraId="4FFF792E" w14:textId="77777777" w:rsidR="00B52457" w:rsidRPr="003C23C9" w:rsidRDefault="0022524E" w:rsidP="00E9313B">
      <w:pPr>
        <w:pStyle w:val="CDICopyrightBullets"/>
      </w:pPr>
      <w:r w:rsidRPr="0022524E">
        <w:t>any logos (including the Australian Centre for Disease Control’s logo) and trademarks</w:t>
      </w:r>
      <w:r w:rsidR="00B52457" w:rsidRPr="003C23C9">
        <w:t>;</w:t>
      </w:r>
    </w:p>
    <w:p w14:paraId="16D8B98C" w14:textId="77777777" w:rsidR="00B52457" w:rsidRPr="00E9313B" w:rsidRDefault="00B52457" w:rsidP="00E9313B">
      <w:pPr>
        <w:pStyle w:val="CDICopyrightBullets"/>
      </w:pPr>
      <w:r w:rsidRPr="00E9313B">
        <w:t xml:space="preserve">any photographs and images; </w:t>
      </w:r>
    </w:p>
    <w:p w14:paraId="1352EF8D" w14:textId="77777777" w:rsidR="00B52457" w:rsidRPr="00E9313B" w:rsidRDefault="00B52457" w:rsidP="00E9313B">
      <w:pPr>
        <w:pStyle w:val="CDICopyrightBullets"/>
      </w:pPr>
      <w:r w:rsidRPr="00E9313B">
        <w:t>any signatures; and</w:t>
      </w:r>
    </w:p>
    <w:p w14:paraId="6FBCB6D5" w14:textId="77777777" w:rsidR="00B52457" w:rsidRPr="003C23C9" w:rsidRDefault="00B52457" w:rsidP="00E9313B">
      <w:pPr>
        <w:pStyle w:val="CDICopyrightBullets"/>
      </w:pPr>
      <w:r w:rsidRPr="00E9313B">
        <w:t>any</w:t>
      </w:r>
      <w:r w:rsidRPr="003C23C9">
        <w:t xml:space="preserve"> material belonging to third parties.</w:t>
      </w:r>
    </w:p>
    <w:p w14:paraId="35BEF594" w14:textId="77777777" w:rsidR="00B52457" w:rsidRPr="00CC3648" w:rsidRDefault="00B52457" w:rsidP="00CC3648">
      <w:pPr>
        <w:pStyle w:val="CDICopyrightHeading"/>
      </w:pPr>
      <w:r w:rsidRPr="00CC3648">
        <w:t>Disclaimer</w:t>
      </w:r>
    </w:p>
    <w:p w14:paraId="79DFED54" w14:textId="77777777" w:rsidR="00B52457" w:rsidRPr="0089025E" w:rsidRDefault="00B52457" w:rsidP="007F2B27">
      <w:pPr>
        <w:pStyle w:val="CDICopyright"/>
      </w:pPr>
      <w:r w:rsidRPr="0089025E">
        <w:t xml:space="preserve">Opinions expressed in </w:t>
      </w:r>
      <w:r w:rsidRPr="00682E53">
        <w:rPr>
          <w:i/>
          <w:iCs/>
        </w:rPr>
        <w:t>Communicable Diseases Intelligence</w:t>
      </w:r>
      <w:r>
        <w:t xml:space="preserve"> </w:t>
      </w:r>
      <w:r w:rsidRPr="0089025E">
        <w:t xml:space="preserve">are those of the authors and not necessarily those of </w:t>
      </w:r>
      <w:r w:rsidR="0022524E" w:rsidRPr="0022524E">
        <w:t>the Australian Government</w:t>
      </w:r>
      <w:r w:rsidR="00C722FD">
        <w:t xml:space="preserve"> or </w:t>
      </w:r>
      <w:r w:rsidR="0022524E" w:rsidRPr="0022524E">
        <w:t>the Australian Centre for Disease Control</w:t>
      </w:r>
      <w:r w:rsidRPr="0089025E">
        <w:t>. Data may be subject to revision.</w:t>
      </w:r>
    </w:p>
    <w:p w14:paraId="1EA0A30F" w14:textId="77777777" w:rsidR="00B52457" w:rsidRPr="007F2B27" w:rsidRDefault="00B52457" w:rsidP="00CC3648">
      <w:pPr>
        <w:pStyle w:val="CDICopyrightHeading"/>
      </w:pPr>
      <w:r w:rsidRPr="007F2B27">
        <w:t>Enquiries</w:t>
      </w:r>
    </w:p>
    <w:p w14:paraId="139C2D86" w14:textId="77777777" w:rsidR="00B52457" w:rsidRPr="00863F8D" w:rsidRDefault="00B52457" w:rsidP="007F2B27">
      <w:pPr>
        <w:pStyle w:val="CDICopyright"/>
      </w:pPr>
      <w:r w:rsidRPr="00863F8D">
        <w:t xml:space="preserve">Enquiries </w:t>
      </w:r>
      <w:r w:rsidRPr="00B52457">
        <w:t>regarding</w:t>
      </w:r>
      <w:r w:rsidRPr="00863F8D">
        <w:t xml:space="preserve"> any other use of this publication should be addressed to the </w:t>
      </w:r>
      <w:hyperlink r:id="rId12" w:history="1">
        <w:r w:rsidR="007B537E" w:rsidRPr="00E9313B">
          <w:rPr>
            <w:rStyle w:val="Hyperlink"/>
          </w:rPr>
          <w:t>CDI Editor</w:t>
        </w:r>
      </w:hyperlink>
      <w:r w:rsidR="00E9313B">
        <w:t>.</w:t>
      </w:r>
    </w:p>
    <w:p w14:paraId="698B348F" w14:textId="77777777" w:rsidR="00B52457" w:rsidRPr="00A65DFA" w:rsidRDefault="00B52457" w:rsidP="00B52457">
      <w:pPr>
        <w:pStyle w:val="CDIAbout"/>
      </w:pPr>
      <w:bookmarkStart w:id="1" w:name="_Toc190257376"/>
      <w:r>
        <w:t xml:space="preserve">About </w:t>
      </w:r>
      <w:bookmarkEnd w:id="1"/>
      <w:r w:rsidR="0022524E">
        <w:t>CDI</w:t>
      </w:r>
    </w:p>
    <w:p w14:paraId="1C6C4BB6" w14:textId="77777777" w:rsidR="00B52457" w:rsidRDefault="009572C6" w:rsidP="0022524E">
      <w:pPr>
        <w:pStyle w:val="CDIAbouttextLess"/>
      </w:pPr>
      <w:r w:rsidRPr="009572C6">
        <w:rPr>
          <w:i/>
          <w:iCs/>
        </w:rPr>
        <w:t xml:space="preserve">Communicable Diseases Intelligence </w:t>
      </w:r>
      <w:r w:rsidRPr="009572C6">
        <w:t>(CDI) is a peer-reviewed scientific journal published by the Australian Centre for Disease Control.</w:t>
      </w:r>
    </w:p>
    <w:p w14:paraId="01A13EF7" w14:textId="77777777" w:rsidR="009572C6" w:rsidRDefault="009572C6" w:rsidP="00C722FD">
      <w:pPr>
        <w:pStyle w:val="CDIAbouttextLess"/>
        <w:spacing w:before="120"/>
      </w:pPr>
      <w:r w:rsidRPr="009572C6">
        <w:t>The journal aims to disseminate information on the epidemiology, surveillance, prevention and control of communicable diseases of relevance to Australia and the near region.</w:t>
      </w:r>
    </w:p>
    <w:p w14:paraId="21F945E6" w14:textId="77777777" w:rsidR="00B52457" w:rsidRPr="00D8087F" w:rsidRDefault="00B52457" w:rsidP="00D8087F">
      <w:pPr>
        <w:pStyle w:val="CDIAbouttext"/>
      </w:pPr>
      <w:r w:rsidRPr="00D8087F">
        <w:rPr>
          <w:b/>
          <w:bCs/>
        </w:rPr>
        <w:t>Editor</w:t>
      </w:r>
      <w:r w:rsidRPr="00D8087F">
        <w:t xml:space="preserve">: </w:t>
      </w:r>
      <w:r w:rsidR="00A53F60">
        <w:t xml:space="preserve">Dr </w:t>
      </w:r>
      <w:r w:rsidR="00AC69D8">
        <w:t>Elise Firman</w:t>
      </w:r>
      <w:r w:rsidRPr="00D8087F">
        <w:t xml:space="preserve"> </w:t>
      </w:r>
      <w:r w:rsidRPr="00B87589">
        <w:t>•</w:t>
      </w:r>
      <w:r w:rsidRPr="00D8087F">
        <w:t xml:space="preserve"> </w:t>
      </w:r>
      <w:r w:rsidRPr="00D8087F">
        <w:rPr>
          <w:b/>
          <w:bCs/>
        </w:rPr>
        <w:t>Deputy Editor</w:t>
      </w:r>
      <w:r w:rsidRPr="00D8087F">
        <w:t xml:space="preserve">: Simon Petrie </w:t>
      </w:r>
      <w:r w:rsidRPr="00B87589">
        <w:t>•</w:t>
      </w:r>
      <w:r w:rsidRPr="00D8087F">
        <w:t xml:space="preserve"> </w:t>
      </w:r>
      <w:r w:rsidRPr="00D8087F">
        <w:rPr>
          <w:b/>
          <w:bCs/>
        </w:rPr>
        <w:t>Design and Production</w:t>
      </w:r>
      <w:r w:rsidRPr="00D8087F">
        <w:t>: Lisa Thompson</w:t>
      </w:r>
    </w:p>
    <w:p w14:paraId="72FB5CEC" w14:textId="77777777" w:rsidR="00B52457" w:rsidRPr="00D8087F" w:rsidRDefault="00B52457" w:rsidP="00D8087F">
      <w:pPr>
        <w:pStyle w:val="CDIAbouttext"/>
      </w:pPr>
      <w:hyperlink r:id="rId13" w:history="1">
        <w:r w:rsidRPr="00C97898">
          <w:rPr>
            <w:rStyle w:val="Hyperlink"/>
            <w:b/>
            <w:bCs/>
          </w:rPr>
          <w:t>Editorial Advisory Board</w:t>
        </w:r>
      </w:hyperlink>
      <w:r w:rsidRPr="00D8087F">
        <w:t>: David Durrheim, Mark Ferson, Clare Huppatz, John Kaldor, Martyn Kirk and Meru Sheel</w:t>
      </w:r>
    </w:p>
    <w:p w14:paraId="3028C34F" w14:textId="77777777" w:rsidR="00B52457" w:rsidRPr="00B87589" w:rsidRDefault="00B52457" w:rsidP="00B87589">
      <w:pPr>
        <w:pStyle w:val="CDIAbouttext"/>
        <w:rPr>
          <w:b/>
          <w:bCs/>
        </w:rPr>
      </w:pPr>
      <w:r w:rsidRPr="00B87589">
        <w:rPr>
          <w:b/>
          <w:bCs/>
        </w:rPr>
        <w:t xml:space="preserve">Submit an </w:t>
      </w:r>
      <w:proofErr w:type="gramStart"/>
      <w:r w:rsidRPr="00B87589">
        <w:rPr>
          <w:b/>
          <w:bCs/>
        </w:rPr>
        <w:t>Article</w:t>
      </w:r>
      <w:proofErr w:type="gramEnd"/>
    </w:p>
    <w:p w14:paraId="26D9696B" w14:textId="77777777" w:rsidR="00B52457" w:rsidRPr="0089025E" w:rsidRDefault="009572C6" w:rsidP="00CC3648">
      <w:pPr>
        <w:pStyle w:val="CDIAbouttextLess"/>
      </w:pPr>
      <w:hyperlink r:id="rId14" w:history="1">
        <w:r w:rsidRPr="009572C6">
          <w:rPr>
            <w:rStyle w:val="Hyperlink"/>
          </w:rPr>
          <w:t>Guidelines for authors</w:t>
        </w:r>
      </w:hyperlink>
      <w:r w:rsidRPr="009572C6">
        <w:t xml:space="preserve"> and details on how to submit your publication is available on our website, or by email to the</w:t>
      </w:r>
      <w:r>
        <w:br/>
      </w:r>
      <w:hyperlink r:id="rId15" w:history="1">
        <w:r w:rsidR="00FD7AA0" w:rsidRPr="00E9313B">
          <w:rPr>
            <w:rStyle w:val="Hyperlink"/>
          </w:rPr>
          <w:t>CDI Editor</w:t>
        </w:r>
      </w:hyperlink>
      <w:r w:rsidR="00FD7AA0">
        <w:t>.</w:t>
      </w:r>
    </w:p>
    <w:p w14:paraId="7DADFECA" w14:textId="77777777" w:rsidR="00B52457" w:rsidRPr="00B87589" w:rsidRDefault="00B52457" w:rsidP="00B87589">
      <w:pPr>
        <w:pStyle w:val="CDIAbouttext"/>
        <w:rPr>
          <w:b/>
          <w:bCs/>
        </w:rPr>
      </w:pPr>
      <w:r w:rsidRPr="00B87589">
        <w:rPr>
          <w:b/>
          <w:bCs/>
        </w:rPr>
        <w:t>Contact us</w:t>
      </w:r>
    </w:p>
    <w:p w14:paraId="1714922E" w14:textId="77777777" w:rsidR="00B52457" w:rsidRPr="00087CC4" w:rsidRDefault="00B52457" w:rsidP="00360B3A">
      <w:pPr>
        <w:pStyle w:val="CDIAbouttextLess"/>
      </w:pPr>
      <w:r w:rsidRPr="009572C6">
        <w:t>Communicable Diseases Intelligence</w:t>
      </w:r>
      <w:r w:rsidRPr="00087CC4">
        <w:t xml:space="preserve"> (CDI)</w:t>
      </w:r>
    </w:p>
    <w:p w14:paraId="0B38BFDD" w14:textId="77777777" w:rsidR="00B52457" w:rsidRPr="00087CC4" w:rsidRDefault="009572C6" w:rsidP="00360B3A">
      <w:pPr>
        <w:pStyle w:val="CDIAbouttextLess"/>
      </w:pPr>
      <w:r>
        <w:t>Australian Centre for Disease Control</w:t>
      </w:r>
    </w:p>
    <w:p w14:paraId="1B2529E6" w14:textId="1CCAB66E" w:rsidR="00B52457" w:rsidRPr="0089025E" w:rsidRDefault="00145807" w:rsidP="00360B3A">
      <w:pPr>
        <w:pStyle w:val="CDIAbouttextLess"/>
      </w:pPr>
      <w:r>
        <w:t>G</w:t>
      </w:r>
      <w:r w:rsidR="00B52457" w:rsidRPr="00087CC4">
        <w:t xml:space="preserve">PO Box </w:t>
      </w:r>
      <w:r w:rsidR="0010368E">
        <w:t>79</w:t>
      </w:r>
      <w:r w:rsidR="004E5D74">
        <w:t>5</w:t>
      </w:r>
      <w:r w:rsidR="00B52457" w:rsidRPr="00087CC4">
        <w:t>, C</w:t>
      </w:r>
      <w:r w:rsidR="004E5D74">
        <w:t>anberra</w:t>
      </w:r>
      <w:r w:rsidR="00B52457" w:rsidRPr="0089025E">
        <w:t xml:space="preserve"> ACT 2601</w:t>
      </w:r>
      <w:r w:rsidR="004E5D74">
        <w:t>, Australia</w:t>
      </w:r>
    </w:p>
    <w:p w14:paraId="7BC52143" w14:textId="77777777" w:rsidR="00B52457" w:rsidRDefault="00B52457" w:rsidP="00360B3A">
      <w:pPr>
        <w:pStyle w:val="CDIAbouttextLess"/>
      </w:pPr>
      <w:r w:rsidRPr="0089025E">
        <w:t xml:space="preserve">Website: </w:t>
      </w:r>
      <w:hyperlink r:id="rId16" w:history="1">
        <w:r w:rsidR="00C735E0">
          <w:rPr>
            <w:rStyle w:val="Hyperlink"/>
          </w:rPr>
          <w:t>cdc.gov.au/cdi</w:t>
        </w:r>
      </w:hyperlink>
    </w:p>
    <w:p w14:paraId="5499F6D5" w14:textId="77777777" w:rsidR="00B52457" w:rsidRPr="0089025E" w:rsidRDefault="00B52457" w:rsidP="00360B3A">
      <w:pPr>
        <w:pStyle w:val="CDIAbouttextLess"/>
      </w:pPr>
      <w:r w:rsidRPr="0089025E">
        <w:t xml:space="preserve">Email: </w:t>
      </w:r>
      <w:hyperlink r:id="rId17" w:history="1">
        <w:r w:rsidR="002368EA">
          <w:rPr>
            <w:rStyle w:val="Hyperlink"/>
          </w:rPr>
          <w:t>cdi.editor@cdc.gov.au</w:t>
        </w:r>
      </w:hyperlink>
    </w:p>
    <w:p w14:paraId="319F2E02" w14:textId="77777777" w:rsidR="00536DD8" w:rsidRDefault="00536DD8" w:rsidP="00A24E95">
      <w:pPr>
        <w:pStyle w:val="Heading1"/>
      </w:pPr>
      <w:bookmarkStart w:id="2" w:name="_Toc195609225"/>
      <w:bookmarkStart w:id="3" w:name="_Toc196293548"/>
      <w:bookmarkStart w:id="4" w:name="_Toc196818669"/>
      <w:bookmarkStart w:id="5" w:name="_Toc200548890"/>
      <w:bookmarkStart w:id="6" w:name="_Toc234485475"/>
      <w:bookmarkStart w:id="7" w:name="_Toc234492685"/>
      <w:bookmarkStart w:id="8" w:name="_Toc195530496"/>
      <w:r>
        <w:t>Contents</w:t>
      </w:r>
      <w:bookmarkEnd w:id="2"/>
      <w:bookmarkEnd w:id="3"/>
      <w:bookmarkEnd w:id="4"/>
      <w:bookmarkEnd w:id="5"/>
      <w:bookmarkEnd w:id="6"/>
      <w:bookmarkEnd w:id="7"/>
    </w:p>
    <w:p w14:paraId="50F4DC8B" w14:textId="6E70BEA8" w:rsidR="00086093" w:rsidRPr="00086093" w:rsidRDefault="005A4E9D" w:rsidP="00086093">
      <w:pPr>
        <w:pStyle w:val="TOC1"/>
        <w:spacing w:before="360"/>
        <w:rPr>
          <w:noProof/>
          <w:lang w:eastAsia="en-AU"/>
        </w:rPr>
      </w:pPr>
      <w:r>
        <w:fldChar w:fldCharType="begin"/>
      </w:r>
      <w:r>
        <w:instrText xml:space="preserve"> TOC \o "1-1" \h \z \t "Heading 2,2,Heading 2 - no space before,2,Heading 2 - less space before,2,Heading 2 - new page,2" </w:instrText>
      </w:r>
      <w:r>
        <w:fldChar w:fldCharType="separate"/>
      </w:r>
      <w:hyperlink w:anchor="_Toc234492686" w:history="1">
        <w:r w:rsidR="00086093" w:rsidRPr="007E7B22">
          <w:rPr>
            <w:rStyle w:val="Hyperlink"/>
            <w:noProof/>
          </w:rPr>
          <w:t>Context</w:t>
        </w:r>
        <w:r w:rsidR="00086093">
          <w:rPr>
            <w:noProof/>
            <w:webHidden/>
          </w:rPr>
          <w:tab/>
        </w:r>
        <w:r w:rsidR="00086093">
          <w:rPr>
            <w:noProof/>
            <w:webHidden/>
          </w:rPr>
          <w:fldChar w:fldCharType="begin"/>
        </w:r>
        <w:r w:rsidR="00086093">
          <w:rPr>
            <w:noProof/>
            <w:webHidden/>
          </w:rPr>
          <w:instrText xml:space="preserve"> PAGEREF _Toc234492686 \h </w:instrText>
        </w:r>
        <w:r w:rsidR="00086093">
          <w:rPr>
            <w:noProof/>
            <w:webHidden/>
          </w:rPr>
        </w:r>
        <w:r w:rsidR="00086093">
          <w:rPr>
            <w:noProof/>
            <w:webHidden/>
          </w:rPr>
          <w:fldChar w:fldCharType="separate"/>
        </w:r>
        <w:r w:rsidR="00E07A93">
          <w:rPr>
            <w:noProof/>
            <w:webHidden/>
          </w:rPr>
          <w:t>4</w:t>
        </w:r>
        <w:r w:rsidR="00086093">
          <w:rPr>
            <w:noProof/>
            <w:webHidden/>
          </w:rPr>
          <w:fldChar w:fldCharType="end"/>
        </w:r>
      </w:hyperlink>
    </w:p>
    <w:p w14:paraId="5CBD9E3B" w14:textId="5775F63B" w:rsidR="00086093" w:rsidRPr="00086093" w:rsidRDefault="00086093">
      <w:pPr>
        <w:pStyle w:val="TOC1"/>
        <w:rPr>
          <w:noProof/>
          <w:lang w:eastAsia="en-AU"/>
        </w:rPr>
      </w:pPr>
      <w:hyperlink w:anchor="_Toc234492687" w:history="1">
        <w:r w:rsidRPr="007E7B22">
          <w:rPr>
            <w:rStyle w:val="Hyperlink"/>
            <w:noProof/>
          </w:rPr>
          <w:t>Introduction</w:t>
        </w:r>
        <w:r>
          <w:rPr>
            <w:noProof/>
            <w:webHidden/>
          </w:rPr>
          <w:tab/>
        </w:r>
        <w:r>
          <w:rPr>
            <w:noProof/>
            <w:webHidden/>
          </w:rPr>
          <w:fldChar w:fldCharType="begin"/>
        </w:r>
        <w:r>
          <w:rPr>
            <w:noProof/>
            <w:webHidden/>
          </w:rPr>
          <w:instrText xml:space="preserve"> PAGEREF _Toc234492687 \h </w:instrText>
        </w:r>
        <w:r>
          <w:rPr>
            <w:noProof/>
            <w:webHidden/>
          </w:rPr>
        </w:r>
        <w:r>
          <w:rPr>
            <w:noProof/>
            <w:webHidden/>
          </w:rPr>
          <w:fldChar w:fldCharType="separate"/>
        </w:r>
        <w:r w:rsidR="00E07A93">
          <w:rPr>
            <w:noProof/>
            <w:webHidden/>
          </w:rPr>
          <w:t>5</w:t>
        </w:r>
        <w:r>
          <w:rPr>
            <w:noProof/>
            <w:webHidden/>
          </w:rPr>
          <w:fldChar w:fldCharType="end"/>
        </w:r>
      </w:hyperlink>
    </w:p>
    <w:p w14:paraId="716C2030" w14:textId="76A8C008" w:rsidR="00086093" w:rsidRPr="00086093" w:rsidRDefault="00086093">
      <w:pPr>
        <w:pStyle w:val="TOC1"/>
        <w:rPr>
          <w:noProof/>
          <w:lang w:eastAsia="en-AU"/>
        </w:rPr>
      </w:pPr>
      <w:hyperlink w:anchor="_Toc234492688" w:history="1">
        <w:r w:rsidRPr="007E7B22">
          <w:rPr>
            <w:rStyle w:val="Hyperlink"/>
            <w:noProof/>
            <w:lang w:val="en-GB"/>
          </w:rPr>
          <w:t>Surveillance method</w:t>
        </w:r>
        <w:r>
          <w:rPr>
            <w:noProof/>
            <w:webHidden/>
          </w:rPr>
          <w:tab/>
        </w:r>
        <w:r>
          <w:rPr>
            <w:noProof/>
            <w:webHidden/>
          </w:rPr>
          <w:fldChar w:fldCharType="begin"/>
        </w:r>
        <w:r>
          <w:rPr>
            <w:noProof/>
            <w:webHidden/>
          </w:rPr>
          <w:instrText xml:space="preserve"> PAGEREF _Toc234492688 \h </w:instrText>
        </w:r>
        <w:r>
          <w:rPr>
            <w:noProof/>
            <w:webHidden/>
          </w:rPr>
        </w:r>
        <w:r>
          <w:rPr>
            <w:noProof/>
            <w:webHidden/>
          </w:rPr>
          <w:fldChar w:fldCharType="separate"/>
        </w:r>
        <w:r w:rsidR="00E07A93">
          <w:rPr>
            <w:noProof/>
            <w:webHidden/>
          </w:rPr>
          <w:t>6</w:t>
        </w:r>
        <w:r>
          <w:rPr>
            <w:noProof/>
            <w:webHidden/>
          </w:rPr>
          <w:fldChar w:fldCharType="end"/>
        </w:r>
      </w:hyperlink>
    </w:p>
    <w:p w14:paraId="5C1BBAB6" w14:textId="06D73B4A" w:rsidR="00086093" w:rsidRPr="00086093" w:rsidRDefault="00086093">
      <w:pPr>
        <w:pStyle w:val="TOC2"/>
        <w:tabs>
          <w:tab w:val="right" w:leader="dot" w:pos="9629"/>
        </w:tabs>
        <w:rPr>
          <w:noProof/>
          <w:lang w:eastAsia="en-AU"/>
        </w:rPr>
      </w:pPr>
      <w:hyperlink w:anchor="_Toc234492689" w:history="1">
        <w:r w:rsidRPr="007E7B22">
          <w:rPr>
            <w:rStyle w:val="Hyperlink"/>
            <w:noProof/>
            <w:lang w:val="en-GB"/>
          </w:rPr>
          <w:t>Calculation of incidence and birth prevalence estimates</w:t>
        </w:r>
        <w:r>
          <w:rPr>
            <w:noProof/>
            <w:webHidden/>
          </w:rPr>
          <w:tab/>
        </w:r>
        <w:r>
          <w:rPr>
            <w:noProof/>
            <w:webHidden/>
          </w:rPr>
          <w:fldChar w:fldCharType="begin"/>
        </w:r>
        <w:r>
          <w:rPr>
            <w:noProof/>
            <w:webHidden/>
          </w:rPr>
          <w:instrText xml:space="preserve"> PAGEREF _Toc234492689 \h </w:instrText>
        </w:r>
        <w:r>
          <w:rPr>
            <w:noProof/>
            <w:webHidden/>
          </w:rPr>
        </w:r>
        <w:r>
          <w:rPr>
            <w:noProof/>
            <w:webHidden/>
          </w:rPr>
          <w:fldChar w:fldCharType="separate"/>
        </w:r>
        <w:r w:rsidR="00E07A93">
          <w:rPr>
            <w:noProof/>
            <w:webHidden/>
          </w:rPr>
          <w:t>7</w:t>
        </w:r>
        <w:r>
          <w:rPr>
            <w:noProof/>
            <w:webHidden/>
          </w:rPr>
          <w:fldChar w:fldCharType="end"/>
        </w:r>
      </w:hyperlink>
    </w:p>
    <w:p w14:paraId="2ED6B9E6" w14:textId="47441934" w:rsidR="00086093" w:rsidRPr="00086093" w:rsidRDefault="00086093">
      <w:pPr>
        <w:pStyle w:val="TOC1"/>
        <w:rPr>
          <w:noProof/>
          <w:lang w:eastAsia="en-AU"/>
        </w:rPr>
      </w:pPr>
      <w:hyperlink w:anchor="_Toc234492690" w:history="1">
        <w:r w:rsidRPr="007E7B22">
          <w:rPr>
            <w:rStyle w:val="Hyperlink"/>
            <w:noProof/>
          </w:rPr>
          <w:t>Results</w:t>
        </w:r>
        <w:r>
          <w:rPr>
            <w:noProof/>
            <w:webHidden/>
          </w:rPr>
          <w:tab/>
        </w:r>
        <w:r>
          <w:rPr>
            <w:noProof/>
            <w:webHidden/>
          </w:rPr>
          <w:fldChar w:fldCharType="begin"/>
        </w:r>
        <w:r>
          <w:rPr>
            <w:noProof/>
            <w:webHidden/>
          </w:rPr>
          <w:instrText xml:space="preserve"> PAGEREF _Toc234492690 \h </w:instrText>
        </w:r>
        <w:r>
          <w:rPr>
            <w:noProof/>
            <w:webHidden/>
          </w:rPr>
        </w:r>
        <w:r>
          <w:rPr>
            <w:noProof/>
            <w:webHidden/>
          </w:rPr>
          <w:fldChar w:fldCharType="separate"/>
        </w:r>
        <w:r w:rsidR="00E07A93">
          <w:rPr>
            <w:noProof/>
            <w:webHidden/>
          </w:rPr>
          <w:t>8</w:t>
        </w:r>
        <w:r>
          <w:rPr>
            <w:noProof/>
            <w:webHidden/>
          </w:rPr>
          <w:fldChar w:fldCharType="end"/>
        </w:r>
      </w:hyperlink>
    </w:p>
    <w:p w14:paraId="7EA687F7" w14:textId="63C7AE49" w:rsidR="00086093" w:rsidRPr="00086093" w:rsidRDefault="00086093">
      <w:pPr>
        <w:pStyle w:val="TOC2"/>
        <w:tabs>
          <w:tab w:val="right" w:leader="dot" w:pos="9629"/>
        </w:tabs>
        <w:rPr>
          <w:noProof/>
          <w:lang w:eastAsia="en-AU"/>
        </w:rPr>
      </w:pPr>
      <w:hyperlink w:anchor="_Toc234492691" w:history="1">
        <w:r w:rsidRPr="007E7B22">
          <w:rPr>
            <w:rStyle w:val="Hyperlink"/>
            <w:noProof/>
            <w:lang w:val="en-GB"/>
          </w:rPr>
          <w:t>Representativeness of clinician reporting and response rates</w:t>
        </w:r>
        <w:r>
          <w:rPr>
            <w:noProof/>
            <w:webHidden/>
          </w:rPr>
          <w:tab/>
        </w:r>
        <w:r>
          <w:rPr>
            <w:noProof/>
            <w:webHidden/>
          </w:rPr>
          <w:fldChar w:fldCharType="begin"/>
        </w:r>
        <w:r>
          <w:rPr>
            <w:noProof/>
            <w:webHidden/>
          </w:rPr>
          <w:instrText xml:space="preserve"> PAGEREF _Toc234492691 \h </w:instrText>
        </w:r>
        <w:r>
          <w:rPr>
            <w:noProof/>
            <w:webHidden/>
          </w:rPr>
        </w:r>
        <w:r>
          <w:rPr>
            <w:noProof/>
            <w:webHidden/>
          </w:rPr>
          <w:fldChar w:fldCharType="separate"/>
        </w:r>
        <w:r w:rsidR="00E07A93">
          <w:rPr>
            <w:noProof/>
            <w:webHidden/>
          </w:rPr>
          <w:t>8</w:t>
        </w:r>
        <w:r>
          <w:rPr>
            <w:noProof/>
            <w:webHidden/>
          </w:rPr>
          <w:fldChar w:fldCharType="end"/>
        </w:r>
      </w:hyperlink>
    </w:p>
    <w:p w14:paraId="55BAFFA5" w14:textId="122EE19F" w:rsidR="00086093" w:rsidRPr="00086093" w:rsidRDefault="00086093">
      <w:pPr>
        <w:pStyle w:val="TOC2"/>
        <w:tabs>
          <w:tab w:val="right" w:leader="dot" w:pos="9629"/>
        </w:tabs>
        <w:rPr>
          <w:noProof/>
          <w:lang w:eastAsia="en-AU"/>
        </w:rPr>
      </w:pPr>
      <w:hyperlink w:anchor="_Toc234492692" w:history="1">
        <w:r w:rsidRPr="007E7B22">
          <w:rPr>
            <w:rStyle w:val="Hyperlink"/>
            <w:noProof/>
            <w:lang w:val="en-GB"/>
          </w:rPr>
          <w:t xml:space="preserve">Summary of notifications, confirmed cases and annual incidence or birth prevalence </w:t>
        </w:r>
        <w:r>
          <w:rPr>
            <w:rStyle w:val="Hyperlink"/>
            <w:noProof/>
            <w:lang w:val="en-GB"/>
          </w:rPr>
          <w:br/>
        </w:r>
        <w:r w:rsidRPr="007E7B22">
          <w:rPr>
            <w:rStyle w:val="Hyperlink"/>
            <w:noProof/>
            <w:lang w:val="en-GB"/>
          </w:rPr>
          <w:t>estimates</w:t>
        </w:r>
        <w:r>
          <w:rPr>
            <w:noProof/>
            <w:webHidden/>
          </w:rPr>
          <w:tab/>
        </w:r>
        <w:r>
          <w:rPr>
            <w:noProof/>
            <w:webHidden/>
          </w:rPr>
          <w:fldChar w:fldCharType="begin"/>
        </w:r>
        <w:r>
          <w:rPr>
            <w:noProof/>
            <w:webHidden/>
          </w:rPr>
          <w:instrText xml:space="preserve"> PAGEREF _Toc234492692 \h </w:instrText>
        </w:r>
        <w:r>
          <w:rPr>
            <w:noProof/>
            <w:webHidden/>
          </w:rPr>
        </w:r>
        <w:r>
          <w:rPr>
            <w:noProof/>
            <w:webHidden/>
          </w:rPr>
          <w:fldChar w:fldCharType="separate"/>
        </w:r>
        <w:r w:rsidR="00E07A93">
          <w:rPr>
            <w:noProof/>
            <w:webHidden/>
          </w:rPr>
          <w:t>8</w:t>
        </w:r>
        <w:r>
          <w:rPr>
            <w:noProof/>
            <w:webHidden/>
          </w:rPr>
          <w:fldChar w:fldCharType="end"/>
        </w:r>
      </w:hyperlink>
    </w:p>
    <w:p w14:paraId="01EE52F5" w14:textId="2453B537" w:rsidR="00086093" w:rsidRPr="00086093" w:rsidRDefault="00086093">
      <w:pPr>
        <w:pStyle w:val="TOC2"/>
        <w:tabs>
          <w:tab w:val="right" w:leader="dot" w:pos="9629"/>
        </w:tabs>
        <w:rPr>
          <w:noProof/>
          <w:lang w:eastAsia="en-AU"/>
        </w:rPr>
      </w:pPr>
      <w:hyperlink w:anchor="_Toc234492693" w:history="1">
        <w:r w:rsidRPr="007E7B22">
          <w:rPr>
            <w:rStyle w:val="Hyperlink"/>
            <w:noProof/>
            <w:lang w:val="en-GB"/>
          </w:rPr>
          <w:t>Summary of demographic, clinical, management, risk and outcome data on communicable diseases and complications</w:t>
        </w:r>
        <w:r>
          <w:rPr>
            <w:noProof/>
            <w:webHidden/>
          </w:rPr>
          <w:tab/>
        </w:r>
        <w:r>
          <w:rPr>
            <w:noProof/>
            <w:webHidden/>
          </w:rPr>
          <w:fldChar w:fldCharType="begin"/>
        </w:r>
        <w:r>
          <w:rPr>
            <w:noProof/>
            <w:webHidden/>
          </w:rPr>
          <w:instrText xml:space="preserve"> PAGEREF _Toc234492693 \h </w:instrText>
        </w:r>
        <w:r>
          <w:rPr>
            <w:noProof/>
            <w:webHidden/>
          </w:rPr>
        </w:r>
        <w:r>
          <w:rPr>
            <w:noProof/>
            <w:webHidden/>
          </w:rPr>
          <w:fldChar w:fldCharType="separate"/>
        </w:r>
        <w:r w:rsidR="00E07A93">
          <w:rPr>
            <w:noProof/>
            <w:webHidden/>
          </w:rPr>
          <w:t>8</w:t>
        </w:r>
        <w:r>
          <w:rPr>
            <w:noProof/>
            <w:webHidden/>
          </w:rPr>
          <w:fldChar w:fldCharType="end"/>
        </w:r>
      </w:hyperlink>
    </w:p>
    <w:p w14:paraId="2EF137B4" w14:textId="6D63A6F2" w:rsidR="00086093" w:rsidRPr="00086093" w:rsidRDefault="00086093">
      <w:pPr>
        <w:pStyle w:val="TOC1"/>
        <w:rPr>
          <w:noProof/>
          <w:lang w:eastAsia="en-AU"/>
        </w:rPr>
      </w:pPr>
      <w:hyperlink w:anchor="_Toc234492694" w:history="1">
        <w:r w:rsidRPr="007E7B22">
          <w:rPr>
            <w:rStyle w:val="Hyperlink"/>
            <w:noProof/>
          </w:rPr>
          <w:t>Discussion and conclusions</w:t>
        </w:r>
        <w:r>
          <w:rPr>
            <w:noProof/>
            <w:webHidden/>
          </w:rPr>
          <w:tab/>
        </w:r>
        <w:r>
          <w:rPr>
            <w:noProof/>
            <w:webHidden/>
          </w:rPr>
          <w:fldChar w:fldCharType="begin"/>
        </w:r>
        <w:r>
          <w:rPr>
            <w:noProof/>
            <w:webHidden/>
          </w:rPr>
          <w:instrText xml:space="preserve"> PAGEREF _Toc234492694 \h </w:instrText>
        </w:r>
        <w:r>
          <w:rPr>
            <w:noProof/>
            <w:webHidden/>
          </w:rPr>
        </w:r>
        <w:r>
          <w:rPr>
            <w:noProof/>
            <w:webHidden/>
          </w:rPr>
          <w:fldChar w:fldCharType="separate"/>
        </w:r>
        <w:r w:rsidR="00E07A93">
          <w:rPr>
            <w:noProof/>
            <w:webHidden/>
          </w:rPr>
          <w:t>15</w:t>
        </w:r>
        <w:r>
          <w:rPr>
            <w:noProof/>
            <w:webHidden/>
          </w:rPr>
          <w:fldChar w:fldCharType="end"/>
        </w:r>
      </w:hyperlink>
    </w:p>
    <w:p w14:paraId="76F2BECB" w14:textId="1930EDCA" w:rsidR="00086093" w:rsidRPr="00086093" w:rsidRDefault="00086093">
      <w:pPr>
        <w:pStyle w:val="TOC1"/>
        <w:rPr>
          <w:noProof/>
          <w:lang w:eastAsia="en-AU"/>
        </w:rPr>
      </w:pPr>
      <w:hyperlink w:anchor="_Toc234492695" w:history="1">
        <w:r w:rsidRPr="007E7B22">
          <w:rPr>
            <w:rStyle w:val="Hyperlink"/>
            <w:noProof/>
          </w:rPr>
          <w:t>Implications</w:t>
        </w:r>
        <w:r>
          <w:rPr>
            <w:noProof/>
            <w:webHidden/>
          </w:rPr>
          <w:tab/>
        </w:r>
        <w:r>
          <w:rPr>
            <w:noProof/>
            <w:webHidden/>
          </w:rPr>
          <w:fldChar w:fldCharType="begin"/>
        </w:r>
        <w:r>
          <w:rPr>
            <w:noProof/>
            <w:webHidden/>
          </w:rPr>
          <w:instrText xml:space="preserve"> PAGEREF _Toc234492695 \h </w:instrText>
        </w:r>
        <w:r>
          <w:rPr>
            <w:noProof/>
            <w:webHidden/>
          </w:rPr>
        </w:r>
        <w:r>
          <w:rPr>
            <w:noProof/>
            <w:webHidden/>
          </w:rPr>
          <w:fldChar w:fldCharType="separate"/>
        </w:r>
        <w:r w:rsidR="00E07A93">
          <w:rPr>
            <w:noProof/>
            <w:webHidden/>
          </w:rPr>
          <w:t>17</w:t>
        </w:r>
        <w:r>
          <w:rPr>
            <w:noProof/>
            <w:webHidden/>
          </w:rPr>
          <w:fldChar w:fldCharType="end"/>
        </w:r>
      </w:hyperlink>
    </w:p>
    <w:p w14:paraId="598E70C0" w14:textId="14619212" w:rsidR="00086093" w:rsidRPr="00086093" w:rsidRDefault="00086093">
      <w:pPr>
        <w:pStyle w:val="TOC1"/>
        <w:rPr>
          <w:noProof/>
          <w:lang w:eastAsia="en-AU"/>
        </w:rPr>
      </w:pPr>
      <w:hyperlink w:anchor="_Toc234492696" w:history="1">
        <w:r w:rsidRPr="007E7B22">
          <w:rPr>
            <w:rStyle w:val="Hyperlink"/>
            <w:noProof/>
          </w:rPr>
          <w:t>Acknowledgments</w:t>
        </w:r>
        <w:r>
          <w:rPr>
            <w:noProof/>
            <w:webHidden/>
          </w:rPr>
          <w:tab/>
        </w:r>
        <w:r>
          <w:rPr>
            <w:noProof/>
            <w:webHidden/>
          </w:rPr>
          <w:fldChar w:fldCharType="begin"/>
        </w:r>
        <w:r>
          <w:rPr>
            <w:noProof/>
            <w:webHidden/>
          </w:rPr>
          <w:instrText xml:space="preserve"> PAGEREF _Toc234492696 \h </w:instrText>
        </w:r>
        <w:r>
          <w:rPr>
            <w:noProof/>
            <w:webHidden/>
          </w:rPr>
        </w:r>
        <w:r>
          <w:rPr>
            <w:noProof/>
            <w:webHidden/>
          </w:rPr>
          <w:fldChar w:fldCharType="separate"/>
        </w:r>
        <w:r w:rsidR="00E07A93">
          <w:rPr>
            <w:noProof/>
            <w:webHidden/>
          </w:rPr>
          <w:t>18</w:t>
        </w:r>
        <w:r>
          <w:rPr>
            <w:noProof/>
            <w:webHidden/>
          </w:rPr>
          <w:fldChar w:fldCharType="end"/>
        </w:r>
      </w:hyperlink>
    </w:p>
    <w:p w14:paraId="48884B18" w14:textId="317F6BFF" w:rsidR="00086093" w:rsidRPr="00086093" w:rsidRDefault="00086093">
      <w:pPr>
        <w:pStyle w:val="TOC1"/>
        <w:rPr>
          <w:noProof/>
          <w:lang w:eastAsia="en-AU"/>
        </w:rPr>
      </w:pPr>
      <w:hyperlink w:anchor="_Toc234492697" w:history="1">
        <w:r w:rsidRPr="007E7B22">
          <w:rPr>
            <w:rStyle w:val="Hyperlink"/>
            <w:noProof/>
          </w:rPr>
          <w:t>Author details</w:t>
        </w:r>
        <w:r>
          <w:rPr>
            <w:noProof/>
            <w:webHidden/>
          </w:rPr>
          <w:tab/>
        </w:r>
        <w:r>
          <w:rPr>
            <w:noProof/>
            <w:webHidden/>
          </w:rPr>
          <w:fldChar w:fldCharType="begin"/>
        </w:r>
        <w:r>
          <w:rPr>
            <w:noProof/>
            <w:webHidden/>
          </w:rPr>
          <w:instrText xml:space="preserve"> PAGEREF _Toc234492697 \h </w:instrText>
        </w:r>
        <w:r>
          <w:rPr>
            <w:noProof/>
            <w:webHidden/>
          </w:rPr>
        </w:r>
        <w:r>
          <w:rPr>
            <w:noProof/>
            <w:webHidden/>
          </w:rPr>
          <w:fldChar w:fldCharType="separate"/>
        </w:r>
        <w:r w:rsidR="00E07A93">
          <w:rPr>
            <w:noProof/>
            <w:webHidden/>
          </w:rPr>
          <w:t>20</w:t>
        </w:r>
        <w:r>
          <w:rPr>
            <w:noProof/>
            <w:webHidden/>
          </w:rPr>
          <w:fldChar w:fldCharType="end"/>
        </w:r>
      </w:hyperlink>
    </w:p>
    <w:p w14:paraId="2FB5AD4A" w14:textId="51C31346" w:rsidR="00086093" w:rsidRPr="00086093" w:rsidRDefault="00086093">
      <w:pPr>
        <w:pStyle w:val="TOC1"/>
        <w:rPr>
          <w:noProof/>
          <w:lang w:eastAsia="en-AU"/>
        </w:rPr>
      </w:pPr>
      <w:hyperlink w:anchor="_Toc234492698" w:history="1">
        <w:r w:rsidRPr="007E7B22">
          <w:rPr>
            <w:rStyle w:val="Hyperlink"/>
            <w:noProof/>
          </w:rPr>
          <w:t>References</w:t>
        </w:r>
        <w:r>
          <w:rPr>
            <w:noProof/>
            <w:webHidden/>
          </w:rPr>
          <w:tab/>
        </w:r>
        <w:r>
          <w:rPr>
            <w:noProof/>
            <w:webHidden/>
          </w:rPr>
          <w:fldChar w:fldCharType="begin"/>
        </w:r>
        <w:r>
          <w:rPr>
            <w:noProof/>
            <w:webHidden/>
          </w:rPr>
          <w:instrText xml:space="preserve"> PAGEREF _Toc234492698 \h </w:instrText>
        </w:r>
        <w:r>
          <w:rPr>
            <w:noProof/>
            <w:webHidden/>
          </w:rPr>
        </w:r>
        <w:r>
          <w:rPr>
            <w:noProof/>
            <w:webHidden/>
          </w:rPr>
          <w:fldChar w:fldCharType="separate"/>
        </w:r>
        <w:r w:rsidR="00E07A93">
          <w:rPr>
            <w:noProof/>
            <w:webHidden/>
          </w:rPr>
          <w:t>21</w:t>
        </w:r>
        <w:r>
          <w:rPr>
            <w:noProof/>
            <w:webHidden/>
          </w:rPr>
          <w:fldChar w:fldCharType="end"/>
        </w:r>
      </w:hyperlink>
    </w:p>
    <w:p w14:paraId="67C5B3FE" w14:textId="4C708B5A" w:rsidR="00086093" w:rsidRPr="00086093" w:rsidRDefault="00086093">
      <w:pPr>
        <w:pStyle w:val="TOC1"/>
        <w:rPr>
          <w:noProof/>
          <w:lang w:eastAsia="en-AU"/>
        </w:rPr>
      </w:pPr>
      <w:hyperlink w:anchor="_Toc234492699" w:history="1">
        <w:r w:rsidRPr="007E7B22">
          <w:rPr>
            <w:rStyle w:val="Hyperlink"/>
            <w:noProof/>
          </w:rPr>
          <w:t>Appendix A</w:t>
        </w:r>
        <w:r>
          <w:rPr>
            <w:noProof/>
            <w:webHidden/>
          </w:rPr>
          <w:tab/>
        </w:r>
        <w:r>
          <w:rPr>
            <w:noProof/>
            <w:webHidden/>
          </w:rPr>
          <w:fldChar w:fldCharType="begin"/>
        </w:r>
        <w:r>
          <w:rPr>
            <w:noProof/>
            <w:webHidden/>
          </w:rPr>
          <w:instrText xml:space="preserve"> PAGEREF _Toc234492699 \h </w:instrText>
        </w:r>
        <w:r>
          <w:rPr>
            <w:noProof/>
            <w:webHidden/>
          </w:rPr>
        </w:r>
        <w:r>
          <w:rPr>
            <w:noProof/>
            <w:webHidden/>
          </w:rPr>
          <w:fldChar w:fldCharType="separate"/>
        </w:r>
        <w:r w:rsidR="00E07A93">
          <w:rPr>
            <w:noProof/>
            <w:webHidden/>
          </w:rPr>
          <w:t>25</w:t>
        </w:r>
        <w:r>
          <w:rPr>
            <w:noProof/>
            <w:webHidden/>
          </w:rPr>
          <w:fldChar w:fldCharType="end"/>
        </w:r>
      </w:hyperlink>
    </w:p>
    <w:p w14:paraId="247B427B" w14:textId="2696F563" w:rsidR="00F216F0" w:rsidRPr="00F216F0" w:rsidRDefault="005A4E9D" w:rsidP="00F216F0">
      <w:r>
        <w:rPr>
          <w:rFonts w:eastAsiaTheme="minorHAnsi" w:cstheme="minorHAnsi"/>
          <w:szCs w:val="24"/>
          <w:lang w:eastAsia="en-US"/>
        </w:rPr>
        <w:fldChar w:fldCharType="end"/>
      </w:r>
    </w:p>
    <w:p w14:paraId="66A6E0FB" w14:textId="3D272C06" w:rsidR="00F25C00" w:rsidRDefault="008E39E8" w:rsidP="00A24E95">
      <w:pPr>
        <w:pStyle w:val="Heading1"/>
      </w:pPr>
      <w:bookmarkStart w:id="9" w:name="_Toc234492686"/>
      <w:bookmarkEnd w:id="8"/>
      <w:r>
        <w:t>Context</w:t>
      </w:r>
      <w:bookmarkEnd w:id="9"/>
    </w:p>
    <w:p w14:paraId="5F6ED1F8" w14:textId="77777777" w:rsidR="008E39E8" w:rsidRPr="008E39E8" w:rsidRDefault="008E39E8" w:rsidP="008E39E8">
      <w:pPr>
        <w:pStyle w:val="Normal-Opening"/>
        <w:spacing w:after="360"/>
        <w:rPr>
          <w:lang w:val="en-GB"/>
        </w:rPr>
      </w:pPr>
      <w:r w:rsidRPr="008E39E8">
        <w:rPr>
          <w:lang w:val="en-GB"/>
        </w:rPr>
        <w:t>For over 30 years, the Australian Paediatric Surveillance Unit (APSU) has conducted national prospective surveillance of rare conditions in children, including communicable diseases and complications, providing data that has informed changes to policy and clinical practice. In 2025, the APSU monitored seven rare communicable diseases and complications: acute flaccid paralysis (AFP); perinatal exposure to human immunodeficiency virus (HIV); paediatric HIV infection; juvenile-onset recurrent respiratory papillomatosis (JoRRP); congenital rubella infection/syndrome; congenital varicella syndrome (CVS); and neonatal varicella infection (NVI). An average of 1,313 paediatricians and other relevant clinical specialists received a report card each month listing rare conditions under APSU surveillance (including the seven described in this report), and completed a case report form for any child(ren) seen with one or more of these conditions, detailing demographics, clinical features, treatment/management, risk factors and short-term outcomes. There were 134 notifications, of which 105 were confirmed as cases, after excluding duplicate reports or errors. The annual response rate to the report card was 78.4%. The non-polio AFP incidence of 1.58 per 100,000 children aged &lt; 15 years exceeded the World Health Organization requirement to maintain Australia’s polio-free status. Incidence of perinatal exposure to HIV remained stable, but new paediatric HIV infections increased. While there were no cases of congenital rubella or CVS, three cases of NVI and one case of JoRRP were reported, indicating ongoing gaps in vaccination despite two decades of universal vaccination in Australia. Continued APSU surveillance remains essential to assess the prevention of disease occurrence and adverse outcomes.</w:t>
      </w:r>
    </w:p>
    <w:p w14:paraId="28C3EF27" w14:textId="4EC811E7" w:rsidR="00B73144" w:rsidRDefault="00B73144" w:rsidP="00E61A68">
      <w:pPr>
        <w:pStyle w:val="CDIBoxText"/>
        <w:rPr>
          <w:lang w:val="en-GB"/>
        </w:rPr>
      </w:pPr>
      <w:r w:rsidRPr="00E61A68">
        <w:t>Keywords</w:t>
      </w:r>
      <w:r w:rsidR="00BF1476">
        <w:t xml:space="preserve">: </w:t>
      </w:r>
      <w:r w:rsidR="008E39E8" w:rsidRPr="008E39E8">
        <w:t>adolescent; Australia; child; communicable diseases; infant; public health surveillance; rare diseases</w:t>
      </w:r>
    </w:p>
    <w:p w14:paraId="7FBA6C80" w14:textId="77777777" w:rsidR="0037146D" w:rsidRDefault="00B73144" w:rsidP="00B73144">
      <w:pPr>
        <w:pStyle w:val="Heading1"/>
      </w:pPr>
      <w:bookmarkStart w:id="10" w:name="_Toc195530501"/>
      <w:bookmarkStart w:id="11" w:name="_Toc234492687"/>
      <w:r>
        <w:t>Introduction</w:t>
      </w:r>
      <w:bookmarkEnd w:id="10"/>
      <w:bookmarkEnd w:id="11"/>
    </w:p>
    <w:p w14:paraId="7AD3902B" w14:textId="77777777" w:rsidR="008E39E8" w:rsidRPr="008E39E8" w:rsidRDefault="008E39E8" w:rsidP="008E39E8">
      <w:pPr>
        <w:pStyle w:val="Normal-Opening"/>
        <w:rPr>
          <w:lang w:val="en-GB"/>
        </w:rPr>
      </w:pPr>
      <w:r w:rsidRPr="008E39E8">
        <w:rPr>
          <w:lang w:val="en-GB"/>
        </w:rPr>
        <w:t>The Australian Paediatric Surveillance Unit (APSU) has conducted national prospective surveillance of rare and uncommon conditions in children and adolescents since 1993, which has included surveillance of communicable diseases and their complications, genetic diseases, neurological and psychological disorders, injuries, allergies, and adverse reactions to medications.</w:t>
      </w:r>
      <w:r w:rsidRPr="008E39E8">
        <w:rPr>
          <w:vertAlign w:val="superscript"/>
          <w:lang w:val="en-GB"/>
        </w:rPr>
        <w:t>1</w:t>
      </w:r>
    </w:p>
    <w:p w14:paraId="2DE179B0" w14:textId="3AD3860B" w:rsidR="00AC46DC" w:rsidRPr="00AC46DC" w:rsidRDefault="008E39E8" w:rsidP="00AC46DC">
      <w:r w:rsidRPr="008E39E8">
        <w:rPr>
          <w:lang w:val="en-GB"/>
        </w:rPr>
        <w:t>In this report, we describe APSU surveillance conducted in 2025 of the following seven rare communicable diseases and complications: acute flaccid paralysis (AFP); perinatal exposure to human immunodeficiency virus (HIV); paediatric HIV infection; juvenile-onset recurrent respiratory papillomatosis (JoRRP); congenital rubella infection/syndrome (RUB); congenital varicella syndrome (CVS) and neonatal varicella infection (NVI). We present surveillance results for each of these conditions, including incidence or birth prevalence estimates, and summaries of case characteristics, including clinical and laboratory features, risk factors, treatment or management, and disease outcomes for each condition.</w:t>
      </w:r>
    </w:p>
    <w:p w14:paraId="3E063346" w14:textId="0A5DD7F6" w:rsidR="00A24E95" w:rsidRDefault="008E39E8" w:rsidP="00B73144">
      <w:pPr>
        <w:pStyle w:val="Heading1"/>
        <w:rPr>
          <w:lang w:val="en-GB"/>
        </w:rPr>
      </w:pPr>
      <w:bookmarkStart w:id="12" w:name="_Toc195530502"/>
      <w:bookmarkStart w:id="13" w:name="_Toc234492688"/>
      <w:r>
        <w:rPr>
          <w:lang w:val="en-GB"/>
        </w:rPr>
        <w:t>Surveillance m</w:t>
      </w:r>
      <w:r w:rsidR="00B73144">
        <w:rPr>
          <w:lang w:val="en-GB"/>
        </w:rPr>
        <w:t>ethod</w:t>
      </w:r>
      <w:bookmarkEnd w:id="12"/>
      <w:bookmarkEnd w:id="13"/>
    </w:p>
    <w:p w14:paraId="713F4629" w14:textId="77777777" w:rsidR="008E39E8" w:rsidRPr="008E39E8" w:rsidRDefault="008E39E8" w:rsidP="008E39E8">
      <w:pPr>
        <w:pStyle w:val="Normal-Opening"/>
        <w:rPr>
          <w:lang w:val="en-GB"/>
        </w:rPr>
      </w:pPr>
      <w:r w:rsidRPr="008E39E8">
        <w:rPr>
          <w:lang w:val="en-GB"/>
        </w:rPr>
        <w:t xml:space="preserve">In 2025, a report card listing up to 15 rare and uncommon conditions under APSU surveillance, including the seven conditions described in this report (please refer to Appendix A, Table A.1 for the detailed case definitions), was distributed each month to an average of 1,313 paediatricians and other relevant clinical specialists registered with the APSU (‘APSU Contributors’), either electronically via email (97%) or as a paper-based card (3%). APSU Contributors were asked to notify any child(ren) they had seen in the previous month with one or more of the conditions listed on the report card and to return each report card, </w:t>
      </w:r>
      <w:proofErr w:type="gramStart"/>
      <w:r w:rsidRPr="008E39E8">
        <w:rPr>
          <w:lang w:val="en-GB"/>
        </w:rPr>
        <w:t>whether or not</w:t>
      </w:r>
      <w:proofErr w:type="gramEnd"/>
      <w:r w:rsidRPr="008E39E8">
        <w:rPr>
          <w:lang w:val="en-GB"/>
        </w:rPr>
        <w:t xml:space="preserve"> they had seen a child(ren), so that a measure of annual clinician reporting could be calculated.</w:t>
      </w:r>
    </w:p>
    <w:p w14:paraId="2373762D" w14:textId="139F5ABF" w:rsidR="008E39E8" w:rsidRPr="008E39E8" w:rsidRDefault="008E39E8" w:rsidP="008E39E8">
      <w:pPr>
        <w:rPr>
          <w:lang w:val="en-GB"/>
        </w:rPr>
      </w:pPr>
      <w:r w:rsidRPr="008E39E8">
        <w:rPr>
          <w:lang w:val="en-GB"/>
        </w:rPr>
        <w:t>If APSU Contributors indicated they had seen a child(ren) with one or more of the conditions listed, they were asked to complete a case report form (CRF) for each child. Individual CRFs were available online on the APSU website,</w:t>
      </w:r>
      <w:r w:rsidRPr="008E39E8">
        <w:rPr>
          <w:vertAlign w:val="superscript"/>
          <w:lang w:val="en-GB"/>
        </w:rPr>
        <w:footnoteReference w:id="2"/>
      </w:r>
      <w:r w:rsidRPr="008E39E8">
        <w:rPr>
          <w:lang w:val="en-GB"/>
        </w:rPr>
        <w:t xml:space="preserve"> via a link to the REDCap data capture system,</w:t>
      </w:r>
      <w:r w:rsidRPr="008E39E8">
        <w:rPr>
          <w:vertAlign w:val="superscript"/>
          <w:lang w:val="en-GB"/>
        </w:rPr>
        <w:t>2,3</w:t>
      </w:r>
      <w:r w:rsidRPr="008E39E8">
        <w:rPr>
          <w:lang w:val="en-GB"/>
        </w:rPr>
        <w:t xml:space="preserve"> for perinatal exposure to HIV and paediatric HIV infection, JoRRP, RUB, CVS and NVI, or available as a paper-based form, which could be printed, completed and returned to the APSU. All CRF data completed on paper-forms for the six </w:t>
      </w:r>
      <w:proofErr w:type="gramStart"/>
      <w:r w:rsidRPr="008E39E8">
        <w:rPr>
          <w:lang w:val="en-GB"/>
        </w:rPr>
        <w:t>aforementioned conditions</w:t>
      </w:r>
      <w:proofErr w:type="gramEnd"/>
      <w:r w:rsidRPr="008E39E8">
        <w:rPr>
          <w:lang w:val="en-GB"/>
        </w:rPr>
        <w:t xml:space="preserve"> were entered into REDCap by APSU staff and exported to MS-Excel files for data cleaning and analysis. A separate online CRF for AFP was available on the APSU website via a link to the Fuzee Pty Ltd (Melbourne, Australia) software and data system;</w:t>
      </w:r>
      <w:r w:rsidRPr="008E39E8">
        <w:rPr>
          <w:vertAlign w:val="superscript"/>
          <w:lang w:val="en-GB"/>
        </w:rPr>
        <w:footnoteReference w:id="3"/>
      </w:r>
      <w:r w:rsidRPr="008E39E8">
        <w:rPr>
          <w:lang w:val="en-GB"/>
        </w:rPr>
        <w:t xml:space="preserve"> AFP data were transferred to the National Enterovirus Reference Laboratory (NERL) for collation, and combined with additional AFP cases and data ascertained at eight Australian paediatric hospitals by the Paediatric Active Enhanced Disease Surveillance system (PAEDS).</w:t>
      </w:r>
      <w:r w:rsidRPr="008E39E8">
        <w:rPr>
          <w:vertAlign w:val="superscript"/>
          <w:lang w:val="en-GB"/>
        </w:rPr>
        <w:t>4,5</w:t>
      </w:r>
      <w:r w:rsidRPr="008E39E8">
        <w:rPr>
          <w:lang w:val="en-GB"/>
        </w:rPr>
        <w:t xml:space="preserve"> AFP data recorded on the paper-based APSU CRF were also transferred to NERL for data entry. Data cleaning and analysis of all AFP case data were conducted by NERL.</w:t>
      </w:r>
    </w:p>
    <w:p w14:paraId="1F8969C0" w14:textId="77777777" w:rsidR="008E39E8" w:rsidRPr="008E39E8" w:rsidRDefault="008E39E8" w:rsidP="008E39E8">
      <w:pPr>
        <w:rPr>
          <w:lang w:val="en-GB"/>
        </w:rPr>
      </w:pPr>
      <w:r w:rsidRPr="008E39E8">
        <w:rPr>
          <w:lang w:val="en-GB"/>
        </w:rPr>
        <w:t xml:space="preserve">The CRF for each condition under APSU surveillance requested details of the child’s demographics, including age, sex, postcode (to determine geographic remoteness), country of birth and ethnicity; symptoms and clinical features; laboratory test results; disease management/treatment; vaccination history (where a vaccine was available); risk factors and disease outcomes. APSU Contributors were asked to record only minimal patient identifiers (first two initials of first name and surname, and date of birth) on the CRF, </w:t>
      </w:r>
      <w:proofErr w:type="gramStart"/>
      <w:r w:rsidRPr="008E39E8">
        <w:rPr>
          <w:lang w:val="en-GB"/>
        </w:rPr>
        <w:t>in order to</w:t>
      </w:r>
      <w:proofErr w:type="gramEnd"/>
      <w:r w:rsidRPr="008E39E8">
        <w:rPr>
          <w:lang w:val="en-GB"/>
        </w:rPr>
        <w:t xml:space="preserve"> identify duplicate reports. These identifiers were removed prior to data analysis and reporting.</w:t>
      </w:r>
    </w:p>
    <w:p w14:paraId="75AAB693" w14:textId="77777777" w:rsidR="008E39E8" w:rsidRPr="008E39E8" w:rsidRDefault="008E39E8" w:rsidP="008E39E8">
      <w:pPr>
        <w:rPr>
          <w:lang w:val="en-GB"/>
        </w:rPr>
      </w:pPr>
      <w:r w:rsidRPr="008E39E8">
        <w:rPr>
          <w:lang w:val="en-GB"/>
        </w:rPr>
        <w:t>AFP surveillance also required reporting clinicians to arrange the collection of ‘adequate’ stool samples (i.e., two faecal specimens collected &gt; 24 hours apart within 14 days of the onset of paralysis), according to World Health Organization (WHO) criteria,</w:t>
      </w:r>
      <w:r w:rsidRPr="008E39E8">
        <w:rPr>
          <w:vertAlign w:val="superscript"/>
          <w:lang w:val="en-GB"/>
        </w:rPr>
        <w:t>6</w:t>
      </w:r>
      <w:r w:rsidRPr="008E39E8">
        <w:rPr>
          <w:lang w:val="en-GB"/>
        </w:rPr>
        <w:t xml:space="preserve"> for NERL testing for poliovirus and other non-polio enteroviruses implicated in AFP.</w:t>
      </w:r>
      <w:r w:rsidRPr="008E39E8">
        <w:rPr>
          <w:vertAlign w:val="superscript"/>
          <w:lang w:val="en-GB"/>
        </w:rPr>
        <w:t>4</w:t>
      </w:r>
    </w:p>
    <w:p w14:paraId="312B1EB6" w14:textId="77777777" w:rsidR="008E39E8" w:rsidRPr="008E39E8" w:rsidRDefault="008E39E8" w:rsidP="008E39E8">
      <w:pPr>
        <w:rPr>
          <w:lang w:val="en-GB"/>
        </w:rPr>
      </w:pPr>
      <w:r w:rsidRPr="008E39E8">
        <w:rPr>
          <w:lang w:val="en-GB"/>
        </w:rPr>
        <w:t>All cases reported to the APSU were classified as: confirmed (definite or probable), duplicate, or reporting error (e.g., outside of the case definition, or missing or insufficient data to classify) by individual study investigators for: perinatal exposure to HIV, paediatric HIV, JoRRP, RUB, CVS and NVI cases, and by the Polio Expert Panel (PEP) for AFP. AFP cases were additionally classified by the PEP according to WHO criteria as: ‘polio’ (either due to wild-type or vaccine-derived poliovirus, or vaccine associated paralytic poliomyelitis); ‘polio-compatible’ (if there was insufficient evidence to exclude polio); ‘non-polio AFP’; or ‘non-AFP’.</w:t>
      </w:r>
      <w:r w:rsidRPr="008E39E8">
        <w:rPr>
          <w:vertAlign w:val="superscript"/>
          <w:lang w:val="en-GB"/>
        </w:rPr>
        <w:t>4,6</w:t>
      </w:r>
    </w:p>
    <w:p w14:paraId="0EE9D235" w14:textId="285C42F6" w:rsidR="00BE73E6" w:rsidRDefault="008E39E8" w:rsidP="00BE73E6">
      <w:pPr>
        <w:rPr>
          <w:lang w:val="en-GB"/>
        </w:rPr>
      </w:pPr>
      <w:r w:rsidRPr="008E39E8">
        <w:rPr>
          <w:lang w:val="en-GB"/>
        </w:rPr>
        <w:t>Ethics approval for APSU surveillance of AFP, JoRRP, RUB, CVS, and NVI was obtained from the Sydney Children’s Hospitals Human Research Ethics Committee (reference number 2020/ETH03310). Ethics approval for surveillance of perinatal exposure to HIV and paediatric HIV infection was obtained from the University of New South Wales Human Research Ethics Committee (reference number: HC210300).</w:t>
      </w:r>
    </w:p>
    <w:p w14:paraId="4AD1655D" w14:textId="77777777" w:rsidR="00CE3341" w:rsidRPr="00CE3341" w:rsidRDefault="00CE3341" w:rsidP="00CE3341">
      <w:pPr>
        <w:pStyle w:val="Heading2"/>
        <w:rPr>
          <w:lang w:val="en-GB"/>
        </w:rPr>
      </w:pPr>
      <w:bookmarkStart w:id="14" w:name="_Toc234492689"/>
      <w:r w:rsidRPr="00CE3341">
        <w:rPr>
          <w:lang w:val="en-GB"/>
        </w:rPr>
        <w:t>Calculation of incidence and birth prevalence estimates</w:t>
      </w:r>
      <w:bookmarkEnd w:id="14"/>
    </w:p>
    <w:p w14:paraId="643F408D" w14:textId="253F7ED1" w:rsidR="00CE3341" w:rsidRPr="00BE73E6" w:rsidRDefault="00CE3341" w:rsidP="00BE73E6">
      <w:pPr>
        <w:rPr>
          <w:lang w:val="en-GB"/>
        </w:rPr>
      </w:pPr>
      <w:r w:rsidRPr="00CE3341">
        <w:rPr>
          <w:lang w:val="en-GB"/>
        </w:rPr>
        <w:t>Incidence or birth prevalence was calculated for each condition under surveillance for the 2025 calendar year in which cases were diagnosed (except for AFP, where 2025 was the year in which symptom onset occurred, in line with NERL reporting of AFP cases to WHO),</w:t>
      </w:r>
      <w:r w:rsidRPr="00CE3341">
        <w:rPr>
          <w:vertAlign w:val="superscript"/>
          <w:lang w:val="en-GB"/>
        </w:rPr>
        <w:t>7</w:t>
      </w:r>
      <w:r w:rsidRPr="00CE3341">
        <w:rPr>
          <w:lang w:val="en-GB"/>
        </w:rPr>
        <w:t xml:space="preserve"> and for the total study period, using standard formulae only for case numbers ≥ 10. Population denominators were obtained from the Australian Bureau of Statistics (ABS)</w:t>
      </w:r>
      <w:r w:rsidRPr="00CE3341">
        <w:rPr>
          <w:vertAlign w:val="superscript"/>
          <w:lang w:val="en-GB"/>
        </w:rPr>
        <w:t>8</w:t>
      </w:r>
      <w:r w:rsidRPr="00CE3341">
        <w:rPr>
          <w:lang w:val="en-GB"/>
        </w:rPr>
        <w:t xml:space="preserve"> to calculate incidence estimates for AFP and JoRRP (children aged &lt; 15 years) and paediatric HIV (children &lt; 16 years), and from the Australian Institute for Health and Welfare (AIHW)</w:t>
      </w:r>
      <w:r w:rsidRPr="00CE3341">
        <w:rPr>
          <w:vertAlign w:val="superscript"/>
          <w:lang w:val="en-GB"/>
        </w:rPr>
        <w:t>9</w:t>
      </w:r>
      <w:r w:rsidRPr="00CE3341">
        <w:rPr>
          <w:lang w:val="en-GB"/>
        </w:rPr>
        <w:t xml:space="preserve"> to calculate birth prevalence estimates for perinatal exposure to HIV, RUB, CVS and NVI (live births). It is to be noted that population denominators for live births were only available from AIHW up to and including 2023,</w:t>
      </w:r>
      <w:r w:rsidRPr="00CE3341">
        <w:rPr>
          <w:vertAlign w:val="superscript"/>
          <w:lang w:val="en-GB"/>
        </w:rPr>
        <w:t>9</w:t>
      </w:r>
      <w:r w:rsidRPr="00CE3341">
        <w:rPr>
          <w:lang w:val="en-GB"/>
        </w:rPr>
        <w:t xml:space="preserve"> so the 2023 population denominator was used when calculating birth prevalence estimates for 2025 and for the total surveillance period.</w:t>
      </w:r>
    </w:p>
    <w:p w14:paraId="3B32038F" w14:textId="77777777" w:rsidR="008A0736" w:rsidRDefault="000073ED" w:rsidP="005A4E9D">
      <w:pPr>
        <w:pStyle w:val="Heading1"/>
      </w:pPr>
      <w:bookmarkStart w:id="15" w:name="_Toc195530503"/>
      <w:bookmarkStart w:id="16" w:name="_Toc234492690"/>
      <w:r>
        <w:t>Results</w:t>
      </w:r>
      <w:bookmarkEnd w:id="15"/>
      <w:bookmarkEnd w:id="16"/>
    </w:p>
    <w:p w14:paraId="6535D436" w14:textId="77777777" w:rsidR="00CE3341" w:rsidRPr="00CE3341" w:rsidRDefault="00CE3341" w:rsidP="00CE3341">
      <w:pPr>
        <w:pStyle w:val="Heading2"/>
        <w:rPr>
          <w:lang w:val="en-GB"/>
        </w:rPr>
      </w:pPr>
      <w:bookmarkStart w:id="17" w:name="_Toc234492691"/>
      <w:r w:rsidRPr="00CE3341">
        <w:rPr>
          <w:lang w:val="en-GB"/>
        </w:rPr>
        <w:t>Representativeness of clinician reporting and response rates</w:t>
      </w:r>
      <w:bookmarkEnd w:id="17"/>
    </w:p>
    <w:p w14:paraId="5D1B068A" w14:textId="77777777" w:rsidR="00CE3341" w:rsidRPr="00CE3341" w:rsidRDefault="00CE3341" w:rsidP="00CE3341">
      <w:pPr>
        <w:rPr>
          <w:lang w:val="en-GB"/>
        </w:rPr>
      </w:pPr>
      <w:r w:rsidRPr="00CE3341">
        <w:rPr>
          <w:lang w:val="en-GB"/>
        </w:rPr>
        <w:t xml:space="preserve">An average of 1,313 APSU Contributors received the APSU report card each month in 2025. Contributors </w:t>
      </w:r>
      <w:proofErr w:type="gramStart"/>
      <w:r w:rsidRPr="00CE3341">
        <w:rPr>
          <w:lang w:val="en-GB"/>
        </w:rPr>
        <w:t>were located in</w:t>
      </w:r>
      <w:proofErr w:type="gramEnd"/>
      <w:r w:rsidRPr="00CE3341">
        <w:rPr>
          <w:lang w:val="en-GB"/>
        </w:rPr>
        <w:t xml:space="preserve"> each Australian state and territory, in both metropolitan and regional locations. The proportion of Contributors in each state and territory was approximately equal to the proportion of children aged &lt; 15 years residing in those states and territories (data not shown). The annual 2025 response rate to the monthly report card by APSU Contributors was 78.4%, which was </w:t>
      </w:r>
      <w:proofErr w:type="gramStart"/>
      <w:r w:rsidRPr="00CE3341">
        <w:rPr>
          <w:lang w:val="en-GB"/>
        </w:rPr>
        <w:t>similar to</w:t>
      </w:r>
      <w:proofErr w:type="gramEnd"/>
      <w:r w:rsidRPr="00CE3341">
        <w:rPr>
          <w:lang w:val="en-GB"/>
        </w:rPr>
        <w:t xml:space="preserve"> the 2024 response rate of 78.0%.</w:t>
      </w:r>
      <w:r w:rsidRPr="00CE3341">
        <w:rPr>
          <w:vertAlign w:val="superscript"/>
          <w:lang w:val="en-GB"/>
        </w:rPr>
        <w:t>10</w:t>
      </w:r>
    </w:p>
    <w:p w14:paraId="70D6BDB0" w14:textId="77777777" w:rsidR="00CE3341" w:rsidRPr="00CE3341" w:rsidRDefault="00CE3341" w:rsidP="00CE3341">
      <w:pPr>
        <w:pStyle w:val="Heading2"/>
        <w:rPr>
          <w:lang w:val="en-GB"/>
        </w:rPr>
      </w:pPr>
      <w:bookmarkStart w:id="18" w:name="_Toc234492692"/>
      <w:r w:rsidRPr="00CE3341">
        <w:rPr>
          <w:lang w:val="en-GB"/>
        </w:rPr>
        <w:t>Summary of notifications, confirmed cases and annual incidence or birth prevalence estimates</w:t>
      </w:r>
      <w:bookmarkEnd w:id="18"/>
    </w:p>
    <w:p w14:paraId="7937F5CE" w14:textId="77777777" w:rsidR="00CE3341" w:rsidRPr="00CE3341" w:rsidRDefault="00CE3341" w:rsidP="00CE3341">
      <w:pPr>
        <w:rPr>
          <w:lang w:val="en-GB"/>
        </w:rPr>
      </w:pPr>
      <w:r w:rsidRPr="00CE3341">
        <w:rPr>
          <w:lang w:val="en-GB"/>
        </w:rPr>
        <w:t>A total of 134 notifications were received for the seven communicable diseases and complications under APSU surveillance in 2025, 105 of which were confirmed as definite or probable cases (aggregated). There were 17 duplicates, four reporting errors and eight historical (prevalent) cases not previously reported to the APSU (see Appendix A, Table A.2).</w:t>
      </w:r>
    </w:p>
    <w:p w14:paraId="72DDDD30" w14:textId="77777777" w:rsidR="00CE3341" w:rsidRPr="00CE3341" w:rsidRDefault="00CE3341" w:rsidP="00CE3341">
      <w:pPr>
        <w:rPr>
          <w:lang w:val="en-GB"/>
        </w:rPr>
      </w:pPr>
      <w:r w:rsidRPr="00CE3341">
        <w:rPr>
          <w:lang w:val="en-GB"/>
        </w:rPr>
        <w:t>A summary of confirmed cases and incidence or birth prevalence estimates for each communicable disease and complication in 2025 are presented in Table 1.</w:t>
      </w:r>
    </w:p>
    <w:p w14:paraId="447B764B" w14:textId="77777777" w:rsidR="00CE3341" w:rsidRPr="00CE3341" w:rsidRDefault="00CE3341" w:rsidP="00CE3341">
      <w:pPr>
        <w:pStyle w:val="Heading2"/>
        <w:rPr>
          <w:lang w:val="en-GB"/>
        </w:rPr>
      </w:pPr>
      <w:bookmarkStart w:id="19" w:name="_Toc234492693"/>
      <w:r w:rsidRPr="00CE3341">
        <w:rPr>
          <w:lang w:val="en-GB"/>
        </w:rPr>
        <w:t>Summary of demographic, clinical, management, risk and outcome data on communicable diseases and complications</w:t>
      </w:r>
      <w:bookmarkEnd w:id="19"/>
    </w:p>
    <w:p w14:paraId="6D26C694" w14:textId="77777777" w:rsidR="00CE3341" w:rsidRDefault="00CE3341" w:rsidP="00CE3341">
      <w:pPr>
        <w:rPr>
          <w:lang w:val="en-GB"/>
        </w:rPr>
        <w:sectPr w:rsidR="00CE3341" w:rsidSect="001E3ECB">
          <w:headerReference w:type="even" r:id="rId18"/>
          <w:footerReference w:type="even" r:id="rId19"/>
          <w:footerReference w:type="default" r:id="rId20"/>
          <w:headerReference w:type="first" r:id="rId21"/>
          <w:footerReference w:type="first" r:id="rId22"/>
          <w:footnotePr>
            <w:numFmt w:val="lowerRoman"/>
          </w:footnotePr>
          <w:pgSz w:w="11907" w:h="16840" w:code="9"/>
          <w:pgMar w:top="1134" w:right="1134" w:bottom="1134" w:left="1134" w:header="709" w:footer="567" w:gutter="0"/>
          <w:cols w:space="708"/>
          <w:docGrid w:linePitch="360"/>
        </w:sectPr>
      </w:pPr>
      <w:r w:rsidRPr="00CE3341">
        <w:rPr>
          <w:lang w:val="en-GB"/>
        </w:rPr>
        <w:t>Data on demographic, clinical, management, risks and disease outcomes obtained from CRFs in 2025 for each communicable disease and complication are presented in Table 2.</w:t>
      </w:r>
    </w:p>
    <w:p w14:paraId="638A0D08" w14:textId="4449AC75" w:rsidR="00CE3341" w:rsidRPr="00CE3341" w:rsidRDefault="00CE3341" w:rsidP="00CE3341">
      <w:pPr>
        <w:pStyle w:val="CDITable-Title"/>
        <w:spacing w:before="0"/>
        <w:rPr>
          <w:lang w:val="en-GB"/>
        </w:rPr>
      </w:pPr>
      <w:r w:rsidRPr="00CE3341">
        <w:rPr>
          <w:lang w:val="en-GB"/>
        </w:rPr>
        <w:t>Table 1: Confirmed cases identified by Australian Paediatric Surveillance Unit (APSU) surveillance during the period 1 January – 31</w:t>
      </w:r>
      <w:r>
        <w:rPr>
          <w:lang w:val="en-GB"/>
        </w:rPr>
        <w:t> </w:t>
      </w:r>
      <w:r w:rsidRPr="00CE3341">
        <w:rPr>
          <w:lang w:val="en-GB"/>
        </w:rPr>
        <w:t>December 2025 and for the total study period, and estimated incidence or birth prevalence per 100,000 children of the relevant population/age per annum, by communicable disease or complication</w:t>
      </w:r>
    </w:p>
    <w:tbl>
      <w:tblPr>
        <w:tblW w:w="14601" w:type="dxa"/>
        <w:tblLayout w:type="fixed"/>
        <w:tblCellMar>
          <w:left w:w="0" w:type="dxa"/>
          <w:right w:w="0" w:type="dxa"/>
        </w:tblCellMar>
        <w:tblLook w:val="0000" w:firstRow="0" w:lastRow="0" w:firstColumn="0" w:lastColumn="0" w:noHBand="0" w:noVBand="0"/>
        <w:tblCaption w:val="Table 1: Confirmed cases identified by Australian Paediatric Surveillance Unit (APSU) surveillance during the period 1 January – 31 December 2025 and for the total study period, and estimated incidence or birth prevalence per 100,000 children of the relevant population/age per annum, by communicable disease or complication"/>
        <w:tblDescription w:val="Table 1 has six columns. The first column lists each of the seven conditions under surveillance in this report (one per row). The second column shows the date when surveillance of each condition commenced. The third and fourth columns, respectively, show the number of confirmed cases and the birth prevalence or incidence rate (per 100,000 of the respective infant or child population under surveillance) for each condition in 2025. The fifth and sixth columns, respectively, show the total number of confirmed cases since surveillance began and the birth prevalence or incidence rate (per 100,000 of the respective infant or child population under surveillance) for the whole surveillance period to end 2025 for each condition."/>
      </w:tblPr>
      <w:tblGrid>
        <w:gridCol w:w="4365"/>
        <w:gridCol w:w="2047"/>
        <w:gridCol w:w="2047"/>
        <w:gridCol w:w="2047"/>
        <w:gridCol w:w="2047"/>
        <w:gridCol w:w="2048"/>
      </w:tblGrid>
      <w:tr w:rsidR="007C55BD" w:rsidRPr="007C55BD" w14:paraId="3E90B662" w14:textId="77777777" w:rsidTr="000D2655">
        <w:trPr>
          <w:trHeight w:val="60"/>
          <w:tblHeader/>
        </w:trPr>
        <w:tc>
          <w:tcPr>
            <w:tcW w:w="4365" w:type="dxa"/>
            <w:tcBorders>
              <w:top w:val="nil"/>
              <w:left w:val="nil"/>
            </w:tcBorders>
            <w:shd w:val="clear" w:color="auto" w:fill="1E4496" w:themeFill="text2"/>
            <w:tcMar>
              <w:top w:w="85" w:type="dxa"/>
              <w:left w:w="113" w:type="dxa"/>
              <w:bottom w:w="85" w:type="dxa"/>
              <w:right w:w="113" w:type="dxa"/>
            </w:tcMar>
            <w:vAlign w:val="bottom"/>
          </w:tcPr>
          <w:p w14:paraId="71E52F61" w14:textId="022E5115" w:rsidR="007C55BD" w:rsidRPr="007C55BD" w:rsidRDefault="007C55BD" w:rsidP="007C55BD">
            <w:pPr>
              <w:pStyle w:val="CDITable-HeaderRowLeft"/>
              <w:rPr>
                <w:lang w:val="en-GB"/>
              </w:rPr>
            </w:pPr>
            <w:r w:rsidRPr="007C55BD">
              <w:rPr>
                <w:lang w:val="en-GB"/>
              </w:rPr>
              <w:t>Communicable disease or</w:t>
            </w:r>
            <w:r>
              <w:rPr>
                <w:lang w:val="en-GB"/>
              </w:rPr>
              <w:br/>
            </w:r>
            <w:r w:rsidRPr="007C55BD">
              <w:rPr>
                <w:lang w:val="en-GB"/>
              </w:rPr>
              <w:t>disease complication</w:t>
            </w:r>
          </w:p>
        </w:tc>
        <w:tc>
          <w:tcPr>
            <w:tcW w:w="2047" w:type="dxa"/>
            <w:tcBorders>
              <w:top w:val="nil"/>
            </w:tcBorders>
            <w:shd w:val="clear" w:color="auto" w:fill="1E4496" w:themeFill="text2"/>
            <w:tcMar>
              <w:top w:w="85" w:type="dxa"/>
              <w:left w:w="113" w:type="dxa"/>
              <w:bottom w:w="85" w:type="dxa"/>
              <w:right w:w="113" w:type="dxa"/>
            </w:tcMar>
            <w:vAlign w:val="bottom"/>
          </w:tcPr>
          <w:p w14:paraId="0057A0F1" w14:textId="067D0E8E" w:rsidR="007C55BD" w:rsidRPr="007C55BD" w:rsidRDefault="007C55BD" w:rsidP="007C55BD">
            <w:pPr>
              <w:pStyle w:val="CDITable-HeaderRowCentre"/>
            </w:pPr>
            <w:r w:rsidRPr="007C55BD">
              <w:t>Surveillance study</w:t>
            </w:r>
            <w:r>
              <w:t> </w:t>
            </w:r>
            <w:r w:rsidRPr="007C55BD">
              <w:t>date of commencement</w:t>
            </w:r>
          </w:p>
        </w:tc>
        <w:tc>
          <w:tcPr>
            <w:tcW w:w="2047" w:type="dxa"/>
            <w:tcBorders>
              <w:top w:val="nil"/>
            </w:tcBorders>
            <w:shd w:val="clear" w:color="auto" w:fill="1E4496" w:themeFill="text2"/>
            <w:tcMar>
              <w:top w:w="85" w:type="dxa"/>
              <w:left w:w="113" w:type="dxa"/>
              <w:bottom w:w="85" w:type="dxa"/>
              <w:right w:w="113" w:type="dxa"/>
            </w:tcMar>
            <w:vAlign w:val="bottom"/>
          </w:tcPr>
          <w:p w14:paraId="3CC5E50A" w14:textId="15ABDC65" w:rsidR="007C55BD" w:rsidRPr="007C55BD" w:rsidRDefault="007C55BD" w:rsidP="007C55BD">
            <w:pPr>
              <w:pStyle w:val="CDITable-HeaderRowCentre"/>
            </w:pPr>
            <w:r w:rsidRPr="007C55BD">
              <w:t>Confirmed (incident)</w:t>
            </w:r>
            <w:r w:rsidR="0077614D">
              <w:t> </w:t>
            </w:r>
            <w:r w:rsidRPr="007C55BD">
              <w:t>cases for</w:t>
            </w:r>
            <w:r>
              <w:t> </w:t>
            </w:r>
            <w:r w:rsidRPr="007C55BD">
              <w:t>1</w:t>
            </w:r>
            <w:r w:rsidR="0077614D">
              <w:t> </w:t>
            </w:r>
            <w:r w:rsidRPr="007C55BD">
              <w:t>January – 31</w:t>
            </w:r>
            <w:r>
              <w:t> </w:t>
            </w:r>
            <w:r w:rsidRPr="007C55BD">
              <w:t>December 2025</w:t>
            </w:r>
          </w:p>
        </w:tc>
        <w:tc>
          <w:tcPr>
            <w:tcW w:w="2047" w:type="dxa"/>
            <w:tcBorders>
              <w:top w:val="nil"/>
            </w:tcBorders>
            <w:shd w:val="clear" w:color="auto" w:fill="1E4496" w:themeFill="text2"/>
            <w:tcMar>
              <w:top w:w="85" w:type="dxa"/>
              <w:left w:w="113" w:type="dxa"/>
              <w:bottom w:w="85" w:type="dxa"/>
              <w:right w:w="113" w:type="dxa"/>
            </w:tcMar>
            <w:vAlign w:val="bottom"/>
          </w:tcPr>
          <w:p w14:paraId="0EF07FE9" w14:textId="77777777" w:rsidR="007C55BD" w:rsidRPr="007C55BD" w:rsidRDefault="007C55BD" w:rsidP="007C55BD">
            <w:pPr>
              <w:pStyle w:val="CDITable-HeaderRowCentre"/>
            </w:pPr>
            <w:r w:rsidRPr="007C55BD">
              <w:t>Incidence or birth prevalence estimate per 100,000 per annum and 95% CI for 2025</w:t>
            </w:r>
            <w:proofErr w:type="gramStart"/>
            <w:r w:rsidRPr="007C55BD">
              <w:rPr>
                <w:vertAlign w:val="superscript"/>
              </w:rPr>
              <w:t>a,b</w:t>
            </w:r>
            <w:proofErr w:type="gramEnd"/>
          </w:p>
        </w:tc>
        <w:tc>
          <w:tcPr>
            <w:tcW w:w="2047" w:type="dxa"/>
            <w:tcBorders>
              <w:top w:val="nil"/>
            </w:tcBorders>
            <w:shd w:val="clear" w:color="auto" w:fill="1E4496" w:themeFill="text2"/>
            <w:tcMar>
              <w:top w:w="85" w:type="dxa"/>
              <w:left w:w="113" w:type="dxa"/>
              <w:bottom w:w="85" w:type="dxa"/>
              <w:right w:w="113" w:type="dxa"/>
            </w:tcMar>
            <w:vAlign w:val="bottom"/>
          </w:tcPr>
          <w:p w14:paraId="3B67D640" w14:textId="2191834D" w:rsidR="007C55BD" w:rsidRPr="007C55BD" w:rsidRDefault="007C55BD" w:rsidP="007C55BD">
            <w:pPr>
              <w:pStyle w:val="CDITable-HeaderRowCentre"/>
            </w:pPr>
            <w:r w:rsidRPr="007C55BD">
              <w:t>Confirmed cases for</w:t>
            </w:r>
            <w:r w:rsidR="0077614D">
              <w:t> </w:t>
            </w:r>
            <w:r w:rsidRPr="007C55BD">
              <w:t>the whole study</w:t>
            </w:r>
            <w:r>
              <w:t> </w:t>
            </w:r>
            <w:r w:rsidRPr="007C55BD">
              <w:t>period to 31</w:t>
            </w:r>
            <w:r>
              <w:t> </w:t>
            </w:r>
            <w:r w:rsidRPr="007C55BD">
              <w:t>December 2025</w:t>
            </w:r>
          </w:p>
        </w:tc>
        <w:tc>
          <w:tcPr>
            <w:tcW w:w="2048" w:type="dxa"/>
            <w:tcBorders>
              <w:top w:val="nil"/>
              <w:right w:val="nil"/>
            </w:tcBorders>
            <w:shd w:val="clear" w:color="auto" w:fill="1E4496" w:themeFill="text2"/>
            <w:tcMar>
              <w:top w:w="85" w:type="dxa"/>
              <w:left w:w="113" w:type="dxa"/>
              <w:bottom w:w="85" w:type="dxa"/>
              <w:right w:w="113" w:type="dxa"/>
            </w:tcMar>
            <w:vAlign w:val="bottom"/>
          </w:tcPr>
          <w:p w14:paraId="19932F77" w14:textId="5A220FCE" w:rsidR="007C55BD" w:rsidRPr="007C55BD" w:rsidRDefault="007C55BD" w:rsidP="007C55BD">
            <w:pPr>
              <w:pStyle w:val="CDITable-HeaderRowCentre"/>
            </w:pPr>
            <w:r w:rsidRPr="007C55BD">
              <w:t>Incidence or birth prevalence estimate per 100,000 per annum</w:t>
            </w:r>
            <w:r>
              <w:t> </w:t>
            </w:r>
            <w:r w:rsidRPr="007C55BD">
              <w:t>and 95% CI</w:t>
            </w:r>
            <w:r>
              <w:t> </w:t>
            </w:r>
            <w:r w:rsidRPr="007C55BD">
              <w:t>for</w:t>
            </w:r>
            <w:r>
              <w:t> </w:t>
            </w:r>
            <w:r w:rsidRPr="007C55BD">
              <w:t>the whole study</w:t>
            </w:r>
            <w:r>
              <w:t> </w:t>
            </w:r>
            <w:r w:rsidRPr="007C55BD">
              <w:t>period to 31</w:t>
            </w:r>
            <w:r>
              <w:t> </w:t>
            </w:r>
            <w:r w:rsidRPr="007C55BD">
              <w:t>December 2025</w:t>
            </w:r>
            <w:proofErr w:type="gramStart"/>
            <w:r w:rsidRPr="007C55BD">
              <w:rPr>
                <w:vertAlign w:val="superscript"/>
              </w:rPr>
              <w:t>a,b</w:t>
            </w:r>
            <w:proofErr w:type="gramEnd"/>
          </w:p>
        </w:tc>
      </w:tr>
      <w:tr w:rsidR="007C55BD" w:rsidRPr="007C55BD" w14:paraId="436CB0EB" w14:textId="77777777" w:rsidTr="000D2655">
        <w:trPr>
          <w:trHeight w:val="60"/>
        </w:trPr>
        <w:tc>
          <w:tcPr>
            <w:tcW w:w="4365" w:type="dxa"/>
            <w:tcBorders>
              <w:left w:val="nil"/>
              <w:bottom w:val="single" w:sz="6" w:space="0" w:color="1E4496" w:themeColor="text2"/>
            </w:tcBorders>
            <w:tcMar>
              <w:top w:w="85" w:type="dxa"/>
              <w:left w:w="113" w:type="dxa"/>
              <w:bottom w:w="85" w:type="dxa"/>
              <w:right w:w="113" w:type="dxa"/>
            </w:tcMar>
            <w:vAlign w:val="center"/>
          </w:tcPr>
          <w:p w14:paraId="50B19263" w14:textId="77777777" w:rsidR="007C55BD" w:rsidRPr="007C55BD" w:rsidRDefault="007C55BD" w:rsidP="007C55BD">
            <w:pPr>
              <w:pStyle w:val="CDITable-RowLeft"/>
              <w:rPr>
                <w:lang w:val="en-GB"/>
              </w:rPr>
            </w:pPr>
            <w:r w:rsidRPr="007C55BD">
              <w:rPr>
                <w:lang w:val="en-GB"/>
              </w:rPr>
              <w:t>Acute flaccid paralysis</w:t>
            </w:r>
          </w:p>
        </w:tc>
        <w:tc>
          <w:tcPr>
            <w:tcW w:w="2047" w:type="dxa"/>
            <w:tcBorders>
              <w:bottom w:val="single" w:sz="6" w:space="0" w:color="1E4496" w:themeColor="text2"/>
            </w:tcBorders>
            <w:tcMar>
              <w:top w:w="85" w:type="dxa"/>
              <w:left w:w="113" w:type="dxa"/>
              <w:bottom w:w="85" w:type="dxa"/>
              <w:right w:w="113" w:type="dxa"/>
            </w:tcMar>
            <w:vAlign w:val="center"/>
          </w:tcPr>
          <w:p w14:paraId="4749B010" w14:textId="77777777" w:rsidR="007C55BD" w:rsidRPr="007C55BD" w:rsidRDefault="007C55BD" w:rsidP="007C55BD">
            <w:pPr>
              <w:pStyle w:val="CDITable-RowCentre"/>
              <w:rPr>
                <w:lang w:val="en-GB"/>
              </w:rPr>
            </w:pPr>
            <w:r w:rsidRPr="007C55BD">
              <w:rPr>
                <w:lang w:val="en-GB"/>
              </w:rPr>
              <w:t>March 1995</w:t>
            </w:r>
          </w:p>
        </w:tc>
        <w:tc>
          <w:tcPr>
            <w:tcW w:w="2047" w:type="dxa"/>
            <w:tcBorders>
              <w:bottom w:val="single" w:sz="6" w:space="0" w:color="1E4496" w:themeColor="text2"/>
            </w:tcBorders>
            <w:tcMar>
              <w:top w:w="85" w:type="dxa"/>
              <w:left w:w="113" w:type="dxa"/>
              <w:bottom w:w="85" w:type="dxa"/>
              <w:right w:w="113" w:type="dxa"/>
            </w:tcMar>
            <w:vAlign w:val="center"/>
          </w:tcPr>
          <w:p w14:paraId="70F43651" w14:textId="77777777" w:rsidR="007C55BD" w:rsidRPr="007C55BD" w:rsidRDefault="007C55BD" w:rsidP="007C55BD">
            <w:pPr>
              <w:pStyle w:val="CDITable-RowCentre"/>
              <w:rPr>
                <w:lang w:val="en-GB"/>
              </w:rPr>
            </w:pPr>
            <w:r w:rsidRPr="007C55BD">
              <w:rPr>
                <w:lang w:val="en-GB"/>
              </w:rPr>
              <w:t>76</w:t>
            </w:r>
            <w:proofErr w:type="gramStart"/>
            <w:r w:rsidRPr="007C55BD">
              <w:rPr>
                <w:vertAlign w:val="superscript"/>
                <w:lang w:val="en-GB"/>
              </w:rPr>
              <w:t>c,d</w:t>
            </w:r>
            <w:proofErr w:type="gramEnd"/>
          </w:p>
        </w:tc>
        <w:tc>
          <w:tcPr>
            <w:tcW w:w="2047" w:type="dxa"/>
            <w:tcBorders>
              <w:bottom w:val="single" w:sz="6" w:space="0" w:color="1E4496" w:themeColor="text2"/>
            </w:tcBorders>
            <w:tcMar>
              <w:top w:w="85" w:type="dxa"/>
              <w:left w:w="113" w:type="dxa"/>
              <w:bottom w:w="85" w:type="dxa"/>
              <w:right w:w="113" w:type="dxa"/>
            </w:tcMar>
            <w:vAlign w:val="center"/>
          </w:tcPr>
          <w:p w14:paraId="63D4BFD4" w14:textId="77777777" w:rsidR="007C55BD" w:rsidRPr="007C55BD" w:rsidRDefault="007C55BD" w:rsidP="007C55BD">
            <w:pPr>
              <w:pStyle w:val="CDITable-RowCentre"/>
              <w:rPr>
                <w:lang w:val="en-GB"/>
              </w:rPr>
            </w:pPr>
            <w:r w:rsidRPr="007C55BD">
              <w:rPr>
                <w:lang w:val="en-GB"/>
              </w:rPr>
              <w:t>1.58 [1.26−1.</w:t>
            </w:r>
            <w:proofErr w:type="gramStart"/>
            <w:r w:rsidRPr="007C55BD">
              <w:rPr>
                <w:lang w:val="en-GB"/>
              </w:rPr>
              <w:t>98]</w:t>
            </w:r>
            <w:r w:rsidRPr="007C55BD">
              <w:rPr>
                <w:vertAlign w:val="superscript"/>
                <w:lang w:val="en-GB"/>
              </w:rPr>
              <w:t>e</w:t>
            </w:r>
            <w:proofErr w:type="gramEnd"/>
          </w:p>
        </w:tc>
        <w:tc>
          <w:tcPr>
            <w:tcW w:w="2047" w:type="dxa"/>
            <w:tcBorders>
              <w:bottom w:val="single" w:sz="6" w:space="0" w:color="1E4496" w:themeColor="text2"/>
            </w:tcBorders>
            <w:tcMar>
              <w:top w:w="85" w:type="dxa"/>
              <w:left w:w="113" w:type="dxa"/>
              <w:bottom w:w="85" w:type="dxa"/>
              <w:right w:w="113" w:type="dxa"/>
            </w:tcMar>
            <w:vAlign w:val="center"/>
          </w:tcPr>
          <w:p w14:paraId="73D01256" w14:textId="77777777" w:rsidR="007C55BD" w:rsidRPr="007C55BD" w:rsidRDefault="007C55BD" w:rsidP="007C55BD">
            <w:pPr>
              <w:pStyle w:val="CDITable-RowCentre"/>
              <w:rPr>
                <w:lang w:val="en-GB"/>
              </w:rPr>
            </w:pPr>
            <w:r w:rsidRPr="007C55BD">
              <w:rPr>
                <w:lang w:val="en-GB"/>
              </w:rPr>
              <w:t>1,566</w:t>
            </w:r>
            <w:proofErr w:type="gramStart"/>
            <w:r w:rsidRPr="007C55BD">
              <w:rPr>
                <w:vertAlign w:val="superscript"/>
                <w:lang w:val="en-GB"/>
              </w:rPr>
              <w:t>c,d</w:t>
            </w:r>
            <w:proofErr w:type="gramEnd"/>
          </w:p>
        </w:tc>
        <w:tc>
          <w:tcPr>
            <w:tcW w:w="2048" w:type="dxa"/>
            <w:tcBorders>
              <w:bottom w:val="single" w:sz="6" w:space="0" w:color="1E4496" w:themeColor="text2"/>
              <w:right w:val="nil"/>
            </w:tcBorders>
            <w:tcMar>
              <w:top w:w="85" w:type="dxa"/>
              <w:left w:w="113" w:type="dxa"/>
              <w:bottom w:w="85" w:type="dxa"/>
              <w:right w:w="113" w:type="dxa"/>
            </w:tcMar>
            <w:vAlign w:val="center"/>
          </w:tcPr>
          <w:p w14:paraId="105C63C8" w14:textId="77777777" w:rsidR="007C55BD" w:rsidRPr="007C55BD" w:rsidRDefault="007C55BD" w:rsidP="007C55BD">
            <w:pPr>
              <w:pStyle w:val="CDITable-RowCentre"/>
              <w:rPr>
                <w:lang w:val="en-GB"/>
              </w:rPr>
            </w:pPr>
            <w:r w:rsidRPr="007C55BD">
              <w:rPr>
                <w:lang w:val="en-GB"/>
              </w:rPr>
              <w:t>1.17 [1.12–1.</w:t>
            </w:r>
            <w:proofErr w:type="gramStart"/>
            <w:r w:rsidRPr="007C55BD">
              <w:rPr>
                <w:lang w:val="en-GB"/>
              </w:rPr>
              <w:t>23]</w:t>
            </w:r>
            <w:r w:rsidRPr="007C55BD">
              <w:rPr>
                <w:vertAlign w:val="superscript"/>
                <w:lang w:val="en-GB"/>
              </w:rPr>
              <w:t>e</w:t>
            </w:r>
            <w:proofErr w:type="gramEnd"/>
          </w:p>
        </w:tc>
      </w:tr>
      <w:tr w:rsidR="007C55BD" w:rsidRPr="007C55BD" w14:paraId="4CBBC0F0" w14:textId="77777777" w:rsidTr="000D2655">
        <w:trPr>
          <w:trHeight w:val="60"/>
        </w:trPr>
        <w:tc>
          <w:tcPr>
            <w:tcW w:w="4365" w:type="dxa"/>
            <w:tcBorders>
              <w:top w:val="single" w:sz="6" w:space="0" w:color="1E4496" w:themeColor="text2"/>
              <w:left w:val="nil"/>
              <w:bottom w:val="single" w:sz="6" w:space="0" w:color="1E4496" w:themeColor="text2"/>
            </w:tcBorders>
            <w:tcMar>
              <w:top w:w="85" w:type="dxa"/>
              <w:left w:w="113" w:type="dxa"/>
              <w:bottom w:w="85" w:type="dxa"/>
              <w:right w:w="113" w:type="dxa"/>
            </w:tcMar>
            <w:vAlign w:val="center"/>
          </w:tcPr>
          <w:p w14:paraId="3BCC093A" w14:textId="77777777" w:rsidR="007C55BD" w:rsidRPr="007C55BD" w:rsidRDefault="007C55BD" w:rsidP="007C55BD">
            <w:pPr>
              <w:pStyle w:val="CDITable-RowLeft"/>
              <w:rPr>
                <w:lang w:val="en-GB"/>
              </w:rPr>
            </w:pPr>
            <w:r w:rsidRPr="007C55BD">
              <w:rPr>
                <w:lang w:val="en-GB"/>
              </w:rPr>
              <w:t>Perinatal exposure to HIV</w:t>
            </w:r>
          </w:p>
        </w:tc>
        <w:tc>
          <w:tcPr>
            <w:tcW w:w="2047" w:type="dxa"/>
            <w:tcBorders>
              <w:top w:val="single" w:sz="6" w:space="0" w:color="1E4496" w:themeColor="text2"/>
              <w:bottom w:val="single" w:sz="6" w:space="0" w:color="1E4496" w:themeColor="text2"/>
            </w:tcBorders>
            <w:tcMar>
              <w:top w:w="85" w:type="dxa"/>
              <w:left w:w="113" w:type="dxa"/>
              <w:bottom w:w="85" w:type="dxa"/>
              <w:right w:w="113" w:type="dxa"/>
            </w:tcMar>
            <w:vAlign w:val="center"/>
          </w:tcPr>
          <w:p w14:paraId="1D8AD874" w14:textId="77777777" w:rsidR="007C55BD" w:rsidRPr="007C55BD" w:rsidRDefault="007C55BD" w:rsidP="007C55BD">
            <w:pPr>
              <w:pStyle w:val="CDITable-RowCentre"/>
              <w:rPr>
                <w:lang w:val="en-GB"/>
              </w:rPr>
            </w:pPr>
            <w:r w:rsidRPr="007C55BD">
              <w:rPr>
                <w:lang w:val="en-GB"/>
              </w:rPr>
              <w:t>May 1993</w:t>
            </w:r>
          </w:p>
        </w:tc>
        <w:tc>
          <w:tcPr>
            <w:tcW w:w="2047" w:type="dxa"/>
            <w:tcBorders>
              <w:top w:val="single" w:sz="6" w:space="0" w:color="1E4496" w:themeColor="text2"/>
              <w:bottom w:val="single" w:sz="6" w:space="0" w:color="1E4496" w:themeColor="text2"/>
            </w:tcBorders>
            <w:tcMar>
              <w:top w:w="85" w:type="dxa"/>
              <w:left w:w="113" w:type="dxa"/>
              <w:bottom w:w="85" w:type="dxa"/>
              <w:right w:w="113" w:type="dxa"/>
            </w:tcMar>
            <w:vAlign w:val="center"/>
          </w:tcPr>
          <w:p w14:paraId="729EA092" w14:textId="77777777" w:rsidR="007C55BD" w:rsidRPr="007C55BD" w:rsidRDefault="007C55BD" w:rsidP="007C55BD">
            <w:pPr>
              <w:pStyle w:val="CDITable-RowCentre"/>
              <w:rPr>
                <w:lang w:val="en-GB"/>
              </w:rPr>
            </w:pPr>
            <w:r w:rsidRPr="007C55BD">
              <w:rPr>
                <w:lang w:val="en-GB"/>
              </w:rPr>
              <w:t>20</w:t>
            </w:r>
          </w:p>
        </w:tc>
        <w:tc>
          <w:tcPr>
            <w:tcW w:w="2047" w:type="dxa"/>
            <w:tcBorders>
              <w:top w:val="single" w:sz="6" w:space="0" w:color="1E4496" w:themeColor="text2"/>
              <w:bottom w:val="single" w:sz="6" w:space="0" w:color="1E4496" w:themeColor="text2"/>
            </w:tcBorders>
            <w:tcMar>
              <w:top w:w="85" w:type="dxa"/>
              <w:left w:w="113" w:type="dxa"/>
              <w:bottom w:w="85" w:type="dxa"/>
              <w:right w:w="113" w:type="dxa"/>
            </w:tcMar>
            <w:vAlign w:val="center"/>
          </w:tcPr>
          <w:p w14:paraId="4A82F75A" w14:textId="77777777" w:rsidR="007C55BD" w:rsidRPr="007C55BD" w:rsidRDefault="007C55BD" w:rsidP="007C55BD">
            <w:pPr>
              <w:pStyle w:val="CDITable-RowCentre"/>
              <w:rPr>
                <w:lang w:val="en-GB"/>
              </w:rPr>
            </w:pPr>
            <w:r w:rsidRPr="007C55BD">
              <w:rPr>
                <w:lang w:val="en-GB"/>
              </w:rPr>
              <w:t>7.07 [4.56–10.</w:t>
            </w:r>
            <w:proofErr w:type="gramStart"/>
            <w:r w:rsidRPr="007C55BD">
              <w:rPr>
                <w:lang w:val="en-GB"/>
              </w:rPr>
              <w:t>96]</w:t>
            </w:r>
            <w:r w:rsidRPr="007C55BD">
              <w:rPr>
                <w:vertAlign w:val="superscript"/>
                <w:lang w:val="en-GB"/>
              </w:rPr>
              <w:t>f</w:t>
            </w:r>
            <w:proofErr w:type="gramEnd"/>
          </w:p>
        </w:tc>
        <w:tc>
          <w:tcPr>
            <w:tcW w:w="2047" w:type="dxa"/>
            <w:tcBorders>
              <w:top w:val="single" w:sz="6" w:space="0" w:color="1E4496" w:themeColor="text2"/>
              <w:bottom w:val="single" w:sz="6" w:space="0" w:color="1E4496" w:themeColor="text2"/>
            </w:tcBorders>
            <w:tcMar>
              <w:top w:w="85" w:type="dxa"/>
              <w:left w:w="113" w:type="dxa"/>
              <w:bottom w:w="85" w:type="dxa"/>
              <w:right w:w="113" w:type="dxa"/>
            </w:tcMar>
            <w:vAlign w:val="center"/>
          </w:tcPr>
          <w:p w14:paraId="1D580A58" w14:textId="77777777" w:rsidR="007C55BD" w:rsidRPr="007C55BD" w:rsidRDefault="007C55BD" w:rsidP="007C55BD">
            <w:pPr>
              <w:pStyle w:val="CDITable-RowCentre"/>
              <w:rPr>
                <w:lang w:val="en-GB"/>
              </w:rPr>
            </w:pPr>
            <w:r w:rsidRPr="007C55BD">
              <w:rPr>
                <w:lang w:val="en-GB"/>
              </w:rPr>
              <w:t>1,057</w:t>
            </w:r>
          </w:p>
        </w:tc>
        <w:tc>
          <w:tcPr>
            <w:tcW w:w="2048" w:type="dxa"/>
            <w:tcBorders>
              <w:top w:val="single" w:sz="6" w:space="0" w:color="1E4496" w:themeColor="text2"/>
              <w:bottom w:val="single" w:sz="6" w:space="0" w:color="1E4496" w:themeColor="text2"/>
              <w:right w:val="nil"/>
            </w:tcBorders>
            <w:tcMar>
              <w:top w:w="85" w:type="dxa"/>
              <w:left w:w="113" w:type="dxa"/>
              <w:bottom w:w="85" w:type="dxa"/>
              <w:right w:w="113" w:type="dxa"/>
            </w:tcMar>
            <w:vAlign w:val="center"/>
          </w:tcPr>
          <w:p w14:paraId="559192DB" w14:textId="77777777" w:rsidR="007C55BD" w:rsidRPr="007C55BD" w:rsidRDefault="007C55BD" w:rsidP="007C55BD">
            <w:pPr>
              <w:pStyle w:val="CDITable-RowCentre"/>
              <w:rPr>
                <w:lang w:val="en-GB"/>
              </w:rPr>
            </w:pPr>
            <w:r w:rsidRPr="007C55BD">
              <w:rPr>
                <w:lang w:val="en-GB"/>
              </w:rPr>
              <w:t>11.72 [11.03–12.</w:t>
            </w:r>
            <w:proofErr w:type="gramStart"/>
            <w:r w:rsidRPr="007C55BD">
              <w:rPr>
                <w:lang w:val="en-GB"/>
              </w:rPr>
              <w:t>45]</w:t>
            </w:r>
            <w:r w:rsidRPr="007C55BD">
              <w:rPr>
                <w:vertAlign w:val="superscript"/>
                <w:lang w:val="en-GB"/>
              </w:rPr>
              <w:t>f</w:t>
            </w:r>
            <w:proofErr w:type="gramEnd"/>
          </w:p>
        </w:tc>
      </w:tr>
      <w:tr w:rsidR="007C55BD" w:rsidRPr="007C55BD" w14:paraId="42BE8F02" w14:textId="77777777" w:rsidTr="000D2655">
        <w:trPr>
          <w:trHeight w:val="60"/>
        </w:trPr>
        <w:tc>
          <w:tcPr>
            <w:tcW w:w="4365" w:type="dxa"/>
            <w:tcBorders>
              <w:top w:val="single" w:sz="6" w:space="0" w:color="1E4496" w:themeColor="text2"/>
              <w:left w:val="nil"/>
              <w:bottom w:val="single" w:sz="6" w:space="0" w:color="1E4496" w:themeColor="text2"/>
            </w:tcBorders>
            <w:tcMar>
              <w:top w:w="85" w:type="dxa"/>
              <w:left w:w="113" w:type="dxa"/>
              <w:bottom w:w="85" w:type="dxa"/>
              <w:right w:w="113" w:type="dxa"/>
            </w:tcMar>
            <w:vAlign w:val="center"/>
          </w:tcPr>
          <w:p w14:paraId="59E587CF" w14:textId="77777777" w:rsidR="007C55BD" w:rsidRPr="007C55BD" w:rsidRDefault="007C55BD" w:rsidP="007C55BD">
            <w:pPr>
              <w:pStyle w:val="CDITable-RowLeft"/>
              <w:rPr>
                <w:lang w:val="en-GB"/>
              </w:rPr>
            </w:pPr>
            <w:r w:rsidRPr="007C55BD">
              <w:rPr>
                <w:lang w:val="en-GB"/>
              </w:rPr>
              <w:t>Paediatric HIV infection</w:t>
            </w:r>
          </w:p>
        </w:tc>
        <w:tc>
          <w:tcPr>
            <w:tcW w:w="2047" w:type="dxa"/>
            <w:tcBorders>
              <w:top w:val="single" w:sz="6" w:space="0" w:color="1E4496" w:themeColor="text2"/>
              <w:bottom w:val="single" w:sz="6" w:space="0" w:color="1E4496" w:themeColor="text2"/>
            </w:tcBorders>
            <w:tcMar>
              <w:top w:w="85" w:type="dxa"/>
              <w:left w:w="113" w:type="dxa"/>
              <w:bottom w:w="85" w:type="dxa"/>
              <w:right w:w="113" w:type="dxa"/>
            </w:tcMar>
            <w:vAlign w:val="center"/>
          </w:tcPr>
          <w:p w14:paraId="5597FB1F" w14:textId="77777777" w:rsidR="007C55BD" w:rsidRPr="007C55BD" w:rsidRDefault="007C55BD" w:rsidP="007C55BD">
            <w:pPr>
              <w:pStyle w:val="CDITable-RowCentre"/>
              <w:rPr>
                <w:lang w:val="en-GB"/>
              </w:rPr>
            </w:pPr>
            <w:r w:rsidRPr="007C55BD">
              <w:rPr>
                <w:lang w:val="en-GB"/>
              </w:rPr>
              <w:t>May 1993</w:t>
            </w:r>
          </w:p>
        </w:tc>
        <w:tc>
          <w:tcPr>
            <w:tcW w:w="2047" w:type="dxa"/>
            <w:tcBorders>
              <w:top w:val="single" w:sz="6" w:space="0" w:color="1E4496" w:themeColor="text2"/>
              <w:bottom w:val="single" w:sz="6" w:space="0" w:color="1E4496" w:themeColor="text2"/>
            </w:tcBorders>
            <w:tcMar>
              <w:top w:w="85" w:type="dxa"/>
              <w:left w:w="113" w:type="dxa"/>
              <w:bottom w:w="85" w:type="dxa"/>
              <w:right w:w="113" w:type="dxa"/>
            </w:tcMar>
            <w:vAlign w:val="center"/>
          </w:tcPr>
          <w:p w14:paraId="4289B5D2" w14:textId="77777777" w:rsidR="007C55BD" w:rsidRPr="007C55BD" w:rsidRDefault="007C55BD" w:rsidP="007C55BD">
            <w:pPr>
              <w:pStyle w:val="CDITable-RowCentre"/>
              <w:rPr>
                <w:lang w:val="en-GB"/>
              </w:rPr>
            </w:pPr>
            <w:r w:rsidRPr="007C55BD">
              <w:rPr>
                <w:lang w:val="en-GB"/>
              </w:rPr>
              <w:t>5</w:t>
            </w:r>
          </w:p>
        </w:tc>
        <w:tc>
          <w:tcPr>
            <w:tcW w:w="2047" w:type="dxa"/>
            <w:tcBorders>
              <w:top w:val="single" w:sz="6" w:space="0" w:color="1E4496" w:themeColor="text2"/>
              <w:bottom w:val="single" w:sz="6" w:space="0" w:color="1E4496" w:themeColor="text2"/>
            </w:tcBorders>
            <w:tcMar>
              <w:top w:w="85" w:type="dxa"/>
              <w:left w:w="113" w:type="dxa"/>
              <w:bottom w:w="85" w:type="dxa"/>
              <w:right w:w="113" w:type="dxa"/>
            </w:tcMar>
            <w:vAlign w:val="center"/>
          </w:tcPr>
          <w:p w14:paraId="3810FFCC" w14:textId="77777777" w:rsidR="007C55BD" w:rsidRPr="007C55BD" w:rsidRDefault="007C55BD" w:rsidP="007C55BD">
            <w:pPr>
              <w:pStyle w:val="CDITable-RowCentre"/>
              <w:rPr>
                <w:lang w:val="en-GB"/>
              </w:rPr>
            </w:pPr>
            <w:r w:rsidRPr="007C55BD">
              <w:rPr>
                <w:lang w:val="en-GB"/>
              </w:rPr>
              <w:t>—</w:t>
            </w:r>
          </w:p>
        </w:tc>
        <w:tc>
          <w:tcPr>
            <w:tcW w:w="2047" w:type="dxa"/>
            <w:tcBorders>
              <w:top w:val="single" w:sz="6" w:space="0" w:color="1E4496" w:themeColor="text2"/>
              <w:bottom w:val="single" w:sz="6" w:space="0" w:color="1E4496" w:themeColor="text2"/>
            </w:tcBorders>
            <w:tcMar>
              <w:top w:w="85" w:type="dxa"/>
              <w:left w:w="113" w:type="dxa"/>
              <w:bottom w:w="85" w:type="dxa"/>
              <w:right w:w="113" w:type="dxa"/>
            </w:tcMar>
            <w:vAlign w:val="center"/>
          </w:tcPr>
          <w:p w14:paraId="7F320C06" w14:textId="77777777" w:rsidR="007C55BD" w:rsidRPr="007C55BD" w:rsidRDefault="007C55BD" w:rsidP="007C55BD">
            <w:pPr>
              <w:pStyle w:val="CDITable-RowCentre"/>
              <w:rPr>
                <w:lang w:val="en-GB"/>
              </w:rPr>
            </w:pPr>
            <w:r w:rsidRPr="007C55BD">
              <w:rPr>
                <w:lang w:val="en-GB"/>
              </w:rPr>
              <w:t>111</w:t>
            </w:r>
          </w:p>
        </w:tc>
        <w:tc>
          <w:tcPr>
            <w:tcW w:w="2048" w:type="dxa"/>
            <w:tcBorders>
              <w:top w:val="single" w:sz="6" w:space="0" w:color="1E4496" w:themeColor="text2"/>
              <w:bottom w:val="single" w:sz="6" w:space="0" w:color="1E4496" w:themeColor="text2"/>
              <w:right w:val="nil"/>
            </w:tcBorders>
            <w:tcMar>
              <w:top w:w="85" w:type="dxa"/>
              <w:left w:w="113" w:type="dxa"/>
              <w:bottom w:w="85" w:type="dxa"/>
              <w:right w:w="113" w:type="dxa"/>
            </w:tcMar>
            <w:vAlign w:val="center"/>
          </w:tcPr>
          <w:p w14:paraId="3E0436FE" w14:textId="77777777" w:rsidR="007C55BD" w:rsidRPr="007C55BD" w:rsidRDefault="007C55BD" w:rsidP="007C55BD">
            <w:pPr>
              <w:pStyle w:val="CDITable-RowCentre"/>
              <w:rPr>
                <w:lang w:val="en-GB"/>
              </w:rPr>
            </w:pPr>
            <w:r w:rsidRPr="007C55BD">
              <w:rPr>
                <w:lang w:val="en-GB"/>
              </w:rPr>
              <w:t>0.08 [0.06−0.</w:t>
            </w:r>
            <w:proofErr w:type="gramStart"/>
            <w:r w:rsidRPr="007C55BD">
              <w:rPr>
                <w:lang w:val="en-GB"/>
              </w:rPr>
              <w:t>09]</w:t>
            </w:r>
            <w:r w:rsidRPr="007C55BD">
              <w:rPr>
                <w:vertAlign w:val="superscript"/>
                <w:lang w:val="en-GB"/>
              </w:rPr>
              <w:t>g</w:t>
            </w:r>
            <w:proofErr w:type="gramEnd"/>
          </w:p>
        </w:tc>
      </w:tr>
      <w:tr w:rsidR="007C55BD" w:rsidRPr="007C55BD" w14:paraId="4CBA2F87" w14:textId="77777777" w:rsidTr="000D2655">
        <w:trPr>
          <w:trHeight w:val="60"/>
        </w:trPr>
        <w:tc>
          <w:tcPr>
            <w:tcW w:w="4365" w:type="dxa"/>
            <w:tcBorders>
              <w:top w:val="single" w:sz="6" w:space="0" w:color="1E4496" w:themeColor="text2"/>
              <w:left w:val="nil"/>
              <w:bottom w:val="single" w:sz="6" w:space="0" w:color="1E4496" w:themeColor="text2"/>
            </w:tcBorders>
            <w:tcMar>
              <w:top w:w="85" w:type="dxa"/>
              <w:left w:w="113" w:type="dxa"/>
              <w:bottom w:w="85" w:type="dxa"/>
              <w:right w:w="113" w:type="dxa"/>
            </w:tcMar>
            <w:vAlign w:val="center"/>
          </w:tcPr>
          <w:p w14:paraId="23810650" w14:textId="77777777" w:rsidR="007C55BD" w:rsidRPr="007C55BD" w:rsidRDefault="007C55BD" w:rsidP="007C55BD">
            <w:pPr>
              <w:pStyle w:val="CDITable-RowLeft"/>
              <w:rPr>
                <w:lang w:val="en-GB"/>
              </w:rPr>
            </w:pPr>
            <w:r w:rsidRPr="007C55BD">
              <w:rPr>
                <w:lang w:val="en-GB"/>
              </w:rPr>
              <w:t>Juvenile-onset recurrent respiratory papillomatosis</w:t>
            </w:r>
          </w:p>
        </w:tc>
        <w:tc>
          <w:tcPr>
            <w:tcW w:w="2047" w:type="dxa"/>
            <w:tcBorders>
              <w:top w:val="single" w:sz="6" w:space="0" w:color="1E4496" w:themeColor="text2"/>
              <w:bottom w:val="single" w:sz="6" w:space="0" w:color="1E4496" w:themeColor="text2"/>
            </w:tcBorders>
            <w:tcMar>
              <w:top w:w="85" w:type="dxa"/>
              <w:left w:w="113" w:type="dxa"/>
              <w:bottom w:w="85" w:type="dxa"/>
              <w:right w:w="113" w:type="dxa"/>
            </w:tcMar>
            <w:vAlign w:val="center"/>
          </w:tcPr>
          <w:p w14:paraId="27DBE296" w14:textId="77777777" w:rsidR="007C55BD" w:rsidRPr="007C55BD" w:rsidRDefault="007C55BD" w:rsidP="007C55BD">
            <w:pPr>
              <w:pStyle w:val="CDITable-RowCentre"/>
              <w:rPr>
                <w:lang w:val="en-GB"/>
              </w:rPr>
            </w:pPr>
            <w:r w:rsidRPr="007C55BD">
              <w:rPr>
                <w:lang w:val="en-GB"/>
              </w:rPr>
              <w:t>Sep 2011</w:t>
            </w:r>
          </w:p>
        </w:tc>
        <w:tc>
          <w:tcPr>
            <w:tcW w:w="2047" w:type="dxa"/>
            <w:tcBorders>
              <w:top w:val="single" w:sz="6" w:space="0" w:color="1E4496" w:themeColor="text2"/>
              <w:bottom w:val="single" w:sz="6" w:space="0" w:color="1E4496" w:themeColor="text2"/>
            </w:tcBorders>
            <w:tcMar>
              <w:top w:w="85" w:type="dxa"/>
              <w:left w:w="113" w:type="dxa"/>
              <w:bottom w:w="85" w:type="dxa"/>
              <w:right w:w="113" w:type="dxa"/>
            </w:tcMar>
            <w:vAlign w:val="center"/>
          </w:tcPr>
          <w:p w14:paraId="39905ED2" w14:textId="77777777" w:rsidR="007C55BD" w:rsidRPr="007C55BD" w:rsidRDefault="007C55BD" w:rsidP="007C55BD">
            <w:pPr>
              <w:pStyle w:val="CDITable-RowCentre"/>
              <w:rPr>
                <w:lang w:val="en-GB"/>
              </w:rPr>
            </w:pPr>
            <w:r w:rsidRPr="007C55BD">
              <w:rPr>
                <w:lang w:val="en-GB"/>
              </w:rPr>
              <w:t>1</w:t>
            </w:r>
            <w:r w:rsidRPr="007C55BD">
              <w:rPr>
                <w:vertAlign w:val="superscript"/>
                <w:lang w:val="en-GB"/>
              </w:rPr>
              <w:t>h</w:t>
            </w:r>
          </w:p>
        </w:tc>
        <w:tc>
          <w:tcPr>
            <w:tcW w:w="2047" w:type="dxa"/>
            <w:tcBorders>
              <w:top w:val="single" w:sz="6" w:space="0" w:color="1E4496" w:themeColor="text2"/>
              <w:bottom w:val="single" w:sz="6" w:space="0" w:color="1E4496" w:themeColor="text2"/>
            </w:tcBorders>
            <w:tcMar>
              <w:top w:w="85" w:type="dxa"/>
              <w:left w:w="113" w:type="dxa"/>
              <w:bottom w:w="85" w:type="dxa"/>
              <w:right w:w="113" w:type="dxa"/>
            </w:tcMar>
            <w:vAlign w:val="center"/>
          </w:tcPr>
          <w:p w14:paraId="72927F52" w14:textId="77777777" w:rsidR="007C55BD" w:rsidRPr="007C55BD" w:rsidRDefault="007C55BD" w:rsidP="007C55BD">
            <w:pPr>
              <w:pStyle w:val="CDITable-RowCentre"/>
              <w:rPr>
                <w:lang w:val="en-GB"/>
              </w:rPr>
            </w:pPr>
            <w:r w:rsidRPr="007C55BD">
              <w:rPr>
                <w:lang w:val="en-GB"/>
              </w:rPr>
              <w:t>—</w:t>
            </w:r>
          </w:p>
        </w:tc>
        <w:tc>
          <w:tcPr>
            <w:tcW w:w="2047" w:type="dxa"/>
            <w:tcBorders>
              <w:top w:val="single" w:sz="6" w:space="0" w:color="1E4496" w:themeColor="text2"/>
              <w:bottom w:val="single" w:sz="6" w:space="0" w:color="1E4496" w:themeColor="text2"/>
            </w:tcBorders>
            <w:tcMar>
              <w:top w:w="85" w:type="dxa"/>
              <w:left w:w="113" w:type="dxa"/>
              <w:bottom w:w="85" w:type="dxa"/>
              <w:right w:w="113" w:type="dxa"/>
            </w:tcMar>
            <w:vAlign w:val="center"/>
          </w:tcPr>
          <w:p w14:paraId="792B4F3E" w14:textId="77777777" w:rsidR="007C55BD" w:rsidRPr="007C55BD" w:rsidRDefault="007C55BD" w:rsidP="007C55BD">
            <w:pPr>
              <w:pStyle w:val="CDITable-RowCentre"/>
              <w:rPr>
                <w:lang w:val="en-GB"/>
              </w:rPr>
            </w:pPr>
            <w:r w:rsidRPr="007C55BD">
              <w:rPr>
                <w:lang w:val="en-GB"/>
              </w:rPr>
              <w:t>25</w:t>
            </w:r>
            <w:r w:rsidRPr="007C55BD">
              <w:rPr>
                <w:vertAlign w:val="superscript"/>
                <w:lang w:val="en-GB"/>
              </w:rPr>
              <w:t>h</w:t>
            </w:r>
          </w:p>
        </w:tc>
        <w:tc>
          <w:tcPr>
            <w:tcW w:w="2048" w:type="dxa"/>
            <w:tcBorders>
              <w:top w:val="single" w:sz="6" w:space="0" w:color="1E4496" w:themeColor="text2"/>
              <w:bottom w:val="single" w:sz="6" w:space="0" w:color="1E4496" w:themeColor="text2"/>
              <w:right w:val="nil"/>
            </w:tcBorders>
            <w:tcMar>
              <w:top w:w="85" w:type="dxa"/>
              <w:left w:w="113" w:type="dxa"/>
              <w:bottom w:w="85" w:type="dxa"/>
              <w:right w:w="113" w:type="dxa"/>
            </w:tcMar>
            <w:vAlign w:val="center"/>
          </w:tcPr>
          <w:p w14:paraId="0D8BF171" w14:textId="77777777" w:rsidR="007C55BD" w:rsidRPr="007C55BD" w:rsidRDefault="007C55BD" w:rsidP="007C55BD">
            <w:pPr>
              <w:pStyle w:val="CDITable-RowCentre"/>
              <w:rPr>
                <w:lang w:val="en-GB"/>
              </w:rPr>
            </w:pPr>
            <w:r w:rsidRPr="007C55BD">
              <w:rPr>
                <w:lang w:val="en-GB"/>
              </w:rPr>
              <w:t>0.04 [0.02−0.</w:t>
            </w:r>
            <w:proofErr w:type="gramStart"/>
            <w:r w:rsidRPr="007C55BD">
              <w:rPr>
                <w:lang w:val="en-GB"/>
              </w:rPr>
              <w:t>05]</w:t>
            </w:r>
            <w:r w:rsidRPr="007C55BD">
              <w:rPr>
                <w:vertAlign w:val="superscript"/>
                <w:lang w:val="en-GB"/>
              </w:rPr>
              <w:t>e</w:t>
            </w:r>
            <w:proofErr w:type="gramEnd"/>
          </w:p>
        </w:tc>
      </w:tr>
      <w:tr w:rsidR="007C55BD" w:rsidRPr="007C55BD" w14:paraId="7C60BC7A" w14:textId="77777777" w:rsidTr="000D2655">
        <w:trPr>
          <w:trHeight w:val="60"/>
        </w:trPr>
        <w:tc>
          <w:tcPr>
            <w:tcW w:w="4365" w:type="dxa"/>
            <w:tcBorders>
              <w:top w:val="single" w:sz="6" w:space="0" w:color="1E4496" w:themeColor="text2"/>
              <w:left w:val="nil"/>
              <w:bottom w:val="single" w:sz="6" w:space="0" w:color="1E4496" w:themeColor="text2"/>
            </w:tcBorders>
            <w:tcMar>
              <w:top w:w="85" w:type="dxa"/>
              <w:left w:w="113" w:type="dxa"/>
              <w:bottom w:w="85" w:type="dxa"/>
              <w:right w:w="113" w:type="dxa"/>
            </w:tcMar>
            <w:vAlign w:val="center"/>
          </w:tcPr>
          <w:p w14:paraId="1DBE1FB8" w14:textId="77777777" w:rsidR="007C55BD" w:rsidRPr="007C55BD" w:rsidRDefault="007C55BD" w:rsidP="007C55BD">
            <w:pPr>
              <w:pStyle w:val="CDITable-RowLeft"/>
              <w:rPr>
                <w:lang w:val="en-GB"/>
              </w:rPr>
            </w:pPr>
            <w:r w:rsidRPr="007C55BD">
              <w:rPr>
                <w:lang w:val="en-GB"/>
              </w:rPr>
              <w:t>Congenital rubella infection/syndrome</w:t>
            </w:r>
          </w:p>
        </w:tc>
        <w:tc>
          <w:tcPr>
            <w:tcW w:w="2047" w:type="dxa"/>
            <w:tcBorders>
              <w:top w:val="single" w:sz="6" w:space="0" w:color="1E4496" w:themeColor="text2"/>
              <w:bottom w:val="single" w:sz="6" w:space="0" w:color="1E4496" w:themeColor="text2"/>
            </w:tcBorders>
            <w:tcMar>
              <w:top w:w="85" w:type="dxa"/>
              <w:left w:w="113" w:type="dxa"/>
              <w:bottom w:w="85" w:type="dxa"/>
              <w:right w:w="113" w:type="dxa"/>
            </w:tcMar>
            <w:vAlign w:val="center"/>
          </w:tcPr>
          <w:p w14:paraId="21D388DF" w14:textId="77777777" w:rsidR="007C55BD" w:rsidRPr="007C55BD" w:rsidRDefault="007C55BD" w:rsidP="007C55BD">
            <w:pPr>
              <w:pStyle w:val="CDITable-RowCentre"/>
              <w:rPr>
                <w:lang w:val="en-GB"/>
              </w:rPr>
            </w:pPr>
            <w:r w:rsidRPr="007C55BD">
              <w:rPr>
                <w:lang w:val="en-GB"/>
              </w:rPr>
              <w:t>May 1993</w:t>
            </w:r>
          </w:p>
        </w:tc>
        <w:tc>
          <w:tcPr>
            <w:tcW w:w="2047" w:type="dxa"/>
            <w:tcBorders>
              <w:top w:val="single" w:sz="6" w:space="0" w:color="1E4496" w:themeColor="text2"/>
              <w:bottom w:val="single" w:sz="6" w:space="0" w:color="1E4496" w:themeColor="text2"/>
            </w:tcBorders>
            <w:tcMar>
              <w:top w:w="85" w:type="dxa"/>
              <w:left w:w="113" w:type="dxa"/>
              <w:bottom w:w="85" w:type="dxa"/>
              <w:right w:w="113" w:type="dxa"/>
            </w:tcMar>
            <w:vAlign w:val="center"/>
          </w:tcPr>
          <w:p w14:paraId="4B36A13D" w14:textId="77777777" w:rsidR="007C55BD" w:rsidRPr="007C55BD" w:rsidRDefault="007C55BD" w:rsidP="007C55BD">
            <w:pPr>
              <w:pStyle w:val="CDITable-RowCentre"/>
              <w:rPr>
                <w:lang w:val="en-GB"/>
              </w:rPr>
            </w:pPr>
            <w:r w:rsidRPr="007C55BD">
              <w:rPr>
                <w:lang w:val="en-GB"/>
              </w:rPr>
              <w:t>0</w:t>
            </w:r>
          </w:p>
        </w:tc>
        <w:tc>
          <w:tcPr>
            <w:tcW w:w="2047" w:type="dxa"/>
            <w:tcBorders>
              <w:top w:val="single" w:sz="6" w:space="0" w:color="1E4496" w:themeColor="text2"/>
              <w:bottom w:val="single" w:sz="6" w:space="0" w:color="1E4496" w:themeColor="text2"/>
            </w:tcBorders>
            <w:tcMar>
              <w:top w:w="85" w:type="dxa"/>
              <w:left w:w="113" w:type="dxa"/>
              <w:bottom w:w="85" w:type="dxa"/>
              <w:right w:w="113" w:type="dxa"/>
            </w:tcMar>
            <w:vAlign w:val="center"/>
          </w:tcPr>
          <w:p w14:paraId="09D46CEB" w14:textId="77777777" w:rsidR="007C55BD" w:rsidRPr="007C55BD" w:rsidRDefault="007C55BD" w:rsidP="007C55BD">
            <w:pPr>
              <w:pStyle w:val="CDITable-RowCentre"/>
              <w:rPr>
                <w:lang w:val="en-GB"/>
              </w:rPr>
            </w:pPr>
            <w:r w:rsidRPr="007C55BD">
              <w:rPr>
                <w:lang w:val="en-GB"/>
              </w:rPr>
              <w:t>—</w:t>
            </w:r>
          </w:p>
        </w:tc>
        <w:tc>
          <w:tcPr>
            <w:tcW w:w="2047" w:type="dxa"/>
            <w:tcBorders>
              <w:top w:val="single" w:sz="6" w:space="0" w:color="1E4496" w:themeColor="text2"/>
              <w:bottom w:val="single" w:sz="6" w:space="0" w:color="1E4496" w:themeColor="text2"/>
            </w:tcBorders>
            <w:tcMar>
              <w:top w:w="85" w:type="dxa"/>
              <w:left w:w="113" w:type="dxa"/>
              <w:bottom w:w="85" w:type="dxa"/>
              <w:right w:w="113" w:type="dxa"/>
            </w:tcMar>
            <w:vAlign w:val="center"/>
          </w:tcPr>
          <w:p w14:paraId="356318FC" w14:textId="77777777" w:rsidR="007C55BD" w:rsidRPr="007C55BD" w:rsidRDefault="007C55BD" w:rsidP="007C55BD">
            <w:pPr>
              <w:pStyle w:val="CDITable-RowCentre"/>
              <w:rPr>
                <w:lang w:val="en-GB"/>
              </w:rPr>
            </w:pPr>
            <w:r w:rsidRPr="007C55BD">
              <w:rPr>
                <w:lang w:val="en-GB"/>
              </w:rPr>
              <w:t>54</w:t>
            </w:r>
            <w:r w:rsidRPr="007C55BD">
              <w:rPr>
                <w:vertAlign w:val="superscript"/>
                <w:lang w:val="en-GB"/>
              </w:rPr>
              <w:t>h</w:t>
            </w:r>
          </w:p>
        </w:tc>
        <w:tc>
          <w:tcPr>
            <w:tcW w:w="2048" w:type="dxa"/>
            <w:tcBorders>
              <w:top w:val="single" w:sz="6" w:space="0" w:color="1E4496" w:themeColor="text2"/>
              <w:bottom w:val="single" w:sz="6" w:space="0" w:color="1E4496" w:themeColor="text2"/>
              <w:right w:val="nil"/>
            </w:tcBorders>
            <w:tcMar>
              <w:top w:w="85" w:type="dxa"/>
              <w:left w:w="113" w:type="dxa"/>
              <w:bottom w:w="85" w:type="dxa"/>
              <w:right w:w="113" w:type="dxa"/>
            </w:tcMar>
            <w:vAlign w:val="center"/>
          </w:tcPr>
          <w:p w14:paraId="35C25C6E" w14:textId="77777777" w:rsidR="007C55BD" w:rsidRPr="007C55BD" w:rsidRDefault="007C55BD" w:rsidP="007C55BD">
            <w:pPr>
              <w:pStyle w:val="CDITable-RowCentre"/>
              <w:rPr>
                <w:lang w:val="en-GB"/>
              </w:rPr>
            </w:pPr>
            <w:r w:rsidRPr="007C55BD">
              <w:rPr>
                <w:lang w:val="en-GB"/>
              </w:rPr>
              <w:t>0.60 [0.46−0.</w:t>
            </w:r>
            <w:proofErr w:type="gramStart"/>
            <w:r w:rsidRPr="007C55BD">
              <w:rPr>
                <w:lang w:val="en-GB"/>
              </w:rPr>
              <w:t>78]</w:t>
            </w:r>
            <w:r w:rsidRPr="007C55BD">
              <w:rPr>
                <w:vertAlign w:val="superscript"/>
                <w:lang w:val="en-GB"/>
              </w:rPr>
              <w:t>f</w:t>
            </w:r>
            <w:proofErr w:type="gramEnd"/>
          </w:p>
        </w:tc>
      </w:tr>
      <w:tr w:rsidR="007C55BD" w:rsidRPr="007C55BD" w14:paraId="22D443FF" w14:textId="77777777" w:rsidTr="000D2655">
        <w:trPr>
          <w:trHeight w:val="60"/>
        </w:trPr>
        <w:tc>
          <w:tcPr>
            <w:tcW w:w="4365" w:type="dxa"/>
            <w:tcBorders>
              <w:top w:val="single" w:sz="6" w:space="0" w:color="1E4496" w:themeColor="text2"/>
              <w:left w:val="nil"/>
              <w:bottom w:val="single" w:sz="6" w:space="0" w:color="1E4496" w:themeColor="text2"/>
            </w:tcBorders>
            <w:tcMar>
              <w:top w:w="85" w:type="dxa"/>
              <w:left w:w="113" w:type="dxa"/>
              <w:bottom w:w="85" w:type="dxa"/>
              <w:right w:w="113" w:type="dxa"/>
            </w:tcMar>
            <w:vAlign w:val="center"/>
          </w:tcPr>
          <w:p w14:paraId="262B9054" w14:textId="77777777" w:rsidR="007C55BD" w:rsidRPr="007C55BD" w:rsidRDefault="007C55BD" w:rsidP="007C55BD">
            <w:pPr>
              <w:pStyle w:val="CDITable-RowLeft"/>
              <w:rPr>
                <w:lang w:val="en-GB"/>
              </w:rPr>
            </w:pPr>
            <w:r w:rsidRPr="007C55BD">
              <w:rPr>
                <w:lang w:val="en-GB"/>
              </w:rPr>
              <w:t>Congenital varicella syndrome</w:t>
            </w:r>
          </w:p>
        </w:tc>
        <w:tc>
          <w:tcPr>
            <w:tcW w:w="2047" w:type="dxa"/>
            <w:tcBorders>
              <w:top w:val="single" w:sz="6" w:space="0" w:color="1E4496" w:themeColor="text2"/>
              <w:bottom w:val="single" w:sz="6" w:space="0" w:color="1E4496" w:themeColor="text2"/>
            </w:tcBorders>
            <w:tcMar>
              <w:top w:w="85" w:type="dxa"/>
              <w:left w:w="113" w:type="dxa"/>
              <w:bottom w:w="85" w:type="dxa"/>
              <w:right w:w="113" w:type="dxa"/>
            </w:tcMar>
            <w:vAlign w:val="center"/>
          </w:tcPr>
          <w:p w14:paraId="704CB1AB" w14:textId="77777777" w:rsidR="007C55BD" w:rsidRPr="007C55BD" w:rsidRDefault="007C55BD" w:rsidP="007C55BD">
            <w:pPr>
              <w:pStyle w:val="CDITable-RowCentre"/>
              <w:rPr>
                <w:lang w:val="en-GB"/>
              </w:rPr>
            </w:pPr>
            <w:r w:rsidRPr="007C55BD">
              <w:rPr>
                <w:lang w:val="en-GB"/>
              </w:rPr>
              <w:t>May 2006</w:t>
            </w:r>
          </w:p>
        </w:tc>
        <w:tc>
          <w:tcPr>
            <w:tcW w:w="2047" w:type="dxa"/>
            <w:tcBorders>
              <w:top w:val="single" w:sz="6" w:space="0" w:color="1E4496" w:themeColor="text2"/>
              <w:bottom w:val="single" w:sz="6" w:space="0" w:color="1E4496" w:themeColor="text2"/>
            </w:tcBorders>
            <w:tcMar>
              <w:top w:w="85" w:type="dxa"/>
              <w:left w:w="113" w:type="dxa"/>
              <w:bottom w:w="85" w:type="dxa"/>
              <w:right w:w="113" w:type="dxa"/>
            </w:tcMar>
            <w:vAlign w:val="center"/>
          </w:tcPr>
          <w:p w14:paraId="4948CE14" w14:textId="77777777" w:rsidR="007C55BD" w:rsidRPr="007C55BD" w:rsidRDefault="007C55BD" w:rsidP="007C55BD">
            <w:pPr>
              <w:pStyle w:val="CDITable-RowCentre"/>
              <w:rPr>
                <w:lang w:val="en-GB"/>
              </w:rPr>
            </w:pPr>
            <w:r w:rsidRPr="007C55BD">
              <w:rPr>
                <w:lang w:val="en-GB"/>
              </w:rPr>
              <w:t>0</w:t>
            </w:r>
          </w:p>
        </w:tc>
        <w:tc>
          <w:tcPr>
            <w:tcW w:w="2047" w:type="dxa"/>
            <w:tcBorders>
              <w:top w:val="single" w:sz="6" w:space="0" w:color="1E4496" w:themeColor="text2"/>
              <w:bottom w:val="single" w:sz="6" w:space="0" w:color="1E4496" w:themeColor="text2"/>
            </w:tcBorders>
            <w:tcMar>
              <w:top w:w="85" w:type="dxa"/>
              <w:left w:w="113" w:type="dxa"/>
              <w:bottom w:w="85" w:type="dxa"/>
              <w:right w:w="113" w:type="dxa"/>
            </w:tcMar>
            <w:vAlign w:val="center"/>
          </w:tcPr>
          <w:p w14:paraId="0916B0E8" w14:textId="77777777" w:rsidR="007C55BD" w:rsidRPr="007C55BD" w:rsidRDefault="007C55BD" w:rsidP="007C55BD">
            <w:pPr>
              <w:pStyle w:val="CDITable-RowCentre"/>
              <w:rPr>
                <w:lang w:val="en-GB"/>
              </w:rPr>
            </w:pPr>
            <w:r w:rsidRPr="007C55BD">
              <w:rPr>
                <w:lang w:val="en-GB"/>
              </w:rPr>
              <w:t>—</w:t>
            </w:r>
          </w:p>
        </w:tc>
        <w:tc>
          <w:tcPr>
            <w:tcW w:w="2047" w:type="dxa"/>
            <w:tcBorders>
              <w:top w:val="single" w:sz="6" w:space="0" w:color="1E4496" w:themeColor="text2"/>
              <w:bottom w:val="single" w:sz="6" w:space="0" w:color="1E4496" w:themeColor="text2"/>
            </w:tcBorders>
            <w:tcMar>
              <w:top w:w="85" w:type="dxa"/>
              <w:left w:w="113" w:type="dxa"/>
              <w:bottom w:w="85" w:type="dxa"/>
              <w:right w:w="113" w:type="dxa"/>
            </w:tcMar>
            <w:vAlign w:val="center"/>
          </w:tcPr>
          <w:p w14:paraId="468D6D60" w14:textId="77777777" w:rsidR="007C55BD" w:rsidRPr="007C55BD" w:rsidRDefault="007C55BD" w:rsidP="007C55BD">
            <w:pPr>
              <w:pStyle w:val="CDITable-RowCentre"/>
              <w:rPr>
                <w:lang w:val="en-GB"/>
              </w:rPr>
            </w:pPr>
            <w:r w:rsidRPr="007C55BD">
              <w:rPr>
                <w:lang w:val="en-GB"/>
              </w:rPr>
              <w:t>4</w:t>
            </w:r>
            <w:r w:rsidRPr="007C55BD">
              <w:rPr>
                <w:vertAlign w:val="superscript"/>
                <w:lang w:val="en-GB"/>
              </w:rPr>
              <w:t>h</w:t>
            </w:r>
          </w:p>
        </w:tc>
        <w:tc>
          <w:tcPr>
            <w:tcW w:w="2048" w:type="dxa"/>
            <w:tcBorders>
              <w:top w:val="single" w:sz="6" w:space="0" w:color="1E4496" w:themeColor="text2"/>
              <w:bottom w:val="single" w:sz="6" w:space="0" w:color="1E4496" w:themeColor="text2"/>
              <w:right w:val="nil"/>
            </w:tcBorders>
            <w:tcMar>
              <w:top w:w="85" w:type="dxa"/>
              <w:left w:w="113" w:type="dxa"/>
              <w:bottom w:w="85" w:type="dxa"/>
              <w:right w:w="113" w:type="dxa"/>
            </w:tcMar>
            <w:vAlign w:val="center"/>
          </w:tcPr>
          <w:p w14:paraId="3AA9E573" w14:textId="77777777" w:rsidR="007C55BD" w:rsidRPr="007C55BD" w:rsidRDefault="007C55BD" w:rsidP="007C55BD">
            <w:pPr>
              <w:pStyle w:val="CDITable-RowCentre"/>
              <w:rPr>
                <w:lang w:val="en-GB"/>
              </w:rPr>
            </w:pPr>
            <w:r w:rsidRPr="007C55BD">
              <w:rPr>
                <w:lang w:val="en-GB"/>
              </w:rPr>
              <w:t>—</w:t>
            </w:r>
          </w:p>
        </w:tc>
      </w:tr>
      <w:tr w:rsidR="007C55BD" w:rsidRPr="007C55BD" w14:paraId="11002D10" w14:textId="77777777" w:rsidTr="000D2655">
        <w:trPr>
          <w:trHeight w:val="60"/>
        </w:trPr>
        <w:tc>
          <w:tcPr>
            <w:tcW w:w="4365" w:type="dxa"/>
            <w:tcBorders>
              <w:top w:val="single" w:sz="6" w:space="0" w:color="1E4496" w:themeColor="text2"/>
              <w:left w:val="nil"/>
              <w:bottom w:val="single" w:sz="6" w:space="0" w:color="1E4496" w:themeColor="text2"/>
            </w:tcBorders>
            <w:tcMar>
              <w:top w:w="85" w:type="dxa"/>
              <w:left w:w="113" w:type="dxa"/>
              <w:bottom w:w="85" w:type="dxa"/>
              <w:right w:w="113" w:type="dxa"/>
            </w:tcMar>
            <w:vAlign w:val="center"/>
          </w:tcPr>
          <w:p w14:paraId="44415199" w14:textId="77777777" w:rsidR="007C55BD" w:rsidRPr="007C55BD" w:rsidRDefault="007C55BD" w:rsidP="007C55BD">
            <w:pPr>
              <w:pStyle w:val="CDITable-RowLeft"/>
              <w:rPr>
                <w:lang w:val="en-GB"/>
              </w:rPr>
            </w:pPr>
            <w:r w:rsidRPr="007C55BD">
              <w:rPr>
                <w:lang w:val="en-GB"/>
              </w:rPr>
              <w:t>Neonatal varicella</w:t>
            </w:r>
          </w:p>
        </w:tc>
        <w:tc>
          <w:tcPr>
            <w:tcW w:w="2047" w:type="dxa"/>
            <w:tcBorders>
              <w:top w:val="single" w:sz="6" w:space="0" w:color="1E4496" w:themeColor="text2"/>
              <w:bottom w:val="single" w:sz="6" w:space="0" w:color="1E4496" w:themeColor="text2"/>
            </w:tcBorders>
            <w:tcMar>
              <w:top w:w="85" w:type="dxa"/>
              <w:left w:w="113" w:type="dxa"/>
              <w:bottom w:w="85" w:type="dxa"/>
              <w:right w:w="113" w:type="dxa"/>
            </w:tcMar>
            <w:vAlign w:val="center"/>
          </w:tcPr>
          <w:p w14:paraId="18E42AC2" w14:textId="77777777" w:rsidR="007C55BD" w:rsidRPr="007C55BD" w:rsidRDefault="007C55BD" w:rsidP="007C55BD">
            <w:pPr>
              <w:pStyle w:val="CDITable-RowCentre"/>
              <w:rPr>
                <w:lang w:val="en-GB"/>
              </w:rPr>
            </w:pPr>
            <w:r w:rsidRPr="007C55BD">
              <w:rPr>
                <w:lang w:val="en-GB"/>
              </w:rPr>
              <w:t>May 2006</w:t>
            </w:r>
          </w:p>
        </w:tc>
        <w:tc>
          <w:tcPr>
            <w:tcW w:w="2047" w:type="dxa"/>
            <w:tcBorders>
              <w:top w:val="single" w:sz="6" w:space="0" w:color="1E4496" w:themeColor="text2"/>
              <w:bottom w:val="single" w:sz="6" w:space="0" w:color="1E4496" w:themeColor="text2"/>
            </w:tcBorders>
            <w:tcMar>
              <w:top w:w="85" w:type="dxa"/>
              <w:left w:w="113" w:type="dxa"/>
              <w:bottom w:w="85" w:type="dxa"/>
              <w:right w:w="113" w:type="dxa"/>
            </w:tcMar>
            <w:vAlign w:val="center"/>
          </w:tcPr>
          <w:p w14:paraId="04491598" w14:textId="77777777" w:rsidR="007C55BD" w:rsidRPr="007C55BD" w:rsidRDefault="007C55BD" w:rsidP="007C55BD">
            <w:pPr>
              <w:pStyle w:val="CDITable-RowCentre"/>
              <w:rPr>
                <w:lang w:val="en-GB"/>
              </w:rPr>
            </w:pPr>
            <w:r w:rsidRPr="007C55BD">
              <w:rPr>
                <w:lang w:val="en-GB"/>
              </w:rPr>
              <w:t>3</w:t>
            </w:r>
          </w:p>
        </w:tc>
        <w:tc>
          <w:tcPr>
            <w:tcW w:w="2047" w:type="dxa"/>
            <w:tcBorders>
              <w:top w:val="single" w:sz="6" w:space="0" w:color="1E4496" w:themeColor="text2"/>
              <w:bottom w:val="single" w:sz="6" w:space="0" w:color="1E4496" w:themeColor="text2"/>
            </w:tcBorders>
            <w:tcMar>
              <w:top w:w="85" w:type="dxa"/>
              <w:left w:w="113" w:type="dxa"/>
              <w:bottom w:w="85" w:type="dxa"/>
              <w:right w:w="113" w:type="dxa"/>
            </w:tcMar>
            <w:vAlign w:val="center"/>
          </w:tcPr>
          <w:p w14:paraId="02CE15C7" w14:textId="77777777" w:rsidR="007C55BD" w:rsidRPr="007C55BD" w:rsidRDefault="007C55BD" w:rsidP="007C55BD">
            <w:pPr>
              <w:pStyle w:val="CDITable-RowCentre"/>
              <w:rPr>
                <w:lang w:val="en-GB"/>
              </w:rPr>
            </w:pPr>
            <w:r w:rsidRPr="007C55BD">
              <w:rPr>
                <w:lang w:val="en-GB"/>
              </w:rPr>
              <w:t>—</w:t>
            </w:r>
          </w:p>
        </w:tc>
        <w:tc>
          <w:tcPr>
            <w:tcW w:w="2047" w:type="dxa"/>
            <w:tcBorders>
              <w:top w:val="single" w:sz="6" w:space="0" w:color="1E4496" w:themeColor="text2"/>
              <w:bottom w:val="single" w:sz="6" w:space="0" w:color="1E4496" w:themeColor="text2"/>
            </w:tcBorders>
            <w:tcMar>
              <w:top w:w="85" w:type="dxa"/>
              <w:left w:w="113" w:type="dxa"/>
              <w:bottom w:w="85" w:type="dxa"/>
              <w:right w:w="113" w:type="dxa"/>
            </w:tcMar>
            <w:vAlign w:val="center"/>
          </w:tcPr>
          <w:p w14:paraId="3726378E" w14:textId="77777777" w:rsidR="007C55BD" w:rsidRPr="007C55BD" w:rsidRDefault="007C55BD" w:rsidP="007C55BD">
            <w:pPr>
              <w:pStyle w:val="CDITable-RowCentre"/>
              <w:rPr>
                <w:lang w:val="en-GB"/>
              </w:rPr>
            </w:pPr>
            <w:r w:rsidRPr="007C55BD">
              <w:rPr>
                <w:lang w:val="en-GB"/>
              </w:rPr>
              <w:t>36</w:t>
            </w:r>
          </w:p>
        </w:tc>
        <w:tc>
          <w:tcPr>
            <w:tcW w:w="2048" w:type="dxa"/>
            <w:tcBorders>
              <w:top w:val="single" w:sz="6" w:space="0" w:color="1E4496" w:themeColor="text2"/>
              <w:bottom w:val="single" w:sz="6" w:space="0" w:color="1E4496" w:themeColor="text2"/>
              <w:right w:val="nil"/>
            </w:tcBorders>
            <w:tcMar>
              <w:top w:w="85" w:type="dxa"/>
              <w:left w:w="113" w:type="dxa"/>
              <w:bottom w:w="85" w:type="dxa"/>
              <w:right w:w="113" w:type="dxa"/>
            </w:tcMar>
            <w:vAlign w:val="center"/>
          </w:tcPr>
          <w:p w14:paraId="502E0845" w14:textId="77777777" w:rsidR="007C55BD" w:rsidRPr="007C55BD" w:rsidRDefault="007C55BD" w:rsidP="007C55BD">
            <w:pPr>
              <w:pStyle w:val="CDITable-RowCentre"/>
              <w:rPr>
                <w:lang w:val="en-GB"/>
              </w:rPr>
            </w:pPr>
            <w:r w:rsidRPr="007C55BD">
              <w:rPr>
                <w:lang w:val="en-GB"/>
              </w:rPr>
              <w:t>0.60 [0.44−0.</w:t>
            </w:r>
            <w:proofErr w:type="gramStart"/>
            <w:r w:rsidRPr="007C55BD">
              <w:rPr>
                <w:lang w:val="en-GB"/>
              </w:rPr>
              <w:t>84]</w:t>
            </w:r>
            <w:r w:rsidRPr="007C55BD">
              <w:rPr>
                <w:vertAlign w:val="superscript"/>
                <w:lang w:val="en-GB"/>
              </w:rPr>
              <w:t>f</w:t>
            </w:r>
            <w:proofErr w:type="gramEnd"/>
          </w:p>
        </w:tc>
      </w:tr>
    </w:tbl>
    <w:p w14:paraId="5AA3FF72" w14:textId="77777777" w:rsidR="00CE3341" w:rsidRPr="00CE3341" w:rsidRDefault="00CE3341" w:rsidP="00CE3341">
      <w:pPr>
        <w:pStyle w:val="CDITable-FirstFootnote"/>
        <w:rPr>
          <w:lang w:val="en-GB"/>
        </w:rPr>
      </w:pPr>
      <w:proofErr w:type="gramStart"/>
      <w:r w:rsidRPr="00CE3341">
        <w:rPr>
          <w:lang w:val="en-GB"/>
        </w:rPr>
        <w:t>a</w:t>
      </w:r>
      <w:proofErr w:type="gramEnd"/>
      <w:r w:rsidRPr="00CE3341">
        <w:rPr>
          <w:lang w:val="en-GB"/>
        </w:rPr>
        <w:tab/>
        <w:t>Incidence estimate or birth prevalence was not calculated for case numbers &lt; 10, as they were considered unreliable.</w:t>
      </w:r>
    </w:p>
    <w:p w14:paraId="608B9FF7" w14:textId="77777777" w:rsidR="00CE3341" w:rsidRPr="00CE3341" w:rsidRDefault="00CE3341" w:rsidP="00CE3341">
      <w:pPr>
        <w:pStyle w:val="CDITable-Footnote"/>
        <w:rPr>
          <w:lang w:val="en-GB"/>
        </w:rPr>
      </w:pPr>
      <w:r w:rsidRPr="00CE3341">
        <w:rPr>
          <w:lang w:val="en-GB"/>
        </w:rPr>
        <w:t>b</w:t>
      </w:r>
      <w:r w:rsidRPr="00CE3341">
        <w:rPr>
          <w:lang w:val="en-GB"/>
        </w:rPr>
        <w:tab/>
        <w:t>95% CI: 95% confidence interval.</w:t>
      </w:r>
    </w:p>
    <w:p w14:paraId="6784A19E" w14:textId="77777777" w:rsidR="00CE3341" w:rsidRPr="00CE3341" w:rsidRDefault="00CE3341" w:rsidP="00CE3341">
      <w:pPr>
        <w:pStyle w:val="CDITable-Footnote"/>
        <w:rPr>
          <w:lang w:val="en-GB"/>
        </w:rPr>
      </w:pPr>
      <w:r w:rsidRPr="00CE3341">
        <w:rPr>
          <w:lang w:val="en-GB"/>
        </w:rPr>
        <w:t>c</w:t>
      </w:r>
      <w:r w:rsidRPr="00CE3341">
        <w:rPr>
          <w:lang w:val="en-GB"/>
        </w:rPr>
        <w:tab/>
        <w:t>Includes all cases of acute flaccid paralysis (AFP) reported via the APSU and Paediatric Active Enhanced Disease Surveillance (PAEDS) surveillance systems. All cases were classified by the Polio Expert Panel as ‘non-polio AFP’ according to World Health Organization (WHO) criteria.</w:t>
      </w:r>
      <w:r w:rsidRPr="00CE3341">
        <w:rPr>
          <w:vertAlign w:val="superscript"/>
          <w:lang w:val="en-GB"/>
        </w:rPr>
        <w:t>4,6</w:t>
      </w:r>
    </w:p>
    <w:p w14:paraId="663910E6" w14:textId="77777777" w:rsidR="00CE3341" w:rsidRPr="00CE3341" w:rsidRDefault="00CE3341" w:rsidP="00CE3341">
      <w:pPr>
        <w:pStyle w:val="CDITable-Footnote"/>
        <w:rPr>
          <w:lang w:val="en-GB"/>
        </w:rPr>
      </w:pPr>
      <w:r w:rsidRPr="00CE3341">
        <w:rPr>
          <w:lang w:val="en-GB"/>
        </w:rPr>
        <w:t>d</w:t>
      </w:r>
      <w:r w:rsidRPr="00CE3341">
        <w:rPr>
          <w:lang w:val="en-GB"/>
        </w:rPr>
        <w:tab/>
        <w:t>Note: the reporting period for AFP case notifications was that the date of symptom onset occurred between 1 January and 31 December 2025, in line with National Enterovirus Reference Laboratory reporting of AFP cases ascertained by APSU and PAEDS surveillance systems to WHO.</w:t>
      </w:r>
      <w:r w:rsidRPr="00CE3341">
        <w:rPr>
          <w:vertAlign w:val="superscript"/>
          <w:lang w:val="en-GB"/>
        </w:rPr>
        <w:t>7</w:t>
      </w:r>
    </w:p>
    <w:p w14:paraId="364A33FA" w14:textId="77777777" w:rsidR="00CE3341" w:rsidRPr="00CE3341" w:rsidRDefault="00CE3341" w:rsidP="00CE3341">
      <w:pPr>
        <w:pStyle w:val="CDITable-Footnote"/>
        <w:rPr>
          <w:lang w:val="en-GB"/>
        </w:rPr>
      </w:pPr>
      <w:r w:rsidRPr="00CE3341">
        <w:rPr>
          <w:lang w:val="en-GB"/>
        </w:rPr>
        <w:t>e</w:t>
      </w:r>
      <w:r w:rsidRPr="00CE3341">
        <w:rPr>
          <w:lang w:val="en-GB"/>
        </w:rPr>
        <w:tab/>
        <w:t>Based on population of children aged &lt; 15 years.</w:t>
      </w:r>
      <w:r w:rsidRPr="00CE3341">
        <w:rPr>
          <w:vertAlign w:val="superscript"/>
          <w:lang w:val="en-GB"/>
        </w:rPr>
        <w:t>8</w:t>
      </w:r>
    </w:p>
    <w:p w14:paraId="57B8D14A" w14:textId="77777777" w:rsidR="00CE3341" w:rsidRPr="00CE3341" w:rsidRDefault="00CE3341" w:rsidP="00CE3341">
      <w:pPr>
        <w:pStyle w:val="CDITable-Footnote"/>
        <w:rPr>
          <w:lang w:val="en-GB"/>
        </w:rPr>
      </w:pPr>
      <w:r w:rsidRPr="00CE3341">
        <w:rPr>
          <w:lang w:val="en-GB"/>
        </w:rPr>
        <w:t>f</w:t>
      </w:r>
      <w:r w:rsidRPr="00CE3341">
        <w:rPr>
          <w:lang w:val="en-GB"/>
        </w:rPr>
        <w:tab/>
        <w:t>Based on number of live births.</w:t>
      </w:r>
      <w:r w:rsidRPr="00CE3341">
        <w:rPr>
          <w:vertAlign w:val="superscript"/>
          <w:lang w:val="en-GB"/>
        </w:rPr>
        <w:t>9</w:t>
      </w:r>
    </w:p>
    <w:p w14:paraId="6841EB0F" w14:textId="77777777" w:rsidR="00CE3341" w:rsidRPr="00CE3341" w:rsidRDefault="00CE3341" w:rsidP="00CE3341">
      <w:pPr>
        <w:pStyle w:val="CDITable-Footnote"/>
        <w:rPr>
          <w:lang w:val="en-GB"/>
        </w:rPr>
      </w:pPr>
      <w:r w:rsidRPr="00CE3341">
        <w:rPr>
          <w:lang w:val="en-GB"/>
        </w:rPr>
        <w:t>g</w:t>
      </w:r>
      <w:r w:rsidRPr="00CE3341">
        <w:rPr>
          <w:lang w:val="en-GB"/>
        </w:rPr>
        <w:tab/>
        <w:t>Based on population of children aged &lt; 16 years.</w:t>
      </w:r>
      <w:r w:rsidRPr="00CE3341">
        <w:rPr>
          <w:vertAlign w:val="superscript"/>
          <w:lang w:val="en-GB"/>
        </w:rPr>
        <w:t>8</w:t>
      </w:r>
    </w:p>
    <w:p w14:paraId="7AAF52F1" w14:textId="1818CB28" w:rsidR="00AC46DC" w:rsidRDefault="00CE3341" w:rsidP="00CE3341">
      <w:pPr>
        <w:pStyle w:val="CDITable-Footnote"/>
        <w:rPr>
          <w:lang w:val="en-GB"/>
        </w:rPr>
      </w:pPr>
      <w:r w:rsidRPr="00CE3341">
        <w:rPr>
          <w:lang w:val="en-GB"/>
        </w:rPr>
        <w:t>h</w:t>
      </w:r>
      <w:r w:rsidRPr="00CE3341">
        <w:rPr>
          <w:lang w:val="en-GB"/>
        </w:rPr>
        <w:tab/>
        <w:t>Includes both definite and probable cases.</w:t>
      </w:r>
    </w:p>
    <w:p w14:paraId="51CB1E28" w14:textId="77777777" w:rsidR="00F071CC" w:rsidRPr="00F071CC" w:rsidRDefault="00F071CC" w:rsidP="00F071CC">
      <w:pPr>
        <w:pStyle w:val="CDITable-Title"/>
        <w:rPr>
          <w:lang w:val="en-GB"/>
        </w:rPr>
      </w:pPr>
      <w:r w:rsidRPr="00F071CC">
        <w:rPr>
          <w:lang w:val="en-GB"/>
        </w:rPr>
        <w:t>Table 2: Demographic, clinical, management characteristics, risk factors and outcomes of confirmed cases reported to the Australian Paediatric Surveillance Unit (APSU) during the period 1 January – 31 December 2025, by communicable disease and complication of communicable disease</w:t>
      </w:r>
    </w:p>
    <w:tbl>
      <w:tblPr>
        <w:tblW w:w="14626" w:type="dxa"/>
        <w:tblLayout w:type="fixed"/>
        <w:tblCellMar>
          <w:left w:w="0" w:type="dxa"/>
          <w:right w:w="0" w:type="dxa"/>
        </w:tblCellMar>
        <w:tblLook w:val="0000" w:firstRow="0" w:lastRow="0" w:firstColumn="0" w:lastColumn="0" w:noHBand="0" w:noVBand="0"/>
        <w:tblCaption w:val="Table 2: Demographic, clinical, management characteristics, risk factors and outcomes of confirmed cases reported to the Australian Paediatric Surveillance Unit (APSU) during the period 1 January – 31 December 2025, by communicable disease and complication of communicable disease"/>
        <w:tblDescription w:val="Table 2 has three columns. The first column lists each of the seven conditions under surveillance in this report (one per row). The second column contains a brief case definition for each of the seven conditions under surveillance, including the upper age limit (one per row). The third column contains a description of the number of notifications received by the APSU for each of the seven conditions under surveillance in 2025, as well as the number of confirmed cases and their demographics (state or territory of residence and Indigenous status), clinical features, management or treatment, risk factors for the condition and outcomes (how many died and how many survivors had ongoing issues and/or sequelae) (one per row)."/>
      </w:tblPr>
      <w:tblGrid>
        <w:gridCol w:w="2551"/>
        <w:gridCol w:w="3118"/>
        <w:gridCol w:w="8957"/>
      </w:tblGrid>
      <w:tr w:rsidR="007C55BD" w:rsidRPr="007C55BD" w14:paraId="25BE4DA7" w14:textId="77777777" w:rsidTr="000D2655">
        <w:trPr>
          <w:trHeight w:val="60"/>
          <w:tblHeader/>
        </w:trPr>
        <w:tc>
          <w:tcPr>
            <w:tcW w:w="2551" w:type="dxa"/>
            <w:tcBorders>
              <w:top w:val="nil"/>
              <w:left w:val="nil"/>
            </w:tcBorders>
            <w:shd w:val="clear" w:color="auto" w:fill="1E4496" w:themeFill="text2"/>
            <w:tcMar>
              <w:top w:w="85" w:type="dxa"/>
              <w:left w:w="113" w:type="dxa"/>
              <w:bottom w:w="85" w:type="dxa"/>
              <w:right w:w="113" w:type="dxa"/>
            </w:tcMar>
            <w:vAlign w:val="bottom"/>
          </w:tcPr>
          <w:p w14:paraId="453AEB27" w14:textId="5B6A5FF4" w:rsidR="007C55BD" w:rsidRPr="007C55BD" w:rsidRDefault="007C55BD" w:rsidP="007C55BD">
            <w:pPr>
              <w:pStyle w:val="CDITable-HeaderRowLeft"/>
              <w:rPr>
                <w:lang w:val="en-GB"/>
              </w:rPr>
            </w:pPr>
            <w:r w:rsidRPr="007C55BD">
              <w:rPr>
                <w:lang w:val="en-GB"/>
              </w:rPr>
              <w:t>Communicable disease or</w:t>
            </w:r>
            <w:r>
              <w:rPr>
                <w:lang w:val="en-GB"/>
              </w:rPr>
              <w:t> </w:t>
            </w:r>
            <w:r w:rsidRPr="007C55BD">
              <w:rPr>
                <w:lang w:val="en-GB"/>
              </w:rPr>
              <w:t>complication</w:t>
            </w:r>
          </w:p>
        </w:tc>
        <w:tc>
          <w:tcPr>
            <w:tcW w:w="3118" w:type="dxa"/>
            <w:tcBorders>
              <w:top w:val="nil"/>
            </w:tcBorders>
            <w:shd w:val="clear" w:color="auto" w:fill="1E4496" w:themeFill="text2"/>
            <w:tcMar>
              <w:top w:w="85" w:type="dxa"/>
              <w:left w:w="113" w:type="dxa"/>
              <w:bottom w:w="85" w:type="dxa"/>
              <w:right w:w="113" w:type="dxa"/>
            </w:tcMar>
            <w:vAlign w:val="bottom"/>
          </w:tcPr>
          <w:p w14:paraId="005C14FB" w14:textId="77777777" w:rsidR="007C55BD" w:rsidRPr="007C55BD" w:rsidRDefault="007C55BD" w:rsidP="007C55BD">
            <w:pPr>
              <w:pStyle w:val="CDITable-HeaderRowLeft"/>
              <w:rPr>
                <w:lang w:val="en-GB"/>
              </w:rPr>
            </w:pPr>
            <w:r w:rsidRPr="007C55BD">
              <w:rPr>
                <w:lang w:val="en-GB"/>
              </w:rPr>
              <w:t>Case definition (in brief)</w:t>
            </w:r>
          </w:p>
        </w:tc>
        <w:tc>
          <w:tcPr>
            <w:tcW w:w="8957" w:type="dxa"/>
            <w:tcBorders>
              <w:top w:val="nil"/>
              <w:right w:val="nil"/>
            </w:tcBorders>
            <w:shd w:val="clear" w:color="auto" w:fill="1E4496" w:themeFill="text2"/>
            <w:tcMar>
              <w:top w:w="85" w:type="dxa"/>
              <w:left w:w="113" w:type="dxa"/>
              <w:bottom w:w="85" w:type="dxa"/>
              <w:right w:w="113" w:type="dxa"/>
            </w:tcMar>
            <w:vAlign w:val="bottom"/>
          </w:tcPr>
          <w:p w14:paraId="679DA48B" w14:textId="77777777" w:rsidR="007C55BD" w:rsidRPr="007C55BD" w:rsidRDefault="007C55BD" w:rsidP="007C55BD">
            <w:pPr>
              <w:pStyle w:val="CDITable-HeaderRowLeft"/>
              <w:rPr>
                <w:lang w:val="en-GB"/>
              </w:rPr>
            </w:pPr>
            <w:r w:rsidRPr="007C55BD">
              <w:rPr>
                <w:lang w:val="en-GB"/>
              </w:rPr>
              <w:t>Demographics, clinical features, management, risk factors and outcomes</w:t>
            </w:r>
          </w:p>
        </w:tc>
      </w:tr>
      <w:tr w:rsidR="007C55BD" w:rsidRPr="007C55BD" w14:paraId="55EAE801" w14:textId="77777777" w:rsidTr="000D2655">
        <w:trPr>
          <w:trHeight w:val="60"/>
        </w:trPr>
        <w:tc>
          <w:tcPr>
            <w:tcW w:w="2551" w:type="dxa"/>
            <w:tcBorders>
              <w:left w:val="nil"/>
              <w:bottom w:val="single" w:sz="6" w:space="0" w:color="1E4496" w:themeColor="text2"/>
            </w:tcBorders>
            <w:tcMar>
              <w:top w:w="85" w:type="dxa"/>
              <w:left w:w="113" w:type="dxa"/>
              <w:bottom w:w="85" w:type="dxa"/>
              <w:right w:w="113" w:type="dxa"/>
            </w:tcMar>
            <w:vAlign w:val="center"/>
          </w:tcPr>
          <w:p w14:paraId="10B5C9C6" w14:textId="77777777" w:rsidR="007C55BD" w:rsidRPr="007C55BD" w:rsidRDefault="007C55BD" w:rsidP="007C55BD">
            <w:pPr>
              <w:pStyle w:val="CDITable-RowLeft"/>
              <w:rPr>
                <w:lang w:val="en-GB"/>
              </w:rPr>
            </w:pPr>
            <w:r w:rsidRPr="007C55BD">
              <w:rPr>
                <w:lang w:val="en-GB"/>
              </w:rPr>
              <w:t xml:space="preserve">Acute flaccid </w:t>
            </w:r>
            <w:proofErr w:type="spellStart"/>
            <w:proofErr w:type="gramStart"/>
            <w:r w:rsidRPr="007C55BD">
              <w:rPr>
                <w:lang w:val="en-GB"/>
              </w:rPr>
              <w:t>paralysis</w:t>
            </w:r>
            <w:r w:rsidRPr="007C55BD">
              <w:rPr>
                <w:vertAlign w:val="superscript"/>
                <w:lang w:val="en-GB"/>
              </w:rPr>
              <w:t>a,b</w:t>
            </w:r>
            <w:proofErr w:type="spellEnd"/>
            <w:proofErr w:type="gramEnd"/>
          </w:p>
        </w:tc>
        <w:tc>
          <w:tcPr>
            <w:tcW w:w="3118" w:type="dxa"/>
            <w:tcBorders>
              <w:bottom w:val="single" w:sz="6" w:space="0" w:color="1E4496" w:themeColor="text2"/>
            </w:tcBorders>
            <w:tcMar>
              <w:top w:w="85" w:type="dxa"/>
              <w:left w:w="113" w:type="dxa"/>
              <w:bottom w:w="85" w:type="dxa"/>
              <w:right w:w="113" w:type="dxa"/>
            </w:tcMar>
            <w:vAlign w:val="center"/>
          </w:tcPr>
          <w:p w14:paraId="290A7D0F" w14:textId="77777777" w:rsidR="007C55BD" w:rsidRPr="007C55BD" w:rsidRDefault="007C55BD" w:rsidP="007C55BD">
            <w:pPr>
              <w:pStyle w:val="CDITable-RowLeft"/>
              <w:rPr>
                <w:lang w:val="en-GB"/>
              </w:rPr>
            </w:pPr>
            <w:r w:rsidRPr="007C55BD">
              <w:rPr>
                <w:lang w:val="en-GB"/>
              </w:rPr>
              <w:t>Any child aged &lt; 15 years with acute flaccid paralysis in one or more limbs or acute onset of bulbar paralysis</w:t>
            </w:r>
          </w:p>
        </w:tc>
        <w:tc>
          <w:tcPr>
            <w:tcW w:w="8957" w:type="dxa"/>
            <w:tcBorders>
              <w:bottom w:val="single" w:sz="6" w:space="0" w:color="1E4496" w:themeColor="text2"/>
              <w:right w:val="nil"/>
            </w:tcBorders>
            <w:tcMar>
              <w:top w:w="85" w:type="dxa"/>
              <w:left w:w="113" w:type="dxa"/>
              <w:bottom w:w="85" w:type="dxa"/>
              <w:right w:w="113" w:type="dxa"/>
            </w:tcMar>
            <w:vAlign w:val="center"/>
          </w:tcPr>
          <w:p w14:paraId="126C70E8" w14:textId="77777777" w:rsidR="007C55BD" w:rsidRPr="007C55BD" w:rsidRDefault="007C55BD" w:rsidP="007C55BD">
            <w:pPr>
              <w:pStyle w:val="CDITable-RowBullets"/>
              <w:spacing w:before="0"/>
              <w:rPr>
                <w:lang w:val="en-GB"/>
              </w:rPr>
            </w:pPr>
            <w:r w:rsidRPr="007C55BD">
              <w:rPr>
                <w:lang w:val="en-GB"/>
              </w:rPr>
              <w:t xml:space="preserve">Of 94 notifications, 76 children were confirmed as non-polio acute flaccid paralysis (AFP) incident </w:t>
            </w:r>
            <w:proofErr w:type="spellStart"/>
            <w:proofErr w:type="gramStart"/>
            <w:r w:rsidRPr="007C55BD">
              <w:rPr>
                <w:lang w:val="en-GB"/>
              </w:rPr>
              <w:t>cases;</w:t>
            </w:r>
            <w:r w:rsidRPr="007C55BD">
              <w:rPr>
                <w:vertAlign w:val="superscript"/>
                <w:lang w:val="en-GB"/>
              </w:rPr>
              <w:t>a</w:t>
            </w:r>
            <w:proofErr w:type="spellEnd"/>
            <w:proofErr w:type="gramEnd"/>
            <w:r w:rsidRPr="007C55BD">
              <w:rPr>
                <w:lang w:val="en-GB"/>
              </w:rPr>
              <w:t xml:space="preserve"> 16 were duplicate reports; and two were reporting errors outside of case definition (age ≥ 15 years). Confirmed AFP cases were reported from: Victoria (30); New South Wales (20); Queensland (13); Western Australia (5); Northern Territory (4); South Australia (2); and Tasmania (2). No cases were reported from the Australian Capital Territory. Six children were Indigenous.</w:t>
            </w:r>
          </w:p>
          <w:p w14:paraId="6534408E" w14:textId="77777777" w:rsidR="007C55BD" w:rsidRPr="007C55BD" w:rsidRDefault="007C55BD" w:rsidP="007C55BD">
            <w:pPr>
              <w:pStyle w:val="CDITable-RowBullets"/>
              <w:rPr>
                <w:lang w:val="en-GB"/>
              </w:rPr>
            </w:pPr>
            <w:r w:rsidRPr="007C55BD">
              <w:rPr>
                <w:lang w:val="en-GB"/>
              </w:rPr>
              <w:t>The most common diagnoses assigned by the Polio Expert Panel (PEP)</w:t>
            </w:r>
            <w:proofErr w:type="gramStart"/>
            <w:r w:rsidRPr="007C55BD">
              <w:rPr>
                <w:vertAlign w:val="superscript"/>
                <w:lang w:val="en-GB"/>
              </w:rPr>
              <w:t>a</w:t>
            </w:r>
            <w:r w:rsidRPr="007C55BD">
              <w:rPr>
                <w:lang w:val="en-GB"/>
              </w:rPr>
              <w:t xml:space="preserve"> for</w:t>
            </w:r>
            <w:proofErr w:type="gramEnd"/>
            <w:r w:rsidRPr="007C55BD">
              <w:rPr>
                <w:lang w:val="en-GB"/>
              </w:rPr>
              <w:t xml:space="preserve"> the 76 non-polio AFP cases were: Guillain-Barré syndrome in 33 children (43%); transverse myelitis in 13 (17%); acute disseminated encephalomyelitis (ADEM) in six (8%); and functional neurological disorder in four children (5%).</w:t>
            </w:r>
          </w:p>
          <w:p w14:paraId="209D8458" w14:textId="77777777" w:rsidR="007C55BD" w:rsidRPr="007C55BD" w:rsidRDefault="007C55BD" w:rsidP="007C55BD">
            <w:pPr>
              <w:pStyle w:val="CDITable-RowBullets"/>
              <w:rPr>
                <w:lang w:val="en-GB"/>
              </w:rPr>
            </w:pPr>
            <w:r w:rsidRPr="007C55BD">
              <w:rPr>
                <w:lang w:val="en-GB"/>
              </w:rPr>
              <w:t>‘Adequate’ stool samples, which the World Health Organization (WHO) defines as two faecal specimens collected at least 24 hours apart and within 14 days of onset of paralysis in ≥ 80% of cases,</w:t>
            </w:r>
            <w:r w:rsidRPr="007C55BD">
              <w:rPr>
                <w:vertAlign w:val="superscript"/>
                <w:lang w:val="en-GB"/>
              </w:rPr>
              <w:t>4,6</w:t>
            </w:r>
            <w:r w:rsidRPr="007C55BD">
              <w:rPr>
                <w:lang w:val="en-GB"/>
              </w:rPr>
              <w:t xml:space="preserve"> were collected from 46/76 (61%) children with confirmed non-polio AFP.</w:t>
            </w:r>
          </w:p>
        </w:tc>
      </w:tr>
      <w:tr w:rsidR="007C55BD" w:rsidRPr="007C55BD" w14:paraId="26384FC4" w14:textId="77777777" w:rsidTr="000D2655">
        <w:trPr>
          <w:trHeight w:val="60"/>
        </w:trPr>
        <w:tc>
          <w:tcPr>
            <w:tcW w:w="2551" w:type="dxa"/>
            <w:tcBorders>
              <w:top w:val="single" w:sz="6" w:space="0" w:color="1E4496" w:themeColor="text2"/>
              <w:left w:val="nil"/>
              <w:bottom w:val="single" w:sz="6" w:space="0" w:color="1E4496" w:themeColor="text2"/>
            </w:tcBorders>
            <w:tcMar>
              <w:top w:w="85" w:type="dxa"/>
              <w:left w:w="113" w:type="dxa"/>
              <w:bottom w:w="85" w:type="dxa"/>
              <w:right w:w="113" w:type="dxa"/>
            </w:tcMar>
            <w:vAlign w:val="center"/>
          </w:tcPr>
          <w:p w14:paraId="2FD34582" w14:textId="77777777" w:rsidR="007C55BD" w:rsidRPr="007C55BD" w:rsidRDefault="007C55BD" w:rsidP="007C55BD">
            <w:pPr>
              <w:pStyle w:val="CDITable-RowLeft"/>
              <w:rPr>
                <w:lang w:val="en-GB"/>
              </w:rPr>
            </w:pPr>
            <w:r w:rsidRPr="007C55BD">
              <w:rPr>
                <w:lang w:val="en-GB"/>
              </w:rPr>
              <w:t>Perinatal exposure to human immunodeficiency virus (HIV)</w:t>
            </w:r>
          </w:p>
        </w:tc>
        <w:tc>
          <w:tcPr>
            <w:tcW w:w="3118" w:type="dxa"/>
            <w:tcBorders>
              <w:top w:val="single" w:sz="6" w:space="0" w:color="1E4496" w:themeColor="text2"/>
              <w:bottom w:val="single" w:sz="6" w:space="0" w:color="1E4496" w:themeColor="text2"/>
            </w:tcBorders>
            <w:tcMar>
              <w:top w:w="85" w:type="dxa"/>
              <w:left w:w="113" w:type="dxa"/>
              <w:bottom w:w="85" w:type="dxa"/>
              <w:right w:w="113" w:type="dxa"/>
            </w:tcMar>
            <w:vAlign w:val="center"/>
          </w:tcPr>
          <w:p w14:paraId="571E4938" w14:textId="77777777" w:rsidR="007C55BD" w:rsidRPr="007C55BD" w:rsidRDefault="007C55BD" w:rsidP="007C55BD">
            <w:pPr>
              <w:pStyle w:val="CDITable-RowLeft"/>
              <w:rPr>
                <w:lang w:val="en-GB"/>
              </w:rPr>
            </w:pPr>
            <w:r w:rsidRPr="007C55BD">
              <w:rPr>
                <w:lang w:val="en-GB"/>
              </w:rPr>
              <w:t xml:space="preserve">Any infant born to a woman with diagnosed HIV infection, including by </w:t>
            </w:r>
            <w:r w:rsidRPr="007C55BD">
              <w:rPr>
                <w:i/>
                <w:iCs/>
                <w:lang w:val="en-GB"/>
              </w:rPr>
              <w:t>in utero</w:t>
            </w:r>
            <w:r w:rsidRPr="007C55BD">
              <w:rPr>
                <w:lang w:val="en-GB"/>
              </w:rPr>
              <w:t xml:space="preserve"> exposure or through breastfeeding</w:t>
            </w:r>
          </w:p>
        </w:tc>
        <w:tc>
          <w:tcPr>
            <w:tcW w:w="8957" w:type="dxa"/>
            <w:tcBorders>
              <w:top w:val="single" w:sz="6" w:space="0" w:color="1E4496" w:themeColor="text2"/>
              <w:bottom w:val="single" w:sz="6" w:space="0" w:color="1E4496" w:themeColor="text2"/>
              <w:right w:val="nil"/>
            </w:tcBorders>
            <w:tcMar>
              <w:top w:w="85" w:type="dxa"/>
              <w:left w:w="113" w:type="dxa"/>
              <w:bottom w:w="85" w:type="dxa"/>
              <w:right w:w="113" w:type="dxa"/>
            </w:tcMar>
            <w:vAlign w:val="center"/>
          </w:tcPr>
          <w:p w14:paraId="3FEBBDA3" w14:textId="77777777" w:rsidR="007C55BD" w:rsidRPr="007C55BD" w:rsidRDefault="007C55BD" w:rsidP="00DC1AA9">
            <w:pPr>
              <w:pStyle w:val="CDITable-RowBullets"/>
              <w:spacing w:before="0"/>
              <w:rPr>
                <w:lang w:val="en-GB"/>
              </w:rPr>
            </w:pPr>
            <w:r w:rsidRPr="007C55BD">
              <w:rPr>
                <w:lang w:val="en-GB"/>
              </w:rPr>
              <w:t>Of 26 notifications, 20 infants were confirmed as incident cases born in 2025; four were historical (prevalent) cases born before 2025; one was a duplicate report; and one was a reporting error (the mother had a false positive HIV test result). Incident cases born in 2025 were reported from: New South Wales (11); Queensland (7); Victoria (1); and the Australian Capital Territory (1). One infant was Indigenous.</w:t>
            </w:r>
          </w:p>
          <w:p w14:paraId="51D6FD51" w14:textId="77777777" w:rsidR="007C55BD" w:rsidRPr="007C55BD" w:rsidRDefault="007C55BD" w:rsidP="00DC1AA9">
            <w:pPr>
              <w:pStyle w:val="CDITable-RowBullets"/>
              <w:rPr>
                <w:lang w:val="en-GB"/>
              </w:rPr>
            </w:pPr>
            <w:r w:rsidRPr="007C55BD">
              <w:rPr>
                <w:lang w:val="en-GB"/>
              </w:rPr>
              <w:t>All children were born in Australia. At their most recent test, all infants had an HIV negative test result. Follow-up of these infants at 18 months will be conducted to obtain further HIV test results, in accordance with clinical recommendations.</w:t>
            </w:r>
            <w:r w:rsidRPr="007C55BD">
              <w:rPr>
                <w:vertAlign w:val="superscript"/>
                <w:lang w:val="en-GB"/>
              </w:rPr>
              <w:t>11</w:t>
            </w:r>
          </w:p>
          <w:p w14:paraId="3FC0E3DE" w14:textId="77777777" w:rsidR="007C55BD" w:rsidRPr="007C55BD" w:rsidRDefault="007C55BD" w:rsidP="00DC1AA9">
            <w:pPr>
              <w:pStyle w:val="CDITable-RowBullets"/>
              <w:rPr>
                <w:lang w:val="en-GB"/>
              </w:rPr>
            </w:pPr>
            <w:r w:rsidRPr="007C55BD">
              <w:rPr>
                <w:lang w:val="en-GB"/>
              </w:rPr>
              <w:t>Ten infants received antiretroviral therapy, eight received prophylactic antiviral treatment, two received both antiretroviral therapy and prophylactic antiviral treatment after birth, and these data were not available for one infant.</w:t>
            </w:r>
          </w:p>
          <w:p w14:paraId="65F29483" w14:textId="77777777" w:rsidR="007C55BD" w:rsidRPr="007C55BD" w:rsidRDefault="007C55BD" w:rsidP="00DC1AA9">
            <w:pPr>
              <w:pStyle w:val="CDITable-RowBullets"/>
              <w:rPr>
                <w:lang w:val="en-GB"/>
              </w:rPr>
            </w:pPr>
            <w:r w:rsidRPr="007C55BD">
              <w:rPr>
                <w:lang w:val="en-GB"/>
              </w:rPr>
              <w:t xml:space="preserve">A separate case report form was completed for 12 mothers of the 20 infants confirmed as incident cases. Two mothers were born outside Australia. Seven mothers were diagnosed with HIV antenatally, and the date of HIV diagnosis was not recorded for five </w:t>
            </w:r>
            <w:proofErr w:type="gramStart"/>
            <w:r w:rsidRPr="007C55BD">
              <w:rPr>
                <w:lang w:val="en-GB"/>
              </w:rPr>
              <w:t>mothers, but</w:t>
            </w:r>
            <w:proofErr w:type="gramEnd"/>
            <w:r w:rsidRPr="007C55BD">
              <w:rPr>
                <w:lang w:val="en-GB"/>
              </w:rPr>
              <w:t xml:space="preserve"> presumed to be antenatal. Of the mothers, 11/12 received antiretroviral therapy during pregnancy. Of the infants, four were delivered by elective caesarean section, four were delivered by emergency caesarean, and four were delivered vaginally. Breastfeeding was avoided for 9/12 infants.</w:t>
            </w:r>
          </w:p>
        </w:tc>
      </w:tr>
      <w:tr w:rsidR="007C55BD" w:rsidRPr="007C55BD" w14:paraId="0B492889" w14:textId="77777777" w:rsidTr="000D2655">
        <w:trPr>
          <w:trHeight w:val="60"/>
        </w:trPr>
        <w:tc>
          <w:tcPr>
            <w:tcW w:w="2551" w:type="dxa"/>
            <w:tcBorders>
              <w:top w:val="single" w:sz="6" w:space="0" w:color="1E4496" w:themeColor="text2"/>
              <w:left w:val="nil"/>
              <w:bottom w:val="single" w:sz="6" w:space="0" w:color="1E4496" w:themeColor="text2"/>
            </w:tcBorders>
            <w:tcMar>
              <w:top w:w="85" w:type="dxa"/>
              <w:left w:w="113" w:type="dxa"/>
              <w:bottom w:w="85" w:type="dxa"/>
              <w:right w:w="113" w:type="dxa"/>
            </w:tcMar>
            <w:vAlign w:val="center"/>
          </w:tcPr>
          <w:p w14:paraId="5958D470" w14:textId="77777777" w:rsidR="007C55BD" w:rsidRPr="007C55BD" w:rsidRDefault="007C55BD" w:rsidP="007C55BD">
            <w:pPr>
              <w:pStyle w:val="CDITable-RowLeft"/>
              <w:rPr>
                <w:lang w:val="en-GB"/>
              </w:rPr>
            </w:pPr>
            <w:r w:rsidRPr="007C55BD">
              <w:rPr>
                <w:lang w:val="en-GB"/>
              </w:rPr>
              <w:t>Paediatric HIV infection</w:t>
            </w:r>
          </w:p>
        </w:tc>
        <w:tc>
          <w:tcPr>
            <w:tcW w:w="3118" w:type="dxa"/>
            <w:tcBorders>
              <w:top w:val="single" w:sz="6" w:space="0" w:color="1E4496" w:themeColor="text2"/>
              <w:bottom w:val="single" w:sz="6" w:space="0" w:color="1E4496" w:themeColor="text2"/>
            </w:tcBorders>
            <w:tcMar>
              <w:top w:w="85" w:type="dxa"/>
              <w:left w:w="113" w:type="dxa"/>
              <w:bottom w:w="85" w:type="dxa"/>
              <w:right w:w="113" w:type="dxa"/>
            </w:tcMar>
            <w:vAlign w:val="center"/>
          </w:tcPr>
          <w:p w14:paraId="3FDABC68" w14:textId="77777777" w:rsidR="007C55BD" w:rsidRPr="007C55BD" w:rsidRDefault="007C55BD" w:rsidP="007C55BD">
            <w:pPr>
              <w:pStyle w:val="CDITable-RowLeft"/>
              <w:rPr>
                <w:lang w:val="en-GB"/>
              </w:rPr>
            </w:pPr>
            <w:r w:rsidRPr="007C55BD">
              <w:rPr>
                <w:lang w:val="en-GB"/>
              </w:rPr>
              <w:t>Any child aged &lt; 16 years at diagnosis of HIV infection in Australia</w:t>
            </w:r>
          </w:p>
        </w:tc>
        <w:tc>
          <w:tcPr>
            <w:tcW w:w="8957" w:type="dxa"/>
            <w:tcBorders>
              <w:top w:val="single" w:sz="6" w:space="0" w:color="1E4496" w:themeColor="text2"/>
              <w:bottom w:val="single" w:sz="6" w:space="0" w:color="1E4496" w:themeColor="text2"/>
              <w:right w:val="nil"/>
            </w:tcBorders>
            <w:tcMar>
              <w:top w:w="85" w:type="dxa"/>
              <w:left w:w="113" w:type="dxa"/>
              <w:bottom w:w="85" w:type="dxa"/>
              <w:right w:w="113" w:type="dxa"/>
            </w:tcMar>
            <w:vAlign w:val="center"/>
          </w:tcPr>
          <w:p w14:paraId="457AB4F4" w14:textId="77777777" w:rsidR="007C55BD" w:rsidRPr="007C55BD" w:rsidRDefault="007C55BD" w:rsidP="000D2655">
            <w:pPr>
              <w:pStyle w:val="CDITable-RowBullets"/>
              <w:keepNext/>
              <w:keepLines/>
              <w:spacing w:before="0"/>
              <w:rPr>
                <w:lang w:val="en-GB"/>
              </w:rPr>
            </w:pPr>
            <w:r w:rsidRPr="007C55BD">
              <w:rPr>
                <w:lang w:val="en-GB"/>
              </w:rPr>
              <w:t xml:space="preserve">Of nine notifications, five children were confirmed as incident cases of paediatric HIV infection diagnosed in 2025; and four were historical (prevalent) cases. Incident cases were reported from Queensland (3) and New South Wales (2); none were Indigenous. </w:t>
            </w:r>
            <w:proofErr w:type="gramStart"/>
            <w:r w:rsidRPr="007C55BD">
              <w:rPr>
                <w:lang w:val="en-GB"/>
              </w:rPr>
              <w:t>The majority of</w:t>
            </w:r>
            <w:proofErr w:type="gramEnd"/>
            <w:r w:rsidRPr="007C55BD">
              <w:rPr>
                <w:lang w:val="en-GB"/>
              </w:rPr>
              <w:t xml:space="preserve"> incident cases (4/5) were born outside Australia in countries known to have a high prevalence of HIV infection. The age at diagnosis ranged from 4 to 15 years.</w:t>
            </w:r>
          </w:p>
          <w:p w14:paraId="0F7CBFF2" w14:textId="77777777" w:rsidR="007C55BD" w:rsidRPr="007C55BD" w:rsidRDefault="007C55BD" w:rsidP="000D2655">
            <w:pPr>
              <w:pStyle w:val="CDITable-RowBullets"/>
              <w:keepNext/>
              <w:rPr>
                <w:lang w:val="en-GB"/>
              </w:rPr>
            </w:pPr>
            <w:r w:rsidRPr="007C55BD">
              <w:rPr>
                <w:lang w:val="en-GB"/>
              </w:rPr>
              <w:t>All five children had a confirmed laboratory diagnosis of HIV infection. Four had HIV-1; genotyping data was not available for one child.</w:t>
            </w:r>
          </w:p>
          <w:p w14:paraId="3FDC6F72" w14:textId="77777777" w:rsidR="007C55BD" w:rsidRPr="007C55BD" w:rsidRDefault="007C55BD" w:rsidP="00DC1AA9">
            <w:pPr>
              <w:pStyle w:val="CDITable-RowBullets"/>
              <w:rPr>
                <w:lang w:val="en-GB"/>
              </w:rPr>
            </w:pPr>
            <w:r w:rsidRPr="007C55BD">
              <w:rPr>
                <w:lang w:val="en-GB"/>
              </w:rPr>
              <w:t>One child had clinical symptoms of HIV at the time of diagnosis, including pneumonia, cervical lymphadenopathy, chronic cough and night sweats, and had a history of symptoms consistent with seroconversion illness. Four children were asymptomatic. All children were alive at the time of reporting.</w:t>
            </w:r>
          </w:p>
          <w:p w14:paraId="06AC3BAA" w14:textId="77777777" w:rsidR="007C55BD" w:rsidRPr="007C55BD" w:rsidRDefault="007C55BD" w:rsidP="00DC1AA9">
            <w:pPr>
              <w:pStyle w:val="CDITable-RowBullets"/>
              <w:rPr>
                <w:lang w:val="en-GB"/>
              </w:rPr>
            </w:pPr>
            <w:r w:rsidRPr="007C55BD">
              <w:rPr>
                <w:lang w:val="en-GB"/>
              </w:rPr>
              <w:t>Four children were reported to have never taken pre-exposure prophylaxis (PrEP), but data were unavailable for one child.</w:t>
            </w:r>
          </w:p>
          <w:p w14:paraId="187994AB" w14:textId="77777777" w:rsidR="007C55BD" w:rsidRPr="007C55BD" w:rsidRDefault="007C55BD" w:rsidP="00DC1AA9">
            <w:pPr>
              <w:pStyle w:val="CDITable-RowBullets"/>
              <w:rPr>
                <w:lang w:val="en-GB"/>
              </w:rPr>
            </w:pPr>
            <w:r w:rsidRPr="007C55BD">
              <w:rPr>
                <w:lang w:val="en-GB"/>
              </w:rPr>
              <w:t xml:space="preserve">The source of HIV infection was perinatal exposure and mother-to-child transmission in four </w:t>
            </w:r>
            <w:proofErr w:type="gramStart"/>
            <w:r w:rsidRPr="007C55BD">
              <w:rPr>
                <w:lang w:val="en-GB"/>
              </w:rPr>
              <w:t>children, and</w:t>
            </w:r>
            <w:proofErr w:type="gramEnd"/>
            <w:r w:rsidRPr="007C55BD">
              <w:rPr>
                <w:lang w:val="en-GB"/>
              </w:rPr>
              <w:t xml:space="preserve"> was suspected but not confirmed in one child.</w:t>
            </w:r>
          </w:p>
        </w:tc>
      </w:tr>
      <w:tr w:rsidR="007C55BD" w:rsidRPr="007C55BD" w14:paraId="0634F592" w14:textId="77777777" w:rsidTr="000D2655">
        <w:trPr>
          <w:trHeight w:val="60"/>
        </w:trPr>
        <w:tc>
          <w:tcPr>
            <w:tcW w:w="2551" w:type="dxa"/>
            <w:tcBorders>
              <w:top w:val="single" w:sz="6" w:space="0" w:color="1E4496" w:themeColor="text2"/>
              <w:left w:val="nil"/>
              <w:bottom w:val="single" w:sz="6" w:space="0" w:color="1E4496" w:themeColor="text2"/>
            </w:tcBorders>
            <w:tcMar>
              <w:top w:w="85" w:type="dxa"/>
              <w:left w:w="113" w:type="dxa"/>
              <w:bottom w:w="85" w:type="dxa"/>
              <w:right w:w="113" w:type="dxa"/>
            </w:tcMar>
            <w:vAlign w:val="center"/>
          </w:tcPr>
          <w:p w14:paraId="10A4BD08" w14:textId="77777777" w:rsidR="007C55BD" w:rsidRPr="007C55BD" w:rsidRDefault="007C55BD" w:rsidP="007C55BD">
            <w:pPr>
              <w:pStyle w:val="CDITable-RowLeft"/>
              <w:rPr>
                <w:lang w:val="en-GB"/>
              </w:rPr>
            </w:pPr>
            <w:r w:rsidRPr="007C55BD">
              <w:rPr>
                <w:lang w:val="en-GB"/>
              </w:rPr>
              <w:t>Juvenile-onset recurrent respiratory papillomatosis (JoRRP)</w:t>
            </w:r>
          </w:p>
        </w:tc>
        <w:tc>
          <w:tcPr>
            <w:tcW w:w="3118" w:type="dxa"/>
            <w:tcBorders>
              <w:top w:val="single" w:sz="6" w:space="0" w:color="1E4496" w:themeColor="text2"/>
              <w:bottom w:val="single" w:sz="6" w:space="0" w:color="1E4496" w:themeColor="text2"/>
            </w:tcBorders>
            <w:tcMar>
              <w:top w:w="85" w:type="dxa"/>
              <w:left w:w="113" w:type="dxa"/>
              <w:bottom w:w="85" w:type="dxa"/>
              <w:right w:w="113" w:type="dxa"/>
            </w:tcMar>
            <w:vAlign w:val="center"/>
          </w:tcPr>
          <w:p w14:paraId="1AF4844C" w14:textId="77777777" w:rsidR="007C55BD" w:rsidRPr="007C55BD" w:rsidRDefault="007C55BD" w:rsidP="000D2655">
            <w:pPr>
              <w:pStyle w:val="CDITable-RowLeftlessspace"/>
              <w:rPr>
                <w:lang w:val="en-GB"/>
              </w:rPr>
            </w:pPr>
            <w:r w:rsidRPr="007C55BD">
              <w:rPr>
                <w:lang w:val="en-GB"/>
              </w:rPr>
              <w:t>Any infant or child aged &lt; 15 years diagnosed JoRRP confirmed by endoscopy of the larynx and by histology.</w:t>
            </w:r>
          </w:p>
          <w:p w14:paraId="3184076A" w14:textId="77777777" w:rsidR="007C55BD" w:rsidRPr="007C55BD" w:rsidRDefault="007C55BD" w:rsidP="000D2655">
            <w:pPr>
              <w:pStyle w:val="CDITable-RowLeftlessspace"/>
              <w:rPr>
                <w:lang w:val="en-GB"/>
              </w:rPr>
            </w:pPr>
            <w:r w:rsidRPr="007C55BD">
              <w:rPr>
                <w:i/>
                <w:iCs/>
                <w:lang w:val="en-GB"/>
              </w:rPr>
              <w:t>Probable case</w:t>
            </w:r>
            <w:r w:rsidRPr="007C55BD">
              <w:rPr>
                <w:lang w:val="en-GB"/>
              </w:rPr>
              <w:t>: as above but without histological confirmation</w:t>
            </w:r>
          </w:p>
        </w:tc>
        <w:tc>
          <w:tcPr>
            <w:tcW w:w="8957" w:type="dxa"/>
            <w:tcBorders>
              <w:top w:val="single" w:sz="6" w:space="0" w:color="1E4496" w:themeColor="text2"/>
              <w:bottom w:val="single" w:sz="6" w:space="0" w:color="1E4496" w:themeColor="text2"/>
              <w:right w:val="nil"/>
            </w:tcBorders>
            <w:tcMar>
              <w:top w:w="85" w:type="dxa"/>
              <w:left w:w="113" w:type="dxa"/>
              <w:bottom w:w="85" w:type="dxa"/>
              <w:right w:w="113" w:type="dxa"/>
            </w:tcMar>
            <w:vAlign w:val="center"/>
          </w:tcPr>
          <w:p w14:paraId="311D4301" w14:textId="77777777" w:rsidR="007C55BD" w:rsidRPr="007C55BD" w:rsidRDefault="007C55BD" w:rsidP="00DC1AA9">
            <w:pPr>
              <w:pStyle w:val="CDITable-RowBullets"/>
              <w:spacing w:before="0"/>
              <w:rPr>
                <w:lang w:val="en-GB"/>
              </w:rPr>
            </w:pPr>
            <w:r w:rsidRPr="007C55BD">
              <w:rPr>
                <w:lang w:val="en-GB"/>
              </w:rPr>
              <w:t>There were two notifications, of which one child was confirmed as a definite incident case, and one as a reporting error outside of case definition (age ≥ 15 years).</w:t>
            </w:r>
          </w:p>
          <w:p w14:paraId="4AA03A81" w14:textId="77777777" w:rsidR="007C55BD" w:rsidRPr="007C55BD" w:rsidRDefault="007C55BD" w:rsidP="00DC1AA9">
            <w:pPr>
              <w:pStyle w:val="CDITable-RowBullets"/>
              <w:rPr>
                <w:lang w:val="en-GB"/>
              </w:rPr>
            </w:pPr>
            <w:r w:rsidRPr="007C55BD">
              <w:rPr>
                <w:lang w:val="en-GB"/>
              </w:rPr>
              <w:t>The confirmed case was reported from Queensland and was not Indigenous. The child was born in Australia.</w:t>
            </w:r>
          </w:p>
          <w:p w14:paraId="7FF14917" w14:textId="77777777" w:rsidR="007C55BD" w:rsidRPr="007C55BD" w:rsidRDefault="007C55BD" w:rsidP="00DC1AA9">
            <w:pPr>
              <w:pStyle w:val="CDITable-RowBullets"/>
              <w:rPr>
                <w:lang w:val="en-GB"/>
              </w:rPr>
            </w:pPr>
            <w:r w:rsidRPr="007C55BD">
              <w:rPr>
                <w:lang w:val="en-GB"/>
              </w:rPr>
              <w:t xml:space="preserve">Clinical symptoms at presentation included nasal </w:t>
            </w:r>
            <w:proofErr w:type="spellStart"/>
            <w:r w:rsidRPr="007C55BD">
              <w:rPr>
                <w:lang w:val="en-GB"/>
              </w:rPr>
              <w:t>papillomas</w:t>
            </w:r>
            <w:proofErr w:type="spellEnd"/>
            <w:r w:rsidRPr="007C55BD">
              <w:rPr>
                <w:lang w:val="en-GB"/>
              </w:rPr>
              <w:t xml:space="preserve"> and nasal bleeding. Diagnosis of JoRRP was made by histology. Human papillomavirus (HPV) genotypes 6 and 11 were detected but could not be differentiated by the laboratory test used.</w:t>
            </w:r>
          </w:p>
          <w:p w14:paraId="668DFC93" w14:textId="77777777" w:rsidR="007C55BD" w:rsidRPr="007C55BD" w:rsidRDefault="007C55BD" w:rsidP="00DC1AA9">
            <w:pPr>
              <w:pStyle w:val="CDITable-RowBullets"/>
              <w:rPr>
                <w:lang w:val="en-GB"/>
              </w:rPr>
            </w:pPr>
            <w:r w:rsidRPr="007C55BD">
              <w:rPr>
                <w:lang w:val="en-GB"/>
              </w:rPr>
              <w:t xml:space="preserve">The child was treated with debulking </w:t>
            </w:r>
            <w:proofErr w:type="gramStart"/>
            <w:r w:rsidRPr="007C55BD">
              <w:rPr>
                <w:lang w:val="en-GB"/>
              </w:rPr>
              <w:t>surgery</w:t>
            </w:r>
            <w:proofErr w:type="gramEnd"/>
            <w:r w:rsidRPr="007C55BD">
              <w:rPr>
                <w:lang w:val="en-GB"/>
              </w:rPr>
              <w:t xml:space="preserve"> and symptoms had not resolved at the time of reporting.</w:t>
            </w:r>
          </w:p>
          <w:p w14:paraId="701F921A" w14:textId="77777777" w:rsidR="007C55BD" w:rsidRPr="007C55BD" w:rsidRDefault="007C55BD" w:rsidP="00DC1AA9">
            <w:pPr>
              <w:pStyle w:val="CDITable-RowBullets"/>
              <w:rPr>
                <w:lang w:val="en-GB"/>
              </w:rPr>
            </w:pPr>
            <w:r w:rsidRPr="007C55BD">
              <w:rPr>
                <w:lang w:val="en-GB"/>
              </w:rPr>
              <w:t>The child’s mother was reported to have received an HPV vaccine outside of Australia, but the type of vaccine and number of doses received were unknown.</w:t>
            </w:r>
          </w:p>
        </w:tc>
      </w:tr>
      <w:tr w:rsidR="007C55BD" w:rsidRPr="007C55BD" w14:paraId="6A000E07" w14:textId="77777777" w:rsidTr="000D2655">
        <w:trPr>
          <w:trHeight w:val="60"/>
        </w:trPr>
        <w:tc>
          <w:tcPr>
            <w:tcW w:w="2551" w:type="dxa"/>
            <w:tcBorders>
              <w:top w:val="single" w:sz="6" w:space="0" w:color="1E4496" w:themeColor="text2"/>
              <w:left w:val="nil"/>
              <w:bottom w:val="single" w:sz="6" w:space="0" w:color="1E4496" w:themeColor="text2"/>
            </w:tcBorders>
            <w:tcMar>
              <w:top w:w="85" w:type="dxa"/>
              <w:left w:w="113" w:type="dxa"/>
              <w:bottom w:w="85" w:type="dxa"/>
              <w:right w:w="113" w:type="dxa"/>
            </w:tcMar>
            <w:vAlign w:val="center"/>
          </w:tcPr>
          <w:p w14:paraId="38BD9AE9" w14:textId="77777777" w:rsidR="007C55BD" w:rsidRPr="007C55BD" w:rsidRDefault="007C55BD" w:rsidP="007C55BD">
            <w:pPr>
              <w:pStyle w:val="CDITable-RowLeft"/>
              <w:rPr>
                <w:lang w:val="en-GB"/>
              </w:rPr>
            </w:pPr>
            <w:r w:rsidRPr="007C55BD">
              <w:rPr>
                <w:lang w:val="en-GB"/>
              </w:rPr>
              <w:t>Congenital rubella infection/ syndrome</w:t>
            </w:r>
          </w:p>
        </w:tc>
        <w:tc>
          <w:tcPr>
            <w:tcW w:w="3118" w:type="dxa"/>
            <w:tcBorders>
              <w:top w:val="single" w:sz="6" w:space="0" w:color="1E4496" w:themeColor="text2"/>
              <w:bottom w:val="single" w:sz="6" w:space="0" w:color="1E4496" w:themeColor="text2"/>
            </w:tcBorders>
            <w:tcMar>
              <w:top w:w="85" w:type="dxa"/>
              <w:left w:w="113" w:type="dxa"/>
              <w:bottom w:w="85" w:type="dxa"/>
              <w:right w:w="113" w:type="dxa"/>
            </w:tcMar>
            <w:vAlign w:val="center"/>
          </w:tcPr>
          <w:p w14:paraId="5CECB150" w14:textId="77777777" w:rsidR="007C55BD" w:rsidRPr="007C55BD" w:rsidRDefault="007C55BD" w:rsidP="000D2655">
            <w:pPr>
              <w:pStyle w:val="CDITable-RowLeftlessspace"/>
              <w:rPr>
                <w:lang w:val="en-GB"/>
              </w:rPr>
            </w:pPr>
            <w:r w:rsidRPr="007C55BD">
              <w:rPr>
                <w:i/>
                <w:iCs/>
                <w:lang w:val="en-GB"/>
              </w:rPr>
              <w:t>Confirmed case</w:t>
            </w:r>
            <w:r w:rsidRPr="007C55BD">
              <w:rPr>
                <w:lang w:val="en-GB"/>
              </w:rPr>
              <w:t>: any infant with laboratory deﬁnitive evidence (fetal or infant) AND clinical evidence (live or stillborn infant) with or without compatible defects.</w:t>
            </w:r>
          </w:p>
          <w:p w14:paraId="7F5B2DA3" w14:textId="77777777" w:rsidR="007C55BD" w:rsidRPr="007C55BD" w:rsidRDefault="007C55BD" w:rsidP="000D2655">
            <w:pPr>
              <w:pStyle w:val="CDITable-RowLeftlessspace"/>
              <w:rPr>
                <w:lang w:val="en-GB"/>
              </w:rPr>
            </w:pPr>
            <w:r w:rsidRPr="007C55BD">
              <w:rPr>
                <w:i/>
                <w:iCs/>
                <w:lang w:val="en-GB"/>
              </w:rPr>
              <w:t>Probable case</w:t>
            </w:r>
            <w:r w:rsidRPr="007C55BD">
              <w:rPr>
                <w:lang w:val="en-GB"/>
              </w:rPr>
              <w:t>: epidemiological evidence of infection in pregnancy AND laboratory suggestive evidence (in an infant).</w:t>
            </w:r>
          </w:p>
        </w:tc>
        <w:tc>
          <w:tcPr>
            <w:tcW w:w="8957" w:type="dxa"/>
            <w:tcBorders>
              <w:top w:val="single" w:sz="6" w:space="0" w:color="1E4496" w:themeColor="text2"/>
              <w:bottom w:val="single" w:sz="6" w:space="0" w:color="1E4496" w:themeColor="text2"/>
              <w:right w:val="nil"/>
            </w:tcBorders>
            <w:tcMar>
              <w:top w:w="85" w:type="dxa"/>
              <w:left w:w="113" w:type="dxa"/>
              <w:bottom w:w="85" w:type="dxa"/>
              <w:right w:w="113" w:type="dxa"/>
            </w:tcMar>
            <w:vAlign w:val="center"/>
          </w:tcPr>
          <w:p w14:paraId="67F2D5C6" w14:textId="77777777" w:rsidR="007C55BD" w:rsidRPr="007C55BD" w:rsidRDefault="007C55BD" w:rsidP="00DC1AA9">
            <w:pPr>
              <w:pStyle w:val="CDITable-RowBullets"/>
              <w:rPr>
                <w:lang w:val="en-GB"/>
              </w:rPr>
            </w:pPr>
            <w:r w:rsidRPr="007C55BD">
              <w:rPr>
                <w:lang w:val="en-GB"/>
              </w:rPr>
              <w:t>There were no notifications of congenital rubella infection or syndrome during the 2025 reporting period.</w:t>
            </w:r>
          </w:p>
        </w:tc>
      </w:tr>
      <w:tr w:rsidR="007C55BD" w:rsidRPr="007C55BD" w14:paraId="6471CDE2" w14:textId="77777777" w:rsidTr="000D2655">
        <w:trPr>
          <w:trHeight w:val="60"/>
        </w:trPr>
        <w:tc>
          <w:tcPr>
            <w:tcW w:w="2551" w:type="dxa"/>
            <w:tcBorders>
              <w:top w:val="single" w:sz="6" w:space="0" w:color="1E4496" w:themeColor="text2"/>
              <w:left w:val="nil"/>
              <w:bottom w:val="single" w:sz="6" w:space="0" w:color="1E4496" w:themeColor="text2"/>
            </w:tcBorders>
            <w:tcMar>
              <w:top w:w="85" w:type="dxa"/>
              <w:left w:w="113" w:type="dxa"/>
              <w:bottom w:w="85" w:type="dxa"/>
              <w:right w:w="113" w:type="dxa"/>
            </w:tcMar>
            <w:vAlign w:val="center"/>
          </w:tcPr>
          <w:p w14:paraId="1F272179" w14:textId="77777777" w:rsidR="007C55BD" w:rsidRPr="007C55BD" w:rsidRDefault="007C55BD" w:rsidP="007C55BD">
            <w:pPr>
              <w:pStyle w:val="CDITable-RowLeft"/>
              <w:rPr>
                <w:lang w:val="en-GB"/>
              </w:rPr>
            </w:pPr>
            <w:r w:rsidRPr="007C55BD">
              <w:rPr>
                <w:lang w:val="en-GB"/>
              </w:rPr>
              <w:t>Congenital varicella syndrome</w:t>
            </w:r>
          </w:p>
        </w:tc>
        <w:tc>
          <w:tcPr>
            <w:tcW w:w="3118" w:type="dxa"/>
            <w:tcBorders>
              <w:top w:val="single" w:sz="6" w:space="0" w:color="1E4496" w:themeColor="text2"/>
              <w:bottom w:val="single" w:sz="6" w:space="0" w:color="1E4496" w:themeColor="text2"/>
            </w:tcBorders>
            <w:tcMar>
              <w:top w:w="85" w:type="dxa"/>
              <w:left w:w="113" w:type="dxa"/>
              <w:bottom w:w="85" w:type="dxa"/>
              <w:right w:w="113" w:type="dxa"/>
            </w:tcMar>
            <w:vAlign w:val="center"/>
          </w:tcPr>
          <w:p w14:paraId="3B3BED42" w14:textId="77777777" w:rsidR="007C55BD" w:rsidRPr="007C55BD" w:rsidRDefault="007C55BD" w:rsidP="007C55BD">
            <w:pPr>
              <w:pStyle w:val="CDITable-RowLeft"/>
              <w:rPr>
                <w:lang w:val="en-GB"/>
              </w:rPr>
            </w:pPr>
            <w:r w:rsidRPr="007C55BD">
              <w:rPr>
                <w:lang w:val="en-GB"/>
              </w:rPr>
              <w:t>Any stillbirth, newborn infant, or child up to the age of two years, who has definite or suspected congenital varicella infection, with or without defects</w:t>
            </w:r>
          </w:p>
        </w:tc>
        <w:tc>
          <w:tcPr>
            <w:tcW w:w="8957" w:type="dxa"/>
            <w:tcBorders>
              <w:top w:val="single" w:sz="6" w:space="0" w:color="1E4496" w:themeColor="text2"/>
              <w:bottom w:val="single" w:sz="6" w:space="0" w:color="1E4496" w:themeColor="text2"/>
              <w:right w:val="nil"/>
            </w:tcBorders>
            <w:tcMar>
              <w:top w:w="85" w:type="dxa"/>
              <w:left w:w="113" w:type="dxa"/>
              <w:bottom w:w="85" w:type="dxa"/>
              <w:right w:w="113" w:type="dxa"/>
            </w:tcMar>
            <w:vAlign w:val="center"/>
          </w:tcPr>
          <w:p w14:paraId="0509CFB4" w14:textId="77777777" w:rsidR="007C55BD" w:rsidRPr="007C55BD" w:rsidRDefault="007C55BD" w:rsidP="00DC1AA9">
            <w:pPr>
              <w:pStyle w:val="CDITable-RowBullets"/>
              <w:rPr>
                <w:lang w:val="en-GB"/>
              </w:rPr>
            </w:pPr>
            <w:r w:rsidRPr="007C55BD">
              <w:rPr>
                <w:lang w:val="en-GB"/>
              </w:rPr>
              <w:t>There were no notifications of congenital varicella syndrome during the 2025 reporting period.</w:t>
            </w:r>
          </w:p>
        </w:tc>
      </w:tr>
      <w:tr w:rsidR="007C55BD" w:rsidRPr="007C55BD" w14:paraId="604EA64F" w14:textId="77777777" w:rsidTr="000D2655">
        <w:trPr>
          <w:trHeight w:val="60"/>
        </w:trPr>
        <w:tc>
          <w:tcPr>
            <w:tcW w:w="2551" w:type="dxa"/>
            <w:tcBorders>
              <w:top w:val="single" w:sz="6" w:space="0" w:color="1E4496" w:themeColor="text2"/>
              <w:left w:val="nil"/>
              <w:bottom w:val="single" w:sz="6" w:space="0" w:color="1E4496" w:themeColor="text2"/>
            </w:tcBorders>
            <w:tcMar>
              <w:top w:w="85" w:type="dxa"/>
              <w:left w:w="113" w:type="dxa"/>
              <w:bottom w:w="85" w:type="dxa"/>
              <w:right w:w="113" w:type="dxa"/>
            </w:tcMar>
            <w:vAlign w:val="center"/>
          </w:tcPr>
          <w:p w14:paraId="7CF4385B" w14:textId="77777777" w:rsidR="007C55BD" w:rsidRPr="007C55BD" w:rsidRDefault="007C55BD" w:rsidP="007C55BD">
            <w:pPr>
              <w:pStyle w:val="CDITable-RowLeft"/>
              <w:rPr>
                <w:lang w:val="en-GB"/>
              </w:rPr>
            </w:pPr>
            <w:r w:rsidRPr="007C55BD">
              <w:rPr>
                <w:lang w:val="en-GB"/>
              </w:rPr>
              <w:t>Neonatal varicella</w:t>
            </w:r>
          </w:p>
        </w:tc>
        <w:tc>
          <w:tcPr>
            <w:tcW w:w="3118" w:type="dxa"/>
            <w:tcBorders>
              <w:top w:val="single" w:sz="6" w:space="0" w:color="1E4496" w:themeColor="text2"/>
              <w:bottom w:val="single" w:sz="6" w:space="0" w:color="1E4496" w:themeColor="text2"/>
            </w:tcBorders>
            <w:tcMar>
              <w:top w:w="85" w:type="dxa"/>
              <w:left w:w="113" w:type="dxa"/>
              <w:bottom w:w="85" w:type="dxa"/>
              <w:right w:w="113" w:type="dxa"/>
            </w:tcMar>
            <w:vAlign w:val="center"/>
          </w:tcPr>
          <w:p w14:paraId="4022F26B" w14:textId="77777777" w:rsidR="007C55BD" w:rsidRPr="007C55BD" w:rsidRDefault="007C55BD" w:rsidP="007C55BD">
            <w:pPr>
              <w:pStyle w:val="CDITable-RowLeft"/>
              <w:rPr>
                <w:lang w:val="en-GB"/>
              </w:rPr>
            </w:pPr>
            <w:r w:rsidRPr="007C55BD">
              <w:rPr>
                <w:lang w:val="en-GB"/>
              </w:rPr>
              <w:t>Any infant who has neonatal varicella based on history, clinical and/or laboratory findings in the first month of life (without features of congenital varicella syndrome).</w:t>
            </w:r>
          </w:p>
        </w:tc>
        <w:tc>
          <w:tcPr>
            <w:tcW w:w="8957" w:type="dxa"/>
            <w:tcBorders>
              <w:top w:val="single" w:sz="6" w:space="0" w:color="1E4496" w:themeColor="text2"/>
              <w:bottom w:val="single" w:sz="6" w:space="0" w:color="1E4496" w:themeColor="text2"/>
              <w:right w:val="nil"/>
            </w:tcBorders>
            <w:tcMar>
              <w:top w:w="85" w:type="dxa"/>
              <w:left w:w="113" w:type="dxa"/>
              <w:bottom w:w="85" w:type="dxa"/>
              <w:right w:w="113" w:type="dxa"/>
            </w:tcMar>
            <w:vAlign w:val="center"/>
          </w:tcPr>
          <w:p w14:paraId="17BADA5A" w14:textId="77777777" w:rsidR="007C55BD" w:rsidRPr="007C55BD" w:rsidRDefault="007C55BD" w:rsidP="00DC1AA9">
            <w:pPr>
              <w:pStyle w:val="CDITable-RowBullets"/>
              <w:spacing w:before="0"/>
              <w:rPr>
                <w:lang w:val="en-GB"/>
              </w:rPr>
            </w:pPr>
            <w:r w:rsidRPr="007C55BD">
              <w:rPr>
                <w:lang w:val="en-GB"/>
              </w:rPr>
              <w:t>There were three notifications of neonatal varicella infection, which were all confirmed as incident cases. Two cases were reported from Victoria and one from Queensland. All infants were born in Australia and were not Indigenous.</w:t>
            </w:r>
          </w:p>
          <w:p w14:paraId="76575C40" w14:textId="77777777" w:rsidR="007C55BD" w:rsidRPr="007C55BD" w:rsidRDefault="007C55BD" w:rsidP="00DC1AA9">
            <w:pPr>
              <w:pStyle w:val="CDITable-RowBullets"/>
              <w:rPr>
                <w:lang w:val="en-GB"/>
              </w:rPr>
            </w:pPr>
            <w:r w:rsidRPr="007C55BD">
              <w:rPr>
                <w:lang w:val="en-GB"/>
              </w:rPr>
              <w:t>All infants were diagnosed with varicella infection via polymerase chain reaction (PCR) testing and presented with skin lesions. Two infants also presented with hepatitis.</w:t>
            </w:r>
          </w:p>
          <w:p w14:paraId="107AEDE0" w14:textId="77777777" w:rsidR="007C55BD" w:rsidRPr="007C55BD" w:rsidRDefault="007C55BD" w:rsidP="00DC1AA9">
            <w:pPr>
              <w:pStyle w:val="CDITable-RowBullets"/>
              <w:rPr>
                <w:lang w:val="en-GB"/>
              </w:rPr>
            </w:pPr>
            <w:r w:rsidRPr="007C55BD">
              <w:rPr>
                <w:lang w:val="en-GB"/>
              </w:rPr>
              <w:t xml:space="preserve">Two of the three infants were hospitalised, and neither were admitted to intensive care units. All infants received </w:t>
            </w:r>
            <w:proofErr w:type="spellStart"/>
            <w:r w:rsidRPr="007C55BD">
              <w:rPr>
                <w:lang w:val="en-GB"/>
              </w:rPr>
              <w:t>aciclovir</w:t>
            </w:r>
            <w:proofErr w:type="spellEnd"/>
            <w:r w:rsidRPr="007C55BD">
              <w:rPr>
                <w:lang w:val="en-GB"/>
              </w:rPr>
              <w:t xml:space="preserve"> antiviral therapy and none received varicella zoster immunoglobulin. All infants were discharged alive and one infant had ongoing problems at the time of reporting with continued development of skin lesions.</w:t>
            </w:r>
          </w:p>
          <w:p w14:paraId="57047022" w14:textId="77777777" w:rsidR="007C55BD" w:rsidRPr="007C55BD" w:rsidRDefault="007C55BD" w:rsidP="00DC1AA9">
            <w:pPr>
              <w:pStyle w:val="CDITable-RowBullets"/>
              <w:rPr>
                <w:lang w:val="en-GB"/>
              </w:rPr>
            </w:pPr>
            <w:r w:rsidRPr="007C55BD">
              <w:rPr>
                <w:lang w:val="en-GB"/>
              </w:rPr>
              <w:t>Two infants had a history of postnatal contact: one with a household family member and one with an external family relative, both of whom had apparent varicella infection, but the varicella vaccination status of both contacts was unknown.</w:t>
            </w:r>
          </w:p>
        </w:tc>
      </w:tr>
    </w:tbl>
    <w:p w14:paraId="0DF3651B" w14:textId="77777777" w:rsidR="00F071CC" w:rsidRPr="00F071CC" w:rsidRDefault="00F071CC" w:rsidP="00F071CC">
      <w:pPr>
        <w:pStyle w:val="CDITable-FirstFootnote"/>
        <w:rPr>
          <w:lang w:val="en-GB"/>
        </w:rPr>
      </w:pPr>
      <w:r w:rsidRPr="00F071CC">
        <w:rPr>
          <w:lang w:val="en-GB"/>
        </w:rPr>
        <w:t>a</w:t>
      </w:r>
      <w:r w:rsidRPr="00F071CC">
        <w:rPr>
          <w:lang w:val="en-GB"/>
        </w:rPr>
        <w:tab/>
        <w:t>Includes all cases of AFP reported via the APSU and Paediatric Active Enhanced Disease Surveillance (PAEDS) surveillance systems. All cases have been classified by the Polio Expert Panel (PEP) as ‘non-polio AFP’ according to World Health Organization (WHO) criteria.</w:t>
      </w:r>
    </w:p>
    <w:p w14:paraId="72355C50" w14:textId="3B3B1D05" w:rsidR="00CE3341" w:rsidRPr="00CE3341" w:rsidRDefault="00F071CC" w:rsidP="00F071CC">
      <w:pPr>
        <w:pStyle w:val="CDITable-Footnote"/>
      </w:pPr>
      <w:r w:rsidRPr="00F071CC">
        <w:rPr>
          <w:lang w:val="en-GB"/>
        </w:rPr>
        <w:t>b</w:t>
      </w:r>
      <w:r w:rsidRPr="00F071CC">
        <w:rPr>
          <w:lang w:val="en-GB"/>
        </w:rPr>
        <w:tab/>
        <w:t>Note: the reporting period for AFP case notifications was that the date of symptom onset occurred between 1 January and 31 December 2025, in line with National Enterovirus Reference Laboratory reporting of AFP cases ascertained by APSU and PAEDS surveillance systems to WHO.</w:t>
      </w:r>
      <w:r w:rsidRPr="00F071CC">
        <w:rPr>
          <w:vertAlign w:val="superscript"/>
          <w:lang w:val="en-GB"/>
        </w:rPr>
        <w:t>7</w:t>
      </w:r>
    </w:p>
    <w:p w14:paraId="039CFDB3" w14:textId="77777777" w:rsidR="00CE3341" w:rsidRDefault="00CE3341" w:rsidP="00CE3341">
      <w:pPr>
        <w:pStyle w:val="CDITable-Footnote"/>
        <w:sectPr w:rsidR="00CE3341" w:rsidSect="00CE3341">
          <w:footnotePr>
            <w:numFmt w:val="lowerRoman"/>
          </w:footnotePr>
          <w:pgSz w:w="16840" w:h="11907" w:orient="landscape" w:code="9"/>
          <w:pgMar w:top="1134" w:right="1134" w:bottom="1134" w:left="1134" w:header="709" w:footer="567" w:gutter="0"/>
          <w:cols w:space="708"/>
          <w:docGrid w:linePitch="360"/>
        </w:sectPr>
      </w:pPr>
    </w:p>
    <w:p w14:paraId="3F486CFA" w14:textId="77777777" w:rsidR="00F071CC" w:rsidRPr="00F071CC" w:rsidRDefault="00F071CC" w:rsidP="00F071CC">
      <w:pPr>
        <w:pStyle w:val="Normal-nospace"/>
        <w:rPr>
          <w:lang w:val="en-GB"/>
        </w:rPr>
      </w:pPr>
      <w:r w:rsidRPr="00F071CC">
        <w:rPr>
          <w:lang w:val="en-GB"/>
        </w:rPr>
        <w:t>Summaries of the significance of findings for each communicable disease and complication and outputs generated in 2025 are presented as follows:</w:t>
      </w:r>
    </w:p>
    <w:p w14:paraId="588982FE" w14:textId="77777777" w:rsidR="00F071CC" w:rsidRPr="00F071CC" w:rsidRDefault="00F071CC" w:rsidP="00F071CC">
      <w:pPr>
        <w:pStyle w:val="Heading3"/>
        <w:rPr>
          <w:lang w:val="en-GB"/>
        </w:rPr>
      </w:pPr>
      <w:r w:rsidRPr="00F071CC">
        <w:rPr>
          <w:lang w:val="en-GB"/>
        </w:rPr>
        <w:t>Acute flaccid paralysis</w:t>
      </w:r>
    </w:p>
    <w:p w14:paraId="2E7331C0" w14:textId="77777777" w:rsidR="00F071CC" w:rsidRPr="00F071CC" w:rsidRDefault="00F071CC" w:rsidP="00F071CC">
      <w:pPr>
        <w:rPr>
          <w:lang w:val="en-GB"/>
        </w:rPr>
      </w:pPr>
      <w:r w:rsidRPr="00F071CC">
        <w:rPr>
          <w:lang w:val="en-GB"/>
        </w:rPr>
        <w:t>The APSU has conducted AFP surveillance since 1995, and in conjunction with the Paediatric Active Enhanced Disease Surveillance system (PAEDS) since 2007, in order to maintain Australia’s ‘polio-free’ status.</w:t>
      </w:r>
      <w:r w:rsidRPr="00F071CC">
        <w:rPr>
          <w:vertAlign w:val="superscript"/>
          <w:lang w:val="en-GB"/>
        </w:rPr>
        <w:t>5</w:t>
      </w:r>
      <w:r w:rsidRPr="00F071CC">
        <w:rPr>
          <w:lang w:val="en-GB"/>
        </w:rPr>
        <w:t xml:space="preserve"> The reporting of 76 confirmed non-polio AFP cases in 2025 once again exceeded the WHO target incidence estimate of ≥ 1 non-polio AFP cases per 100,000 children aged &lt; 15 years, a target which was first achieved in 2008,</w:t>
      </w:r>
      <w:r w:rsidRPr="00F071CC">
        <w:rPr>
          <w:vertAlign w:val="superscript"/>
          <w:lang w:val="en-GB"/>
        </w:rPr>
        <w:t>12</w:t>
      </w:r>
      <w:r w:rsidRPr="00F071CC">
        <w:rPr>
          <w:lang w:val="en-GB"/>
        </w:rPr>
        <w:t xml:space="preserve"> and has been achieved each consecutive year since.</w:t>
      </w:r>
      <w:r w:rsidRPr="00F071CC">
        <w:rPr>
          <w:vertAlign w:val="superscript"/>
          <w:lang w:val="en-GB"/>
        </w:rPr>
        <w:t>4</w:t>
      </w:r>
      <w:r w:rsidRPr="00F071CC">
        <w:rPr>
          <w:lang w:val="en-GB"/>
        </w:rPr>
        <w:t xml:space="preserve"> Seven cases were uniquely identified through APSU surveillance, six from hospitals where PAEDS does not operate, and would otherwise have been missed entirely without APSU as a complementary surveillance source. The reporting of 16 duplicate notifications by APSU/PAEDs confirms the robustness of these surveillance systems to ascertain cases. However, the rate of adequate stool specimen collections in 2025 was only 61% (compared to 70% in 2024), which did not meet the WHO recommended target of ≥ 80%.</w:t>
      </w:r>
      <w:r w:rsidRPr="00F071CC">
        <w:rPr>
          <w:vertAlign w:val="superscript"/>
          <w:lang w:val="en-GB"/>
        </w:rPr>
        <w:t>6</w:t>
      </w:r>
      <w:r w:rsidRPr="00F071CC">
        <w:rPr>
          <w:lang w:val="en-GB"/>
        </w:rPr>
        <w:t xml:space="preserve"> This is despite efforts by PAEDS nurses to collect stools during hospitalisation and reminders to clinicians by APSU to send stool specimens to NERL.</w:t>
      </w:r>
    </w:p>
    <w:p w14:paraId="144866AC" w14:textId="77777777" w:rsidR="00F071CC" w:rsidRPr="00F071CC" w:rsidRDefault="00F071CC" w:rsidP="00F071CC">
      <w:pPr>
        <w:rPr>
          <w:lang w:val="en-GB"/>
        </w:rPr>
      </w:pPr>
      <w:r w:rsidRPr="00F071CC">
        <w:rPr>
          <w:lang w:val="en-GB"/>
        </w:rPr>
        <w:t>In 2025, AFP data collected by the APSU were routinely published in the annual NERL report for the Australian Centre for Disease Control;</w:t>
      </w:r>
      <w:r w:rsidRPr="00F071CC">
        <w:rPr>
          <w:vertAlign w:val="superscript"/>
          <w:lang w:val="en-GB"/>
        </w:rPr>
        <w:t>4</w:t>
      </w:r>
      <w:r w:rsidRPr="00F071CC">
        <w:rPr>
          <w:lang w:val="en-GB"/>
        </w:rPr>
        <w:t xml:space="preserve"> in monthly bulletins of the WHO Western Pacific region;</w:t>
      </w:r>
      <w:r w:rsidRPr="00F071CC">
        <w:rPr>
          <w:vertAlign w:val="superscript"/>
          <w:lang w:val="en-GB"/>
        </w:rPr>
        <w:t>7</w:t>
      </w:r>
      <w:r w:rsidRPr="00F071CC">
        <w:rPr>
          <w:lang w:val="en-GB"/>
        </w:rPr>
        <w:t xml:space="preserve"> and contributed to Australia’s annual polio-free status by the WHO.</w:t>
      </w:r>
      <w:r w:rsidRPr="00F071CC">
        <w:rPr>
          <w:vertAlign w:val="superscript"/>
          <w:lang w:val="en-GB"/>
        </w:rPr>
        <w:t>4,5</w:t>
      </w:r>
      <w:r w:rsidRPr="00F071CC">
        <w:rPr>
          <w:lang w:val="en-GB"/>
        </w:rPr>
        <w:t xml:space="preserve"> Furthermore, an editorial on the importance of maintaining polio surveillance in Australia was submitted for publication by AFP study investigators and published in early 2026 in the </w:t>
      </w:r>
      <w:r w:rsidRPr="00F071CC">
        <w:rPr>
          <w:i/>
          <w:iCs/>
          <w:lang w:val="en-GB"/>
        </w:rPr>
        <w:t>Internal Medicine Journal</w:t>
      </w:r>
      <w:r w:rsidRPr="00F071CC">
        <w:rPr>
          <w:lang w:val="en-GB"/>
        </w:rPr>
        <w:t xml:space="preserve"> of the Royal Australasian College of Physicians.</w:t>
      </w:r>
      <w:r w:rsidRPr="00F071CC">
        <w:rPr>
          <w:vertAlign w:val="superscript"/>
          <w:lang w:val="en-GB"/>
        </w:rPr>
        <w:t>5</w:t>
      </w:r>
    </w:p>
    <w:p w14:paraId="389798BF" w14:textId="77777777" w:rsidR="00F071CC" w:rsidRPr="00F071CC" w:rsidRDefault="00F071CC" w:rsidP="00F071CC">
      <w:pPr>
        <w:pStyle w:val="Heading3"/>
        <w:rPr>
          <w:lang w:val="en-GB"/>
        </w:rPr>
      </w:pPr>
      <w:r w:rsidRPr="00F071CC">
        <w:rPr>
          <w:lang w:val="en-GB"/>
        </w:rPr>
        <w:t>Perinatal exposure to HIV and paediatric HIV infection</w:t>
      </w:r>
    </w:p>
    <w:p w14:paraId="2ACB9D12" w14:textId="77777777" w:rsidR="00F071CC" w:rsidRPr="00F071CC" w:rsidRDefault="00F071CC" w:rsidP="00F071CC">
      <w:pPr>
        <w:rPr>
          <w:lang w:val="en-GB"/>
        </w:rPr>
      </w:pPr>
      <w:r w:rsidRPr="00F071CC">
        <w:rPr>
          <w:lang w:val="en-GB"/>
        </w:rPr>
        <w:t>The reporting in 2025 of 20 new cases of perinatal exposure to HIV was consistent with numbers reported in previous years,</w:t>
      </w:r>
      <w:r w:rsidRPr="00F071CC">
        <w:rPr>
          <w:vertAlign w:val="superscript"/>
          <w:lang w:val="en-GB"/>
        </w:rPr>
        <w:t>10,13−14</w:t>
      </w:r>
      <w:r w:rsidRPr="00F071CC">
        <w:rPr>
          <w:lang w:val="en-GB"/>
        </w:rPr>
        <w:t xml:space="preserve"> with a total of 1,057 cases reported since surveillance commenced in 1993. Interventions known to reduce HIV mother-to-child-transmission (MTCT), such as administration of maternal antenatal antiretroviral therapy, elective caesarean delivery, and avoidance of breastfeeding,</w:t>
      </w:r>
      <w:r w:rsidRPr="00F071CC">
        <w:rPr>
          <w:vertAlign w:val="superscript"/>
          <w:lang w:val="en-GB"/>
        </w:rPr>
        <w:t>15−17</w:t>
      </w:r>
      <w:r w:rsidRPr="00F071CC">
        <w:rPr>
          <w:lang w:val="en-GB"/>
        </w:rPr>
        <w:t xml:space="preserve"> were used for </w:t>
      </w:r>
      <w:proofErr w:type="gramStart"/>
      <w:r w:rsidRPr="00F071CC">
        <w:rPr>
          <w:lang w:val="en-GB"/>
        </w:rPr>
        <w:t>the majority of</w:t>
      </w:r>
      <w:proofErr w:type="gramEnd"/>
      <w:r w:rsidRPr="00F071CC">
        <w:rPr>
          <w:lang w:val="en-GB"/>
        </w:rPr>
        <w:t xml:space="preserve"> infants and their mothers. There were no cases of HIV MTCT among ten infants who were tested in 2025 at 18 months after their initial antenatal HIV test result.</w:t>
      </w:r>
    </w:p>
    <w:p w14:paraId="60559287" w14:textId="77777777" w:rsidR="00F071CC" w:rsidRPr="00F071CC" w:rsidRDefault="00F071CC" w:rsidP="00F071CC">
      <w:pPr>
        <w:rPr>
          <w:lang w:val="en-GB"/>
        </w:rPr>
      </w:pPr>
      <w:r w:rsidRPr="00F071CC">
        <w:rPr>
          <w:lang w:val="en-GB"/>
        </w:rPr>
        <w:t>The number of paediatric HIV infection cases reported to the APSU in 2025, of five newly diagnosed and four historical (prevalent) cases, was the highest since 2020.</w:t>
      </w:r>
      <w:r w:rsidRPr="00F071CC">
        <w:rPr>
          <w:vertAlign w:val="superscript"/>
          <w:lang w:val="en-GB"/>
        </w:rPr>
        <w:t>18</w:t>
      </w:r>
      <w:r w:rsidRPr="00F071CC">
        <w:rPr>
          <w:lang w:val="en-GB"/>
        </w:rPr>
        <w:t xml:space="preserve"> The majority of the newly diagnosed cases (80%) were imported from countries with a high prevalence or incidence of HIV, with perinatal exposure to HIV and MTCT identified as the most likely source of infection.</w:t>
      </w:r>
    </w:p>
    <w:p w14:paraId="5A30E83E" w14:textId="5EE58728" w:rsidR="00F071CC" w:rsidRDefault="00F071CC" w:rsidP="00F071CC">
      <w:pPr>
        <w:rPr>
          <w:lang w:val="en-GB"/>
        </w:rPr>
      </w:pPr>
      <w:r w:rsidRPr="00F071CC">
        <w:rPr>
          <w:lang w:val="en-GB"/>
        </w:rPr>
        <w:t>APSU surveillance data of perinatal exposure to HIV and paediatric HIV are routinely reported in the Australian Annual Surveillance Report on HIV, viral hepatitis and sexually transmissible infections,</w:t>
      </w:r>
      <w:r w:rsidRPr="00F071CC">
        <w:rPr>
          <w:vertAlign w:val="superscript"/>
          <w:lang w:val="en-GB"/>
        </w:rPr>
        <w:t>19</w:t>
      </w:r>
      <w:r w:rsidRPr="00F071CC">
        <w:rPr>
          <w:lang w:val="en-GB"/>
        </w:rPr>
        <w:t xml:space="preserve"> and a manuscript describing 30 years of APSU surveillance of perinatal exposure to HIV and reduction in MTCT over time is currently in progress. </w:t>
      </w:r>
      <w:r>
        <w:rPr>
          <w:lang w:val="en-GB"/>
        </w:rPr>
        <w:br w:type="page"/>
      </w:r>
    </w:p>
    <w:p w14:paraId="223ABB31" w14:textId="77777777" w:rsidR="00F071CC" w:rsidRPr="00F071CC" w:rsidRDefault="00F071CC" w:rsidP="00F071CC">
      <w:pPr>
        <w:pStyle w:val="Heading3"/>
        <w:rPr>
          <w:lang w:val="en-GB"/>
        </w:rPr>
      </w:pPr>
      <w:r w:rsidRPr="00F071CC">
        <w:rPr>
          <w:lang w:val="en-GB"/>
        </w:rPr>
        <w:t>Juvenile-onset recurrent respiratory papillomatosis</w:t>
      </w:r>
    </w:p>
    <w:p w14:paraId="422C06CA" w14:textId="77777777" w:rsidR="00F071CC" w:rsidRPr="00F071CC" w:rsidRDefault="00F071CC" w:rsidP="00F071CC">
      <w:pPr>
        <w:rPr>
          <w:lang w:val="en-GB"/>
        </w:rPr>
      </w:pPr>
      <w:r w:rsidRPr="00F071CC">
        <w:rPr>
          <w:lang w:val="en-GB"/>
        </w:rPr>
        <w:t>One confirmed case of JoRRP, reported in 2025, brought to 25 the total number of cases reported since surveillance commenced in 2011. JoRRP case numbers reported to the APSU since 2011 have steadily declined from a peak in 2012,</w:t>
      </w:r>
      <w:r w:rsidRPr="00F071CC">
        <w:rPr>
          <w:vertAlign w:val="superscript"/>
          <w:lang w:val="en-GB"/>
        </w:rPr>
        <w:t>20</w:t>
      </w:r>
      <w:r w:rsidRPr="00F071CC">
        <w:rPr>
          <w:lang w:val="en-GB"/>
        </w:rPr>
        <w:t xml:space="preserve"> indicating ongoing success of the government-funded human papillomavirus (HPV) vaccination under the National Immunisation Program for adolescents and women of child-bearing age since its development and roll-out in 2007.</w:t>
      </w:r>
      <w:r w:rsidRPr="00F071CC">
        <w:rPr>
          <w:vertAlign w:val="superscript"/>
          <w:lang w:val="en-GB"/>
        </w:rPr>
        <w:t>21</w:t>
      </w:r>
    </w:p>
    <w:p w14:paraId="2E0D51DE" w14:textId="77777777" w:rsidR="00F071CC" w:rsidRPr="00F071CC" w:rsidRDefault="00F071CC" w:rsidP="00F071CC">
      <w:pPr>
        <w:rPr>
          <w:lang w:val="en-GB"/>
        </w:rPr>
      </w:pPr>
      <w:r w:rsidRPr="00F071CC">
        <w:rPr>
          <w:lang w:val="en-GB"/>
        </w:rPr>
        <w:t>A manuscript describing extended surveillance of JoRRP and long-term follow-up of confirmed JoRRP study cases is currently in progress.</w:t>
      </w:r>
    </w:p>
    <w:p w14:paraId="500A8D5C" w14:textId="77777777" w:rsidR="00F071CC" w:rsidRPr="00F071CC" w:rsidRDefault="00F071CC" w:rsidP="00F071CC">
      <w:pPr>
        <w:pStyle w:val="Heading3"/>
        <w:rPr>
          <w:lang w:val="en-GB"/>
        </w:rPr>
      </w:pPr>
      <w:r w:rsidRPr="00F071CC">
        <w:rPr>
          <w:lang w:val="en-GB"/>
        </w:rPr>
        <w:t>Congenital rubella infection and syndrome</w:t>
      </w:r>
    </w:p>
    <w:p w14:paraId="3FDDE8D9" w14:textId="77777777" w:rsidR="00F071CC" w:rsidRPr="00F071CC" w:rsidRDefault="00F071CC" w:rsidP="00F071CC">
      <w:pPr>
        <w:rPr>
          <w:lang w:val="en-GB"/>
        </w:rPr>
      </w:pPr>
      <w:r w:rsidRPr="00F071CC">
        <w:rPr>
          <w:lang w:val="en-GB"/>
        </w:rPr>
        <w:t>No notifications of congenital rubella infection or syndrome were again reported to the APSU in 2025 (which concurred with the reporting of no rubella infections to the National Notifiable Disease Surveillance System),</w:t>
      </w:r>
      <w:r w:rsidRPr="00F071CC">
        <w:rPr>
          <w:vertAlign w:val="superscript"/>
          <w:lang w:val="en-GB"/>
        </w:rPr>
        <w:t>22</w:t>
      </w:r>
      <w:r w:rsidRPr="00F071CC">
        <w:rPr>
          <w:lang w:val="en-GB"/>
        </w:rPr>
        <w:t xml:space="preserve"> with a total of 54 cases reported since APSU surveillance commenced in 1993. The last case of confirmed congenital rubella reported to the APSU was in 2015.</w:t>
      </w:r>
      <w:r w:rsidRPr="00F071CC">
        <w:rPr>
          <w:vertAlign w:val="superscript"/>
          <w:lang w:val="en-GB"/>
        </w:rPr>
        <w:t>23</w:t>
      </w:r>
      <w:r w:rsidRPr="00F071CC">
        <w:rPr>
          <w:lang w:val="en-GB"/>
        </w:rPr>
        <w:t xml:space="preserve"> The implementation and uptake of government-funded measles, mumps, rubella (MMR) vaccination under the National Immunisation Program since 1989,</w:t>
      </w:r>
      <w:r w:rsidRPr="00F071CC">
        <w:rPr>
          <w:vertAlign w:val="superscript"/>
          <w:lang w:val="en-GB"/>
        </w:rPr>
        <w:t>24</w:t>
      </w:r>
      <w:r w:rsidRPr="00F071CC">
        <w:rPr>
          <w:lang w:val="en-GB"/>
        </w:rPr>
        <w:t xml:space="preserve"> as well as previous school-based rubella vaccination programs since 1971,</w:t>
      </w:r>
      <w:r w:rsidRPr="00F071CC">
        <w:rPr>
          <w:vertAlign w:val="superscript"/>
          <w:lang w:val="en-GB"/>
        </w:rPr>
        <w:t>24</w:t>
      </w:r>
      <w:r w:rsidRPr="00F071CC">
        <w:rPr>
          <w:lang w:val="en-GB"/>
        </w:rPr>
        <w:t xml:space="preserve"> are credited for the observed substantial and sustained reduction,</w:t>
      </w:r>
      <w:r w:rsidRPr="00F071CC">
        <w:rPr>
          <w:vertAlign w:val="superscript"/>
          <w:lang w:val="en-GB"/>
        </w:rPr>
        <w:t>25</w:t>
      </w:r>
      <w:r w:rsidRPr="00F071CC">
        <w:rPr>
          <w:lang w:val="en-GB"/>
        </w:rPr>
        <w:t xml:space="preserve"> and elimination,</w:t>
      </w:r>
      <w:r w:rsidRPr="00F071CC">
        <w:rPr>
          <w:vertAlign w:val="superscript"/>
          <w:lang w:val="en-GB"/>
        </w:rPr>
        <w:t>26,27</w:t>
      </w:r>
      <w:r w:rsidRPr="00F071CC">
        <w:rPr>
          <w:lang w:val="en-GB"/>
        </w:rPr>
        <w:t xml:space="preserve"> of congenital rubella in Australia.</w:t>
      </w:r>
    </w:p>
    <w:p w14:paraId="3F3AB249" w14:textId="77777777" w:rsidR="00F071CC" w:rsidRPr="00F071CC" w:rsidRDefault="00F071CC" w:rsidP="00F071CC">
      <w:pPr>
        <w:pStyle w:val="Heading3"/>
        <w:rPr>
          <w:lang w:val="en-GB"/>
        </w:rPr>
      </w:pPr>
      <w:r w:rsidRPr="00F071CC">
        <w:rPr>
          <w:lang w:val="en-GB"/>
        </w:rPr>
        <w:t>Congenital varicella syndrome and neonatal varicella infection</w:t>
      </w:r>
    </w:p>
    <w:p w14:paraId="5118C13E" w14:textId="2D29C330" w:rsidR="00AC46DC" w:rsidRPr="00BE73E6" w:rsidRDefault="00F071CC" w:rsidP="00AC46DC">
      <w:pPr>
        <w:rPr>
          <w:lang w:val="en-GB"/>
        </w:rPr>
      </w:pPr>
      <w:r w:rsidRPr="00F071CC">
        <w:rPr>
          <w:lang w:val="en-GB"/>
        </w:rPr>
        <w:t>There were no notifications of CVS reported to the APSU again in 2025, with a total of four cases reported to the APSU since surveillance commenced in 2006. However, three cases of NVI were reported in 2025, with a total of 36 cases reported since surveillance commenced in 2006, indicating a persistence of varicella infection despite the availability of government-funded varicella vaccination under the National Immunisation Program since 2005,</w:t>
      </w:r>
      <w:r w:rsidRPr="00F071CC">
        <w:rPr>
          <w:vertAlign w:val="superscript"/>
          <w:lang w:val="en-GB"/>
        </w:rPr>
        <w:t>28</w:t>
      </w:r>
      <w:r w:rsidRPr="00F071CC">
        <w:rPr>
          <w:lang w:val="en-GB"/>
        </w:rPr>
        <w:t xml:space="preserve"> which has substantially reduced the incidence of CVS and NVI in Australia.</w:t>
      </w:r>
      <w:r w:rsidRPr="00F071CC">
        <w:rPr>
          <w:vertAlign w:val="superscript"/>
          <w:lang w:val="en-GB"/>
        </w:rPr>
        <w:t>29,30</w:t>
      </w:r>
    </w:p>
    <w:p w14:paraId="3DBA43B0" w14:textId="70634BAD" w:rsidR="006E0B0E" w:rsidRDefault="008017B6" w:rsidP="008017B6">
      <w:pPr>
        <w:pStyle w:val="Heading1"/>
      </w:pPr>
      <w:bookmarkStart w:id="20" w:name="_Toc234492694"/>
      <w:bookmarkStart w:id="21" w:name="_Toc195519590"/>
      <w:bookmarkStart w:id="22" w:name="_Toc195522359"/>
      <w:r>
        <w:t>Discussion</w:t>
      </w:r>
      <w:r w:rsidR="00BF17F2">
        <w:t xml:space="preserve"> and conclusions</w:t>
      </w:r>
      <w:bookmarkEnd w:id="20"/>
    </w:p>
    <w:p w14:paraId="7B00BE1D" w14:textId="77777777" w:rsidR="00BF17F2" w:rsidRPr="00BF17F2" w:rsidRDefault="00BF17F2" w:rsidP="00BF17F2">
      <w:pPr>
        <w:pStyle w:val="Normal-Opening"/>
        <w:rPr>
          <w:lang w:val="en-GB"/>
        </w:rPr>
      </w:pPr>
      <w:r w:rsidRPr="00BF17F2">
        <w:rPr>
          <w:lang w:val="en-GB"/>
        </w:rPr>
        <w:t>Since 1993, the APSU has conducted prospective surveillance of rare communicable diseases and complications of national concern in Australian newborns, children and adolescents.</w:t>
      </w:r>
      <w:r w:rsidRPr="00BF17F2">
        <w:rPr>
          <w:vertAlign w:val="superscript"/>
          <w:lang w:val="en-GB"/>
        </w:rPr>
        <w:t>1</w:t>
      </w:r>
      <w:r w:rsidRPr="00BF17F2">
        <w:rPr>
          <w:lang w:val="en-GB"/>
        </w:rPr>
        <w:t xml:space="preserve"> APSU data collected, for example on haemolytic uraemic syndrome caused by </w:t>
      </w:r>
      <w:r w:rsidRPr="00BF17F2">
        <w:rPr>
          <w:i/>
          <w:iCs/>
          <w:lang w:val="en-GB"/>
        </w:rPr>
        <w:t>Escherichia coli</w:t>
      </w:r>
      <w:r w:rsidRPr="00BF17F2">
        <w:rPr>
          <w:lang w:val="en-GB"/>
        </w:rPr>
        <w:t xml:space="preserve"> Shiga toxin contamination of fermented meats,</w:t>
      </w:r>
      <w:r w:rsidRPr="00BF17F2">
        <w:rPr>
          <w:vertAlign w:val="superscript"/>
          <w:lang w:val="en-GB"/>
        </w:rPr>
        <w:t>1,31</w:t>
      </w:r>
      <w:r w:rsidRPr="00BF17F2">
        <w:rPr>
          <w:lang w:val="en-GB"/>
        </w:rPr>
        <w:t xml:space="preserve"> intussusception from rotavirus vaccinations,</w:t>
      </w:r>
      <w:r w:rsidRPr="00BF17F2">
        <w:rPr>
          <w:vertAlign w:val="superscript"/>
          <w:lang w:val="en-GB"/>
        </w:rPr>
        <w:t>1,32</w:t>
      </w:r>
      <w:r w:rsidRPr="00BF17F2">
        <w:rPr>
          <w:lang w:val="en-GB"/>
        </w:rPr>
        <w:t xml:space="preserve"> and congenital cytomegalovirus infection,</w:t>
      </w:r>
      <w:r w:rsidRPr="00BF17F2">
        <w:rPr>
          <w:vertAlign w:val="superscript"/>
          <w:lang w:val="en-GB"/>
        </w:rPr>
        <w:t>1,33</w:t>
      </w:r>
      <w:r w:rsidRPr="00BF17F2">
        <w:rPr>
          <w:lang w:val="en-GB"/>
        </w:rPr>
        <w:t xml:space="preserve"> have previously informed changes to policy and clinical guidelines for disease prevention.</w:t>
      </w:r>
      <w:r w:rsidRPr="00BF17F2">
        <w:rPr>
          <w:vertAlign w:val="superscript"/>
          <w:lang w:val="en-GB"/>
        </w:rPr>
        <w:t>1</w:t>
      </w:r>
    </w:p>
    <w:p w14:paraId="668A45EF" w14:textId="77777777" w:rsidR="00BF17F2" w:rsidRPr="00BF17F2" w:rsidRDefault="00BF17F2" w:rsidP="00BF17F2">
      <w:pPr>
        <w:rPr>
          <w:lang w:val="en-GB"/>
        </w:rPr>
      </w:pPr>
      <w:r w:rsidRPr="00BF17F2">
        <w:rPr>
          <w:lang w:val="en-GB"/>
        </w:rPr>
        <w:t>The annual response rate to the monthly APSU report card of 78.4% was lower than response rates prior to 2021,</w:t>
      </w:r>
      <w:r w:rsidRPr="00BF17F2">
        <w:rPr>
          <w:vertAlign w:val="superscript"/>
          <w:lang w:val="en-GB"/>
        </w:rPr>
        <w:t>18</w:t>
      </w:r>
      <w:r w:rsidRPr="00BF17F2">
        <w:rPr>
          <w:lang w:val="en-GB"/>
        </w:rPr>
        <w:t xml:space="preserve"> possibly due to ongoing clinician fatigue. Also, increasing cyber security measures by hospitals and local health districts around incoming email traffic have resulted in some of our bulk emails being relegated to junk or quarantined by recipients’ institutions. Nevertheless, the current response rate represents good engagement with the APSU surveillance system.</w:t>
      </w:r>
    </w:p>
    <w:p w14:paraId="61A9D523" w14:textId="77777777" w:rsidR="00BF17F2" w:rsidRPr="00BF17F2" w:rsidRDefault="00BF17F2" w:rsidP="00BF17F2">
      <w:pPr>
        <w:rPr>
          <w:lang w:val="en-GB"/>
        </w:rPr>
      </w:pPr>
      <w:r w:rsidRPr="00BF17F2">
        <w:rPr>
          <w:lang w:val="en-GB"/>
        </w:rPr>
        <w:t>In 2025, the Global Polio Eradication Initiative of the WHO launched the Global Polio Surveillance Action Plan 2025–2026, to identify and strengthen current surveillance methods and priorities in each member country and WHO region (including in Australia and the Western Pacific region) required to monitor ongoing global efforts to eradicate polio.</w:t>
      </w:r>
      <w:r w:rsidRPr="00BF17F2">
        <w:rPr>
          <w:vertAlign w:val="superscript"/>
          <w:lang w:val="en-GB"/>
        </w:rPr>
        <w:t>34</w:t>
      </w:r>
      <w:r w:rsidRPr="00BF17F2">
        <w:rPr>
          <w:lang w:val="en-GB"/>
        </w:rPr>
        <w:t xml:space="preserve"> Maintaining ongoing AFP surveillance in Australia by APSU/PAEDS is therefore imperative. Although no cases of locally acquired or imported wild-type poliovirus have been detected in Australia since 1986,</w:t>
      </w:r>
      <w:r w:rsidRPr="00BF17F2">
        <w:rPr>
          <w:vertAlign w:val="superscript"/>
          <w:lang w:val="en-GB"/>
        </w:rPr>
        <w:t>35</w:t>
      </w:r>
      <w:r w:rsidRPr="00BF17F2">
        <w:rPr>
          <w:lang w:val="en-GB"/>
        </w:rPr>
        <w:t xml:space="preserve"> and 2007,</w:t>
      </w:r>
      <w:r w:rsidRPr="00BF17F2">
        <w:rPr>
          <w:vertAlign w:val="superscript"/>
          <w:lang w:val="en-GB"/>
        </w:rPr>
        <w:t>36</w:t>
      </w:r>
      <w:r w:rsidRPr="00BF17F2">
        <w:rPr>
          <w:lang w:val="en-GB"/>
        </w:rPr>
        <w:t xml:space="preserve"> respectively, Australia continues to exceed the WHO surveillance target of ≥ 1 non-polio AFP cases per 100,000 children and to confirm that these cases are non-polio AFP. Australia nonetheless remains at risk of polio importation while wild-type and vaccine-derived polioviruses circulate globally</w:t>
      </w:r>
      <w:r w:rsidRPr="00BF17F2">
        <w:rPr>
          <w:vertAlign w:val="superscript"/>
          <w:lang w:val="en-GB"/>
        </w:rPr>
        <w:t>5</w:t>
      </w:r>
      <w:r w:rsidRPr="00BF17F2">
        <w:rPr>
          <w:lang w:val="en-GB"/>
        </w:rPr>
        <w:t xml:space="preserve"> and outbreaks of vaccine-derived polio occur in neighbouring countries, most recently in Papua New Guinea in April–May 2025.</w:t>
      </w:r>
      <w:r w:rsidRPr="00BF17F2">
        <w:rPr>
          <w:vertAlign w:val="superscript"/>
          <w:lang w:val="en-GB"/>
        </w:rPr>
        <w:t>37</w:t>
      </w:r>
      <w:r w:rsidRPr="00BF17F2">
        <w:rPr>
          <w:lang w:val="en-GB"/>
        </w:rPr>
        <w:t xml:space="preserve"> Moreover, polio vaccination rates in Australian children have been steadily declining since 2020,</w:t>
      </w:r>
      <w:r w:rsidRPr="00BF17F2">
        <w:rPr>
          <w:vertAlign w:val="superscript"/>
          <w:lang w:val="en-GB"/>
        </w:rPr>
        <w:t>38</w:t>
      </w:r>
      <w:r w:rsidRPr="00BF17F2">
        <w:rPr>
          <w:lang w:val="en-GB"/>
        </w:rPr>
        <w:t xml:space="preserve"> as have vaccination rates in other high-income countries such as the United States of America,</w:t>
      </w:r>
      <w:r w:rsidRPr="00BF17F2">
        <w:rPr>
          <w:vertAlign w:val="superscript"/>
          <w:lang w:val="en-GB"/>
        </w:rPr>
        <w:t>39</w:t>
      </w:r>
      <w:r w:rsidRPr="00BF17F2">
        <w:rPr>
          <w:lang w:val="en-GB"/>
        </w:rPr>
        <w:t xml:space="preserve"> placing local children at increased risk of polio.</w:t>
      </w:r>
    </w:p>
    <w:p w14:paraId="4B628E75" w14:textId="77777777" w:rsidR="00BF17F2" w:rsidRPr="00BF17F2" w:rsidRDefault="00BF17F2" w:rsidP="00BF17F2">
      <w:pPr>
        <w:rPr>
          <w:lang w:val="en-GB"/>
        </w:rPr>
      </w:pPr>
      <w:r w:rsidRPr="00BF17F2">
        <w:rPr>
          <w:lang w:val="en-GB"/>
        </w:rPr>
        <w:t xml:space="preserve">APSU data continue to show a persistence of neonatal varicella infection, especially in infants whose parents and family members have originated from countries where universal varicella vaccination programs </w:t>
      </w:r>
      <w:proofErr w:type="gramStart"/>
      <w:r w:rsidRPr="00BF17F2">
        <w:rPr>
          <w:lang w:val="en-GB"/>
        </w:rPr>
        <w:t>similar to</w:t>
      </w:r>
      <w:proofErr w:type="gramEnd"/>
      <w:r w:rsidRPr="00BF17F2">
        <w:rPr>
          <w:lang w:val="en-GB"/>
        </w:rPr>
        <w:t xml:space="preserve"> those in Australia may not exist. Varicella vaccination rates in Australian children have been steadily declining since 2020,</w:t>
      </w:r>
      <w:r w:rsidRPr="00BF17F2">
        <w:rPr>
          <w:vertAlign w:val="superscript"/>
          <w:lang w:val="en-GB"/>
        </w:rPr>
        <w:t>38</w:t>
      </w:r>
      <w:r w:rsidRPr="00BF17F2">
        <w:rPr>
          <w:lang w:val="en-GB"/>
        </w:rPr>
        <w:t xml:space="preserve"> placing newborn infants at increased risk of varicella infection and severe disease complications.</w:t>
      </w:r>
      <w:r w:rsidRPr="00BF17F2">
        <w:rPr>
          <w:vertAlign w:val="superscript"/>
          <w:lang w:val="en-GB"/>
        </w:rPr>
        <w:t>40</w:t>
      </w:r>
    </w:p>
    <w:p w14:paraId="1F000A2E" w14:textId="7B3916AC" w:rsidR="00BF17F2" w:rsidRPr="00BF17F2" w:rsidRDefault="00BF17F2" w:rsidP="00BF17F2">
      <w:pPr>
        <w:rPr>
          <w:lang w:val="en-GB"/>
        </w:rPr>
      </w:pPr>
      <w:r w:rsidRPr="00BF17F2">
        <w:rPr>
          <w:lang w:val="en-GB"/>
        </w:rPr>
        <w:t>Although no cases of congenita</w:t>
      </w:r>
      <w:r w:rsidR="00003842">
        <w:rPr>
          <w:lang w:val="en-GB"/>
        </w:rPr>
        <w:t>l</w:t>
      </w:r>
      <w:r w:rsidRPr="00BF17F2">
        <w:rPr>
          <w:lang w:val="en-GB"/>
        </w:rPr>
        <w:t xml:space="preserve"> rubella have been reported to the APSU for ten years, rubella infection is still endemic in many countries </w:t>
      </w:r>
      <w:proofErr w:type="gramStart"/>
      <w:r w:rsidRPr="00BF17F2">
        <w:rPr>
          <w:lang w:val="en-GB"/>
        </w:rPr>
        <w:t>in close proximity to</w:t>
      </w:r>
      <w:proofErr w:type="gramEnd"/>
      <w:r w:rsidRPr="00BF17F2">
        <w:rPr>
          <w:lang w:val="en-GB"/>
        </w:rPr>
        <w:t xml:space="preserve"> Australia, e.g., South-East Asia,</w:t>
      </w:r>
      <w:r w:rsidRPr="00BF17F2">
        <w:rPr>
          <w:vertAlign w:val="superscript"/>
          <w:lang w:val="en-GB"/>
        </w:rPr>
        <w:t>41</w:t>
      </w:r>
      <w:r w:rsidRPr="00BF17F2">
        <w:rPr>
          <w:lang w:val="en-GB"/>
        </w:rPr>
        <w:t xml:space="preserve"> and Australia </w:t>
      </w:r>
      <w:proofErr w:type="gramStart"/>
      <w:r w:rsidRPr="00BF17F2">
        <w:rPr>
          <w:lang w:val="en-GB"/>
        </w:rPr>
        <w:t>is</w:t>
      </w:r>
      <w:proofErr w:type="gramEnd"/>
      <w:r w:rsidRPr="00BF17F2">
        <w:rPr>
          <w:lang w:val="en-GB"/>
        </w:rPr>
        <w:t xml:space="preserve"> at risk of importing cases. The WHO launched a five-year strategic plan in 2024 for the elimination of measles and rubella in South-East Asia, which emphasises widespread immunisation uptake, sensitive surveillance, robust laboratory testing and effective responses to outbreaks as key pillars for the elimination of rubella infection, and thus congenital rubella in this global region;</w:t>
      </w:r>
      <w:r w:rsidRPr="00BF17F2">
        <w:rPr>
          <w:vertAlign w:val="superscript"/>
          <w:lang w:val="en-GB"/>
        </w:rPr>
        <w:t>42</w:t>
      </w:r>
      <w:r w:rsidRPr="00BF17F2">
        <w:rPr>
          <w:lang w:val="en-GB"/>
        </w:rPr>
        <w:t xml:space="preserve"> however, significant challenges in implementing this strategy have recently been highlighted.</w:t>
      </w:r>
      <w:r w:rsidRPr="00BF17F2">
        <w:rPr>
          <w:vertAlign w:val="superscript"/>
          <w:lang w:val="en-GB"/>
        </w:rPr>
        <w:t>41</w:t>
      </w:r>
      <w:r w:rsidRPr="00BF17F2">
        <w:rPr>
          <w:lang w:val="en-GB"/>
        </w:rPr>
        <w:t xml:space="preserve"> Australia has also shown a steady decline in MMR vaccination coverage in infants and young children since 2020,</w:t>
      </w:r>
      <w:r w:rsidRPr="00BF17F2">
        <w:rPr>
          <w:vertAlign w:val="superscript"/>
          <w:lang w:val="en-GB"/>
        </w:rPr>
        <w:t>38</w:t>
      </w:r>
      <w:r w:rsidRPr="00BF17F2">
        <w:rPr>
          <w:lang w:val="en-GB"/>
        </w:rPr>
        <w:t xml:space="preserve"> which has also been observed internationally,</w:t>
      </w:r>
      <w:r w:rsidRPr="00BF17F2">
        <w:rPr>
          <w:vertAlign w:val="superscript"/>
          <w:lang w:val="en-GB"/>
        </w:rPr>
        <w:t>43</w:t>
      </w:r>
      <w:r w:rsidRPr="00BF17F2">
        <w:rPr>
          <w:lang w:val="en-GB"/>
        </w:rPr>
        <w:t xml:space="preserve"> placing unborn and newborn children at potential risk of rubella infections and severe disease complications.</w:t>
      </w:r>
      <w:r w:rsidRPr="00BF17F2">
        <w:rPr>
          <w:vertAlign w:val="superscript"/>
          <w:lang w:val="en-GB"/>
        </w:rPr>
        <w:t>43</w:t>
      </w:r>
    </w:p>
    <w:p w14:paraId="5F933ADC" w14:textId="77777777" w:rsidR="00BF17F2" w:rsidRPr="00BF17F2" w:rsidRDefault="00BF17F2" w:rsidP="00BF17F2">
      <w:pPr>
        <w:keepLines/>
        <w:rPr>
          <w:lang w:val="en-GB"/>
        </w:rPr>
      </w:pPr>
      <w:r w:rsidRPr="00BF17F2">
        <w:rPr>
          <w:lang w:val="en-GB"/>
        </w:rPr>
        <w:t>APSU data in 2025 have shown a persistence of JoRRP cases, highlighting gaps in HPV vaccination despite being available free to adolescents and women of child-bearing age for almost two decades.</w:t>
      </w:r>
      <w:r w:rsidRPr="00BF17F2">
        <w:rPr>
          <w:vertAlign w:val="superscript"/>
          <w:lang w:val="en-GB"/>
        </w:rPr>
        <w:t>21</w:t>
      </w:r>
      <w:r w:rsidRPr="00BF17F2">
        <w:rPr>
          <w:lang w:val="en-GB"/>
        </w:rPr>
        <w:t xml:space="preserve"> Concerningly, Australian vaccination coverage data has shown a steady decline in HPV vaccine uptake since 2020,</w:t>
      </w:r>
      <w:r w:rsidRPr="00BF17F2">
        <w:rPr>
          <w:vertAlign w:val="superscript"/>
          <w:lang w:val="en-GB"/>
        </w:rPr>
        <w:t>38</w:t>
      </w:r>
      <w:r w:rsidRPr="00BF17F2">
        <w:rPr>
          <w:lang w:val="en-GB"/>
        </w:rPr>
        <w:t xml:space="preserve"> placing newborn infants potentially at risk of acquiring HPV infections and developing JoRRP.</w:t>
      </w:r>
      <w:r w:rsidRPr="00BF17F2">
        <w:rPr>
          <w:vertAlign w:val="superscript"/>
          <w:lang w:val="en-GB"/>
        </w:rPr>
        <w:t>44</w:t>
      </w:r>
    </w:p>
    <w:p w14:paraId="2DC385EA" w14:textId="0F9ED8A2" w:rsidR="0001020A" w:rsidRDefault="00BF17F2" w:rsidP="00830AEA">
      <w:r w:rsidRPr="00BF17F2">
        <w:rPr>
          <w:lang w:val="en-GB"/>
        </w:rPr>
        <w:t>The WHO launched a strategy in 2020 for the global elimination of HIV, hepatitis B and syphilis MTCT by 2030,</w:t>
      </w:r>
      <w:r w:rsidRPr="00BF17F2">
        <w:rPr>
          <w:vertAlign w:val="superscript"/>
          <w:lang w:val="en-GB"/>
        </w:rPr>
        <w:t>45</w:t>
      </w:r>
      <w:r w:rsidRPr="00BF17F2">
        <w:rPr>
          <w:lang w:val="en-GB"/>
        </w:rPr>
        <w:t xml:space="preserve"> and released a framework for its implementation in 2024.</w:t>
      </w:r>
      <w:r w:rsidRPr="00BF17F2">
        <w:rPr>
          <w:vertAlign w:val="superscript"/>
          <w:lang w:val="en-GB"/>
        </w:rPr>
        <w:t>46</w:t>
      </w:r>
      <w:r w:rsidRPr="00BF17F2">
        <w:rPr>
          <w:lang w:val="en-GB"/>
        </w:rPr>
        <w:t xml:space="preserve"> In 2025, to further support this goal, a practical guidance document was launched for individual countries.</w:t>
      </w:r>
      <w:r w:rsidRPr="00BF17F2">
        <w:rPr>
          <w:vertAlign w:val="superscript"/>
          <w:lang w:val="en-GB"/>
        </w:rPr>
        <w:t>47</w:t>
      </w:r>
      <w:r w:rsidRPr="00BF17F2">
        <w:rPr>
          <w:lang w:val="en-GB"/>
        </w:rPr>
        <w:t xml:space="preserve"> This supports the need for ongoing surveillance of these conditions in Australia, including HIV surveillance by APSU. Although the number of new perinatal exposure to HIV cases was stable in 2025, with no new HIV MTCT infections, an increase in newly diagnosed paediatric HIV infections occurred, the majority in children born overseas with previously undiagnosed MTCT. An increase in the rate of congenital syphilis in Australian children has been reported,</w:t>
      </w:r>
      <w:r w:rsidRPr="00BF17F2">
        <w:rPr>
          <w:vertAlign w:val="superscript"/>
          <w:lang w:val="en-GB"/>
        </w:rPr>
        <w:t>48</w:t>
      </w:r>
      <w:r w:rsidRPr="00BF17F2">
        <w:rPr>
          <w:lang w:val="en-GB"/>
        </w:rPr>
        <w:t xml:space="preserve"> while vaccination at birth and in infancy has substantially reduced perinatal transmission of hepatitis B,</w:t>
      </w:r>
      <w:r w:rsidRPr="00BF17F2">
        <w:rPr>
          <w:vertAlign w:val="superscript"/>
          <w:lang w:val="en-GB"/>
        </w:rPr>
        <w:t>49</w:t>
      </w:r>
      <w:r w:rsidRPr="00BF17F2">
        <w:rPr>
          <w:lang w:val="en-GB"/>
        </w:rPr>
        <w:t xml:space="preserve"> indicating that Australian surveillance of these conditions is also important. </w:t>
      </w:r>
    </w:p>
    <w:p w14:paraId="40F526B8" w14:textId="3FDE91D0" w:rsidR="00FE2847" w:rsidRDefault="00BF17F2" w:rsidP="008017B6">
      <w:pPr>
        <w:pStyle w:val="Heading1"/>
      </w:pPr>
      <w:bookmarkStart w:id="23" w:name="_Toc234492695"/>
      <w:bookmarkEnd w:id="21"/>
      <w:bookmarkEnd w:id="22"/>
      <w:r>
        <w:t>Implications</w:t>
      </w:r>
      <w:bookmarkEnd w:id="23"/>
    </w:p>
    <w:p w14:paraId="17DB29FA" w14:textId="7BAA6B21" w:rsidR="008017B6" w:rsidRPr="008017B6" w:rsidRDefault="00BF17F2" w:rsidP="00BF17F2">
      <w:pPr>
        <w:pStyle w:val="Normal-Opening"/>
      </w:pPr>
      <w:r w:rsidRPr="00BF17F2">
        <w:rPr>
          <w:lang w:val="en-GB"/>
        </w:rPr>
        <w:t xml:space="preserve">APSU surveillance provides a critical early-warning system for rare and emerging communicable diseases in children, enabling timely public health responses and targeted interventions. By capturing otherwise scattered cases across distant hospitals, APSU helps detect changes in disease patterns, vaccine-preventable outbreaks, and gaps in immunisation coverage that might be missed by routine reporting. The data generated directly inform policy, vaccine strategies, and clinical guidelines, strengthening Australia’s capacity to prevent transmission and reduce complications, and maintaining high-impact communicable disease control over time. APSU data on AFP continue to contribute to the maintenance of Australia’s polio-free status. Cases of vaccine-preventable neonatal varicella and JoRRP persist, indicating ongoing gaps in vaccination uptake. In Australia, decreases in vaccination uptake have been evident since the COVID-19 pandemic, and ongoing efforts are being made to lift vaccination rates in infants and young children. Efforts are also being made to lift vaccination in immigrant women of child-bearing age from countries where similar universal vaccination programs do not exist, to further prevent congenital and newborn infections and severe complications. Case numbers for perinatal exposure to HIV have remained stable; however, ongoing vigilance is required to maintain the use of routine interventions to prevent HIV MTCT. With </w:t>
      </w:r>
      <w:proofErr w:type="gramStart"/>
      <w:r w:rsidRPr="00BF17F2">
        <w:rPr>
          <w:lang w:val="en-GB"/>
        </w:rPr>
        <w:t>the majority of</w:t>
      </w:r>
      <w:proofErr w:type="gramEnd"/>
      <w:r w:rsidRPr="00BF17F2">
        <w:rPr>
          <w:lang w:val="en-GB"/>
        </w:rPr>
        <w:t xml:space="preserve"> new paediatric HIV cases imported from countries with a high prevalence or incidence of HIV infection, prompt diagnosis of these cases and appropriate management are required to prevent mortality and severe morbidity in affected children.</w:t>
      </w:r>
    </w:p>
    <w:p w14:paraId="4DE61A16" w14:textId="77777777" w:rsidR="00F216F0" w:rsidRDefault="00F216F0" w:rsidP="00F216F0">
      <w:pPr>
        <w:pStyle w:val="Heading1"/>
      </w:pPr>
      <w:bookmarkStart w:id="24" w:name="_Toc195530510"/>
      <w:bookmarkStart w:id="25" w:name="_Toc234492696"/>
      <w:bookmarkStart w:id="26" w:name="_Toc195530508"/>
      <w:r>
        <w:t>Acknowledgments</w:t>
      </w:r>
      <w:bookmarkEnd w:id="24"/>
      <w:bookmarkEnd w:id="25"/>
    </w:p>
    <w:p w14:paraId="62D62EC5" w14:textId="77777777" w:rsidR="00BF17F2" w:rsidRPr="00BF17F2" w:rsidRDefault="00BF17F2" w:rsidP="00BF17F2">
      <w:pPr>
        <w:pStyle w:val="Normal-Opening"/>
        <w:rPr>
          <w:lang w:val="en-GB"/>
        </w:rPr>
      </w:pPr>
      <w:r w:rsidRPr="00BF17F2">
        <w:rPr>
          <w:lang w:val="en-GB"/>
        </w:rPr>
        <w:t>We thank all Australian paediatricians for their ongoing, voluntary contribution to APSU surveillance and for providing data to inform clinical care, policy and prevention. We also acknowledge the contribution and expertise of all researchers, clinicians and research groups who use the APSU mechanism.</w:t>
      </w:r>
    </w:p>
    <w:p w14:paraId="4DCD1A5A" w14:textId="77777777" w:rsidR="00BF17F2" w:rsidRPr="00BF17F2" w:rsidRDefault="00BF17F2" w:rsidP="00BF17F2">
      <w:pPr>
        <w:rPr>
          <w:lang w:val="en-GB"/>
        </w:rPr>
      </w:pPr>
      <w:r w:rsidRPr="00BF17F2">
        <w:rPr>
          <w:lang w:val="en-GB"/>
        </w:rPr>
        <w:t>We thank current APSU Scientific Review Panel members (Mavis Duncanson, Elizabeth Elliott, Tasneem Karim, David Lester-Smith, Fiona Mackie, Ravisha Srinivasjois) for providing expertise that has greatly assisted in study development.</w:t>
      </w:r>
    </w:p>
    <w:p w14:paraId="5078BFEB" w14:textId="77777777" w:rsidR="00BF17F2" w:rsidRPr="00BF17F2" w:rsidRDefault="00BF17F2" w:rsidP="00BF17F2">
      <w:pPr>
        <w:rPr>
          <w:lang w:val="en-GB"/>
        </w:rPr>
      </w:pPr>
      <w:r w:rsidRPr="00BF17F2">
        <w:rPr>
          <w:lang w:val="en-GB"/>
        </w:rPr>
        <w:t xml:space="preserve">APSU acknowledges the contribution of study coordinators Linda Hobday (AFP), Ela </w:t>
      </w:r>
      <w:proofErr w:type="spellStart"/>
      <w:r w:rsidRPr="00BF17F2">
        <w:rPr>
          <w:lang w:val="en-GB"/>
        </w:rPr>
        <w:t>Naruka</w:t>
      </w:r>
      <w:proofErr w:type="spellEnd"/>
      <w:r w:rsidRPr="00BF17F2">
        <w:rPr>
          <w:lang w:val="en-GB"/>
        </w:rPr>
        <w:t xml:space="preserve"> and Erin Ogilvie (HIV) for facilitating the confirmation and classification of cases.</w:t>
      </w:r>
    </w:p>
    <w:p w14:paraId="43677050" w14:textId="77777777" w:rsidR="00BF17F2" w:rsidRPr="00BF17F2" w:rsidRDefault="00BF17F2" w:rsidP="00BF17F2">
      <w:pPr>
        <w:rPr>
          <w:lang w:val="en-GB"/>
        </w:rPr>
      </w:pPr>
      <w:r w:rsidRPr="00BF17F2">
        <w:rPr>
          <w:lang w:val="en-GB"/>
        </w:rPr>
        <w:t>Funding for APSU surveillance of the communicable diseases and complications included in this report was provided by the Australian Centre for Disease Control (reference number Health/D24-1585167).</w:t>
      </w:r>
    </w:p>
    <w:p w14:paraId="724C9403" w14:textId="77777777" w:rsidR="00BF17F2" w:rsidRPr="00BF17F2" w:rsidRDefault="00BF17F2" w:rsidP="00BF17F2">
      <w:pPr>
        <w:rPr>
          <w:lang w:val="en-GB"/>
        </w:rPr>
      </w:pPr>
      <w:r w:rsidRPr="00BF17F2">
        <w:rPr>
          <w:lang w:val="en-GB"/>
        </w:rPr>
        <w:t>The APSU receives in-kind support from The University of Sydney, Faculty of Medicine and Health, Specialty of Child and Adolescent Health; The Children’s Hospital at Westmead; and the Royal Australasian College of Physicians.</w:t>
      </w:r>
    </w:p>
    <w:p w14:paraId="7ED726F4" w14:textId="77777777" w:rsidR="00BF17F2" w:rsidRPr="00BF17F2" w:rsidRDefault="00BF17F2" w:rsidP="00BF17F2">
      <w:pPr>
        <w:rPr>
          <w:lang w:val="en-GB"/>
        </w:rPr>
      </w:pPr>
      <w:r w:rsidRPr="00BF17F2">
        <w:rPr>
          <w:lang w:val="en-GB"/>
        </w:rPr>
        <w:t>Professor Elizabeth Elliott is supported by a National Health and Medical Research Council (NHMRC) of Australia Leadership Fellowship (#APP2026176).</w:t>
      </w:r>
    </w:p>
    <w:p w14:paraId="1EFE6630" w14:textId="77777777" w:rsidR="00BF17F2" w:rsidRPr="00BF17F2" w:rsidRDefault="00BF17F2" w:rsidP="00BF17F2">
      <w:pPr>
        <w:spacing w:before="360"/>
        <w:rPr>
          <w:b/>
          <w:bCs/>
          <w:lang w:val="en-GB"/>
        </w:rPr>
      </w:pPr>
      <w:r w:rsidRPr="00BF17F2">
        <w:rPr>
          <w:b/>
          <w:bCs/>
          <w:lang w:val="en-GB"/>
        </w:rPr>
        <w:t>Chief Investigators of APSU surveillance studies of communicable diseases and complications of communicable disease included in this report are:</w:t>
      </w:r>
    </w:p>
    <w:p w14:paraId="20A3098B" w14:textId="77777777" w:rsidR="00BF17F2" w:rsidRPr="00BF17F2" w:rsidRDefault="00BF17F2" w:rsidP="00BF17F2">
      <w:pPr>
        <w:rPr>
          <w:b/>
          <w:bCs/>
          <w:i/>
          <w:iCs/>
          <w:lang w:val="en-GB"/>
        </w:rPr>
      </w:pPr>
      <w:r w:rsidRPr="00BF17F2">
        <w:rPr>
          <w:b/>
          <w:bCs/>
          <w:i/>
          <w:iCs/>
          <w:lang w:val="en-GB"/>
        </w:rPr>
        <w:t>Acute flaccid paralysis</w:t>
      </w:r>
    </w:p>
    <w:p w14:paraId="29B1E5A0" w14:textId="77777777" w:rsidR="00BF17F2" w:rsidRPr="00BF17F2" w:rsidRDefault="00BF17F2" w:rsidP="00BF17F2">
      <w:pPr>
        <w:pStyle w:val="Normal-lessspace"/>
      </w:pPr>
      <w:r w:rsidRPr="00BF17F2">
        <w:t>Associate Professor Bruce Thorley,</w:t>
      </w:r>
    </w:p>
    <w:p w14:paraId="28C2F395" w14:textId="77777777" w:rsidR="00BF17F2" w:rsidRPr="00BF17F2" w:rsidRDefault="00BF17F2" w:rsidP="00BF17F2">
      <w:pPr>
        <w:pStyle w:val="Normal-lessspace"/>
      </w:pPr>
      <w:r w:rsidRPr="00BF17F2">
        <w:t>National Enterovirus Reference Laboratory and WHO Polio Regional Reference Laboratory, Victorian Infectious Disease Reference Laboratory, The Peter Doherty Institute for Infection and Immunity</w:t>
      </w:r>
    </w:p>
    <w:p w14:paraId="5A076768" w14:textId="77777777" w:rsidR="00BF17F2" w:rsidRPr="00BF17F2" w:rsidRDefault="00BF17F2" w:rsidP="00BF17F2">
      <w:pPr>
        <w:spacing w:before="240"/>
        <w:rPr>
          <w:b/>
          <w:bCs/>
          <w:i/>
          <w:iCs/>
          <w:lang w:val="en-GB"/>
        </w:rPr>
      </w:pPr>
      <w:r w:rsidRPr="00BF17F2">
        <w:rPr>
          <w:b/>
          <w:bCs/>
          <w:i/>
          <w:iCs/>
          <w:lang w:val="en-GB"/>
        </w:rPr>
        <w:t>Perinatal exposure to HIV and HIV infection</w:t>
      </w:r>
    </w:p>
    <w:p w14:paraId="6916D72C" w14:textId="77777777" w:rsidR="00BF17F2" w:rsidRPr="00BF17F2" w:rsidRDefault="00BF17F2" w:rsidP="00BF17F2">
      <w:pPr>
        <w:pStyle w:val="Normal-lessspace"/>
      </w:pPr>
      <w:r w:rsidRPr="00BF17F2">
        <w:t>Dr Skye McGregor;</w:t>
      </w:r>
    </w:p>
    <w:p w14:paraId="2C499D62" w14:textId="77777777" w:rsidR="00BF17F2" w:rsidRPr="00BF17F2" w:rsidRDefault="00BF17F2" w:rsidP="00BF17F2">
      <w:pPr>
        <w:pStyle w:val="Normal-lessspace"/>
      </w:pPr>
      <w:r w:rsidRPr="00BF17F2">
        <w:t>Professor Rebecca Guy,</w:t>
      </w:r>
    </w:p>
    <w:p w14:paraId="1F278FBF" w14:textId="77777777" w:rsidR="00BF17F2" w:rsidRPr="00BF17F2" w:rsidRDefault="00BF17F2" w:rsidP="00BF17F2">
      <w:pPr>
        <w:pStyle w:val="Normal-lessspace"/>
      </w:pPr>
      <w:r w:rsidRPr="00BF17F2">
        <w:t>The Kirby Institute</w:t>
      </w:r>
    </w:p>
    <w:p w14:paraId="4BC24F61" w14:textId="77777777" w:rsidR="00BF17F2" w:rsidRPr="00BF17F2" w:rsidRDefault="00BF17F2" w:rsidP="00BF17F2">
      <w:pPr>
        <w:spacing w:before="240"/>
        <w:rPr>
          <w:b/>
          <w:bCs/>
          <w:i/>
          <w:iCs/>
          <w:lang w:val="en-GB"/>
        </w:rPr>
      </w:pPr>
      <w:r w:rsidRPr="00BF17F2">
        <w:rPr>
          <w:b/>
          <w:bCs/>
          <w:i/>
          <w:iCs/>
          <w:lang w:val="en-GB"/>
        </w:rPr>
        <w:t>Juvenile onset recurrent respiratory papillomatosis</w:t>
      </w:r>
    </w:p>
    <w:p w14:paraId="786C1088" w14:textId="77777777" w:rsidR="00BF17F2" w:rsidRPr="00BF17F2" w:rsidRDefault="00BF17F2" w:rsidP="00BF17F2">
      <w:pPr>
        <w:pStyle w:val="Normal-lessspace"/>
      </w:pPr>
      <w:r w:rsidRPr="00BF17F2">
        <w:t>Associate Professor Daniel Novakovic,</w:t>
      </w:r>
    </w:p>
    <w:p w14:paraId="64C31881" w14:textId="77777777" w:rsidR="00BF17F2" w:rsidRPr="00BF17F2" w:rsidRDefault="00BF17F2" w:rsidP="00BF17F2">
      <w:pPr>
        <w:pStyle w:val="Normal-lessspace"/>
      </w:pPr>
      <w:r w:rsidRPr="00BF17F2">
        <w:t>The University of Sydney, Faculty of Medicine and Health;</w:t>
      </w:r>
    </w:p>
    <w:p w14:paraId="2B900AAB" w14:textId="77777777" w:rsidR="00BF17F2" w:rsidRPr="00BF17F2" w:rsidRDefault="00BF17F2" w:rsidP="00BF17F2">
      <w:r w:rsidRPr="00BF17F2">
        <w:t>Professor Julia Brotherton,</w:t>
      </w:r>
    </w:p>
    <w:p w14:paraId="56B1B88C" w14:textId="69956EA4" w:rsidR="00BF17F2" w:rsidRDefault="00BF17F2" w:rsidP="00BF17F2">
      <w:pPr>
        <w:pStyle w:val="Normal-lessspace"/>
      </w:pPr>
      <w:r w:rsidRPr="00BF17F2">
        <w:t>Melbourne School of Population and Global Health, The University of Melbourne</w:t>
      </w:r>
      <w:r>
        <w:br w:type="page"/>
      </w:r>
    </w:p>
    <w:p w14:paraId="2F761FB9" w14:textId="77777777" w:rsidR="00BF17F2" w:rsidRPr="00BF17F2" w:rsidRDefault="00BF17F2" w:rsidP="00BF17F2">
      <w:pPr>
        <w:spacing w:before="240"/>
        <w:rPr>
          <w:b/>
          <w:bCs/>
          <w:i/>
          <w:iCs/>
          <w:lang w:val="en-GB"/>
        </w:rPr>
      </w:pPr>
      <w:r w:rsidRPr="00BF17F2">
        <w:rPr>
          <w:b/>
          <w:bCs/>
          <w:i/>
          <w:iCs/>
          <w:lang w:val="en-GB"/>
        </w:rPr>
        <w:t>Congenital rubella, congenital varicella syndrome and neonatal varicella infection</w:t>
      </w:r>
    </w:p>
    <w:p w14:paraId="61ABBE71" w14:textId="77777777" w:rsidR="00BF17F2" w:rsidRPr="00BF17F2" w:rsidRDefault="00BF17F2" w:rsidP="00BF17F2">
      <w:pPr>
        <w:pStyle w:val="Normal-lessspace"/>
      </w:pPr>
      <w:r w:rsidRPr="00BF17F2">
        <w:t>Professor Gulam Khandaker,</w:t>
      </w:r>
    </w:p>
    <w:p w14:paraId="14B5E4C6" w14:textId="2845B7E5" w:rsidR="00BF17F2" w:rsidRPr="00BF17F2" w:rsidRDefault="00BF17F2" w:rsidP="00BF17F2">
      <w:pPr>
        <w:pStyle w:val="Normal-lessspace"/>
      </w:pPr>
      <w:r w:rsidRPr="00BF17F2">
        <w:t>Central Queensland Hospital and Health Service, Rockhampton</w:t>
      </w:r>
      <w:r w:rsidR="00135441">
        <w:t xml:space="preserve">, </w:t>
      </w:r>
      <w:r w:rsidRPr="00BF17F2">
        <w:t>and The National Centre for Immunisation Research and Surveillance, The Sydney Children’s Hospitals Network</w:t>
      </w:r>
    </w:p>
    <w:p w14:paraId="21162CBD" w14:textId="77777777" w:rsidR="00BF17F2" w:rsidRPr="00BF17F2" w:rsidRDefault="00BF17F2" w:rsidP="00BF17F2">
      <w:pPr>
        <w:spacing w:before="240"/>
        <w:rPr>
          <w:b/>
          <w:bCs/>
          <w:i/>
          <w:iCs/>
          <w:lang w:val="en-GB"/>
        </w:rPr>
      </w:pPr>
      <w:r w:rsidRPr="00BF17F2">
        <w:rPr>
          <w:b/>
          <w:bCs/>
          <w:i/>
          <w:iCs/>
          <w:lang w:val="en-GB"/>
        </w:rPr>
        <w:t>Congenital varicella syndrome and neonatal varicella infection</w:t>
      </w:r>
    </w:p>
    <w:p w14:paraId="6ABF19F6" w14:textId="77777777" w:rsidR="00BF17F2" w:rsidRPr="00BF17F2" w:rsidRDefault="00BF17F2" w:rsidP="00BF17F2">
      <w:pPr>
        <w:pStyle w:val="Normal-lessspace"/>
      </w:pPr>
      <w:r w:rsidRPr="00BF17F2">
        <w:t>Professor Robert Booy,</w:t>
      </w:r>
    </w:p>
    <w:p w14:paraId="0F8395A9" w14:textId="1A6764A8" w:rsidR="00F216F0" w:rsidRPr="008017B6" w:rsidRDefault="00BF17F2" w:rsidP="00BF17F2">
      <w:pPr>
        <w:pStyle w:val="Normal-lessspace"/>
      </w:pPr>
      <w:r w:rsidRPr="00BF17F2">
        <w:t>The National Centre for Immunisation Research and Surveillance, The Sydney Children’s Hospitals Network</w:t>
      </w:r>
    </w:p>
    <w:p w14:paraId="46113BCD" w14:textId="77777777" w:rsidR="008A0736" w:rsidRDefault="008A0736" w:rsidP="008A0736">
      <w:pPr>
        <w:pStyle w:val="Heading1"/>
      </w:pPr>
      <w:bookmarkStart w:id="27" w:name="_Toc234492697"/>
      <w:r>
        <w:t>Author details</w:t>
      </w:r>
      <w:bookmarkEnd w:id="26"/>
      <w:bookmarkEnd w:id="27"/>
    </w:p>
    <w:p w14:paraId="4C2CDC7F" w14:textId="77777777" w:rsidR="00BF17F2" w:rsidRPr="00BF17F2" w:rsidRDefault="00BF17F2" w:rsidP="00BF17F2">
      <w:pPr>
        <w:pStyle w:val="Normal-Opening"/>
        <w:rPr>
          <w:lang w:val="en-GB"/>
        </w:rPr>
      </w:pPr>
      <w:r w:rsidRPr="00BF17F2">
        <w:rPr>
          <w:lang w:val="en-GB"/>
        </w:rPr>
        <w:t>Dr Suzy M Teutsch, Research Fellow,</w:t>
      </w:r>
      <w:r w:rsidRPr="00BF17F2">
        <w:rPr>
          <w:vertAlign w:val="superscript"/>
          <w:lang w:val="en-GB"/>
        </w:rPr>
        <w:t>1,2</w:t>
      </w:r>
    </w:p>
    <w:p w14:paraId="7013E307" w14:textId="77777777" w:rsidR="00BF17F2" w:rsidRPr="00BF17F2" w:rsidRDefault="00BF17F2" w:rsidP="00BF17F2">
      <w:pPr>
        <w:rPr>
          <w:lang w:val="en-GB"/>
        </w:rPr>
      </w:pPr>
      <w:r w:rsidRPr="00BF17F2">
        <w:rPr>
          <w:lang w:val="en-GB"/>
        </w:rPr>
        <w:t>Dr Carlos A Nunez, Research Associate,</w:t>
      </w:r>
      <w:r w:rsidRPr="00BF17F2">
        <w:rPr>
          <w:vertAlign w:val="superscript"/>
          <w:lang w:val="en-GB"/>
        </w:rPr>
        <w:t>1,2</w:t>
      </w:r>
    </w:p>
    <w:p w14:paraId="45F97D27" w14:textId="77777777" w:rsidR="00BF17F2" w:rsidRPr="00BF17F2" w:rsidRDefault="00BF17F2" w:rsidP="00BF17F2">
      <w:pPr>
        <w:rPr>
          <w:lang w:val="en-GB"/>
        </w:rPr>
      </w:pPr>
      <w:r w:rsidRPr="00BF17F2">
        <w:rPr>
          <w:lang w:val="en-GB"/>
        </w:rPr>
        <w:t>Associate Professor Anne Morris, Paediatrician and Senior Lecturer,</w:t>
      </w:r>
      <w:r w:rsidRPr="00BF17F2">
        <w:rPr>
          <w:vertAlign w:val="superscript"/>
          <w:lang w:val="en-GB"/>
        </w:rPr>
        <w:t>1,2</w:t>
      </w:r>
    </w:p>
    <w:p w14:paraId="0F431384" w14:textId="77777777" w:rsidR="00BF17F2" w:rsidRPr="00BF17F2" w:rsidRDefault="00BF17F2" w:rsidP="00BF17F2">
      <w:pPr>
        <w:rPr>
          <w:lang w:val="en-GB"/>
        </w:rPr>
      </w:pPr>
      <w:r w:rsidRPr="00BF17F2">
        <w:rPr>
          <w:lang w:val="en-GB"/>
        </w:rPr>
        <w:t>Professor Elizabeth J Elliott, Professor of Paediatrics and Child Health and Director of the Australian Paediatric Surveillance Unit</w:t>
      </w:r>
      <w:r w:rsidRPr="00BF17F2">
        <w:rPr>
          <w:vertAlign w:val="superscript"/>
          <w:lang w:val="en-GB"/>
        </w:rPr>
        <w:t>1,2</w:t>
      </w:r>
    </w:p>
    <w:p w14:paraId="1B507A55" w14:textId="77777777" w:rsidR="00BF17F2" w:rsidRPr="00BF17F2" w:rsidRDefault="00BF17F2" w:rsidP="00BF17F2">
      <w:pPr>
        <w:pStyle w:val="CDINumberedList1L1"/>
        <w:rPr>
          <w:lang w:val="en-GB"/>
        </w:rPr>
      </w:pPr>
      <w:r w:rsidRPr="00BF17F2">
        <w:rPr>
          <w:lang w:val="en-GB"/>
        </w:rPr>
        <w:t>The University of Sydney, Faculty of Medicine and Health, Specialty of Child and Adolescent Health, Sydney, New South Wales, Australia</w:t>
      </w:r>
    </w:p>
    <w:p w14:paraId="7971DE60" w14:textId="77777777" w:rsidR="00BF17F2" w:rsidRPr="00BF17F2" w:rsidRDefault="00BF17F2" w:rsidP="00BF17F2">
      <w:pPr>
        <w:pStyle w:val="CDINumberedList1L1"/>
        <w:rPr>
          <w:lang w:val="en-GB"/>
        </w:rPr>
      </w:pPr>
      <w:r w:rsidRPr="00BF17F2">
        <w:rPr>
          <w:lang w:val="en-GB"/>
        </w:rPr>
        <w:t>The Australian Paediatric Surveillance Unit, The Sydney Children’s Hospitals Network, Westmead, Sydney, New South Wales, Australia</w:t>
      </w:r>
    </w:p>
    <w:p w14:paraId="334784E2" w14:textId="77777777" w:rsidR="00423436" w:rsidRDefault="00423436" w:rsidP="00423436">
      <w:pPr>
        <w:pStyle w:val="CDICorrespondingauthor"/>
      </w:pPr>
      <w:r>
        <w:t>Corresponding author</w:t>
      </w:r>
    </w:p>
    <w:p w14:paraId="75D42150" w14:textId="77777777" w:rsidR="00BF17F2" w:rsidRPr="00BF17F2" w:rsidRDefault="00BF17F2" w:rsidP="00BF17F2">
      <w:pPr>
        <w:rPr>
          <w:lang w:val="en-GB"/>
        </w:rPr>
      </w:pPr>
      <w:r w:rsidRPr="00BF17F2">
        <w:rPr>
          <w:lang w:val="en-GB"/>
        </w:rPr>
        <w:t>Dr Suzy M Teutsch, Research Fellow,</w:t>
      </w:r>
    </w:p>
    <w:p w14:paraId="660EE270" w14:textId="77777777" w:rsidR="00BF17F2" w:rsidRPr="00BF17F2" w:rsidRDefault="00BF17F2" w:rsidP="00BF17F2">
      <w:pPr>
        <w:rPr>
          <w:lang w:val="en-GB"/>
        </w:rPr>
      </w:pPr>
      <w:r w:rsidRPr="00BF17F2">
        <w:rPr>
          <w:lang w:val="en-GB"/>
        </w:rPr>
        <w:t xml:space="preserve">The Australian Paediatric Surveillance Unit, </w:t>
      </w:r>
    </w:p>
    <w:p w14:paraId="6411BD93" w14:textId="77777777" w:rsidR="00BF17F2" w:rsidRPr="00BF17F2" w:rsidRDefault="00BF17F2" w:rsidP="00BF17F2">
      <w:pPr>
        <w:rPr>
          <w:lang w:val="en-GB"/>
        </w:rPr>
      </w:pPr>
      <w:r w:rsidRPr="00BF17F2">
        <w:rPr>
          <w:lang w:val="en-GB"/>
        </w:rPr>
        <w:t>Kids Research Sydney Children’s Hospitals Network (Westmead),</w:t>
      </w:r>
    </w:p>
    <w:p w14:paraId="17A296E8" w14:textId="77777777" w:rsidR="00BF17F2" w:rsidRPr="00BF17F2" w:rsidRDefault="00BF17F2" w:rsidP="00BF17F2">
      <w:pPr>
        <w:rPr>
          <w:lang w:val="en-GB"/>
        </w:rPr>
      </w:pPr>
      <w:r w:rsidRPr="00BF17F2">
        <w:rPr>
          <w:lang w:val="en-GB"/>
        </w:rPr>
        <w:t>Locked Bag 4001,</w:t>
      </w:r>
    </w:p>
    <w:p w14:paraId="53840857" w14:textId="77777777" w:rsidR="00BF17F2" w:rsidRPr="00BF17F2" w:rsidRDefault="00BF17F2" w:rsidP="00BF17F2">
      <w:pPr>
        <w:rPr>
          <w:lang w:val="en-GB"/>
        </w:rPr>
      </w:pPr>
      <w:r w:rsidRPr="00BF17F2">
        <w:rPr>
          <w:lang w:val="en-GB"/>
        </w:rPr>
        <w:t>Westmead NSW, AUSTRALIA, 2145.</w:t>
      </w:r>
    </w:p>
    <w:p w14:paraId="59C190E4" w14:textId="2789925B" w:rsidR="008A0736" w:rsidRDefault="00BF17F2" w:rsidP="00423436">
      <w:r w:rsidRPr="00BF17F2">
        <w:rPr>
          <w:lang w:val="en-GB"/>
        </w:rPr>
        <w:t xml:space="preserve">Email: </w:t>
      </w:r>
      <w:hyperlink r:id="rId23" w:history="1">
        <w:r w:rsidRPr="00BF17F2">
          <w:rPr>
            <w:rStyle w:val="Hyperlink"/>
            <w:lang w:val="en-GB"/>
          </w:rPr>
          <w:t>suzy.teutsch@health.nsw.gov.au</w:t>
        </w:r>
      </w:hyperlink>
    </w:p>
    <w:p w14:paraId="71E05CE8" w14:textId="77777777" w:rsidR="008A0736" w:rsidRDefault="008A0736" w:rsidP="00122ADA">
      <w:pPr>
        <w:pStyle w:val="Heading1"/>
      </w:pPr>
      <w:bookmarkStart w:id="28" w:name="_Toc195530511"/>
      <w:bookmarkStart w:id="29" w:name="_Toc234492698"/>
      <w:r>
        <w:t>References</w:t>
      </w:r>
      <w:bookmarkEnd w:id="28"/>
      <w:bookmarkEnd w:id="29"/>
    </w:p>
    <w:p w14:paraId="5FBF28F9" w14:textId="1C9FB39B" w:rsidR="00502965" w:rsidRDefault="00502965" w:rsidP="00502965">
      <w:pPr>
        <w:pStyle w:val="CDINumberedList1L1"/>
        <w:numPr>
          <w:ilvl w:val="0"/>
          <w:numId w:val="4"/>
        </w:numPr>
        <w:spacing w:before="340"/>
        <w:ind w:left="397" w:hanging="397"/>
      </w:pPr>
      <w:r>
        <w:t xml:space="preserve">Elliott EJ, Teutsch SM, Nunez CN, Morris A, Eslick GD, for the APSU Investigators and Contributors. Improving knowledge of rare disorders since 1993: the Australian Paediatric Surveillance Unit. </w:t>
      </w:r>
      <w:r w:rsidRPr="00BB3421">
        <w:rPr>
          <w:i/>
          <w:iCs/>
        </w:rPr>
        <w:t>Arch Dis Child</w:t>
      </w:r>
      <w:r>
        <w:t>. 2024;109(12):967–79. doi: </w:t>
      </w:r>
      <w:hyperlink r:id="rId24" w:history="1">
        <w:r>
          <w:rPr>
            <w:rStyle w:val="Hyperlink"/>
          </w:rPr>
          <w:t>https://doi.org/10.1136/archdischild-2023-326116</w:t>
        </w:r>
      </w:hyperlink>
      <w:r>
        <w:t>.</w:t>
      </w:r>
    </w:p>
    <w:p w14:paraId="4393B85E" w14:textId="3D54ADA3" w:rsidR="00502965" w:rsidRDefault="00502965" w:rsidP="00502965">
      <w:pPr>
        <w:pStyle w:val="CDINumberedList1L1"/>
        <w:numPr>
          <w:ilvl w:val="0"/>
          <w:numId w:val="4"/>
        </w:numPr>
        <w:ind w:left="397" w:hanging="397"/>
      </w:pPr>
      <w:r>
        <w:t xml:space="preserve">Harris PA, Taylor R, Thielke R, Payne J, Gonzalez N, Conde JG. Research electronic data capture (REDCap)—a metadata-driven methodology and workflow process for providing translational research informatics support. </w:t>
      </w:r>
      <w:r w:rsidRPr="00BB3421">
        <w:rPr>
          <w:i/>
          <w:iCs/>
        </w:rPr>
        <w:t>J Biomed Inform</w:t>
      </w:r>
      <w:r>
        <w:t>. 2009;42(2):377–81. doi: https//</w:t>
      </w:r>
      <w:hyperlink r:id="rId25" w:history="1">
        <w:r>
          <w:rPr>
            <w:rStyle w:val="Hyperlink"/>
          </w:rPr>
          <w:t>doi.org/10.1016/j.jbi.2008.08.010</w:t>
        </w:r>
      </w:hyperlink>
      <w:r>
        <w:t>.</w:t>
      </w:r>
    </w:p>
    <w:p w14:paraId="1514B4CF" w14:textId="77777777" w:rsidR="00502965" w:rsidRDefault="00502965" w:rsidP="00502965">
      <w:pPr>
        <w:pStyle w:val="CDINumberedList1L1"/>
        <w:numPr>
          <w:ilvl w:val="0"/>
          <w:numId w:val="4"/>
        </w:numPr>
        <w:ind w:left="397" w:hanging="397"/>
      </w:pPr>
      <w:r>
        <w:t xml:space="preserve">Harris PA, Taylor R, Minor BL, Elliott V, Fernandez M, O'Neal L et al. The REDCap consortium: building an international community of software platform partners. </w:t>
      </w:r>
      <w:r w:rsidRPr="00BB3421">
        <w:rPr>
          <w:i/>
          <w:iCs/>
        </w:rPr>
        <w:t>J Biomed Inform</w:t>
      </w:r>
      <w:r>
        <w:t xml:space="preserve">. </w:t>
      </w:r>
      <w:proofErr w:type="gramStart"/>
      <w:r>
        <w:t>2019;95:103208</w:t>
      </w:r>
      <w:proofErr w:type="gramEnd"/>
      <w:r>
        <w:t xml:space="preserve">. doi: </w:t>
      </w:r>
      <w:hyperlink r:id="rId26" w:history="1">
        <w:r>
          <w:t>h</w:t>
        </w:r>
        <w:r>
          <w:rPr>
            <w:rStyle w:val="Hyperlink"/>
          </w:rPr>
          <w:t>ttps://doi.org/10.1016/j.jbi.2019.103208</w:t>
        </w:r>
      </w:hyperlink>
      <w:r>
        <w:t>.</w:t>
      </w:r>
    </w:p>
    <w:p w14:paraId="566927B0" w14:textId="77777777" w:rsidR="00502965" w:rsidRDefault="00502965" w:rsidP="00502965">
      <w:pPr>
        <w:pStyle w:val="CDINumberedList1L1"/>
        <w:numPr>
          <w:ilvl w:val="0"/>
          <w:numId w:val="4"/>
        </w:numPr>
        <w:ind w:left="397" w:hanging="397"/>
      </w:pPr>
      <w:r>
        <w:t xml:space="preserve">Kaye M, Hobday L, Bruggink L, McKenzie J, Nong Y, Thorley B. Australian National Enterovirus Reference Laboratory annual report, 2024. </w:t>
      </w:r>
      <w:r w:rsidRPr="00BB3421">
        <w:rPr>
          <w:i/>
          <w:iCs/>
        </w:rPr>
        <w:t>Commun Dis Intell (2018)</w:t>
      </w:r>
      <w:r>
        <w:t xml:space="preserve">. 2025;49. doi: </w:t>
      </w:r>
      <w:hyperlink r:id="rId27" w:history="1">
        <w:r>
          <w:t>https://doi.o</w:t>
        </w:r>
        <w:r>
          <w:rPr>
            <w:rStyle w:val="Hyperlink"/>
          </w:rPr>
          <w:t>rg/10.33321/cdi.2025.49.047</w:t>
        </w:r>
      </w:hyperlink>
      <w:r>
        <w:t>.</w:t>
      </w:r>
    </w:p>
    <w:p w14:paraId="1B247783" w14:textId="77777777" w:rsidR="00502965" w:rsidRDefault="00502965" w:rsidP="00502965">
      <w:pPr>
        <w:pStyle w:val="CDINumberedList1L1"/>
        <w:numPr>
          <w:ilvl w:val="0"/>
          <w:numId w:val="4"/>
        </w:numPr>
        <w:ind w:left="397" w:hanging="397"/>
      </w:pPr>
      <w:r>
        <w:t xml:space="preserve">Thorley B, Hobday L, Morris A, Britton P. Surveillance for poliovirus is just as important as ever. </w:t>
      </w:r>
      <w:r w:rsidRPr="00BB3421">
        <w:rPr>
          <w:i/>
          <w:iCs/>
        </w:rPr>
        <w:t>Intern Med J</w:t>
      </w:r>
      <w:r>
        <w:t xml:space="preserve">. 2026;56(2):157−60. doi: </w:t>
      </w:r>
      <w:hyperlink r:id="rId28" w:history="1">
        <w:r>
          <w:rPr>
            <w:rStyle w:val="Hyperlink"/>
          </w:rPr>
          <w:t>https://doi.org/10.1111/imj.70360</w:t>
        </w:r>
      </w:hyperlink>
      <w:r>
        <w:t>.</w:t>
      </w:r>
    </w:p>
    <w:p w14:paraId="610997A2" w14:textId="77777777" w:rsidR="00502965" w:rsidRDefault="00502965" w:rsidP="00502965">
      <w:pPr>
        <w:pStyle w:val="CDINumberedList1L1"/>
        <w:numPr>
          <w:ilvl w:val="0"/>
          <w:numId w:val="4"/>
        </w:numPr>
        <w:ind w:left="397" w:hanging="397"/>
      </w:pPr>
      <w:r>
        <w:t xml:space="preserve">World Health Organization (WHO). </w:t>
      </w:r>
      <w:r w:rsidRPr="00BB3421">
        <w:rPr>
          <w:i/>
          <w:iCs/>
        </w:rPr>
        <w:t>Vaccine preventable diseases surveillance standards: poliomyelitis</w:t>
      </w:r>
      <w:r>
        <w:t xml:space="preserve">. Geneva: WHO; 4 September 2018. [Accessed on 13 March 2026.] Available from: </w:t>
      </w:r>
      <w:hyperlink r:id="rId29" w:history="1">
        <w:r w:rsidRPr="00502965">
          <w:rPr>
            <w:rStyle w:val="Hyperlink"/>
          </w:rPr>
          <w:t>https://www.who.int/publications/m/item/vaccine-preventable-diseases-surveillance-standards-polio</w:t>
        </w:r>
      </w:hyperlink>
      <w:r>
        <w:t>.</w:t>
      </w:r>
    </w:p>
    <w:p w14:paraId="480B00C9" w14:textId="77777777" w:rsidR="00502965" w:rsidRDefault="00502965" w:rsidP="00502965">
      <w:pPr>
        <w:pStyle w:val="CDINumberedList1L1"/>
        <w:numPr>
          <w:ilvl w:val="0"/>
          <w:numId w:val="4"/>
        </w:numPr>
        <w:ind w:left="397" w:hanging="397"/>
      </w:pPr>
      <w:r>
        <w:t xml:space="preserve">World Health Organization Regional Office for the Western Pacific (WPRO). Polio Bulletin 2025. [Webpage.] Manila: WPRO; 2025. [Accessed on 19 March 2026.] Available from: </w:t>
      </w:r>
      <w:hyperlink r:id="rId30" w:history="1">
        <w:r w:rsidRPr="00502965">
          <w:rPr>
            <w:rStyle w:val="Hyperlink"/>
          </w:rPr>
          <w:t>https://iris.who.int/h</w:t>
        </w:r>
        <w:r>
          <w:rPr>
            <w:rStyle w:val="Hyperlink"/>
          </w:rPr>
          <w:t>andle/10665/380438</w:t>
        </w:r>
      </w:hyperlink>
      <w:r>
        <w:t>.</w:t>
      </w:r>
    </w:p>
    <w:p w14:paraId="6929FE2D" w14:textId="77777777" w:rsidR="00502965" w:rsidRDefault="00502965" w:rsidP="00502965">
      <w:pPr>
        <w:pStyle w:val="CDINumberedList1L1"/>
        <w:numPr>
          <w:ilvl w:val="0"/>
          <w:numId w:val="4"/>
        </w:numPr>
        <w:ind w:left="397" w:hanging="397"/>
      </w:pPr>
      <w:r>
        <w:t xml:space="preserve">Australian Bureau of Statistics. National, state and territory population. Reference period: June 2025. [Webpage.] Canberra: Australian Bureau of Statistics; 18 December 2025. [Accessed on 6 March 2026.] Available from: </w:t>
      </w:r>
      <w:hyperlink r:id="rId31" w:history="1">
        <w:r>
          <w:rPr>
            <w:rStyle w:val="Hyperlink"/>
          </w:rPr>
          <w:t>https://www.abs.gov.au/statistics/people/population/national-state-and-territory-population/jun-2025</w:t>
        </w:r>
      </w:hyperlink>
      <w:r>
        <w:t>.</w:t>
      </w:r>
    </w:p>
    <w:p w14:paraId="0B08F86A" w14:textId="77777777" w:rsidR="00502965" w:rsidRDefault="00502965" w:rsidP="00502965">
      <w:pPr>
        <w:pStyle w:val="CDINumberedList1L1"/>
        <w:numPr>
          <w:ilvl w:val="0"/>
          <w:numId w:val="4"/>
        </w:numPr>
        <w:ind w:left="397" w:hanging="397"/>
      </w:pPr>
      <w:r>
        <w:t xml:space="preserve">Australian Institute of Health and Welfare (AIHW). </w:t>
      </w:r>
      <w:r w:rsidRPr="00BB3421">
        <w:rPr>
          <w:i/>
          <w:iCs/>
        </w:rPr>
        <w:t>Australia's mothers and babies</w:t>
      </w:r>
      <w:r>
        <w:t xml:space="preserve">. [Web report.] Canberra: AIHW; 31 July 2025. [Accessed on 5 March 2026.] Available from: </w:t>
      </w:r>
      <w:hyperlink r:id="rId32" w:history="1">
        <w:r w:rsidRPr="00502965">
          <w:rPr>
            <w:rStyle w:val="Hyperlink"/>
          </w:rPr>
          <w:t>https://www.aihw.gov.au/reports/</w:t>
        </w:r>
        <w:r>
          <w:rPr>
            <w:rStyle w:val="Hyperlink"/>
          </w:rPr>
          <w:t>mothers-babies/australias-mothers-babies</w:t>
        </w:r>
      </w:hyperlink>
      <w:r>
        <w:t>.</w:t>
      </w:r>
    </w:p>
    <w:p w14:paraId="722EBBD8" w14:textId="77777777" w:rsidR="00502965" w:rsidRDefault="00502965" w:rsidP="00502965">
      <w:pPr>
        <w:pStyle w:val="CDINumberedList1L1"/>
        <w:numPr>
          <w:ilvl w:val="0"/>
          <w:numId w:val="4"/>
        </w:numPr>
        <w:ind w:left="397" w:hanging="397"/>
      </w:pPr>
      <w:r>
        <w:t xml:space="preserve">Teutsch S, Nunez C, Morris A, Elliott EJ, on behalf of Chief Investigators of APSU. Australian Paediatric Surveillance Unit (APSU) Annual Surveillance Report 2024. </w:t>
      </w:r>
      <w:r w:rsidRPr="00BB3421">
        <w:rPr>
          <w:i/>
          <w:iCs/>
        </w:rPr>
        <w:t>Commun Dis Intell (2018)</w:t>
      </w:r>
      <w:r>
        <w:t xml:space="preserve">. 2026;50. doi: </w:t>
      </w:r>
      <w:hyperlink r:id="rId33" w:history="1">
        <w:r>
          <w:t>h</w:t>
        </w:r>
        <w:r>
          <w:rPr>
            <w:rStyle w:val="Hyperlink"/>
          </w:rPr>
          <w:t>ttps://doi.org/10.33321/cdi.2026.50.007</w:t>
        </w:r>
      </w:hyperlink>
      <w:r>
        <w:t>.</w:t>
      </w:r>
    </w:p>
    <w:p w14:paraId="05E9364C" w14:textId="77777777" w:rsidR="00502965" w:rsidRDefault="00502965" w:rsidP="00502965">
      <w:pPr>
        <w:pStyle w:val="CDINumberedList1L1"/>
        <w:numPr>
          <w:ilvl w:val="0"/>
          <w:numId w:val="4"/>
        </w:numPr>
        <w:ind w:left="397" w:hanging="397"/>
      </w:pPr>
      <w:proofErr w:type="spellStart"/>
      <w:r>
        <w:t>Palasanthiran</w:t>
      </w:r>
      <w:proofErr w:type="spellEnd"/>
      <w:r>
        <w:t xml:space="preserve"> P. Human Immunodeficiency virus. In </w:t>
      </w:r>
      <w:proofErr w:type="spellStart"/>
      <w:r>
        <w:t>Palasanthiran</w:t>
      </w:r>
      <w:proofErr w:type="spellEnd"/>
      <w:r>
        <w:t xml:space="preserve"> P, Starr M, Jones C, Giles M, eds. </w:t>
      </w:r>
      <w:r w:rsidRPr="00BB3421">
        <w:rPr>
          <w:i/>
          <w:iCs/>
        </w:rPr>
        <w:t>Management of perinatal infections (3rd edition)</w:t>
      </w:r>
      <w:r>
        <w:t>. Sydney: ASID, 2022;43–50.</w:t>
      </w:r>
    </w:p>
    <w:p w14:paraId="5ED4B994" w14:textId="3BBDA8C3" w:rsidR="00502965" w:rsidRDefault="00502965" w:rsidP="00502965">
      <w:pPr>
        <w:pStyle w:val="CDINumberedList1L1"/>
        <w:numPr>
          <w:ilvl w:val="0"/>
          <w:numId w:val="4"/>
        </w:numPr>
        <w:ind w:left="397" w:hanging="397"/>
      </w:pPr>
      <w:proofErr w:type="spellStart"/>
      <w:r>
        <w:t>Zurynski</w:t>
      </w:r>
      <w:proofErr w:type="spellEnd"/>
      <w:r>
        <w:t xml:space="preserve"> Y, Davey E, Elliott EJ. Australian Paediatric Surveillance Unit annual report, 2008 and 2009. </w:t>
      </w:r>
      <w:r w:rsidRPr="00BB3421">
        <w:rPr>
          <w:i/>
          <w:iCs/>
        </w:rPr>
        <w:t>Commun Dis Intell Q Rep</w:t>
      </w:r>
      <w:r>
        <w:t>. 2010;34(3):285−90. doi: </w:t>
      </w:r>
      <w:hyperlink r:id="rId34" w:history="1">
        <w:r>
          <w:rPr>
            <w:rStyle w:val="Hyperlink"/>
          </w:rPr>
          <w:t>https://doi.org/10.33321/cdi.2010.34.28</w:t>
        </w:r>
      </w:hyperlink>
      <w:r>
        <w:t>.</w:t>
      </w:r>
    </w:p>
    <w:p w14:paraId="21E056E8" w14:textId="7C8DDC92" w:rsidR="00502965" w:rsidRDefault="00502965" w:rsidP="00502965">
      <w:pPr>
        <w:pStyle w:val="CDINumberedList1L1"/>
        <w:numPr>
          <w:ilvl w:val="0"/>
          <w:numId w:val="4"/>
        </w:numPr>
        <w:ind w:left="397" w:hanging="397"/>
      </w:pPr>
      <w:r>
        <w:t xml:space="preserve">Teutsch SM, Nunez CA, Morris A, Eslick GD, Elliott EJ. Australian Paediatric Surveillance Unit (APSU) Annual Surveillance Report 2023. </w:t>
      </w:r>
      <w:r w:rsidRPr="00BB3421">
        <w:rPr>
          <w:i/>
          <w:iCs/>
        </w:rPr>
        <w:t>Commun Dis Intell (2018)</w:t>
      </w:r>
      <w:r>
        <w:t>. 2025;49. doi: </w:t>
      </w:r>
      <w:hyperlink r:id="rId35" w:history="1">
        <w:r w:rsidRPr="00502965">
          <w:rPr>
            <w:rStyle w:val="Hyperlink"/>
          </w:rPr>
          <w:t>https://doi.org/10.33321/c</w:t>
        </w:r>
        <w:r>
          <w:rPr>
            <w:rStyle w:val="Hyperlink"/>
          </w:rPr>
          <w:t>di.2025.49.019</w:t>
        </w:r>
      </w:hyperlink>
      <w:r>
        <w:t>.</w:t>
      </w:r>
    </w:p>
    <w:p w14:paraId="3672CA97" w14:textId="24260FFB" w:rsidR="00502965" w:rsidRDefault="00502965" w:rsidP="00502965">
      <w:pPr>
        <w:pStyle w:val="CDINumberedList1L1"/>
        <w:numPr>
          <w:ilvl w:val="0"/>
          <w:numId w:val="4"/>
        </w:numPr>
        <w:ind w:left="397" w:hanging="397"/>
      </w:pPr>
      <w:r>
        <w:t xml:space="preserve">Teutsch S, Nunez C, Morris A, Eslick GD, Elliott EJ. Australian Paediatric Surveillance Unit (APSU) Annual Surveillance Report 2022. </w:t>
      </w:r>
      <w:r w:rsidRPr="00BB3421">
        <w:rPr>
          <w:i/>
          <w:iCs/>
        </w:rPr>
        <w:t>Commun Dis Intell (2018)</w:t>
      </w:r>
      <w:r>
        <w:t>. 2023;47. doi: </w:t>
      </w:r>
      <w:hyperlink r:id="rId36" w:history="1">
        <w:r>
          <w:rPr>
            <w:rStyle w:val="Hyperlink"/>
          </w:rPr>
          <w:t>https://doi.org/10.33321/cdi.2023.47.46</w:t>
        </w:r>
      </w:hyperlink>
      <w:r>
        <w:t xml:space="preserve">. Erratum in: </w:t>
      </w:r>
      <w:r w:rsidRPr="00BB3421">
        <w:rPr>
          <w:i/>
          <w:iCs/>
        </w:rPr>
        <w:t>Commun Dis Intell (2018)</w:t>
      </w:r>
      <w:r>
        <w:t>. 2023;47. doi: </w:t>
      </w:r>
      <w:hyperlink r:id="rId37" w:history="1">
        <w:r w:rsidRPr="00502965">
          <w:rPr>
            <w:rStyle w:val="Hyperlink"/>
          </w:rPr>
          <w:t>https://doi.org/10.33321/c</w:t>
        </w:r>
        <w:r>
          <w:rPr>
            <w:rStyle w:val="Hyperlink"/>
          </w:rPr>
          <w:t>di.2023.47.64</w:t>
        </w:r>
      </w:hyperlink>
      <w:r>
        <w:t>.</w:t>
      </w:r>
    </w:p>
    <w:p w14:paraId="6CD2C132" w14:textId="77777777" w:rsidR="00502965" w:rsidRDefault="00502965" w:rsidP="00502965">
      <w:pPr>
        <w:pStyle w:val="CDINumberedList1L1"/>
        <w:numPr>
          <w:ilvl w:val="0"/>
          <w:numId w:val="4"/>
        </w:numPr>
        <w:ind w:left="397" w:hanging="397"/>
      </w:pPr>
      <w:r>
        <w:t xml:space="preserve">European Collaborative Study. HIV-infected pregnant women and vertical transmission in Europe since 1986. </w:t>
      </w:r>
      <w:r w:rsidRPr="00BB3421">
        <w:rPr>
          <w:i/>
          <w:iCs/>
        </w:rPr>
        <w:t>AIDS</w:t>
      </w:r>
      <w:r>
        <w:t xml:space="preserve">. 2001;15(6):761−70. Available from: </w:t>
      </w:r>
      <w:hyperlink r:id="rId38" w:history="1">
        <w:r>
          <w:rPr>
            <w:rStyle w:val="Hyperlink"/>
          </w:rPr>
          <w:t>https://journals.lww.com/aidsonline/abstract/2001/04130/hiv_infected_pregnant_women_and_vertical.12.aspx</w:t>
        </w:r>
      </w:hyperlink>
      <w:r>
        <w:t>.</w:t>
      </w:r>
    </w:p>
    <w:p w14:paraId="6C4A79CC" w14:textId="029BFA82" w:rsidR="00502965" w:rsidRDefault="00502965" w:rsidP="00502965">
      <w:pPr>
        <w:pStyle w:val="CDINumberedList1L1"/>
        <w:numPr>
          <w:ilvl w:val="0"/>
          <w:numId w:val="4"/>
        </w:numPr>
        <w:ind w:left="397" w:hanging="397"/>
      </w:pPr>
      <w:r>
        <w:t xml:space="preserve">Jones R, Gazzard B, Halima Y. Preventing HIV infection. </w:t>
      </w:r>
      <w:r w:rsidRPr="00BB3421">
        <w:rPr>
          <w:i/>
          <w:iCs/>
        </w:rPr>
        <w:t>BMJ</w:t>
      </w:r>
      <w:r>
        <w:t>. 2005;331(7528):1285−6. doi: </w:t>
      </w:r>
      <w:hyperlink r:id="rId39" w:history="1">
        <w:r>
          <w:t>https://doi.o</w:t>
        </w:r>
        <w:r>
          <w:rPr>
            <w:rStyle w:val="Hyperlink"/>
          </w:rPr>
          <w:t>rg/10.1136/bmj.331.7528.1285</w:t>
        </w:r>
      </w:hyperlink>
      <w:r>
        <w:t>.</w:t>
      </w:r>
    </w:p>
    <w:p w14:paraId="002F70D6" w14:textId="77777777" w:rsidR="00502965" w:rsidRDefault="00502965" w:rsidP="00502965">
      <w:pPr>
        <w:pStyle w:val="CDINumberedList1L1"/>
        <w:numPr>
          <w:ilvl w:val="0"/>
          <w:numId w:val="4"/>
        </w:numPr>
        <w:ind w:left="397" w:hanging="397"/>
      </w:pPr>
      <w:r>
        <w:t xml:space="preserve">Townsend CL, Cortina-Borja M, Peckham CS, de Ruiter A, Lyall H, Tookey PA. Low rates of mother-to-child transmission of HIV following effective pregnancy interventions in the United Kingdom and Ireland, 2000–2006. </w:t>
      </w:r>
      <w:r w:rsidRPr="00BB3421">
        <w:rPr>
          <w:i/>
          <w:iCs/>
        </w:rPr>
        <w:t>AIDS</w:t>
      </w:r>
      <w:r>
        <w:t xml:space="preserve">. 2008:22(8):973–81. doi: </w:t>
      </w:r>
      <w:hyperlink r:id="rId40" w:history="1">
        <w:r>
          <w:rPr>
            <w:rStyle w:val="Hyperlink"/>
          </w:rPr>
          <w:t>https://doi.org/10.1097/QAD.0b013e3282f9b67a</w:t>
        </w:r>
      </w:hyperlink>
      <w:r>
        <w:t>.</w:t>
      </w:r>
    </w:p>
    <w:p w14:paraId="3708809C" w14:textId="77777777" w:rsidR="00502965" w:rsidRDefault="00502965" w:rsidP="00502965">
      <w:pPr>
        <w:pStyle w:val="CDINumberedList1L1"/>
        <w:numPr>
          <w:ilvl w:val="0"/>
          <w:numId w:val="4"/>
        </w:numPr>
        <w:ind w:left="397" w:hanging="397"/>
      </w:pPr>
      <w:r>
        <w:t xml:space="preserve">Teutsch SM, Nunez CA, Morris A, Eslick GD, Khandaker G, Berkhout A et al. Australian Paediatric Surveillance Unit (APSU) Annual Surveillance Report 2020. </w:t>
      </w:r>
      <w:r w:rsidRPr="00BB3421">
        <w:rPr>
          <w:i/>
          <w:iCs/>
        </w:rPr>
        <w:t>Commun Dis Intell (2018)</w:t>
      </w:r>
      <w:r>
        <w:t xml:space="preserve">. 2021;45. doi: </w:t>
      </w:r>
      <w:hyperlink r:id="rId41" w:history="1">
        <w:r>
          <w:t>h</w:t>
        </w:r>
        <w:r>
          <w:rPr>
            <w:rStyle w:val="Hyperlink"/>
          </w:rPr>
          <w:t>ttps://doi.org/10.33321/cdi.2021.45.59</w:t>
        </w:r>
      </w:hyperlink>
      <w:r>
        <w:t>.</w:t>
      </w:r>
    </w:p>
    <w:p w14:paraId="5C3AA35C" w14:textId="77777777" w:rsidR="00502965" w:rsidRDefault="00502965" w:rsidP="00502965">
      <w:pPr>
        <w:pStyle w:val="CDINumberedList1L1"/>
        <w:numPr>
          <w:ilvl w:val="0"/>
          <w:numId w:val="4"/>
        </w:numPr>
        <w:ind w:left="397" w:hanging="397"/>
      </w:pPr>
      <w:r>
        <w:t xml:space="preserve">King J, Kwon J, Gray R, McManus H, McGregor S. </w:t>
      </w:r>
      <w:r w:rsidRPr="00BB3421">
        <w:rPr>
          <w:i/>
          <w:iCs/>
        </w:rPr>
        <w:t>HIV, viral hepatitis and sexually transmissible infections in Australia: Annual surveillance report 2025</w:t>
      </w:r>
      <w:r>
        <w:t xml:space="preserve">. Sydney: University of New South Wales, Kirby Institute; 2025. [Accessed on 6 March 2026.] Available from: </w:t>
      </w:r>
      <w:r w:rsidRPr="00502965">
        <w:rPr>
          <w:rStyle w:val="Hyperlink"/>
        </w:rPr>
        <w:t>https//</w:t>
      </w:r>
      <w:hyperlink r:id="rId42" w:history="1">
        <w:r>
          <w:rPr>
            <w:rStyle w:val="Hyperlink"/>
          </w:rPr>
          <w:t>www.kirby.unsw.edu.au/research/reports/asr2025</w:t>
        </w:r>
      </w:hyperlink>
      <w:r>
        <w:t>.</w:t>
      </w:r>
    </w:p>
    <w:p w14:paraId="5099DB9C" w14:textId="75E9B43E" w:rsidR="00502965" w:rsidRDefault="00502965" w:rsidP="00502965">
      <w:pPr>
        <w:pStyle w:val="CDINumberedList1L1"/>
        <w:numPr>
          <w:ilvl w:val="0"/>
          <w:numId w:val="4"/>
        </w:numPr>
        <w:ind w:left="397" w:hanging="397"/>
      </w:pPr>
      <w:r>
        <w:t xml:space="preserve">Novakovic D, Cheng ATL, </w:t>
      </w:r>
      <w:proofErr w:type="spellStart"/>
      <w:r>
        <w:t>Zurynski</w:t>
      </w:r>
      <w:proofErr w:type="spellEnd"/>
      <w:r>
        <w:t xml:space="preserve"> Y, Booy R, Walker PJ, Berkowitz R et al. A prospective study of the incidence of juvenile-onset recurrent respiratory papillomatosis after implementation of a national HPV vaccination program. </w:t>
      </w:r>
      <w:r w:rsidRPr="00BB3421">
        <w:rPr>
          <w:i/>
          <w:iCs/>
        </w:rPr>
        <w:t>J Infect Dis</w:t>
      </w:r>
      <w:r>
        <w:t>. 2018;217(2):208–12. doi: </w:t>
      </w:r>
      <w:hyperlink r:id="rId43" w:history="1">
        <w:r>
          <w:rPr>
            <w:rStyle w:val="Hyperlink"/>
          </w:rPr>
          <w:t>https://doi.org/10.1093/infdis/jix498</w:t>
        </w:r>
      </w:hyperlink>
      <w:r>
        <w:t>.</w:t>
      </w:r>
    </w:p>
    <w:p w14:paraId="398ACBAF" w14:textId="4B1244EA" w:rsidR="00502965" w:rsidRPr="00502965" w:rsidRDefault="00502965" w:rsidP="00502965">
      <w:pPr>
        <w:pStyle w:val="CDINumberedList1L1"/>
        <w:numPr>
          <w:ilvl w:val="0"/>
          <w:numId w:val="4"/>
        </w:numPr>
        <w:ind w:left="397" w:hanging="397"/>
        <w:rPr>
          <w:spacing w:val="-2"/>
        </w:rPr>
      </w:pPr>
      <w:r>
        <w:t xml:space="preserve">National Centre for Immunisation Research and Surveillance (NCIRS). </w:t>
      </w:r>
      <w:hyperlink r:id="rId44" w:history="1">
        <w:r w:rsidRPr="00086093">
          <w:rPr>
            <w:rStyle w:val="Hyperlink"/>
            <w:i/>
            <w:iCs/>
          </w:rPr>
          <w:t>Significant events in human papillomavirus (HPV) vaccination practice in Australia</w:t>
        </w:r>
      </w:hyperlink>
      <w:r>
        <w:t xml:space="preserve">. Sydney: Sydney Children’s Hospital Network, NCIRS; March 2025. [Accessed on 30 March 2026.] </w:t>
      </w:r>
    </w:p>
    <w:p w14:paraId="1CB4D484" w14:textId="77777777" w:rsidR="00502965" w:rsidRDefault="00502965" w:rsidP="00502965">
      <w:pPr>
        <w:pStyle w:val="CDINumberedList1L1"/>
        <w:numPr>
          <w:ilvl w:val="0"/>
          <w:numId w:val="4"/>
        </w:numPr>
        <w:ind w:left="397" w:hanging="397"/>
      </w:pPr>
      <w:r>
        <w:t xml:space="preserve">Australian Centre for Disease Control (Australian CDC). National Notifiable Disease Surveillance System (NNDSS) data visualisation tool. [Webpage.] Canberra: Australian CDC; 3 October 2025. [Accessed on 27 March 2026.] Available from: </w:t>
      </w:r>
      <w:hyperlink r:id="rId45" w:history="1">
        <w:r>
          <w:rPr>
            <w:rStyle w:val="Hyperlink"/>
          </w:rPr>
          <w:t>https://www.cdc.gov.au/resources/apps-and-tools/nndss-data-visualisation-tool</w:t>
        </w:r>
      </w:hyperlink>
      <w:r>
        <w:t>.</w:t>
      </w:r>
    </w:p>
    <w:p w14:paraId="60497A8F" w14:textId="77777777" w:rsidR="00502965" w:rsidRDefault="00502965" w:rsidP="00502965">
      <w:pPr>
        <w:pStyle w:val="CDINumberedList1L1"/>
        <w:numPr>
          <w:ilvl w:val="0"/>
          <w:numId w:val="4"/>
        </w:numPr>
        <w:ind w:left="397" w:hanging="397"/>
      </w:pPr>
      <w:r>
        <w:t xml:space="preserve">Deverell M, Phu A, </w:t>
      </w:r>
      <w:proofErr w:type="spellStart"/>
      <w:r>
        <w:t>Zurynski</w:t>
      </w:r>
      <w:proofErr w:type="spellEnd"/>
      <w:r>
        <w:t xml:space="preserve"> YA, Elliott EJ, all chief investigators of APSU surveillance studies. Australian Paediatric Surveillance Unit annual report, 2015. </w:t>
      </w:r>
      <w:r w:rsidRPr="00BB3421">
        <w:rPr>
          <w:i/>
          <w:iCs/>
        </w:rPr>
        <w:t>Commun Dis Intell Q Rep</w:t>
      </w:r>
      <w:r>
        <w:t>. 2017;41(2</w:t>
      </w:r>
      <w:proofErr w:type="gramStart"/>
      <w:r>
        <w:t>):E</w:t>
      </w:r>
      <w:proofErr w:type="gramEnd"/>
      <w:r>
        <w:t xml:space="preserve">181–5. doi: </w:t>
      </w:r>
      <w:hyperlink r:id="rId46" w:history="1">
        <w:r>
          <w:rPr>
            <w:rStyle w:val="Hyperlink"/>
          </w:rPr>
          <w:t>https://doi.org/10.33321/cdi.2017.41.22</w:t>
        </w:r>
      </w:hyperlink>
      <w:r>
        <w:t>.</w:t>
      </w:r>
    </w:p>
    <w:p w14:paraId="7DEF9909" w14:textId="0D7158CC" w:rsidR="00502965" w:rsidRDefault="00502965" w:rsidP="00502965">
      <w:pPr>
        <w:pStyle w:val="CDINumberedList1L1"/>
        <w:numPr>
          <w:ilvl w:val="0"/>
          <w:numId w:val="4"/>
        </w:numPr>
        <w:ind w:left="397" w:hanging="397"/>
      </w:pPr>
      <w:r>
        <w:t xml:space="preserve">NCIRS. </w:t>
      </w:r>
      <w:hyperlink r:id="rId47" w:history="1">
        <w:r w:rsidRPr="00086093">
          <w:rPr>
            <w:rStyle w:val="Hyperlink"/>
            <w:i/>
            <w:iCs/>
          </w:rPr>
          <w:t>Significant events in measles, mumps and rubella vaccination practice in Australia</w:t>
        </w:r>
      </w:hyperlink>
      <w:r>
        <w:t xml:space="preserve">. Sydney: Sydney Children’s Hospital Network, NCIRS; July 2025. [Accessed on 30 March 2026.] </w:t>
      </w:r>
    </w:p>
    <w:p w14:paraId="6BCEED58" w14:textId="2CDC1918" w:rsidR="00502965" w:rsidRDefault="00502965" w:rsidP="00502965">
      <w:pPr>
        <w:pStyle w:val="CDINumberedList1L1"/>
        <w:numPr>
          <w:ilvl w:val="0"/>
          <w:numId w:val="4"/>
        </w:numPr>
        <w:ind w:left="397" w:hanging="397"/>
      </w:pPr>
      <w:r>
        <w:t xml:space="preserve">Khandaker G, </w:t>
      </w:r>
      <w:proofErr w:type="spellStart"/>
      <w:r>
        <w:t>Zurynski</w:t>
      </w:r>
      <w:proofErr w:type="spellEnd"/>
      <w:r>
        <w:t xml:space="preserve"> Y, Jones C. Surveillance for congenital rubella in Australia since 1993: cases reported between 2004 and 2013. </w:t>
      </w:r>
      <w:r w:rsidRPr="00BB3421">
        <w:rPr>
          <w:i/>
          <w:iCs/>
        </w:rPr>
        <w:t>Vaccine</w:t>
      </w:r>
      <w:r>
        <w:t>. 2014;32(50):6746–51. doi: </w:t>
      </w:r>
      <w:hyperlink r:id="rId48" w:history="1">
        <w:r w:rsidRPr="00502965">
          <w:rPr>
            <w:rStyle w:val="Hyperlink"/>
          </w:rPr>
          <w:t>https://doi.org/10.1016/j.v</w:t>
        </w:r>
        <w:r>
          <w:rPr>
            <w:rStyle w:val="Hyperlink"/>
          </w:rPr>
          <w:t>accine.2014.10.021</w:t>
        </w:r>
      </w:hyperlink>
      <w:r>
        <w:t>.</w:t>
      </w:r>
    </w:p>
    <w:p w14:paraId="7C744B91" w14:textId="77777777" w:rsidR="00502965" w:rsidRDefault="00502965" w:rsidP="00502965">
      <w:pPr>
        <w:pStyle w:val="CDINumberedList1L1"/>
        <w:numPr>
          <w:ilvl w:val="0"/>
          <w:numId w:val="4"/>
        </w:numPr>
        <w:ind w:left="397" w:hanging="397"/>
      </w:pPr>
      <w:r>
        <w:t xml:space="preserve">WHO. Singapore wipes out measles; Australia, Brunei Darussalam and Macao SAR (China) eliminate rubella. [Media release.] Geneva: WHO; 31 October 2018. [Accessed on 27 March 2026.] Available from: </w:t>
      </w:r>
      <w:hyperlink r:id="rId49" w:history="1">
        <w:r>
          <w:rPr>
            <w:rStyle w:val="Hyperlink"/>
          </w:rPr>
          <w:t>https://www.who.int/news/item/31-10-2018-singapore-wipes-out-measles-australia-brunei-darussalam-and-macao-sar-(china)-eliminate-rubella</w:t>
        </w:r>
      </w:hyperlink>
      <w:r>
        <w:t>.</w:t>
      </w:r>
    </w:p>
    <w:p w14:paraId="1483EA98" w14:textId="3B94D56E" w:rsidR="00502965" w:rsidRDefault="00502965" w:rsidP="00502965">
      <w:pPr>
        <w:pStyle w:val="CDINumberedList1L1"/>
        <w:numPr>
          <w:ilvl w:val="0"/>
          <w:numId w:val="4"/>
        </w:numPr>
        <w:ind w:left="397" w:hanging="397"/>
      </w:pPr>
      <w:r>
        <w:t xml:space="preserve">Glynn-Robinson A, Knapp JK, Durrheim DN. How Australia's measles control activities have </w:t>
      </w:r>
      <w:proofErr w:type="spellStart"/>
      <w:r>
        <w:t>catalyzed</w:t>
      </w:r>
      <w:proofErr w:type="spellEnd"/>
      <w:r>
        <w:t xml:space="preserve"> rubella elimination. </w:t>
      </w:r>
      <w:r w:rsidRPr="00BB3421">
        <w:rPr>
          <w:i/>
          <w:iCs/>
        </w:rPr>
        <w:t>Int J Infect Dis</w:t>
      </w:r>
      <w:r>
        <w:t xml:space="preserve">. </w:t>
      </w:r>
      <w:proofErr w:type="gramStart"/>
      <w:r>
        <w:t>2022;114:72</w:t>
      </w:r>
      <w:proofErr w:type="gramEnd"/>
      <w:r>
        <w:t>–8. doi: </w:t>
      </w:r>
      <w:hyperlink r:id="rId50" w:history="1">
        <w:r>
          <w:rPr>
            <w:rStyle w:val="Hyperlink"/>
          </w:rPr>
          <w:t>https://doi.org/10.1016/j.ijid.2021.11.003</w:t>
        </w:r>
      </w:hyperlink>
      <w:r>
        <w:t>.</w:t>
      </w:r>
    </w:p>
    <w:p w14:paraId="23CB98DF" w14:textId="77777777" w:rsidR="00502965" w:rsidRDefault="00502965" w:rsidP="00502965">
      <w:pPr>
        <w:pStyle w:val="CDINumberedList1L1"/>
        <w:numPr>
          <w:ilvl w:val="0"/>
          <w:numId w:val="4"/>
        </w:numPr>
        <w:ind w:left="397" w:hanging="397"/>
      </w:pPr>
      <w:r>
        <w:t xml:space="preserve">NCIRS. </w:t>
      </w:r>
      <w:r w:rsidRPr="00BB3421">
        <w:rPr>
          <w:i/>
          <w:iCs/>
        </w:rPr>
        <w:t>Significant events in varicella vaccination practice in Australia</w:t>
      </w:r>
      <w:r>
        <w:t xml:space="preserve">. Sydney: Sydney Children’s Hospital Network, NCIRS; July 2018. [Accessed on 30 March 2026.] Available from: </w:t>
      </w:r>
      <w:hyperlink r:id="rId51" w:history="1">
        <w:r w:rsidRPr="00502965">
          <w:rPr>
            <w:rStyle w:val="Hyperlink"/>
          </w:rPr>
          <w:t>https://www.ncirs.org</w:t>
        </w:r>
        <w:r>
          <w:rPr>
            <w:rStyle w:val="Hyperlink"/>
          </w:rPr>
          <w:t>.au/sites/default/files/2018-11/Varicella-history-July-2018.pdf</w:t>
        </w:r>
      </w:hyperlink>
      <w:r>
        <w:t>.</w:t>
      </w:r>
    </w:p>
    <w:p w14:paraId="54B459B5" w14:textId="77777777" w:rsidR="00502965" w:rsidRDefault="00502965" w:rsidP="00502965">
      <w:pPr>
        <w:pStyle w:val="CDINumberedList1L1"/>
        <w:numPr>
          <w:ilvl w:val="0"/>
          <w:numId w:val="4"/>
        </w:numPr>
        <w:ind w:left="397" w:hanging="397"/>
      </w:pPr>
      <w:r>
        <w:t xml:space="preserve">Khandaker G, Marshall H, </w:t>
      </w:r>
      <w:proofErr w:type="spellStart"/>
      <w:r>
        <w:t>Peadon</w:t>
      </w:r>
      <w:proofErr w:type="spellEnd"/>
      <w:r>
        <w:t xml:space="preserve"> E, </w:t>
      </w:r>
      <w:proofErr w:type="spellStart"/>
      <w:r>
        <w:t>Zurynski</w:t>
      </w:r>
      <w:proofErr w:type="spellEnd"/>
      <w:r>
        <w:t xml:space="preserve"> Y, Burgner D, Buttery J et al. Congenital and neonatal varicella: impact of the national varicella vaccination programme in Australia. </w:t>
      </w:r>
      <w:r w:rsidRPr="00BB3421">
        <w:rPr>
          <w:i/>
          <w:iCs/>
        </w:rPr>
        <w:t>Arch Dis Child</w:t>
      </w:r>
      <w:r>
        <w:t xml:space="preserve">. 2011;96(5):453−6. doi: </w:t>
      </w:r>
      <w:hyperlink r:id="rId52" w:history="1">
        <w:r>
          <w:rPr>
            <w:rStyle w:val="Hyperlink"/>
          </w:rPr>
          <w:t>https://doi.org/10.1136/adc.2010.206037</w:t>
        </w:r>
      </w:hyperlink>
      <w:r>
        <w:t>.</w:t>
      </w:r>
    </w:p>
    <w:p w14:paraId="25E26586" w14:textId="60EFE647" w:rsidR="00502965" w:rsidRDefault="00502965" w:rsidP="00502965">
      <w:pPr>
        <w:pStyle w:val="CDINumberedList1L1"/>
        <w:numPr>
          <w:ilvl w:val="0"/>
          <w:numId w:val="4"/>
        </w:numPr>
        <w:ind w:left="397" w:hanging="397"/>
      </w:pPr>
      <w:r>
        <w:t xml:space="preserve">Walker J, Teutsch S, Morris A, Eslick GD, Al Imam MH, Khan A et al. Active prospective national surveillance for congenital and neonatal varicella in Australia shows potential prevention opportunities. </w:t>
      </w:r>
      <w:r w:rsidRPr="00BB3421">
        <w:rPr>
          <w:i/>
          <w:iCs/>
        </w:rPr>
        <w:t>Vaccine X</w:t>
      </w:r>
      <w:r>
        <w:t xml:space="preserve">. </w:t>
      </w:r>
      <w:proofErr w:type="gramStart"/>
      <w:r>
        <w:t>2023;13:100278</w:t>
      </w:r>
      <w:proofErr w:type="gramEnd"/>
      <w:r>
        <w:t>. doi: </w:t>
      </w:r>
      <w:hyperlink r:id="rId53" w:history="1">
        <w:r>
          <w:rPr>
            <w:rStyle w:val="Hyperlink"/>
          </w:rPr>
          <w:t>https://doi.org/10.1016/j.jvacx.2023.100278</w:t>
        </w:r>
      </w:hyperlink>
      <w:r>
        <w:t>.</w:t>
      </w:r>
    </w:p>
    <w:p w14:paraId="795D8750" w14:textId="427EF65C" w:rsidR="00502965" w:rsidRDefault="00502965" w:rsidP="00502965">
      <w:pPr>
        <w:pStyle w:val="CDINumberedList1L1"/>
        <w:numPr>
          <w:ilvl w:val="0"/>
          <w:numId w:val="4"/>
        </w:numPr>
        <w:ind w:left="397" w:hanging="397"/>
      </w:pPr>
      <w:r>
        <w:t xml:space="preserve">Elliott EJ, Robins-Browne RM, O'Loughlin EV, Bennett-Wood V, Bourke J, Henning P et al. Nationwide study of haemolytic uraemic syndrome: clinical, microbiological, and epidemiological features. </w:t>
      </w:r>
      <w:r w:rsidRPr="00BB3421">
        <w:rPr>
          <w:i/>
          <w:iCs/>
        </w:rPr>
        <w:t>Arch Dis Child</w:t>
      </w:r>
      <w:r>
        <w:t>. 2001;85(2):125–31. doi: </w:t>
      </w:r>
      <w:hyperlink r:id="rId54" w:history="1">
        <w:r>
          <w:rPr>
            <w:rStyle w:val="Hyperlink"/>
          </w:rPr>
          <w:t>https://doi.org/10.1136/adc.85.2.125</w:t>
        </w:r>
      </w:hyperlink>
      <w:r>
        <w:t>.</w:t>
      </w:r>
    </w:p>
    <w:p w14:paraId="141D0CC3" w14:textId="6365B775" w:rsidR="00502965" w:rsidRDefault="00502965" w:rsidP="00502965">
      <w:pPr>
        <w:pStyle w:val="CDINumberedList1L1"/>
        <w:numPr>
          <w:ilvl w:val="0"/>
          <w:numId w:val="4"/>
        </w:numPr>
        <w:ind w:left="397" w:hanging="397"/>
      </w:pPr>
      <w:r>
        <w:t xml:space="preserve">Buttery JP, </w:t>
      </w:r>
      <w:proofErr w:type="spellStart"/>
      <w:r>
        <w:t>Danchin</w:t>
      </w:r>
      <w:proofErr w:type="spellEnd"/>
      <w:r>
        <w:t xml:space="preserve"> MH, Lee KJ, Carlin JB, McIntyre PB, Elliott EJ et al. Intussusception following rotavirus vaccine administration: post-marketing surveillance in the National Immunization Program in Australia. </w:t>
      </w:r>
      <w:r w:rsidRPr="00BB3421">
        <w:rPr>
          <w:i/>
          <w:iCs/>
        </w:rPr>
        <w:t>Vaccine</w:t>
      </w:r>
      <w:r>
        <w:t>. 2011;29(16):3061−6. doi: </w:t>
      </w:r>
      <w:hyperlink r:id="rId55" w:history="1">
        <w:r>
          <w:rPr>
            <w:rStyle w:val="Hyperlink"/>
          </w:rPr>
          <w:t>https://doi.org/10.1016/j.vaccine.2011.01.088</w:t>
        </w:r>
      </w:hyperlink>
      <w:r>
        <w:t>.</w:t>
      </w:r>
    </w:p>
    <w:p w14:paraId="397F62B1" w14:textId="27AC5C58" w:rsidR="00502965" w:rsidRDefault="00502965" w:rsidP="00502965">
      <w:pPr>
        <w:pStyle w:val="CDINumberedList1L1"/>
        <w:numPr>
          <w:ilvl w:val="0"/>
          <w:numId w:val="4"/>
        </w:numPr>
        <w:ind w:left="397" w:hanging="397"/>
      </w:pPr>
      <w:r>
        <w:t xml:space="preserve">McMullan BJ, </w:t>
      </w:r>
      <w:proofErr w:type="spellStart"/>
      <w:r>
        <w:t>Palasanthiran</w:t>
      </w:r>
      <w:proofErr w:type="spellEnd"/>
      <w:r>
        <w:t xml:space="preserve"> P, Jones CA, Hall BM, Robertson PW, Howard J et al. Congenital cytomegalovirus–time to diagnosis, management and clinical sequelae in Australia: opportunities for earlier identification. </w:t>
      </w:r>
      <w:r w:rsidRPr="00BB3421">
        <w:rPr>
          <w:i/>
          <w:iCs/>
        </w:rPr>
        <w:t>Med J Aust</w:t>
      </w:r>
      <w:r>
        <w:t>. 2011;194(12):625−9. doi: </w:t>
      </w:r>
      <w:hyperlink r:id="rId56" w:history="1">
        <w:r w:rsidRPr="00502965">
          <w:rPr>
            <w:rStyle w:val="Hyperlink"/>
          </w:rPr>
          <w:t>https://doi.org/10.5694/j.1326-5377.2011.tb</w:t>
        </w:r>
        <w:r>
          <w:rPr>
            <w:rStyle w:val="Hyperlink"/>
          </w:rPr>
          <w:t>03144.x</w:t>
        </w:r>
      </w:hyperlink>
      <w:r>
        <w:t>.</w:t>
      </w:r>
    </w:p>
    <w:p w14:paraId="66F9EF93" w14:textId="77777777" w:rsidR="00502965" w:rsidRDefault="00502965" w:rsidP="00502965">
      <w:pPr>
        <w:pStyle w:val="CDINumberedList1L1"/>
        <w:numPr>
          <w:ilvl w:val="0"/>
          <w:numId w:val="4"/>
        </w:numPr>
        <w:ind w:left="397" w:hanging="397"/>
      </w:pPr>
      <w:r>
        <w:t xml:space="preserve">WHO, Global Polio Eradication Initiative. Global Polio Surveillance Action Plan 2025–2026. Geneva: WHO; 2025. [Accessed on 20 March 2026.] Available from: </w:t>
      </w:r>
      <w:hyperlink r:id="rId57" w:history="1">
        <w:r>
          <w:rPr>
            <w:rStyle w:val="Hyperlink"/>
          </w:rPr>
          <w:t>https://polioeradication.org/global-polio-surveillance-action-plan-2025-2026-2</w:t>
        </w:r>
      </w:hyperlink>
      <w:r>
        <w:t>.</w:t>
      </w:r>
    </w:p>
    <w:p w14:paraId="1D68BAFD" w14:textId="588576E8" w:rsidR="00502965" w:rsidRDefault="00502965" w:rsidP="00502965">
      <w:pPr>
        <w:pStyle w:val="CDINumberedList1L1"/>
        <w:numPr>
          <w:ilvl w:val="0"/>
          <w:numId w:val="4"/>
        </w:numPr>
        <w:ind w:left="397" w:hanging="397"/>
      </w:pPr>
      <w:r>
        <w:t xml:space="preserve">Kennett ML, </w:t>
      </w:r>
      <w:proofErr w:type="spellStart"/>
      <w:r>
        <w:t>Brussen</w:t>
      </w:r>
      <w:proofErr w:type="spellEnd"/>
      <w:r>
        <w:t xml:space="preserve"> KA, Wood DJ, van der </w:t>
      </w:r>
      <w:proofErr w:type="spellStart"/>
      <w:r>
        <w:t>Avoort</w:t>
      </w:r>
      <w:proofErr w:type="spellEnd"/>
      <w:r>
        <w:t xml:space="preserve"> HG, Ras A, Kelly HA. Australia's last reported case of wild poliovirus infection. </w:t>
      </w:r>
      <w:r w:rsidRPr="00BB3421">
        <w:rPr>
          <w:i/>
          <w:iCs/>
        </w:rPr>
        <w:t>Commun Dis Intell</w:t>
      </w:r>
      <w:r>
        <w:t>. 1999;23(3):77–9. doi: </w:t>
      </w:r>
      <w:hyperlink r:id="rId58" w:history="1">
        <w:r>
          <w:rPr>
            <w:rStyle w:val="Hyperlink"/>
          </w:rPr>
          <w:t>https://doi.org/10.33321/cdi.1999.23.9</w:t>
        </w:r>
      </w:hyperlink>
      <w:r>
        <w:t>.</w:t>
      </w:r>
    </w:p>
    <w:p w14:paraId="55DA348E" w14:textId="24135019" w:rsidR="00502965" w:rsidRDefault="00502965" w:rsidP="00502965">
      <w:pPr>
        <w:pStyle w:val="CDINumberedList1L1"/>
        <w:numPr>
          <w:ilvl w:val="0"/>
          <w:numId w:val="4"/>
        </w:numPr>
        <w:ind w:left="397" w:hanging="397"/>
      </w:pPr>
      <w:r>
        <w:t xml:space="preserve">Stewardson AJ, Roberts JA, Beckett CL, Prime HT, Loh PS, Thorley BR et al. Imported case of poliomyelitis, Melbourne, Australia, 2007. </w:t>
      </w:r>
      <w:r w:rsidRPr="00BB3421">
        <w:rPr>
          <w:i/>
          <w:iCs/>
        </w:rPr>
        <w:t>Emerg Infect Dis</w:t>
      </w:r>
      <w:r>
        <w:t>. 2009;15(1):63−5. doi: </w:t>
      </w:r>
      <w:hyperlink r:id="rId59" w:history="1">
        <w:r w:rsidRPr="00502965">
          <w:rPr>
            <w:rStyle w:val="Hyperlink"/>
          </w:rPr>
          <w:t>https://doi.or</w:t>
        </w:r>
        <w:r>
          <w:rPr>
            <w:rStyle w:val="Hyperlink"/>
          </w:rPr>
          <w:t>g/10.3201/eid1501.080791</w:t>
        </w:r>
      </w:hyperlink>
      <w:r>
        <w:t>.</w:t>
      </w:r>
    </w:p>
    <w:p w14:paraId="2F1F11B7" w14:textId="77777777" w:rsidR="00502965" w:rsidRDefault="00502965" w:rsidP="00502965">
      <w:pPr>
        <w:pStyle w:val="CDINumberedList1L1"/>
        <w:numPr>
          <w:ilvl w:val="0"/>
          <w:numId w:val="4"/>
        </w:numPr>
        <w:ind w:left="397" w:hanging="397"/>
      </w:pPr>
      <w:r>
        <w:t xml:space="preserve">WHO. Disease Outbreak News: Circulating vaccine-derived poliovirus type 2 (cVDPV2) – Papua New Guinea. [Media release.] WHO: Geneva; 20 May 2025 [Accessed on 26 March 2026.] Available from: </w:t>
      </w:r>
      <w:hyperlink r:id="rId60" w:history="1">
        <w:r>
          <w:rPr>
            <w:rStyle w:val="Hyperlink"/>
          </w:rPr>
          <w:t>https://www.who.int/emergencies/disease-outbreak-news/item/2025-DON571</w:t>
        </w:r>
      </w:hyperlink>
      <w:r>
        <w:t>.</w:t>
      </w:r>
    </w:p>
    <w:p w14:paraId="55F7630F" w14:textId="77777777" w:rsidR="00502965" w:rsidRDefault="00502965" w:rsidP="00502965">
      <w:pPr>
        <w:pStyle w:val="CDINumberedList1L1"/>
        <w:numPr>
          <w:ilvl w:val="0"/>
          <w:numId w:val="4"/>
        </w:numPr>
        <w:ind w:left="397" w:hanging="397"/>
      </w:pPr>
      <w:r>
        <w:t xml:space="preserve">Hull B, Hendry A, Macartney K, Beard F. Annual Immunisation Coverage Report 2024. </w:t>
      </w:r>
      <w:r w:rsidRPr="00BB3421">
        <w:rPr>
          <w:i/>
          <w:iCs/>
        </w:rPr>
        <w:t>Commun Dis Intell (2018)</w:t>
      </w:r>
      <w:r>
        <w:t xml:space="preserve">. 2026;50. doi: </w:t>
      </w:r>
      <w:hyperlink r:id="rId61" w:history="1">
        <w:r>
          <w:rPr>
            <w:rStyle w:val="Hyperlink"/>
          </w:rPr>
          <w:t>https://doi.org/10.33321/cdi.2026.50.023</w:t>
        </w:r>
      </w:hyperlink>
      <w:r>
        <w:t>.</w:t>
      </w:r>
    </w:p>
    <w:p w14:paraId="0EA01E87" w14:textId="28ED9AD8" w:rsidR="00502965" w:rsidRDefault="00502965" w:rsidP="00502965">
      <w:pPr>
        <w:pStyle w:val="CDINumberedList1L1"/>
        <w:numPr>
          <w:ilvl w:val="0"/>
          <w:numId w:val="4"/>
        </w:numPr>
        <w:ind w:left="397" w:hanging="397"/>
      </w:pPr>
      <w:proofErr w:type="spellStart"/>
      <w:r>
        <w:t>Girotto</w:t>
      </w:r>
      <w:proofErr w:type="spellEnd"/>
      <w:r>
        <w:t xml:space="preserve"> J. Polio vaccination rates in some areas of the US hover dangerously close to the threshold required for herd immunity – here’s why that matters. [Online article.] Melbourne: The Conversation Media Group Ltd, The Conversation; 21 September 2022. [Accessed on 30 April 2026.] doi: </w:t>
      </w:r>
      <w:hyperlink r:id="rId62" w:history="1">
        <w:r w:rsidRPr="00502965">
          <w:rPr>
            <w:rStyle w:val="Hyperlink"/>
          </w:rPr>
          <w:t>https://doi.org/</w:t>
        </w:r>
        <w:r>
          <w:rPr>
            <w:rStyle w:val="Hyperlink"/>
          </w:rPr>
          <w:t>10.64628/AAI.ejeyg6cpc</w:t>
        </w:r>
      </w:hyperlink>
      <w:r>
        <w:t>.</w:t>
      </w:r>
    </w:p>
    <w:p w14:paraId="2FBFDFFC" w14:textId="20C310A7" w:rsidR="00502965" w:rsidRDefault="00502965" w:rsidP="00502965">
      <w:pPr>
        <w:pStyle w:val="CDINumberedList1L1"/>
        <w:numPr>
          <w:ilvl w:val="0"/>
          <w:numId w:val="4"/>
        </w:numPr>
        <w:ind w:left="397" w:hanging="397"/>
      </w:pPr>
      <w:r>
        <w:t xml:space="preserve">Longbottom K, Lyall H. Neonatal varicella. </w:t>
      </w:r>
      <w:r w:rsidRPr="00BB3421">
        <w:rPr>
          <w:i/>
          <w:iCs/>
        </w:rPr>
        <w:t>Arch Dis Child</w:t>
      </w:r>
      <w:r>
        <w:t>. 2024;109(8):610−5. doi: </w:t>
      </w:r>
      <w:hyperlink r:id="rId63" w:history="1">
        <w:r w:rsidRPr="00502965">
          <w:rPr>
            <w:rStyle w:val="Hyperlink"/>
          </w:rPr>
          <w:t>https://doi.org/1</w:t>
        </w:r>
        <w:r>
          <w:rPr>
            <w:rStyle w:val="Hyperlink"/>
          </w:rPr>
          <w:t>0.1136/archdischild-2022-324820</w:t>
        </w:r>
      </w:hyperlink>
      <w:r>
        <w:t>.</w:t>
      </w:r>
    </w:p>
    <w:p w14:paraId="6F009033" w14:textId="77777777" w:rsidR="00502965" w:rsidRDefault="00502965" w:rsidP="00502965">
      <w:pPr>
        <w:pStyle w:val="CDINumberedList1L1"/>
        <w:numPr>
          <w:ilvl w:val="0"/>
          <w:numId w:val="4"/>
        </w:numPr>
        <w:ind w:left="397" w:hanging="397"/>
      </w:pPr>
      <w:r>
        <w:t xml:space="preserve">Accelerating measles and rubella elimination in southeast Asia. [Editorial.] </w:t>
      </w:r>
      <w:r w:rsidRPr="00BB3421">
        <w:rPr>
          <w:i/>
          <w:iCs/>
        </w:rPr>
        <w:t>Lancet Reg Health Southeast Asia</w:t>
      </w:r>
      <w:r>
        <w:t xml:space="preserve">. </w:t>
      </w:r>
      <w:proofErr w:type="gramStart"/>
      <w:r>
        <w:t>2025;41:100682</w:t>
      </w:r>
      <w:proofErr w:type="gramEnd"/>
      <w:r>
        <w:t xml:space="preserve">. doi: </w:t>
      </w:r>
      <w:hyperlink r:id="rId64" w:history="1">
        <w:r>
          <w:rPr>
            <w:rStyle w:val="Hyperlink"/>
          </w:rPr>
          <w:t>https://doi.org/10.1016/j.lansea.2025.100682</w:t>
        </w:r>
      </w:hyperlink>
      <w:r>
        <w:t>.</w:t>
      </w:r>
    </w:p>
    <w:p w14:paraId="03A8E393" w14:textId="77777777" w:rsidR="00502965" w:rsidRDefault="00502965" w:rsidP="00502965">
      <w:pPr>
        <w:pStyle w:val="CDINumberedList1L1"/>
        <w:numPr>
          <w:ilvl w:val="0"/>
          <w:numId w:val="4"/>
        </w:numPr>
        <w:ind w:left="397" w:hanging="397"/>
      </w:pPr>
      <w:r>
        <w:t xml:space="preserve">WHO. </w:t>
      </w:r>
      <w:r w:rsidRPr="00BB3421">
        <w:rPr>
          <w:i/>
          <w:iCs/>
        </w:rPr>
        <w:t>Strategic Plan for measles and rubella elimination and sustenance in the WHO South-East Asia Region: 2024–2028</w:t>
      </w:r>
      <w:r>
        <w:t xml:space="preserve">. New Delhi: WHO Regional Office for South-East Asia. [Accessed on 19 February 2026.] Available from: </w:t>
      </w:r>
      <w:hyperlink r:id="rId65" w:history="1">
        <w:r>
          <w:rPr>
            <w:rStyle w:val="Hyperlink"/>
          </w:rPr>
          <w:t>https://www.who.int/publications/i/item/9789290229476</w:t>
        </w:r>
      </w:hyperlink>
      <w:r>
        <w:t>.</w:t>
      </w:r>
    </w:p>
    <w:p w14:paraId="012F3960" w14:textId="77777777" w:rsidR="00502965" w:rsidRDefault="00502965" w:rsidP="00502965">
      <w:pPr>
        <w:pStyle w:val="CDINumberedList1L1"/>
        <w:numPr>
          <w:ilvl w:val="0"/>
          <w:numId w:val="4"/>
        </w:numPr>
        <w:ind w:left="397" w:hanging="397"/>
      </w:pPr>
      <w:r>
        <w:t xml:space="preserve">Gailani AE, Dehority W, Katz SE. Clinical progress note: Rubella. </w:t>
      </w:r>
      <w:r w:rsidRPr="00BB3421">
        <w:rPr>
          <w:i/>
          <w:iCs/>
        </w:rPr>
        <w:t>J Hosp Med</w:t>
      </w:r>
      <w:r>
        <w:t xml:space="preserve">. 2026;21(2):179−82. doi: </w:t>
      </w:r>
      <w:hyperlink r:id="rId66" w:history="1">
        <w:r>
          <w:t>h</w:t>
        </w:r>
        <w:r>
          <w:rPr>
            <w:rStyle w:val="Hyperlink"/>
          </w:rPr>
          <w:t>ttps://doi.org/10.1002/jhm.70169</w:t>
        </w:r>
      </w:hyperlink>
      <w:r>
        <w:t>.</w:t>
      </w:r>
    </w:p>
    <w:p w14:paraId="0BB8C97B" w14:textId="77777777" w:rsidR="00502965" w:rsidRDefault="00502965" w:rsidP="00502965">
      <w:pPr>
        <w:pStyle w:val="CDINumberedList1L1"/>
        <w:numPr>
          <w:ilvl w:val="0"/>
          <w:numId w:val="4"/>
        </w:numPr>
        <w:ind w:left="397" w:hanging="397"/>
      </w:pPr>
      <w:proofErr w:type="spellStart"/>
      <w:r>
        <w:t>Shykhon</w:t>
      </w:r>
      <w:proofErr w:type="spellEnd"/>
      <w:r>
        <w:t xml:space="preserve"> M, Kuo M, Pearman K. Recurrent respiratory papillomatosis. </w:t>
      </w:r>
      <w:r w:rsidRPr="00BB3421">
        <w:rPr>
          <w:i/>
          <w:iCs/>
        </w:rPr>
        <w:t xml:space="preserve">Clin </w:t>
      </w:r>
      <w:proofErr w:type="spellStart"/>
      <w:r w:rsidRPr="00BB3421">
        <w:rPr>
          <w:i/>
          <w:iCs/>
        </w:rPr>
        <w:t>Otolaryngol</w:t>
      </w:r>
      <w:proofErr w:type="spellEnd"/>
      <w:r w:rsidRPr="00BB3421">
        <w:rPr>
          <w:i/>
          <w:iCs/>
        </w:rPr>
        <w:t xml:space="preserve"> Allied Sci</w:t>
      </w:r>
      <w:r>
        <w:t xml:space="preserve">. 2002;27(4):237−43. doi: </w:t>
      </w:r>
      <w:hyperlink r:id="rId67" w:history="1">
        <w:r>
          <w:rPr>
            <w:rStyle w:val="Hyperlink"/>
          </w:rPr>
          <w:t>https://doi.org/10.1046/j.1365-2273.2002.00555.x</w:t>
        </w:r>
      </w:hyperlink>
      <w:r>
        <w:t>.</w:t>
      </w:r>
    </w:p>
    <w:p w14:paraId="4B16309A" w14:textId="77777777" w:rsidR="00502965" w:rsidRDefault="00502965" w:rsidP="00502965">
      <w:pPr>
        <w:pStyle w:val="CDINumberedList1L1"/>
        <w:numPr>
          <w:ilvl w:val="0"/>
          <w:numId w:val="4"/>
        </w:numPr>
        <w:ind w:left="397" w:hanging="397"/>
      </w:pPr>
      <w:r>
        <w:t xml:space="preserve">WHO. </w:t>
      </w:r>
      <w:r w:rsidRPr="00BB3421">
        <w:rPr>
          <w:i/>
          <w:iCs/>
        </w:rPr>
        <w:t>Global health sector strategies on, respectively, HIV, viral hepatitis and sexually transmitted infections for the period 2022–2030</w:t>
      </w:r>
      <w:r>
        <w:t xml:space="preserve">. Geneva: WHO; 18 July 2022. [Accessed on 27 March 2026.] Available from: </w:t>
      </w:r>
      <w:hyperlink r:id="rId68" w:history="1">
        <w:r>
          <w:rPr>
            <w:rStyle w:val="Hyperlink"/>
          </w:rPr>
          <w:t>https://www.who.int/publications/i/item/9789240053779</w:t>
        </w:r>
      </w:hyperlink>
      <w:r>
        <w:t>.</w:t>
      </w:r>
    </w:p>
    <w:p w14:paraId="2D535CC6" w14:textId="77777777" w:rsidR="00502965" w:rsidRDefault="00502965" w:rsidP="00502965">
      <w:pPr>
        <w:pStyle w:val="CDINumberedList1L1"/>
        <w:numPr>
          <w:ilvl w:val="0"/>
          <w:numId w:val="4"/>
        </w:numPr>
        <w:ind w:left="397" w:hanging="397"/>
      </w:pPr>
      <w:r>
        <w:t xml:space="preserve">WHO. </w:t>
      </w:r>
      <w:r w:rsidRPr="00BB3421">
        <w:rPr>
          <w:i/>
          <w:iCs/>
        </w:rPr>
        <w:t>Introducing a framework for implementing triple elimination of mother-to-child transmission of HIV, syphilis and hepatitis B virus: policy brief</w:t>
      </w:r>
      <w:r>
        <w:t xml:space="preserve">. Geneva: WHO; 1 March 2024. [Accessed on 27 March 2026.] Available from: </w:t>
      </w:r>
      <w:hyperlink r:id="rId69" w:history="1">
        <w:r>
          <w:rPr>
            <w:rStyle w:val="Hyperlink"/>
          </w:rPr>
          <w:t>https://www.who.int/publications/i/item/9789240086784</w:t>
        </w:r>
      </w:hyperlink>
      <w:r>
        <w:t>.</w:t>
      </w:r>
    </w:p>
    <w:p w14:paraId="721AEB66" w14:textId="77777777" w:rsidR="00502965" w:rsidRDefault="00502965" w:rsidP="00502965">
      <w:pPr>
        <w:pStyle w:val="CDINumberedList1L1"/>
        <w:numPr>
          <w:ilvl w:val="0"/>
          <w:numId w:val="4"/>
        </w:numPr>
        <w:ind w:left="397" w:hanging="397"/>
      </w:pPr>
      <w:r>
        <w:t xml:space="preserve">WHO, United Nations Children’s Fund (UNICEF). Country guidance for planning triple elimination of mother-to-child transmission of HIV, syphilis and hepatitis B virus programmes. Geneva: WHO; 14 July 2025. [Accessed on 27 March 2026.] Available from: </w:t>
      </w:r>
      <w:hyperlink r:id="rId70" w:history="1">
        <w:r>
          <w:rPr>
            <w:rStyle w:val="Hyperlink"/>
          </w:rPr>
          <w:t>https://www.who.int/publications/i/item/9789240112490</w:t>
        </w:r>
      </w:hyperlink>
      <w:r>
        <w:t>.</w:t>
      </w:r>
    </w:p>
    <w:p w14:paraId="0DC58F3C" w14:textId="77777777" w:rsidR="00502965" w:rsidRDefault="00502965" w:rsidP="00502965">
      <w:pPr>
        <w:pStyle w:val="CDINumberedList1L1"/>
        <w:numPr>
          <w:ilvl w:val="0"/>
          <w:numId w:val="4"/>
        </w:numPr>
        <w:ind w:left="397" w:hanging="397"/>
      </w:pPr>
      <w:r>
        <w:t xml:space="preserve">Hengel B, McManus H, Monaghan R, Mak DB, Bright A, Tolosa X et al. Notification rates for syphilis in women of reproductive age and congenital syphilis in Australia, 2011–2021: a retrospective cohort analysis of national notifications data. </w:t>
      </w:r>
      <w:r w:rsidRPr="00BB3421">
        <w:rPr>
          <w:i/>
          <w:iCs/>
        </w:rPr>
        <w:t>Med J Aust</w:t>
      </w:r>
      <w:r>
        <w:t xml:space="preserve">. 2024;221(4):201−8. doi: </w:t>
      </w:r>
      <w:hyperlink r:id="rId71" w:history="1">
        <w:r w:rsidRPr="00502965">
          <w:rPr>
            <w:rStyle w:val="Hyperlink"/>
          </w:rPr>
          <w:t>https://doi.org/10.5694/mja2.5</w:t>
        </w:r>
        <w:r>
          <w:rPr>
            <w:rStyle w:val="Hyperlink"/>
          </w:rPr>
          <w:t>2388</w:t>
        </w:r>
      </w:hyperlink>
      <w:r>
        <w:t>.</w:t>
      </w:r>
    </w:p>
    <w:p w14:paraId="3B614352" w14:textId="77777777" w:rsidR="0002026D" w:rsidRDefault="00502965" w:rsidP="00502965">
      <w:pPr>
        <w:pStyle w:val="CDINumberedList1L1"/>
        <w:numPr>
          <w:ilvl w:val="0"/>
          <w:numId w:val="4"/>
        </w:numPr>
        <w:ind w:left="397" w:hanging="397"/>
        <w:sectPr w:rsidR="0002026D" w:rsidSect="001E3ECB">
          <w:footnotePr>
            <w:numFmt w:val="lowerRoman"/>
          </w:footnotePr>
          <w:pgSz w:w="11907" w:h="16840" w:code="9"/>
          <w:pgMar w:top="1134" w:right="1134" w:bottom="1134" w:left="1134" w:header="709" w:footer="567" w:gutter="0"/>
          <w:cols w:space="708"/>
          <w:docGrid w:linePitch="360"/>
        </w:sectPr>
      </w:pPr>
      <w:r>
        <w:t xml:space="preserve">Hanson J, Radlof S, Coffman J, Lort-Phillips K, Smith S, Hempenstall A et al. Mother-to-child transmission of hepatitis B in Far North Queensland, 2013–2023. </w:t>
      </w:r>
      <w:r w:rsidRPr="00BB3421">
        <w:rPr>
          <w:i/>
          <w:iCs/>
        </w:rPr>
        <w:t>Commun Dis Intell (2018)</w:t>
      </w:r>
      <w:r>
        <w:t xml:space="preserve">. 2025;49. doi: </w:t>
      </w:r>
      <w:hyperlink r:id="rId72" w:history="1">
        <w:r>
          <w:rPr>
            <w:rStyle w:val="Hyperlink"/>
          </w:rPr>
          <w:t>https://doi.org/10.33321/cdi.2025.49.026</w:t>
        </w:r>
      </w:hyperlink>
      <w:r>
        <w:t>.</w:t>
      </w:r>
    </w:p>
    <w:p w14:paraId="4475E552" w14:textId="77777777" w:rsidR="0002026D" w:rsidRPr="0002026D" w:rsidRDefault="0002026D" w:rsidP="00933601">
      <w:pPr>
        <w:pStyle w:val="Heading1-nospacebefore"/>
      </w:pPr>
      <w:bookmarkStart w:id="30" w:name="_Toc234492699"/>
      <w:r w:rsidRPr="0002026D">
        <w:t>Appendix A</w:t>
      </w:r>
      <w:bookmarkEnd w:id="30"/>
    </w:p>
    <w:p w14:paraId="79EB4C4F" w14:textId="2D0EB7BC" w:rsidR="0002026D" w:rsidRPr="0002026D" w:rsidRDefault="0002026D" w:rsidP="0002026D">
      <w:pPr>
        <w:pStyle w:val="CDITable-Title"/>
      </w:pPr>
      <w:r w:rsidRPr="0002026D">
        <w:t>Table A.1: Case definitions of Australian Paediatric Surveillance Unit (APSU) communicable diseases and disease complications under surveillance in 2025</w:t>
      </w:r>
    </w:p>
    <w:tbl>
      <w:tblPr>
        <w:tblW w:w="0" w:type="auto"/>
        <w:tblLayout w:type="fixed"/>
        <w:tblCellMar>
          <w:left w:w="0" w:type="dxa"/>
          <w:right w:w="0" w:type="dxa"/>
        </w:tblCellMar>
        <w:tblLook w:val="0000" w:firstRow="0" w:lastRow="0" w:firstColumn="0" w:lastColumn="0" w:noHBand="0" w:noVBand="0"/>
        <w:tblCaption w:val="Table A.1: Case definitions of Australian Paediatric Surveillance Unit (APSU) communicable diseases and disease complications under surveillance in 2025"/>
        <w:tblDescription w:val="Table A.1 provides case definitions for each of the diseases and complications under study by APSU in 2025, including details of the laboratory definitive evidence, laboratory suggestive evidence, epidemiological evidence and clinical evidence required for confirmed and probable cases."/>
      </w:tblPr>
      <w:tblGrid>
        <w:gridCol w:w="2551"/>
        <w:gridCol w:w="11792"/>
      </w:tblGrid>
      <w:tr w:rsidR="00DC1AA9" w:rsidRPr="00DC1AA9" w14:paraId="66D296B1" w14:textId="77777777" w:rsidTr="000D2655">
        <w:trPr>
          <w:trHeight w:val="60"/>
          <w:tblHeader/>
        </w:trPr>
        <w:tc>
          <w:tcPr>
            <w:tcW w:w="2551" w:type="dxa"/>
            <w:tcBorders>
              <w:top w:val="nil"/>
              <w:left w:val="nil"/>
            </w:tcBorders>
            <w:shd w:val="clear" w:color="auto" w:fill="1E4496" w:themeFill="text2"/>
            <w:tcMar>
              <w:top w:w="85" w:type="dxa"/>
              <w:left w:w="113" w:type="dxa"/>
              <w:bottom w:w="85" w:type="dxa"/>
              <w:right w:w="113" w:type="dxa"/>
            </w:tcMar>
            <w:vAlign w:val="bottom"/>
          </w:tcPr>
          <w:p w14:paraId="458286A2" w14:textId="77777777" w:rsidR="00DC1AA9" w:rsidRPr="00DC1AA9" w:rsidRDefault="00DC1AA9" w:rsidP="00DC1AA9">
            <w:pPr>
              <w:pStyle w:val="CDITable-HeaderRowLeft"/>
              <w:rPr>
                <w:lang w:val="en-GB"/>
              </w:rPr>
            </w:pPr>
            <w:r w:rsidRPr="00DC1AA9">
              <w:rPr>
                <w:lang w:val="en-GB"/>
              </w:rPr>
              <w:t>Surveillance study</w:t>
            </w:r>
          </w:p>
        </w:tc>
        <w:tc>
          <w:tcPr>
            <w:tcW w:w="11792" w:type="dxa"/>
            <w:tcBorders>
              <w:top w:val="nil"/>
              <w:right w:val="nil"/>
            </w:tcBorders>
            <w:shd w:val="clear" w:color="auto" w:fill="1E4496" w:themeFill="text2"/>
            <w:tcMar>
              <w:top w:w="85" w:type="dxa"/>
              <w:left w:w="113" w:type="dxa"/>
              <w:bottom w:w="85" w:type="dxa"/>
              <w:right w:w="113" w:type="dxa"/>
            </w:tcMar>
            <w:vAlign w:val="bottom"/>
          </w:tcPr>
          <w:p w14:paraId="3B73DC2E" w14:textId="77777777" w:rsidR="00DC1AA9" w:rsidRPr="00DC1AA9" w:rsidRDefault="00DC1AA9" w:rsidP="00DC1AA9">
            <w:pPr>
              <w:pStyle w:val="CDITable-HeaderRowLeft"/>
              <w:rPr>
                <w:lang w:val="en-GB"/>
              </w:rPr>
            </w:pPr>
            <w:r w:rsidRPr="00DC1AA9">
              <w:rPr>
                <w:lang w:val="en-GB"/>
              </w:rPr>
              <w:t>Case definition</w:t>
            </w:r>
          </w:p>
        </w:tc>
      </w:tr>
      <w:tr w:rsidR="00DC1AA9" w:rsidRPr="00DC1AA9" w14:paraId="0AA10335" w14:textId="77777777" w:rsidTr="000D2655">
        <w:trPr>
          <w:trHeight w:val="60"/>
        </w:trPr>
        <w:tc>
          <w:tcPr>
            <w:tcW w:w="2551" w:type="dxa"/>
            <w:tcBorders>
              <w:left w:val="nil"/>
              <w:bottom w:val="single" w:sz="6" w:space="0" w:color="1E4496" w:themeColor="text2"/>
            </w:tcBorders>
            <w:tcMar>
              <w:top w:w="85" w:type="dxa"/>
              <w:left w:w="113" w:type="dxa"/>
              <w:bottom w:w="85" w:type="dxa"/>
              <w:right w:w="113" w:type="dxa"/>
            </w:tcMar>
            <w:vAlign w:val="center"/>
          </w:tcPr>
          <w:p w14:paraId="37EBF72B" w14:textId="77777777" w:rsidR="00DC1AA9" w:rsidRPr="00DC1AA9" w:rsidRDefault="00DC1AA9" w:rsidP="00DC1AA9">
            <w:pPr>
              <w:pStyle w:val="CDITable-RowLeft"/>
              <w:rPr>
                <w:lang w:val="en-GB"/>
              </w:rPr>
            </w:pPr>
            <w:r w:rsidRPr="00DC1AA9">
              <w:rPr>
                <w:lang w:val="en-GB"/>
              </w:rPr>
              <w:t>Acute flaccid paralysis (AFP)</w:t>
            </w:r>
          </w:p>
        </w:tc>
        <w:tc>
          <w:tcPr>
            <w:tcW w:w="11792" w:type="dxa"/>
            <w:tcBorders>
              <w:bottom w:val="single" w:sz="6" w:space="0" w:color="1E4496" w:themeColor="text2"/>
              <w:right w:val="nil"/>
            </w:tcBorders>
            <w:tcMar>
              <w:top w:w="85" w:type="dxa"/>
              <w:left w:w="113" w:type="dxa"/>
              <w:bottom w:w="85" w:type="dxa"/>
              <w:right w:w="113" w:type="dxa"/>
            </w:tcMar>
            <w:vAlign w:val="center"/>
          </w:tcPr>
          <w:p w14:paraId="7275F18D" w14:textId="77777777" w:rsidR="00DC1AA9" w:rsidRPr="00DC1AA9" w:rsidRDefault="00DC1AA9" w:rsidP="000D2655">
            <w:pPr>
              <w:pStyle w:val="CDITable-RowBullets"/>
              <w:spacing w:before="0"/>
              <w:rPr>
                <w:lang w:val="en-GB"/>
              </w:rPr>
            </w:pPr>
            <w:r w:rsidRPr="00DC1AA9">
              <w:rPr>
                <w:lang w:val="en-GB"/>
              </w:rPr>
              <w:t>Any child aged &lt; 15 years with AFP in one or more limbs or acute onset of bulbar paralysis</w:t>
            </w:r>
          </w:p>
          <w:p w14:paraId="31C0B29F" w14:textId="77777777" w:rsidR="00DC1AA9" w:rsidRPr="00DC1AA9" w:rsidRDefault="00DC1AA9" w:rsidP="000D2655">
            <w:pPr>
              <w:pStyle w:val="CDITable-RowBullets"/>
              <w:rPr>
                <w:lang w:val="en-GB"/>
              </w:rPr>
            </w:pPr>
            <w:r w:rsidRPr="00DC1AA9">
              <w:rPr>
                <w:lang w:val="en-GB"/>
              </w:rPr>
              <w:t>All cases reported through APSU, National Enterovirus Reference Laboratory (NERL) and Paediatric Active Enhanced Disease Surveillance (PAEDS) are reviewed by the polio expert panel (PEP) and classified as: confirmed poliomyelitis; non-polio AFP, polio-compatible or non-AFP. The NERL determines whether there is an infectious cause of AFP including enteroviruses.</w:t>
            </w:r>
          </w:p>
          <w:p w14:paraId="4891561A" w14:textId="77777777" w:rsidR="00DC1AA9" w:rsidRPr="00DC1AA9" w:rsidRDefault="00DC1AA9" w:rsidP="000D2655">
            <w:pPr>
              <w:pStyle w:val="CDITable-RowBullets"/>
              <w:rPr>
                <w:lang w:val="en-GB"/>
              </w:rPr>
            </w:pPr>
            <w:r w:rsidRPr="00DC1AA9">
              <w:rPr>
                <w:lang w:val="en-GB"/>
              </w:rPr>
              <w:t>The PEP secretariat reports all Australian cases to the World Health Organization (WHO)</w:t>
            </w:r>
          </w:p>
        </w:tc>
      </w:tr>
      <w:tr w:rsidR="00DC1AA9" w:rsidRPr="00DC1AA9" w14:paraId="04EAF60C" w14:textId="77777777" w:rsidTr="000D2655">
        <w:trPr>
          <w:trHeight w:val="60"/>
        </w:trPr>
        <w:tc>
          <w:tcPr>
            <w:tcW w:w="2551" w:type="dxa"/>
            <w:tcBorders>
              <w:top w:val="single" w:sz="6" w:space="0" w:color="1E4496" w:themeColor="text2"/>
              <w:left w:val="nil"/>
              <w:bottom w:val="single" w:sz="6" w:space="0" w:color="1E4496" w:themeColor="text2"/>
            </w:tcBorders>
            <w:tcMar>
              <w:top w:w="85" w:type="dxa"/>
              <w:left w:w="113" w:type="dxa"/>
              <w:bottom w:w="85" w:type="dxa"/>
              <w:right w:w="113" w:type="dxa"/>
            </w:tcMar>
            <w:vAlign w:val="center"/>
          </w:tcPr>
          <w:p w14:paraId="5E04C0F9" w14:textId="77777777" w:rsidR="00DC1AA9" w:rsidRPr="00DC1AA9" w:rsidRDefault="00DC1AA9" w:rsidP="00DC1AA9">
            <w:pPr>
              <w:pStyle w:val="CDITable-RowLeft"/>
              <w:rPr>
                <w:lang w:val="en-GB"/>
              </w:rPr>
            </w:pPr>
            <w:r w:rsidRPr="00DC1AA9">
              <w:rPr>
                <w:lang w:val="en-GB"/>
              </w:rPr>
              <w:t>Perinatal exposure to human immunodeficiency virus (HIV)</w:t>
            </w:r>
          </w:p>
        </w:tc>
        <w:tc>
          <w:tcPr>
            <w:tcW w:w="11792" w:type="dxa"/>
            <w:tcBorders>
              <w:top w:val="single" w:sz="6" w:space="0" w:color="1E4496" w:themeColor="text2"/>
              <w:bottom w:val="single" w:sz="6" w:space="0" w:color="1E4496" w:themeColor="text2"/>
              <w:right w:val="nil"/>
            </w:tcBorders>
            <w:tcMar>
              <w:top w:w="85" w:type="dxa"/>
              <w:left w:w="113" w:type="dxa"/>
              <w:bottom w:w="85" w:type="dxa"/>
              <w:right w:w="113" w:type="dxa"/>
            </w:tcMar>
            <w:vAlign w:val="center"/>
          </w:tcPr>
          <w:p w14:paraId="776BFD8D" w14:textId="77777777" w:rsidR="00DC1AA9" w:rsidRPr="00DC1AA9" w:rsidRDefault="00DC1AA9" w:rsidP="000D2655">
            <w:pPr>
              <w:pStyle w:val="CDITable-RowBullets"/>
              <w:spacing w:before="0"/>
              <w:rPr>
                <w:lang w:val="en-GB"/>
              </w:rPr>
            </w:pPr>
            <w:r w:rsidRPr="00DC1AA9">
              <w:rPr>
                <w:lang w:val="en-GB"/>
              </w:rPr>
              <w:t xml:space="preserve">Any infant born to a woman with diagnosed HIV infection. Children born to women with HIV infection and who are known to have been exposed to HIV perinatally, by </w:t>
            </w:r>
            <w:r w:rsidRPr="00DC1AA9">
              <w:rPr>
                <w:i/>
                <w:iCs/>
                <w:lang w:val="en-GB"/>
              </w:rPr>
              <w:t>in utero</w:t>
            </w:r>
            <w:r w:rsidRPr="00DC1AA9">
              <w:rPr>
                <w:lang w:val="en-GB"/>
              </w:rPr>
              <w:t xml:space="preserve"> exposure or through breastfeeding, should be notified, even if they are subsequently confirmed as HIV antibody negative</w:t>
            </w:r>
          </w:p>
        </w:tc>
      </w:tr>
      <w:tr w:rsidR="00DC1AA9" w:rsidRPr="00DC1AA9" w14:paraId="2FF1CA78" w14:textId="77777777" w:rsidTr="000D2655">
        <w:trPr>
          <w:trHeight w:val="60"/>
        </w:trPr>
        <w:tc>
          <w:tcPr>
            <w:tcW w:w="2551" w:type="dxa"/>
            <w:tcBorders>
              <w:top w:val="single" w:sz="6" w:space="0" w:color="1E4496" w:themeColor="text2"/>
              <w:left w:val="nil"/>
              <w:bottom w:val="single" w:sz="6" w:space="0" w:color="1E4496" w:themeColor="text2"/>
            </w:tcBorders>
            <w:tcMar>
              <w:top w:w="85" w:type="dxa"/>
              <w:left w:w="113" w:type="dxa"/>
              <w:bottom w:w="85" w:type="dxa"/>
              <w:right w:w="113" w:type="dxa"/>
            </w:tcMar>
            <w:vAlign w:val="center"/>
          </w:tcPr>
          <w:p w14:paraId="44EDEC85" w14:textId="77777777" w:rsidR="00DC1AA9" w:rsidRPr="00DC1AA9" w:rsidRDefault="00DC1AA9" w:rsidP="00DC1AA9">
            <w:pPr>
              <w:pStyle w:val="CDITable-RowLeft"/>
              <w:rPr>
                <w:lang w:val="en-GB"/>
              </w:rPr>
            </w:pPr>
            <w:r w:rsidRPr="00DC1AA9">
              <w:rPr>
                <w:lang w:val="en-GB"/>
              </w:rPr>
              <w:t>Paediatric HIV infection</w:t>
            </w:r>
          </w:p>
        </w:tc>
        <w:tc>
          <w:tcPr>
            <w:tcW w:w="11792" w:type="dxa"/>
            <w:tcBorders>
              <w:top w:val="single" w:sz="6" w:space="0" w:color="1E4496" w:themeColor="text2"/>
              <w:bottom w:val="single" w:sz="6" w:space="0" w:color="1E4496" w:themeColor="text2"/>
              <w:right w:val="nil"/>
            </w:tcBorders>
            <w:tcMar>
              <w:top w:w="85" w:type="dxa"/>
              <w:left w:w="113" w:type="dxa"/>
              <w:bottom w:w="85" w:type="dxa"/>
              <w:right w:w="113" w:type="dxa"/>
            </w:tcMar>
            <w:vAlign w:val="center"/>
          </w:tcPr>
          <w:p w14:paraId="76979310" w14:textId="77777777" w:rsidR="00DC1AA9" w:rsidRPr="00DC1AA9" w:rsidRDefault="00DC1AA9" w:rsidP="000D2655">
            <w:pPr>
              <w:pStyle w:val="CDITable-RowBullets"/>
              <w:spacing w:before="0"/>
              <w:rPr>
                <w:lang w:val="en-GB"/>
              </w:rPr>
            </w:pPr>
            <w:r w:rsidRPr="00DC1AA9">
              <w:rPr>
                <w:lang w:val="en-GB"/>
              </w:rPr>
              <w:t>Any child aged &lt; 16 years at diagnosis of HIV infection in Australia</w:t>
            </w:r>
          </w:p>
        </w:tc>
      </w:tr>
      <w:tr w:rsidR="00DC1AA9" w:rsidRPr="00DC1AA9" w14:paraId="32A9009F" w14:textId="77777777" w:rsidTr="000D2655">
        <w:trPr>
          <w:trHeight w:val="60"/>
        </w:trPr>
        <w:tc>
          <w:tcPr>
            <w:tcW w:w="2551" w:type="dxa"/>
            <w:tcBorders>
              <w:top w:val="single" w:sz="6" w:space="0" w:color="1E4496" w:themeColor="text2"/>
              <w:left w:val="nil"/>
              <w:bottom w:val="single" w:sz="6" w:space="0" w:color="1E4496" w:themeColor="text2"/>
            </w:tcBorders>
            <w:tcMar>
              <w:top w:w="85" w:type="dxa"/>
              <w:left w:w="113" w:type="dxa"/>
              <w:bottom w:w="85" w:type="dxa"/>
              <w:right w:w="113" w:type="dxa"/>
            </w:tcMar>
            <w:vAlign w:val="center"/>
          </w:tcPr>
          <w:p w14:paraId="69F12898" w14:textId="77777777" w:rsidR="00DC1AA9" w:rsidRPr="00DC1AA9" w:rsidRDefault="00DC1AA9" w:rsidP="00DC1AA9">
            <w:pPr>
              <w:pStyle w:val="CDITable-RowLeft"/>
              <w:rPr>
                <w:lang w:val="en-GB"/>
              </w:rPr>
            </w:pPr>
            <w:r w:rsidRPr="00DC1AA9">
              <w:rPr>
                <w:lang w:val="en-GB"/>
              </w:rPr>
              <w:t>Juvenile onset recurrent respiratory papillomatosis (JoRRP)</w:t>
            </w:r>
          </w:p>
        </w:tc>
        <w:tc>
          <w:tcPr>
            <w:tcW w:w="11792" w:type="dxa"/>
            <w:tcBorders>
              <w:top w:val="single" w:sz="6" w:space="0" w:color="1E4496" w:themeColor="text2"/>
              <w:bottom w:val="single" w:sz="6" w:space="0" w:color="1E4496" w:themeColor="text2"/>
              <w:right w:val="nil"/>
            </w:tcBorders>
            <w:tcMar>
              <w:top w:w="85" w:type="dxa"/>
              <w:left w:w="113" w:type="dxa"/>
              <w:bottom w:w="85" w:type="dxa"/>
              <w:right w:w="113" w:type="dxa"/>
            </w:tcMar>
            <w:vAlign w:val="center"/>
          </w:tcPr>
          <w:p w14:paraId="63AF489A" w14:textId="77777777" w:rsidR="00DC1AA9" w:rsidRPr="00DC1AA9" w:rsidRDefault="00DC1AA9" w:rsidP="000D2655">
            <w:pPr>
              <w:pStyle w:val="CDITable-RowBullets"/>
              <w:rPr>
                <w:lang w:val="en-GB"/>
              </w:rPr>
            </w:pPr>
            <w:r w:rsidRPr="00DC1AA9">
              <w:rPr>
                <w:lang w:val="en-GB"/>
              </w:rPr>
              <w:t>Any infant or child aged &lt; 15 years diagnosed with JoRRP confirmed by endoscopy of the larynx and by histology</w:t>
            </w:r>
          </w:p>
          <w:p w14:paraId="56811FAC" w14:textId="77777777" w:rsidR="00DC1AA9" w:rsidRPr="00DC1AA9" w:rsidRDefault="00DC1AA9" w:rsidP="000D2655">
            <w:pPr>
              <w:pStyle w:val="CDITable-RowBullets"/>
              <w:rPr>
                <w:lang w:val="en-GB"/>
              </w:rPr>
            </w:pPr>
            <w:r w:rsidRPr="000D2655">
              <w:rPr>
                <w:i/>
                <w:iCs/>
                <w:lang w:val="en-GB"/>
              </w:rPr>
              <w:t>Probable case</w:t>
            </w:r>
            <w:r w:rsidRPr="00DC1AA9">
              <w:rPr>
                <w:lang w:val="en-GB"/>
              </w:rPr>
              <w:t>: any infant or child aged &lt; 15 years diagnosed with JoRRP but without confirmation by histology</w:t>
            </w:r>
          </w:p>
        </w:tc>
      </w:tr>
      <w:tr w:rsidR="00DC1AA9" w:rsidRPr="00DC1AA9" w14:paraId="2F2FE89F" w14:textId="77777777" w:rsidTr="000D2655">
        <w:trPr>
          <w:trHeight w:val="60"/>
        </w:trPr>
        <w:tc>
          <w:tcPr>
            <w:tcW w:w="2551" w:type="dxa"/>
            <w:tcBorders>
              <w:top w:val="single" w:sz="6" w:space="0" w:color="1E4496" w:themeColor="text2"/>
              <w:left w:val="nil"/>
              <w:bottom w:val="single" w:sz="6" w:space="0" w:color="1E4496" w:themeColor="text2"/>
            </w:tcBorders>
            <w:tcMar>
              <w:top w:w="85" w:type="dxa"/>
              <w:left w:w="113" w:type="dxa"/>
              <w:bottom w:w="85" w:type="dxa"/>
              <w:right w:w="113" w:type="dxa"/>
            </w:tcMar>
            <w:vAlign w:val="center"/>
          </w:tcPr>
          <w:p w14:paraId="1889A643" w14:textId="77777777" w:rsidR="00DC1AA9" w:rsidRPr="00DC1AA9" w:rsidRDefault="00DC1AA9" w:rsidP="00DC1AA9">
            <w:pPr>
              <w:pStyle w:val="CDITable-RowLeft"/>
              <w:rPr>
                <w:lang w:val="en-GB"/>
              </w:rPr>
            </w:pPr>
            <w:r w:rsidRPr="00DC1AA9">
              <w:rPr>
                <w:lang w:val="en-GB"/>
              </w:rPr>
              <w:t>Congenital rubella infection/syndrome</w:t>
            </w:r>
          </w:p>
        </w:tc>
        <w:tc>
          <w:tcPr>
            <w:tcW w:w="11792" w:type="dxa"/>
            <w:tcBorders>
              <w:top w:val="single" w:sz="6" w:space="0" w:color="1E4496" w:themeColor="text2"/>
              <w:bottom w:val="single" w:sz="6" w:space="0" w:color="1E4496" w:themeColor="text2"/>
              <w:right w:val="nil"/>
            </w:tcBorders>
            <w:tcMar>
              <w:top w:w="85" w:type="dxa"/>
              <w:left w:w="113" w:type="dxa"/>
              <w:bottom w:w="85" w:type="dxa"/>
              <w:right w:w="113" w:type="dxa"/>
            </w:tcMar>
            <w:vAlign w:val="center"/>
          </w:tcPr>
          <w:p w14:paraId="73BC0B4A" w14:textId="77777777" w:rsidR="00DC1AA9" w:rsidRPr="00DC1AA9" w:rsidRDefault="00DC1AA9" w:rsidP="000D2655">
            <w:pPr>
              <w:pStyle w:val="CDITable-RowLeftlessspace"/>
              <w:rPr>
                <w:lang w:val="en-GB"/>
              </w:rPr>
            </w:pPr>
            <w:r w:rsidRPr="00DC1AA9">
              <w:rPr>
                <w:i/>
                <w:iCs/>
                <w:lang w:val="en-GB"/>
              </w:rPr>
              <w:t>Conﬁrmed case</w:t>
            </w:r>
            <w:r w:rsidRPr="00DC1AA9">
              <w:rPr>
                <w:lang w:val="en-GB"/>
              </w:rPr>
              <w:t>: a conﬁrmed case requires laboratory deﬁnitive evidence (fetal) OR laboratory definitive evidence (infant) AND epidemiological evidence:</w:t>
            </w:r>
          </w:p>
          <w:p w14:paraId="100A0382" w14:textId="77777777" w:rsidR="00DC1AA9" w:rsidRPr="00DC1AA9" w:rsidRDefault="00DC1AA9" w:rsidP="000D2655">
            <w:pPr>
              <w:pStyle w:val="CDITable-RowLeftlessspace"/>
              <w:rPr>
                <w:lang w:val="en-GB"/>
              </w:rPr>
            </w:pPr>
            <w:r w:rsidRPr="00DC1AA9">
              <w:rPr>
                <w:lang w:val="en-GB"/>
              </w:rPr>
              <w:t xml:space="preserve">Laboratory deﬁnitive evidence: </w:t>
            </w:r>
          </w:p>
          <w:p w14:paraId="6B353BCF" w14:textId="77777777" w:rsidR="00DC1AA9" w:rsidRPr="00DC1AA9" w:rsidRDefault="00DC1AA9" w:rsidP="00BB3421">
            <w:pPr>
              <w:pStyle w:val="CDITable-RowBulletsindented"/>
            </w:pPr>
            <w:r w:rsidRPr="00DC1AA9">
              <w:t xml:space="preserve">Fetal: isolation or detection of rubella virus from an appropriate clinical sample (i.e. fetal blood or tissue, amniotic fluid, chorionic villus sample) by </w:t>
            </w:r>
            <w:r w:rsidRPr="000D2655">
              <w:t>culture</w:t>
            </w:r>
            <w:r w:rsidRPr="00DC1AA9">
              <w:t xml:space="preserve"> or nucleic acid testing. </w:t>
            </w:r>
          </w:p>
          <w:p w14:paraId="74446D21" w14:textId="77777777" w:rsidR="00DC1AA9" w:rsidRPr="00DC1AA9" w:rsidRDefault="00DC1AA9" w:rsidP="00BB3421">
            <w:pPr>
              <w:pStyle w:val="CDITable-RowBulletsindented"/>
            </w:pPr>
            <w:r w:rsidRPr="00DC1AA9">
              <w:t>Infant: isolation or detection of rubella virus from an appropriate clinical sample in an infant, by culture or nucleic acid testing OR detection of rubella-speciﬁc immunoglobulin M (IgM) antibody in the serum of the infant.</w:t>
            </w:r>
          </w:p>
          <w:p w14:paraId="001B91CA" w14:textId="77777777" w:rsidR="00DC1AA9" w:rsidRPr="00DC1AA9" w:rsidRDefault="00DC1AA9" w:rsidP="00BB3421">
            <w:pPr>
              <w:pStyle w:val="CDITable-RowBulletsindented"/>
            </w:pPr>
            <w:r w:rsidRPr="00DC1AA9">
              <w:t>Epidemiological evidence: the mother has confirmed rubella infection during pregnancy</w:t>
            </w:r>
          </w:p>
          <w:p w14:paraId="3CB49D2B" w14:textId="77777777" w:rsidR="00DC1AA9" w:rsidRPr="00DC1AA9" w:rsidRDefault="00DC1AA9" w:rsidP="000D2655">
            <w:pPr>
              <w:pStyle w:val="CDITable-RowLeftlessspace"/>
              <w:rPr>
                <w:lang w:val="en-GB"/>
              </w:rPr>
            </w:pPr>
            <w:r w:rsidRPr="00DC1AA9">
              <w:rPr>
                <w:i/>
                <w:iCs/>
                <w:lang w:val="en-GB"/>
              </w:rPr>
              <w:t>Probable case</w:t>
            </w:r>
            <w:r w:rsidRPr="00DC1AA9">
              <w:rPr>
                <w:lang w:val="en-GB"/>
              </w:rPr>
              <w:t>: epidemiological evidence (first trimester infection) OR epidemiological evidence (second and third trimester infection) AND laboratory suggestive evidence (infant):</w:t>
            </w:r>
          </w:p>
          <w:p w14:paraId="77FE4998" w14:textId="77777777" w:rsidR="00DC1AA9" w:rsidRPr="00DC1AA9" w:rsidRDefault="00DC1AA9" w:rsidP="000D2655">
            <w:pPr>
              <w:pStyle w:val="CDITable-RowLeftlessspace"/>
              <w:rPr>
                <w:lang w:val="en-GB"/>
              </w:rPr>
            </w:pPr>
            <w:r w:rsidRPr="00DC1AA9">
              <w:rPr>
                <w:lang w:val="en-GB"/>
              </w:rPr>
              <w:t xml:space="preserve">Laboratory suggestive evidence: </w:t>
            </w:r>
          </w:p>
          <w:p w14:paraId="715A45AD" w14:textId="77777777" w:rsidR="00DC1AA9" w:rsidRPr="00DC1AA9" w:rsidRDefault="00DC1AA9" w:rsidP="00BB3421">
            <w:pPr>
              <w:pStyle w:val="CDITable-RowBulletsindented"/>
            </w:pPr>
            <w:r w:rsidRPr="000D2655">
              <w:t>Infant</w:t>
            </w:r>
            <w:r w:rsidRPr="00DC1AA9">
              <w:t>: high / rising rubella-specific IgG level in first year of life.</w:t>
            </w:r>
          </w:p>
        </w:tc>
      </w:tr>
      <w:tr w:rsidR="00DC1AA9" w:rsidRPr="00DC1AA9" w14:paraId="4406A22C" w14:textId="77777777" w:rsidTr="00BB3421">
        <w:trPr>
          <w:trHeight w:val="60"/>
        </w:trPr>
        <w:tc>
          <w:tcPr>
            <w:tcW w:w="2551" w:type="dxa"/>
            <w:tcBorders>
              <w:top w:val="single" w:sz="6" w:space="0" w:color="1E4496" w:themeColor="text2"/>
              <w:left w:val="nil"/>
              <w:bottom w:val="single" w:sz="6" w:space="0" w:color="1E4496" w:themeColor="text2"/>
            </w:tcBorders>
            <w:tcMar>
              <w:top w:w="85" w:type="dxa"/>
              <w:left w:w="113" w:type="dxa"/>
              <w:bottom w:w="85" w:type="dxa"/>
              <w:right w:w="113" w:type="dxa"/>
            </w:tcMar>
            <w:vAlign w:val="center"/>
          </w:tcPr>
          <w:p w14:paraId="5BFBEF75" w14:textId="77777777" w:rsidR="00DC1AA9" w:rsidRPr="00DC1AA9" w:rsidRDefault="00DC1AA9" w:rsidP="00DC1AA9">
            <w:pPr>
              <w:pStyle w:val="CDITable-RowLeft"/>
              <w:rPr>
                <w:lang w:val="en-GB"/>
              </w:rPr>
            </w:pPr>
            <w:r w:rsidRPr="00DC1AA9">
              <w:rPr>
                <w:lang w:val="en-GB"/>
              </w:rPr>
              <w:t>Congenital rubella infection/syndrome (continued)</w:t>
            </w:r>
          </w:p>
        </w:tc>
        <w:tc>
          <w:tcPr>
            <w:tcW w:w="11792" w:type="dxa"/>
            <w:tcBorders>
              <w:top w:val="single" w:sz="6" w:space="0" w:color="1E4496" w:themeColor="text2"/>
              <w:bottom w:val="single" w:sz="6" w:space="0" w:color="1E4496" w:themeColor="text2"/>
              <w:right w:val="nil"/>
            </w:tcBorders>
            <w:tcMar>
              <w:top w:w="85" w:type="dxa"/>
              <w:left w:w="113" w:type="dxa"/>
              <w:bottom w:w="85" w:type="dxa"/>
              <w:right w:w="113" w:type="dxa"/>
            </w:tcMar>
            <w:vAlign w:val="center"/>
          </w:tcPr>
          <w:p w14:paraId="6B1E3138" w14:textId="77777777" w:rsidR="00DC1AA9" w:rsidRPr="00DC1AA9" w:rsidRDefault="00DC1AA9" w:rsidP="000D2655">
            <w:pPr>
              <w:pStyle w:val="CDITable-RowLeftlessspace"/>
              <w:rPr>
                <w:lang w:val="en-GB"/>
              </w:rPr>
            </w:pPr>
            <w:r w:rsidRPr="00DC1AA9">
              <w:rPr>
                <w:i/>
                <w:iCs/>
                <w:lang w:val="en-GB"/>
              </w:rPr>
              <w:t>Congenital rubella syndrome</w:t>
            </w:r>
            <w:r w:rsidRPr="00DC1AA9">
              <w:rPr>
                <w:lang w:val="en-GB"/>
              </w:rPr>
              <w:t>: a conﬁrmed case requires laboratory deﬁnitive evidence (fetal or infant), as described above AND clinical evidence:</w:t>
            </w:r>
          </w:p>
          <w:p w14:paraId="005329C2" w14:textId="5827BE9E" w:rsidR="00DC1AA9" w:rsidRPr="00DC1AA9" w:rsidRDefault="00DC1AA9" w:rsidP="000D2655">
            <w:pPr>
              <w:pStyle w:val="CDITable-RowLeftlessspace"/>
              <w:rPr>
                <w:lang w:val="en-GB"/>
              </w:rPr>
            </w:pPr>
            <w:r w:rsidRPr="00DC1AA9">
              <w:rPr>
                <w:lang w:val="en-GB"/>
              </w:rPr>
              <w:t>Clinical evidence: A live or stillborn infant with ANY of the following compatible defects:</w:t>
            </w:r>
          </w:p>
          <w:p w14:paraId="1175A70F" w14:textId="77777777" w:rsidR="00DC1AA9" w:rsidRPr="00DC1AA9" w:rsidRDefault="00DC1AA9" w:rsidP="00BB3421">
            <w:pPr>
              <w:pStyle w:val="CDITable-RowBulletsindented"/>
            </w:pPr>
            <w:r w:rsidRPr="00DC1AA9">
              <w:t>Cataracts</w:t>
            </w:r>
          </w:p>
          <w:p w14:paraId="6996AB09" w14:textId="77777777" w:rsidR="00DC1AA9" w:rsidRPr="00DC1AA9" w:rsidRDefault="00DC1AA9" w:rsidP="00BB3421">
            <w:pPr>
              <w:pStyle w:val="CDITable-RowBulletsindented"/>
            </w:pPr>
            <w:r w:rsidRPr="00DC1AA9">
              <w:t>Congenital glaucoma</w:t>
            </w:r>
          </w:p>
          <w:p w14:paraId="542C7681" w14:textId="77777777" w:rsidR="00DC1AA9" w:rsidRPr="00DC1AA9" w:rsidRDefault="00DC1AA9" w:rsidP="00BB3421">
            <w:pPr>
              <w:pStyle w:val="CDITable-RowBulletsindented"/>
            </w:pPr>
            <w:r w:rsidRPr="00DC1AA9">
              <w:t>Congenital heart disease</w:t>
            </w:r>
          </w:p>
          <w:p w14:paraId="48CB170B" w14:textId="77777777" w:rsidR="00DC1AA9" w:rsidRPr="00DC1AA9" w:rsidRDefault="00DC1AA9" w:rsidP="00BB3421">
            <w:pPr>
              <w:pStyle w:val="CDITable-RowBulletsindented"/>
            </w:pPr>
            <w:r w:rsidRPr="00DC1AA9">
              <w:t>Hearing defects</w:t>
            </w:r>
          </w:p>
          <w:p w14:paraId="323FD537" w14:textId="77777777" w:rsidR="00DC1AA9" w:rsidRPr="00DC1AA9" w:rsidRDefault="00DC1AA9" w:rsidP="00BB3421">
            <w:pPr>
              <w:pStyle w:val="CDITable-RowBulletsindented"/>
            </w:pPr>
            <w:r w:rsidRPr="00DC1AA9">
              <w:t>Microcephaly</w:t>
            </w:r>
          </w:p>
          <w:p w14:paraId="55E37F1D" w14:textId="77777777" w:rsidR="00DC1AA9" w:rsidRPr="00DC1AA9" w:rsidRDefault="00DC1AA9" w:rsidP="00BB3421">
            <w:pPr>
              <w:pStyle w:val="CDITable-RowBulletsindented"/>
            </w:pPr>
            <w:r w:rsidRPr="00DC1AA9">
              <w:t>Pigmentary retinopathy</w:t>
            </w:r>
          </w:p>
          <w:p w14:paraId="1390571A" w14:textId="77777777" w:rsidR="00DC1AA9" w:rsidRPr="00DC1AA9" w:rsidRDefault="00DC1AA9" w:rsidP="00BB3421">
            <w:pPr>
              <w:pStyle w:val="CDITable-RowBulletsindented"/>
            </w:pPr>
            <w:r w:rsidRPr="00DC1AA9">
              <w:t>Development delay</w:t>
            </w:r>
          </w:p>
          <w:p w14:paraId="236A3293" w14:textId="77777777" w:rsidR="00DC1AA9" w:rsidRPr="00DC1AA9" w:rsidRDefault="00DC1AA9" w:rsidP="00BB3421">
            <w:pPr>
              <w:pStyle w:val="CDITable-RowBulletsindented"/>
            </w:pPr>
            <w:r w:rsidRPr="00DC1AA9">
              <w:t>Purpura</w:t>
            </w:r>
          </w:p>
          <w:p w14:paraId="3C22F8BC" w14:textId="77777777" w:rsidR="00DC1AA9" w:rsidRPr="00DC1AA9" w:rsidRDefault="00DC1AA9" w:rsidP="00BB3421">
            <w:pPr>
              <w:pStyle w:val="CDITable-RowBulletsindented"/>
            </w:pPr>
            <w:r w:rsidRPr="00DC1AA9">
              <w:t>Hepatosplenomegaly</w:t>
            </w:r>
          </w:p>
          <w:p w14:paraId="24AD1B24" w14:textId="77777777" w:rsidR="00DC1AA9" w:rsidRPr="00DC1AA9" w:rsidRDefault="00DC1AA9" w:rsidP="00BB3421">
            <w:pPr>
              <w:pStyle w:val="CDITable-RowBulletsindented"/>
            </w:pPr>
            <w:proofErr w:type="spellStart"/>
            <w:r w:rsidRPr="00DC1AA9">
              <w:t>Meninigoencephalitis</w:t>
            </w:r>
            <w:proofErr w:type="spellEnd"/>
          </w:p>
          <w:p w14:paraId="1FF6FB90" w14:textId="77777777" w:rsidR="00DC1AA9" w:rsidRPr="00DC1AA9" w:rsidRDefault="00DC1AA9" w:rsidP="00BB3421">
            <w:pPr>
              <w:pStyle w:val="CDITable-RowBulletsindented"/>
            </w:pPr>
            <w:proofErr w:type="spellStart"/>
            <w:r w:rsidRPr="00DC1AA9">
              <w:t>Radioluscent</w:t>
            </w:r>
            <w:proofErr w:type="spellEnd"/>
            <w:r w:rsidRPr="00DC1AA9">
              <w:t xml:space="preserve"> bone disease</w:t>
            </w:r>
          </w:p>
          <w:p w14:paraId="611D81BA" w14:textId="77777777" w:rsidR="00DC1AA9" w:rsidRPr="00DC1AA9" w:rsidRDefault="00DC1AA9" w:rsidP="00BB3421">
            <w:pPr>
              <w:pStyle w:val="CDITable-RowBulletsindented"/>
            </w:pPr>
            <w:r w:rsidRPr="00DC1AA9">
              <w:t>Other defect not better explained by an alternative diagnosis</w:t>
            </w:r>
          </w:p>
        </w:tc>
      </w:tr>
      <w:tr w:rsidR="00086093" w:rsidRPr="00DC1AA9" w14:paraId="6F9F4E14" w14:textId="77777777" w:rsidTr="00BB3421">
        <w:trPr>
          <w:trHeight w:val="60"/>
        </w:trPr>
        <w:tc>
          <w:tcPr>
            <w:tcW w:w="2551" w:type="dxa"/>
            <w:tcBorders>
              <w:top w:val="single" w:sz="6" w:space="0" w:color="1E4496" w:themeColor="text2"/>
              <w:left w:val="nil"/>
              <w:bottom w:val="single" w:sz="6" w:space="0" w:color="1E4496" w:themeColor="text2"/>
            </w:tcBorders>
            <w:tcMar>
              <w:top w:w="85" w:type="dxa"/>
              <w:left w:w="113" w:type="dxa"/>
              <w:bottom w:w="85" w:type="dxa"/>
              <w:right w:w="113" w:type="dxa"/>
            </w:tcMar>
            <w:vAlign w:val="center"/>
          </w:tcPr>
          <w:p w14:paraId="409C0F6E" w14:textId="612349BA" w:rsidR="00086093" w:rsidRPr="00DC1AA9" w:rsidRDefault="00086093" w:rsidP="00DC1AA9">
            <w:pPr>
              <w:pStyle w:val="CDITable-RowLeft"/>
              <w:rPr>
                <w:lang w:val="en-GB"/>
              </w:rPr>
            </w:pPr>
            <w:r w:rsidRPr="00DC1AA9">
              <w:rPr>
                <w:lang w:val="en-GB"/>
              </w:rPr>
              <w:t>Congenital varicella syndrome (CVS)</w:t>
            </w:r>
          </w:p>
        </w:tc>
        <w:tc>
          <w:tcPr>
            <w:tcW w:w="11792" w:type="dxa"/>
            <w:tcBorders>
              <w:top w:val="single" w:sz="6" w:space="0" w:color="1E4496" w:themeColor="text2"/>
              <w:bottom w:val="single" w:sz="6" w:space="0" w:color="1E4496" w:themeColor="text2"/>
              <w:right w:val="nil"/>
            </w:tcBorders>
            <w:tcMar>
              <w:top w:w="85" w:type="dxa"/>
              <w:left w:w="113" w:type="dxa"/>
              <w:bottom w:w="85" w:type="dxa"/>
              <w:right w:w="113" w:type="dxa"/>
            </w:tcMar>
            <w:vAlign w:val="center"/>
          </w:tcPr>
          <w:p w14:paraId="3620632E" w14:textId="77777777" w:rsidR="00086093" w:rsidRPr="00DC1AA9" w:rsidRDefault="00086093" w:rsidP="00086093">
            <w:pPr>
              <w:pStyle w:val="CDITable-RowLeftlessspace"/>
              <w:rPr>
                <w:lang w:val="en-GB"/>
              </w:rPr>
            </w:pPr>
            <w:r w:rsidRPr="00DC1AA9">
              <w:rPr>
                <w:lang w:val="en-GB"/>
              </w:rPr>
              <w:t>Any stillbirth, newborn infant, or child up to the age of 2 years, who has definite or suspected congenital varicella infection, with or without defects and meets at least one of the following criteria:</w:t>
            </w:r>
          </w:p>
          <w:p w14:paraId="1389B913" w14:textId="77777777" w:rsidR="00086093" w:rsidRPr="009C0E89" w:rsidRDefault="00086093" w:rsidP="00086093">
            <w:pPr>
              <w:pStyle w:val="CDITable-RowBulletsindented"/>
            </w:pPr>
            <w:r w:rsidRPr="00DC1AA9">
              <w:t>Cicatricial skin lesions in a dermatomal distrib</w:t>
            </w:r>
            <w:r w:rsidRPr="009C0E89">
              <w:t>ution and/or pox-like skin scars and/ or limb hypoplasia</w:t>
            </w:r>
          </w:p>
          <w:p w14:paraId="258DCDD1" w14:textId="77777777" w:rsidR="00086093" w:rsidRPr="00DC1AA9" w:rsidRDefault="00086093" w:rsidP="00086093">
            <w:pPr>
              <w:pStyle w:val="CDITable-RowBulletsindented"/>
            </w:pPr>
            <w:r w:rsidRPr="009C0E89">
              <w:t>Development of herpes zoster in the first year</w:t>
            </w:r>
            <w:r w:rsidRPr="00DC1AA9">
              <w:t xml:space="preserve"> of life</w:t>
            </w:r>
          </w:p>
          <w:p w14:paraId="13D66346" w14:textId="77777777" w:rsidR="00086093" w:rsidRDefault="00086093" w:rsidP="000D2655">
            <w:pPr>
              <w:pStyle w:val="CDITable-RowBulletsindented"/>
            </w:pPr>
            <w:r w:rsidRPr="00DC1AA9">
              <w:t xml:space="preserve">Spontaneous abortion, termination, stillbirth or early death following varicella infection during pregnancy </w:t>
            </w:r>
          </w:p>
          <w:p w14:paraId="4E0FE944" w14:textId="77777777" w:rsidR="00086093" w:rsidRPr="00DC1AA9" w:rsidRDefault="00086093" w:rsidP="00086093">
            <w:pPr>
              <w:pStyle w:val="CDITable-RowLeftlessspace"/>
              <w:rPr>
                <w:lang w:val="en-GB"/>
              </w:rPr>
            </w:pPr>
            <w:r w:rsidRPr="00DC1AA9">
              <w:rPr>
                <w:lang w:val="en-GB"/>
              </w:rPr>
              <w:t>Confirm varicella infection by one or more of the following:</w:t>
            </w:r>
          </w:p>
          <w:p w14:paraId="5374C7BE" w14:textId="77777777" w:rsidR="00086093" w:rsidRPr="009C0E89" w:rsidRDefault="00086093" w:rsidP="00086093">
            <w:pPr>
              <w:pStyle w:val="CDITable-RowBulletsindented"/>
            </w:pPr>
            <w:r w:rsidRPr="00DC1AA9">
              <w:t xml:space="preserve">Detection of varicella-specific IgM antibodies in cord blood or in serum specimen taken in the first 3 months of life (only 25% of cases are </w:t>
            </w:r>
            <w:r w:rsidRPr="009C0E89">
              <w:t>positive)</w:t>
            </w:r>
          </w:p>
          <w:p w14:paraId="421FAF65" w14:textId="77777777" w:rsidR="00086093" w:rsidRPr="009C0E89" w:rsidRDefault="00086093" w:rsidP="00086093">
            <w:pPr>
              <w:pStyle w:val="CDITable-RowBulletsindented"/>
            </w:pPr>
            <w:r w:rsidRPr="009C0E89">
              <w:t>Persistence of varicella specific IgG antibody in a child aged beyond 6 months of age</w:t>
            </w:r>
          </w:p>
          <w:p w14:paraId="54989AB2" w14:textId="77777777" w:rsidR="00086093" w:rsidRPr="009C0E89" w:rsidRDefault="00086093" w:rsidP="00086093">
            <w:pPr>
              <w:pStyle w:val="CDITable-RowBulletsindented"/>
            </w:pPr>
            <w:r w:rsidRPr="009C0E89">
              <w:t>Identification of varicella virus in skin lesions or autopsy tissue</w:t>
            </w:r>
          </w:p>
          <w:p w14:paraId="3E08B89E" w14:textId="5B5E6327" w:rsidR="00086093" w:rsidRPr="00086093" w:rsidRDefault="00086093" w:rsidP="00086093">
            <w:pPr>
              <w:pStyle w:val="CDITable-RowBulletsindented"/>
            </w:pPr>
            <w:r w:rsidRPr="009C0E89">
              <w:t>History</w:t>
            </w:r>
            <w:r w:rsidRPr="00DC1AA9">
              <w:t xml:space="preserve"> of maternal varicella during pregnancy or maternal contact with varicella in pregnancy in the mother of an infant with congenital abnormalities</w:t>
            </w:r>
          </w:p>
        </w:tc>
      </w:tr>
      <w:tr w:rsidR="009C0E89" w:rsidRPr="00DC1AA9" w14:paraId="6AE58153" w14:textId="77777777" w:rsidTr="00086093">
        <w:trPr>
          <w:trHeight w:val="2041"/>
        </w:trPr>
        <w:tc>
          <w:tcPr>
            <w:tcW w:w="2551" w:type="dxa"/>
            <w:tcBorders>
              <w:top w:val="single" w:sz="6" w:space="0" w:color="1E4496" w:themeColor="text2"/>
              <w:left w:val="nil"/>
              <w:bottom w:val="single" w:sz="6" w:space="0" w:color="1E4496" w:themeColor="text2"/>
            </w:tcBorders>
            <w:tcMar>
              <w:top w:w="85" w:type="dxa"/>
              <w:left w:w="113" w:type="dxa"/>
              <w:bottom w:w="85" w:type="dxa"/>
              <w:right w:w="113" w:type="dxa"/>
            </w:tcMar>
            <w:vAlign w:val="center"/>
          </w:tcPr>
          <w:p w14:paraId="4D885783" w14:textId="32618479" w:rsidR="009C0E89" w:rsidRPr="00DC1AA9" w:rsidRDefault="009C0E89" w:rsidP="00DC1AA9">
            <w:pPr>
              <w:pStyle w:val="CDITable-RowLeft"/>
              <w:rPr>
                <w:lang w:val="en-GB"/>
              </w:rPr>
            </w:pPr>
            <w:r w:rsidRPr="00DC1AA9">
              <w:rPr>
                <w:lang w:val="en-GB"/>
              </w:rPr>
              <w:t>Congenital varicella syndrome (CVS)</w:t>
            </w:r>
            <w:r w:rsidR="00086093">
              <w:rPr>
                <w:lang w:val="en-GB"/>
              </w:rPr>
              <w:t xml:space="preserve"> continued</w:t>
            </w:r>
          </w:p>
        </w:tc>
        <w:tc>
          <w:tcPr>
            <w:tcW w:w="11792" w:type="dxa"/>
            <w:tcBorders>
              <w:top w:val="single" w:sz="6" w:space="0" w:color="1E4496" w:themeColor="text2"/>
              <w:bottom w:val="single" w:sz="6" w:space="0" w:color="1E4496" w:themeColor="text2"/>
              <w:right w:val="nil"/>
            </w:tcBorders>
            <w:tcMar>
              <w:top w:w="85" w:type="dxa"/>
              <w:left w:w="113" w:type="dxa"/>
              <w:bottom w:w="85" w:type="dxa"/>
              <w:right w:w="113" w:type="dxa"/>
            </w:tcMar>
            <w:vAlign w:val="center"/>
          </w:tcPr>
          <w:p w14:paraId="25DD26F3" w14:textId="77777777" w:rsidR="009C0E89" w:rsidRPr="00DC1AA9" w:rsidRDefault="009C0E89" w:rsidP="009C0E89">
            <w:pPr>
              <w:pStyle w:val="CDITable-RowLeftlessspace"/>
              <w:rPr>
                <w:lang w:val="en-GB"/>
              </w:rPr>
            </w:pPr>
            <w:r w:rsidRPr="00DC1AA9">
              <w:rPr>
                <w:lang w:val="en-GB"/>
              </w:rPr>
              <w:t>The following clinical signs may also be present in cases of CVS:</w:t>
            </w:r>
          </w:p>
          <w:p w14:paraId="302BEE87" w14:textId="77777777" w:rsidR="009C0E89" w:rsidRPr="00DC1AA9" w:rsidRDefault="009C0E89" w:rsidP="00BB3421">
            <w:pPr>
              <w:pStyle w:val="CDITable-RowBulletsindented"/>
            </w:pPr>
            <w:r w:rsidRPr="00DC1AA9">
              <w:t>Microcephaly, hydrocephalus, cerebellar hypoplasia, motor or sensory deficits, sphincter dysfunction and peripheral nervous system defects</w:t>
            </w:r>
          </w:p>
          <w:p w14:paraId="206A7801" w14:textId="77777777" w:rsidR="009C0E89" w:rsidRPr="00DC1AA9" w:rsidRDefault="009C0E89" w:rsidP="00BB3421">
            <w:pPr>
              <w:pStyle w:val="CDITable-RowBulletsindented"/>
            </w:pPr>
            <w:r w:rsidRPr="00DC1AA9">
              <w:t>Microphthalmia, cataracts, Horner’s syndrome, chorioretinitis, nystagmus, retinal scars, optic atrophy</w:t>
            </w:r>
          </w:p>
          <w:p w14:paraId="2F8A725D" w14:textId="77777777" w:rsidR="009C0E89" w:rsidRPr="00DC1AA9" w:rsidRDefault="009C0E89" w:rsidP="00BB3421">
            <w:pPr>
              <w:pStyle w:val="CDITable-RowBulletsindented"/>
            </w:pPr>
            <w:r w:rsidRPr="00DC1AA9">
              <w:t>Gastrointestinal abnormalities including colonic atresia, hepatitis, liver failure</w:t>
            </w:r>
          </w:p>
          <w:p w14:paraId="6D5235DF" w14:textId="77777777" w:rsidR="009C0E89" w:rsidRPr="00DC1AA9" w:rsidRDefault="009C0E89" w:rsidP="00BB3421">
            <w:pPr>
              <w:pStyle w:val="CDITable-RowBulletsindented"/>
            </w:pPr>
            <w:r w:rsidRPr="00DC1AA9">
              <w:t>Genito-urinary abnormalities</w:t>
            </w:r>
          </w:p>
          <w:p w14:paraId="05E98EEC" w14:textId="77777777" w:rsidR="009C0E89" w:rsidRPr="00DC1AA9" w:rsidRDefault="009C0E89" w:rsidP="00BB3421">
            <w:pPr>
              <w:pStyle w:val="CDITable-RowBulletsindented"/>
            </w:pPr>
            <w:r w:rsidRPr="00DC1AA9">
              <w:t>Cardiovascular abnormalities</w:t>
            </w:r>
          </w:p>
          <w:p w14:paraId="3027333D" w14:textId="6C1C9E37" w:rsidR="009C0E89" w:rsidRPr="00DC1AA9" w:rsidRDefault="009C0E89" w:rsidP="00BB3421">
            <w:pPr>
              <w:pStyle w:val="CDITable-RowBulletsindented"/>
            </w:pPr>
            <w:r w:rsidRPr="00DC1AA9">
              <w:t>Intrauterine growth retardation</w:t>
            </w:r>
          </w:p>
        </w:tc>
      </w:tr>
      <w:tr w:rsidR="00DC1AA9" w:rsidRPr="00DC1AA9" w14:paraId="530C1BC5" w14:textId="77777777" w:rsidTr="00BB3421">
        <w:trPr>
          <w:trHeight w:val="60"/>
        </w:trPr>
        <w:tc>
          <w:tcPr>
            <w:tcW w:w="2551" w:type="dxa"/>
            <w:tcBorders>
              <w:top w:val="single" w:sz="6" w:space="0" w:color="1E4496" w:themeColor="text2"/>
              <w:left w:val="nil"/>
              <w:bottom w:val="single" w:sz="6" w:space="0" w:color="1E4496" w:themeColor="text2"/>
            </w:tcBorders>
            <w:tcMar>
              <w:top w:w="85" w:type="dxa"/>
              <w:left w:w="113" w:type="dxa"/>
              <w:bottom w:w="85" w:type="dxa"/>
              <w:right w:w="113" w:type="dxa"/>
            </w:tcMar>
            <w:vAlign w:val="center"/>
          </w:tcPr>
          <w:p w14:paraId="378E2C5F" w14:textId="77777777" w:rsidR="00DC1AA9" w:rsidRPr="00DC1AA9" w:rsidRDefault="00DC1AA9" w:rsidP="00BB3421">
            <w:pPr>
              <w:pStyle w:val="CDITable-RowLeft"/>
              <w:keepNext/>
              <w:rPr>
                <w:lang w:val="en-GB"/>
              </w:rPr>
            </w:pPr>
            <w:r w:rsidRPr="00DC1AA9">
              <w:rPr>
                <w:lang w:val="en-GB"/>
              </w:rPr>
              <w:t>Neonatal varicella infection (NVI)</w:t>
            </w:r>
          </w:p>
        </w:tc>
        <w:tc>
          <w:tcPr>
            <w:tcW w:w="11792" w:type="dxa"/>
            <w:tcBorders>
              <w:top w:val="single" w:sz="6" w:space="0" w:color="1E4496" w:themeColor="text2"/>
              <w:bottom w:val="single" w:sz="6" w:space="0" w:color="1E4496" w:themeColor="text2"/>
              <w:right w:val="nil"/>
            </w:tcBorders>
            <w:tcMar>
              <w:top w:w="85" w:type="dxa"/>
              <w:left w:w="113" w:type="dxa"/>
              <w:bottom w:w="85" w:type="dxa"/>
              <w:right w:w="113" w:type="dxa"/>
            </w:tcMar>
            <w:vAlign w:val="center"/>
          </w:tcPr>
          <w:p w14:paraId="64491040" w14:textId="77777777" w:rsidR="00DC1AA9" w:rsidRPr="00DC1AA9" w:rsidRDefault="00DC1AA9" w:rsidP="00BB3421">
            <w:pPr>
              <w:pStyle w:val="CDITable-RowLeftlessspace"/>
              <w:keepNext/>
              <w:rPr>
                <w:lang w:val="en-GB"/>
              </w:rPr>
            </w:pPr>
            <w:r w:rsidRPr="00DC1AA9">
              <w:rPr>
                <w:lang w:val="en-GB"/>
              </w:rPr>
              <w:t xml:space="preserve">Any infant who has neonatal varicella based on history, clinical and/or laboratory findings in the first month of life without features of CVS. </w:t>
            </w:r>
          </w:p>
          <w:p w14:paraId="62015BFD" w14:textId="77777777" w:rsidR="00DC1AA9" w:rsidRPr="00DC1AA9" w:rsidRDefault="00DC1AA9" w:rsidP="00BB3421">
            <w:pPr>
              <w:pStyle w:val="CDITable-RowLeftlessspace"/>
              <w:keepNext/>
              <w:rPr>
                <w:lang w:val="en-GB"/>
              </w:rPr>
            </w:pPr>
            <w:r w:rsidRPr="00DC1AA9">
              <w:rPr>
                <w:lang w:val="en-GB"/>
              </w:rPr>
              <w:t>Features of neonatal varicella infection include:</w:t>
            </w:r>
          </w:p>
          <w:p w14:paraId="6932D299" w14:textId="77777777" w:rsidR="00DC1AA9" w:rsidRPr="00DC1AA9" w:rsidRDefault="00DC1AA9" w:rsidP="00BB3421">
            <w:pPr>
              <w:pStyle w:val="CDITable-RowBulletsindented"/>
              <w:keepNext/>
            </w:pPr>
            <w:r w:rsidRPr="00DC1AA9">
              <w:t>Pox-like rash which may be papulovesicular, vesiculopustular or haemorrhagic, and fever</w:t>
            </w:r>
          </w:p>
          <w:p w14:paraId="5DC621AE" w14:textId="77777777" w:rsidR="00DC1AA9" w:rsidRPr="00DC1AA9" w:rsidRDefault="00DC1AA9" w:rsidP="00BB3421">
            <w:pPr>
              <w:pStyle w:val="CDITable-RowBulletsindented"/>
              <w:keepNext/>
            </w:pPr>
            <w:r w:rsidRPr="00DC1AA9">
              <w:t>Other systemic symptoms may be present</w:t>
            </w:r>
          </w:p>
          <w:p w14:paraId="1506F1D8" w14:textId="77777777" w:rsidR="00DC1AA9" w:rsidRPr="00DC1AA9" w:rsidRDefault="00DC1AA9" w:rsidP="00BB3421">
            <w:pPr>
              <w:pStyle w:val="CDITable-RowLeftlessspace"/>
              <w:keepNext/>
              <w:rPr>
                <w:lang w:val="en-GB"/>
              </w:rPr>
            </w:pPr>
            <w:r w:rsidRPr="00DC1AA9">
              <w:rPr>
                <w:lang w:val="en-GB"/>
              </w:rPr>
              <w:t>Complications of neonatal varicella include:</w:t>
            </w:r>
          </w:p>
          <w:p w14:paraId="4678B8F2" w14:textId="77777777" w:rsidR="00DC1AA9" w:rsidRPr="00DC1AA9" w:rsidRDefault="00DC1AA9" w:rsidP="00BB3421">
            <w:pPr>
              <w:pStyle w:val="CDITable-RowBulletsindented"/>
              <w:keepNext/>
            </w:pPr>
            <w:r w:rsidRPr="00DC1AA9">
              <w:t>Bacterial superinfection</w:t>
            </w:r>
          </w:p>
          <w:p w14:paraId="205BEEB6" w14:textId="77777777" w:rsidR="00DC1AA9" w:rsidRPr="00DC1AA9" w:rsidRDefault="00DC1AA9" w:rsidP="00BB3421">
            <w:pPr>
              <w:pStyle w:val="CDITable-RowBulletsindented"/>
              <w:keepNext/>
            </w:pPr>
            <w:r w:rsidRPr="00DC1AA9">
              <w:t>Neurological and haematological problems and general visceral involvement</w:t>
            </w:r>
          </w:p>
          <w:p w14:paraId="01E18AF2" w14:textId="77777777" w:rsidR="00DC1AA9" w:rsidRPr="00DC1AA9" w:rsidRDefault="00DC1AA9" w:rsidP="00BB3421">
            <w:pPr>
              <w:pStyle w:val="CDITable-RowLeftlessspace"/>
              <w:keepNext/>
              <w:rPr>
                <w:lang w:val="en-GB"/>
              </w:rPr>
            </w:pPr>
            <w:r w:rsidRPr="00DC1AA9">
              <w:rPr>
                <w:lang w:val="en-GB"/>
              </w:rPr>
              <w:t>The diagnosis of neonatal varicella can be made when an infant in the first month of life presents with clinical features of varicella infection. There may be a history of maternal varicella infection in the last 1–4 weeks of pregnancy or contact with a varicella infected person after birth.</w:t>
            </w:r>
          </w:p>
          <w:p w14:paraId="449C1CB0" w14:textId="77777777" w:rsidR="00DC1AA9" w:rsidRPr="00DC1AA9" w:rsidRDefault="00DC1AA9" w:rsidP="00BB3421">
            <w:pPr>
              <w:pStyle w:val="CDITable-RowLeftlessspace"/>
              <w:keepNext/>
              <w:rPr>
                <w:lang w:val="en-GB"/>
              </w:rPr>
            </w:pPr>
            <w:r w:rsidRPr="00DC1AA9">
              <w:rPr>
                <w:lang w:val="en-GB"/>
              </w:rPr>
              <w:t>The diagnosis can be confirmed by laboratory tests to detect:</w:t>
            </w:r>
          </w:p>
          <w:p w14:paraId="34055D50" w14:textId="77777777" w:rsidR="00DC1AA9" w:rsidRPr="00DC1AA9" w:rsidRDefault="00DC1AA9" w:rsidP="00BB3421">
            <w:pPr>
              <w:pStyle w:val="CDITable-RowBulletsindented"/>
              <w:keepNext/>
            </w:pPr>
            <w:r w:rsidRPr="00DC1AA9">
              <w:t>Viral antigen/viral isolate from scrapings of the skin lesions or viral DNA from lesion fluid</w:t>
            </w:r>
          </w:p>
          <w:p w14:paraId="4CD99A95" w14:textId="77777777" w:rsidR="00DC1AA9" w:rsidRPr="00DC1AA9" w:rsidRDefault="00DC1AA9" w:rsidP="00BB3421">
            <w:pPr>
              <w:pStyle w:val="CDITable-RowBulletsindented"/>
              <w:keepNext/>
            </w:pPr>
            <w:r w:rsidRPr="00DC1AA9">
              <w:t>Varicella specific IgM in a serum sample from the infant (or from the contact)</w:t>
            </w:r>
          </w:p>
        </w:tc>
      </w:tr>
    </w:tbl>
    <w:p w14:paraId="1816D221" w14:textId="28AB60EB" w:rsidR="0002026D" w:rsidRDefault="0002026D" w:rsidP="00BB3421">
      <w:r>
        <w:br w:type="page"/>
      </w:r>
    </w:p>
    <w:p w14:paraId="11B541D0" w14:textId="77777777" w:rsidR="0002026D" w:rsidRPr="0002026D" w:rsidRDefault="0002026D" w:rsidP="0002026D">
      <w:pPr>
        <w:pStyle w:val="CDITable-Title"/>
        <w:rPr>
          <w:lang w:val="en-GB"/>
        </w:rPr>
      </w:pPr>
      <w:r w:rsidRPr="0002026D">
        <w:rPr>
          <w:lang w:val="en-GB"/>
        </w:rPr>
        <w:t>Table A.2: Table of notifications received during the period 1 January – 31 December 2025 of communicable diseases and complications of communicable diseases under surveillance by the Australian Paediatric Surveillance Unit (APSU), and their categorisation</w:t>
      </w:r>
    </w:p>
    <w:tbl>
      <w:tblPr>
        <w:tblW w:w="0" w:type="auto"/>
        <w:tblLayout w:type="fixed"/>
        <w:tblCellMar>
          <w:left w:w="0" w:type="dxa"/>
          <w:right w:w="0" w:type="dxa"/>
        </w:tblCellMar>
        <w:tblLook w:val="0000" w:firstRow="0" w:lastRow="0" w:firstColumn="0" w:lastColumn="0" w:noHBand="0" w:noVBand="0"/>
        <w:tblCaption w:val="Table A.2: Table of notifications received during the period 1 January – 31 December 2025 of communicable diseases and complications of communicable diseases under surveillance by the Australian Paediatric Surveillance Unit (APSU), and their categorisation"/>
        <w:tblDescription w:val="Table A.2 summarises the number of notifications, confirmed cases, duplicates, errors, and ‘other’ notifications received by APSU for each of the diseases and complications under study for the period 1 January – 31 December 2025. "/>
      </w:tblPr>
      <w:tblGrid>
        <w:gridCol w:w="4422"/>
        <w:gridCol w:w="1984"/>
        <w:gridCol w:w="1985"/>
        <w:gridCol w:w="1984"/>
        <w:gridCol w:w="1984"/>
        <w:gridCol w:w="1984"/>
      </w:tblGrid>
      <w:tr w:rsidR="00BB3421" w:rsidRPr="00BB3421" w14:paraId="4751B07A" w14:textId="77777777" w:rsidTr="00086093">
        <w:trPr>
          <w:trHeight w:val="60"/>
          <w:tblHeader/>
        </w:trPr>
        <w:tc>
          <w:tcPr>
            <w:tcW w:w="4422" w:type="dxa"/>
            <w:tcBorders>
              <w:top w:val="nil"/>
              <w:left w:val="nil"/>
            </w:tcBorders>
            <w:shd w:val="clear" w:color="auto" w:fill="1E4496" w:themeFill="text2"/>
            <w:tcMar>
              <w:top w:w="85" w:type="dxa"/>
              <w:left w:w="113" w:type="dxa"/>
              <w:bottom w:w="85" w:type="dxa"/>
              <w:right w:w="113" w:type="dxa"/>
            </w:tcMar>
            <w:vAlign w:val="bottom"/>
          </w:tcPr>
          <w:p w14:paraId="4825B228" w14:textId="77777777" w:rsidR="00BB3421" w:rsidRPr="00BB3421" w:rsidRDefault="00BB3421" w:rsidP="00BB3421">
            <w:pPr>
              <w:pStyle w:val="CDITable-HeaderRowLeft"/>
            </w:pPr>
            <w:r w:rsidRPr="00BB3421">
              <w:t>Disease or complication under surveillance</w:t>
            </w:r>
          </w:p>
        </w:tc>
        <w:tc>
          <w:tcPr>
            <w:tcW w:w="1984" w:type="dxa"/>
            <w:tcBorders>
              <w:top w:val="nil"/>
            </w:tcBorders>
            <w:shd w:val="clear" w:color="auto" w:fill="1E4496" w:themeFill="text2"/>
            <w:tcMar>
              <w:top w:w="85" w:type="dxa"/>
              <w:left w:w="113" w:type="dxa"/>
              <w:bottom w:w="85" w:type="dxa"/>
              <w:right w:w="113" w:type="dxa"/>
            </w:tcMar>
            <w:vAlign w:val="bottom"/>
          </w:tcPr>
          <w:p w14:paraId="69308AC3" w14:textId="77777777" w:rsidR="00BB3421" w:rsidRPr="00BB3421" w:rsidRDefault="00BB3421" w:rsidP="00BB3421">
            <w:pPr>
              <w:pStyle w:val="CDITable-HeaderRowCentre"/>
            </w:pPr>
            <w:r w:rsidRPr="00BB3421">
              <w:t>Total notifications</w:t>
            </w:r>
          </w:p>
        </w:tc>
        <w:tc>
          <w:tcPr>
            <w:tcW w:w="1985" w:type="dxa"/>
            <w:tcBorders>
              <w:top w:val="nil"/>
            </w:tcBorders>
            <w:shd w:val="clear" w:color="auto" w:fill="1E4496" w:themeFill="text2"/>
            <w:tcMar>
              <w:top w:w="85" w:type="dxa"/>
              <w:left w:w="113" w:type="dxa"/>
              <w:bottom w:w="85" w:type="dxa"/>
              <w:right w:w="113" w:type="dxa"/>
            </w:tcMar>
            <w:vAlign w:val="bottom"/>
          </w:tcPr>
          <w:p w14:paraId="064839B4" w14:textId="77777777" w:rsidR="00BB3421" w:rsidRPr="00BB3421" w:rsidRDefault="00BB3421" w:rsidP="00BB3421">
            <w:pPr>
              <w:pStyle w:val="CDITable-HeaderRowCentre"/>
            </w:pPr>
            <w:r w:rsidRPr="00BB3421">
              <w:t>Confirmed cases</w:t>
            </w:r>
          </w:p>
        </w:tc>
        <w:tc>
          <w:tcPr>
            <w:tcW w:w="1984" w:type="dxa"/>
            <w:tcBorders>
              <w:top w:val="nil"/>
            </w:tcBorders>
            <w:shd w:val="clear" w:color="auto" w:fill="1E4496" w:themeFill="text2"/>
            <w:tcMar>
              <w:top w:w="85" w:type="dxa"/>
              <w:left w:w="113" w:type="dxa"/>
              <w:bottom w:w="85" w:type="dxa"/>
              <w:right w:w="113" w:type="dxa"/>
            </w:tcMar>
            <w:vAlign w:val="bottom"/>
          </w:tcPr>
          <w:p w14:paraId="1BDA6038" w14:textId="77777777" w:rsidR="00BB3421" w:rsidRPr="00BB3421" w:rsidRDefault="00BB3421" w:rsidP="00BB3421">
            <w:pPr>
              <w:pStyle w:val="CDITable-HeaderRowCentre"/>
            </w:pPr>
            <w:r w:rsidRPr="00BB3421">
              <w:t>Duplicates</w:t>
            </w:r>
          </w:p>
        </w:tc>
        <w:tc>
          <w:tcPr>
            <w:tcW w:w="1984" w:type="dxa"/>
            <w:tcBorders>
              <w:top w:val="nil"/>
            </w:tcBorders>
            <w:shd w:val="clear" w:color="auto" w:fill="1E4496" w:themeFill="text2"/>
            <w:tcMar>
              <w:top w:w="85" w:type="dxa"/>
              <w:left w:w="113" w:type="dxa"/>
              <w:bottom w:w="85" w:type="dxa"/>
              <w:right w:w="113" w:type="dxa"/>
            </w:tcMar>
            <w:vAlign w:val="bottom"/>
          </w:tcPr>
          <w:p w14:paraId="23AA162B" w14:textId="77777777" w:rsidR="00BB3421" w:rsidRPr="00BB3421" w:rsidRDefault="00BB3421" w:rsidP="00BB3421">
            <w:pPr>
              <w:pStyle w:val="CDITable-HeaderRowCentre"/>
            </w:pPr>
            <w:proofErr w:type="spellStart"/>
            <w:r w:rsidRPr="00BB3421">
              <w:t>Errors</w:t>
            </w:r>
            <w:r w:rsidRPr="00BB3421">
              <w:rPr>
                <w:vertAlign w:val="superscript"/>
              </w:rPr>
              <w:t>a</w:t>
            </w:r>
            <w:proofErr w:type="spellEnd"/>
          </w:p>
        </w:tc>
        <w:tc>
          <w:tcPr>
            <w:tcW w:w="1984" w:type="dxa"/>
            <w:tcBorders>
              <w:top w:val="nil"/>
              <w:right w:val="nil"/>
            </w:tcBorders>
            <w:shd w:val="clear" w:color="auto" w:fill="1E4496" w:themeFill="text2"/>
            <w:tcMar>
              <w:top w:w="85" w:type="dxa"/>
              <w:left w:w="113" w:type="dxa"/>
              <w:bottom w:w="85" w:type="dxa"/>
              <w:right w:w="113" w:type="dxa"/>
            </w:tcMar>
            <w:vAlign w:val="bottom"/>
          </w:tcPr>
          <w:p w14:paraId="4F213095" w14:textId="77777777" w:rsidR="00BB3421" w:rsidRPr="00BB3421" w:rsidRDefault="00BB3421" w:rsidP="00BB3421">
            <w:pPr>
              <w:pStyle w:val="CDITable-HeaderRowCentre"/>
            </w:pPr>
            <w:proofErr w:type="spellStart"/>
            <w:r w:rsidRPr="00BB3421">
              <w:t>Other</w:t>
            </w:r>
            <w:r w:rsidRPr="00BB3421">
              <w:rPr>
                <w:vertAlign w:val="superscript"/>
              </w:rPr>
              <w:t>b</w:t>
            </w:r>
            <w:proofErr w:type="spellEnd"/>
          </w:p>
        </w:tc>
      </w:tr>
      <w:tr w:rsidR="00BB3421" w:rsidRPr="00BB3421" w14:paraId="05A8B1F6" w14:textId="77777777" w:rsidTr="00086093">
        <w:trPr>
          <w:trHeight w:val="60"/>
        </w:trPr>
        <w:tc>
          <w:tcPr>
            <w:tcW w:w="4422" w:type="dxa"/>
            <w:tcBorders>
              <w:left w:val="nil"/>
              <w:bottom w:val="single" w:sz="6" w:space="0" w:color="1E4496" w:themeColor="text2"/>
            </w:tcBorders>
            <w:tcMar>
              <w:top w:w="85" w:type="dxa"/>
              <w:left w:w="113" w:type="dxa"/>
              <w:bottom w:w="85" w:type="dxa"/>
              <w:right w:w="113" w:type="dxa"/>
            </w:tcMar>
            <w:vAlign w:val="center"/>
          </w:tcPr>
          <w:p w14:paraId="23EC04D3" w14:textId="77777777" w:rsidR="00BB3421" w:rsidRPr="00BB3421" w:rsidRDefault="00BB3421" w:rsidP="00BB3421">
            <w:pPr>
              <w:pStyle w:val="CDITable-RowLeft"/>
              <w:rPr>
                <w:lang w:val="en-GB"/>
              </w:rPr>
            </w:pPr>
            <w:r w:rsidRPr="00BB3421">
              <w:rPr>
                <w:lang w:val="en-GB"/>
              </w:rPr>
              <w:t xml:space="preserve">Acute flaccid </w:t>
            </w:r>
            <w:proofErr w:type="spellStart"/>
            <w:r w:rsidRPr="00BB3421">
              <w:rPr>
                <w:lang w:val="en-GB"/>
              </w:rPr>
              <w:t>paralysis</w:t>
            </w:r>
            <w:r w:rsidRPr="00BB3421">
              <w:rPr>
                <w:vertAlign w:val="superscript"/>
                <w:lang w:val="en-GB"/>
              </w:rPr>
              <w:t>c</w:t>
            </w:r>
            <w:proofErr w:type="spellEnd"/>
          </w:p>
        </w:tc>
        <w:tc>
          <w:tcPr>
            <w:tcW w:w="1984" w:type="dxa"/>
            <w:tcBorders>
              <w:bottom w:val="single" w:sz="6" w:space="0" w:color="1E4496" w:themeColor="text2"/>
            </w:tcBorders>
            <w:tcMar>
              <w:top w:w="85" w:type="dxa"/>
              <w:left w:w="113" w:type="dxa"/>
              <w:bottom w:w="85" w:type="dxa"/>
              <w:right w:w="113" w:type="dxa"/>
            </w:tcMar>
            <w:vAlign w:val="center"/>
          </w:tcPr>
          <w:p w14:paraId="3081D796" w14:textId="77777777" w:rsidR="00BB3421" w:rsidRPr="00BB3421" w:rsidRDefault="00BB3421" w:rsidP="00BB3421">
            <w:pPr>
              <w:pStyle w:val="CDITable-RowCentre"/>
              <w:rPr>
                <w:lang w:val="en-GB"/>
              </w:rPr>
            </w:pPr>
            <w:r w:rsidRPr="00BB3421">
              <w:rPr>
                <w:lang w:val="en-GB"/>
              </w:rPr>
              <w:t>94</w:t>
            </w:r>
            <w:r w:rsidRPr="00BB3421">
              <w:rPr>
                <w:vertAlign w:val="superscript"/>
                <w:lang w:val="en-GB"/>
              </w:rPr>
              <w:t>d</w:t>
            </w:r>
          </w:p>
        </w:tc>
        <w:tc>
          <w:tcPr>
            <w:tcW w:w="1985" w:type="dxa"/>
            <w:tcBorders>
              <w:bottom w:val="single" w:sz="6" w:space="0" w:color="1E4496" w:themeColor="text2"/>
            </w:tcBorders>
            <w:tcMar>
              <w:top w:w="85" w:type="dxa"/>
              <w:left w:w="113" w:type="dxa"/>
              <w:bottom w:w="85" w:type="dxa"/>
              <w:right w:w="113" w:type="dxa"/>
            </w:tcMar>
            <w:vAlign w:val="center"/>
          </w:tcPr>
          <w:p w14:paraId="00387388" w14:textId="77777777" w:rsidR="00BB3421" w:rsidRPr="00BB3421" w:rsidRDefault="00BB3421" w:rsidP="00BB3421">
            <w:pPr>
              <w:pStyle w:val="CDITable-RowCentre"/>
              <w:rPr>
                <w:lang w:val="en-GB"/>
              </w:rPr>
            </w:pPr>
            <w:r w:rsidRPr="00BB3421">
              <w:rPr>
                <w:lang w:val="en-GB"/>
              </w:rPr>
              <w:t>76</w:t>
            </w:r>
            <w:r w:rsidRPr="00BB3421">
              <w:rPr>
                <w:vertAlign w:val="superscript"/>
                <w:lang w:val="en-GB"/>
              </w:rPr>
              <w:t>d</w:t>
            </w:r>
          </w:p>
        </w:tc>
        <w:tc>
          <w:tcPr>
            <w:tcW w:w="1984" w:type="dxa"/>
            <w:tcBorders>
              <w:bottom w:val="single" w:sz="6" w:space="0" w:color="1E4496" w:themeColor="text2"/>
            </w:tcBorders>
            <w:tcMar>
              <w:top w:w="85" w:type="dxa"/>
              <w:left w:w="113" w:type="dxa"/>
              <w:bottom w:w="85" w:type="dxa"/>
              <w:right w:w="113" w:type="dxa"/>
            </w:tcMar>
            <w:vAlign w:val="center"/>
          </w:tcPr>
          <w:p w14:paraId="10B4DA50" w14:textId="77777777" w:rsidR="00BB3421" w:rsidRPr="00BB3421" w:rsidRDefault="00BB3421" w:rsidP="00BB3421">
            <w:pPr>
              <w:pStyle w:val="CDITable-RowCentre"/>
              <w:rPr>
                <w:lang w:val="en-GB"/>
              </w:rPr>
            </w:pPr>
            <w:r w:rsidRPr="00BB3421">
              <w:rPr>
                <w:lang w:val="en-GB"/>
              </w:rPr>
              <w:t>16</w:t>
            </w:r>
          </w:p>
        </w:tc>
        <w:tc>
          <w:tcPr>
            <w:tcW w:w="1984" w:type="dxa"/>
            <w:tcBorders>
              <w:bottom w:val="single" w:sz="6" w:space="0" w:color="1E4496" w:themeColor="text2"/>
            </w:tcBorders>
            <w:tcMar>
              <w:top w:w="85" w:type="dxa"/>
              <w:left w:w="113" w:type="dxa"/>
              <w:bottom w:w="85" w:type="dxa"/>
              <w:right w:w="113" w:type="dxa"/>
            </w:tcMar>
            <w:vAlign w:val="center"/>
          </w:tcPr>
          <w:p w14:paraId="0527E17F" w14:textId="77777777" w:rsidR="00BB3421" w:rsidRPr="00BB3421" w:rsidRDefault="00BB3421" w:rsidP="00BB3421">
            <w:pPr>
              <w:pStyle w:val="CDITable-RowCentre"/>
              <w:rPr>
                <w:lang w:val="en-GB"/>
              </w:rPr>
            </w:pPr>
            <w:r w:rsidRPr="00BB3421">
              <w:rPr>
                <w:lang w:val="en-GB"/>
              </w:rPr>
              <w:t>2</w:t>
            </w:r>
          </w:p>
        </w:tc>
        <w:tc>
          <w:tcPr>
            <w:tcW w:w="1984" w:type="dxa"/>
            <w:tcBorders>
              <w:bottom w:val="single" w:sz="6" w:space="0" w:color="1E4496" w:themeColor="text2"/>
              <w:right w:val="nil"/>
            </w:tcBorders>
            <w:tcMar>
              <w:top w:w="85" w:type="dxa"/>
              <w:left w:w="113" w:type="dxa"/>
              <w:bottom w:w="85" w:type="dxa"/>
              <w:right w:w="113" w:type="dxa"/>
            </w:tcMar>
            <w:vAlign w:val="center"/>
          </w:tcPr>
          <w:p w14:paraId="660269FB" w14:textId="77777777" w:rsidR="00BB3421" w:rsidRPr="00BB3421" w:rsidRDefault="00BB3421" w:rsidP="00BB3421">
            <w:pPr>
              <w:pStyle w:val="CDITable-RowCentre"/>
              <w:rPr>
                <w:lang w:val="en-GB"/>
              </w:rPr>
            </w:pPr>
            <w:r w:rsidRPr="00BB3421">
              <w:rPr>
                <w:lang w:val="en-GB"/>
              </w:rPr>
              <w:t>0</w:t>
            </w:r>
          </w:p>
        </w:tc>
      </w:tr>
      <w:tr w:rsidR="00BB3421" w:rsidRPr="00BB3421" w14:paraId="66DD032C" w14:textId="77777777" w:rsidTr="00086093">
        <w:trPr>
          <w:trHeight w:val="60"/>
        </w:trPr>
        <w:tc>
          <w:tcPr>
            <w:tcW w:w="4422" w:type="dxa"/>
            <w:tcBorders>
              <w:top w:val="single" w:sz="6" w:space="0" w:color="1E4496" w:themeColor="text2"/>
              <w:left w:val="nil"/>
              <w:bottom w:val="single" w:sz="6" w:space="0" w:color="1E4496" w:themeColor="text2"/>
            </w:tcBorders>
            <w:tcMar>
              <w:top w:w="85" w:type="dxa"/>
              <w:left w:w="113" w:type="dxa"/>
              <w:bottom w:w="85" w:type="dxa"/>
              <w:right w:w="113" w:type="dxa"/>
            </w:tcMar>
            <w:vAlign w:val="center"/>
          </w:tcPr>
          <w:p w14:paraId="33BFE603" w14:textId="77777777" w:rsidR="00BB3421" w:rsidRPr="00BB3421" w:rsidRDefault="00BB3421" w:rsidP="00BB3421">
            <w:pPr>
              <w:pStyle w:val="CDITable-RowLeft"/>
              <w:rPr>
                <w:lang w:val="en-GB"/>
              </w:rPr>
            </w:pPr>
            <w:r w:rsidRPr="00BB3421">
              <w:rPr>
                <w:lang w:val="en-GB"/>
              </w:rPr>
              <w:t>Perinatal exposure to HIV</w:t>
            </w:r>
          </w:p>
        </w:tc>
        <w:tc>
          <w:tcPr>
            <w:tcW w:w="1984" w:type="dxa"/>
            <w:tcBorders>
              <w:top w:val="single" w:sz="6" w:space="0" w:color="1E4496" w:themeColor="text2"/>
              <w:bottom w:val="single" w:sz="6" w:space="0" w:color="1E4496" w:themeColor="text2"/>
            </w:tcBorders>
            <w:tcMar>
              <w:top w:w="85" w:type="dxa"/>
              <w:left w:w="113" w:type="dxa"/>
              <w:bottom w:w="85" w:type="dxa"/>
              <w:right w:w="113" w:type="dxa"/>
            </w:tcMar>
            <w:vAlign w:val="center"/>
          </w:tcPr>
          <w:p w14:paraId="63E7CB0B" w14:textId="77777777" w:rsidR="00BB3421" w:rsidRPr="00BB3421" w:rsidRDefault="00BB3421" w:rsidP="00BB3421">
            <w:pPr>
              <w:pStyle w:val="CDITable-RowCentre"/>
              <w:rPr>
                <w:lang w:val="en-GB"/>
              </w:rPr>
            </w:pPr>
            <w:r w:rsidRPr="00BB3421">
              <w:rPr>
                <w:lang w:val="en-GB"/>
              </w:rPr>
              <w:t>26</w:t>
            </w:r>
          </w:p>
        </w:tc>
        <w:tc>
          <w:tcPr>
            <w:tcW w:w="1985" w:type="dxa"/>
            <w:tcBorders>
              <w:top w:val="single" w:sz="6" w:space="0" w:color="1E4496" w:themeColor="text2"/>
              <w:bottom w:val="single" w:sz="6" w:space="0" w:color="1E4496" w:themeColor="text2"/>
            </w:tcBorders>
            <w:tcMar>
              <w:top w:w="85" w:type="dxa"/>
              <w:left w:w="113" w:type="dxa"/>
              <w:bottom w:w="85" w:type="dxa"/>
              <w:right w:w="113" w:type="dxa"/>
            </w:tcMar>
            <w:vAlign w:val="center"/>
          </w:tcPr>
          <w:p w14:paraId="4E65498D" w14:textId="77777777" w:rsidR="00BB3421" w:rsidRPr="00BB3421" w:rsidRDefault="00BB3421" w:rsidP="00BB3421">
            <w:pPr>
              <w:pStyle w:val="CDITable-RowCentre"/>
              <w:rPr>
                <w:lang w:val="en-GB"/>
              </w:rPr>
            </w:pPr>
            <w:r w:rsidRPr="00BB3421">
              <w:rPr>
                <w:lang w:val="en-GB"/>
              </w:rPr>
              <w:t>20</w:t>
            </w:r>
          </w:p>
        </w:tc>
        <w:tc>
          <w:tcPr>
            <w:tcW w:w="1984" w:type="dxa"/>
            <w:tcBorders>
              <w:top w:val="single" w:sz="6" w:space="0" w:color="1E4496" w:themeColor="text2"/>
              <w:bottom w:val="single" w:sz="6" w:space="0" w:color="1E4496" w:themeColor="text2"/>
            </w:tcBorders>
            <w:tcMar>
              <w:top w:w="85" w:type="dxa"/>
              <w:left w:w="113" w:type="dxa"/>
              <w:bottom w:w="85" w:type="dxa"/>
              <w:right w:w="113" w:type="dxa"/>
            </w:tcMar>
            <w:vAlign w:val="center"/>
          </w:tcPr>
          <w:p w14:paraId="1EC376EC" w14:textId="77777777" w:rsidR="00BB3421" w:rsidRPr="00BB3421" w:rsidRDefault="00BB3421" w:rsidP="00BB3421">
            <w:pPr>
              <w:pStyle w:val="CDITable-RowCentre"/>
              <w:rPr>
                <w:lang w:val="en-GB"/>
              </w:rPr>
            </w:pPr>
            <w:r w:rsidRPr="00BB3421">
              <w:rPr>
                <w:lang w:val="en-GB"/>
              </w:rPr>
              <w:t>1</w:t>
            </w:r>
          </w:p>
        </w:tc>
        <w:tc>
          <w:tcPr>
            <w:tcW w:w="1984" w:type="dxa"/>
            <w:tcBorders>
              <w:top w:val="single" w:sz="6" w:space="0" w:color="1E4496" w:themeColor="text2"/>
              <w:bottom w:val="single" w:sz="6" w:space="0" w:color="1E4496" w:themeColor="text2"/>
            </w:tcBorders>
            <w:tcMar>
              <w:top w:w="85" w:type="dxa"/>
              <w:left w:w="113" w:type="dxa"/>
              <w:bottom w:w="85" w:type="dxa"/>
              <w:right w:w="113" w:type="dxa"/>
            </w:tcMar>
            <w:vAlign w:val="center"/>
          </w:tcPr>
          <w:p w14:paraId="4BB60743" w14:textId="77777777" w:rsidR="00BB3421" w:rsidRPr="00BB3421" w:rsidRDefault="00BB3421" w:rsidP="00BB3421">
            <w:pPr>
              <w:pStyle w:val="CDITable-RowCentre"/>
              <w:rPr>
                <w:lang w:val="en-GB"/>
              </w:rPr>
            </w:pPr>
            <w:r w:rsidRPr="00BB3421">
              <w:rPr>
                <w:lang w:val="en-GB"/>
              </w:rPr>
              <w:t>1</w:t>
            </w:r>
          </w:p>
        </w:tc>
        <w:tc>
          <w:tcPr>
            <w:tcW w:w="1984" w:type="dxa"/>
            <w:tcBorders>
              <w:top w:val="single" w:sz="6" w:space="0" w:color="1E4496" w:themeColor="text2"/>
              <w:bottom w:val="single" w:sz="6" w:space="0" w:color="1E4496" w:themeColor="text2"/>
              <w:right w:val="nil"/>
            </w:tcBorders>
            <w:tcMar>
              <w:top w:w="85" w:type="dxa"/>
              <w:left w:w="113" w:type="dxa"/>
              <w:bottom w:w="85" w:type="dxa"/>
              <w:right w:w="113" w:type="dxa"/>
            </w:tcMar>
            <w:vAlign w:val="center"/>
          </w:tcPr>
          <w:p w14:paraId="214172C7" w14:textId="77777777" w:rsidR="00BB3421" w:rsidRPr="00BB3421" w:rsidRDefault="00BB3421" w:rsidP="00BB3421">
            <w:pPr>
              <w:pStyle w:val="CDITable-RowCentre"/>
              <w:rPr>
                <w:lang w:val="en-GB"/>
              </w:rPr>
            </w:pPr>
            <w:r w:rsidRPr="00BB3421">
              <w:rPr>
                <w:lang w:val="en-GB"/>
              </w:rPr>
              <w:t>4</w:t>
            </w:r>
          </w:p>
        </w:tc>
      </w:tr>
      <w:tr w:rsidR="00BB3421" w:rsidRPr="00BB3421" w14:paraId="586996A6" w14:textId="77777777" w:rsidTr="00086093">
        <w:trPr>
          <w:trHeight w:val="60"/>
        </w:trPr>
        <w:tc>
          <w:tcPr>
            <w:tcW w:w="4422" w:type="dxa"/>
            <w:tcBorders>
              <w:top w:val="single" w:sz="6" w:space="0" w:color="1E4496" w:themeColor="text2"/>
              <w:left w:val="nil"/>
              <w:bottom w:val="single" w:sz="6" w:space="0" w:color="1E4496" w:themeColor="text2"/>
            </w:tcBorders>
            <w:tcMar>
              <w:top w:w="85" w:type="dxa"/>
              <w:left w:w="113" w:type="dxa"/>
              <w:bottom w:w="85" w:type="dxa"/>
              <w:right w:w="113" w:type="dxa"/>
            </w:tcMar>
            <w:vAlign w:val="center"/>
          </w:tcPr>
          <w:p w14:paraId="47CFA8BE" w14:textId="77777777" w:rsidR="00BB3421" w:rsidRPr="00BB3421" w:rsidRDefault="00BB3421" w:rsidP="00BB3421">
            <w:pPr>
              <w:pStyle w:val="CDITable-RowLeft"/>
              <w:rPr>
                <w:lang w:val="en-GB"/>
              </w:rPr>
            </w:pPr>
            <w:r w:rsidRPr="00BB3421">
              <w:rPr>
                <w:lang w:val="en-GB"/>
              </w:rPr>
              <w:t>Paediatric HIV infection</w:t>
            </w:r>
          </w:p>
        </w:tc>
        <w:tc>
          <w:tcPr>
            <w:tcW w:w="1984" w:type="dxa"/>
            <w:tcBorders>
              <w:top w:val="single" w:sz="6" w:space="0" w:color="1E4496" w:themeColor="text2"/>
              <w:bottom w:val="single" w:sz="6" w:space="0" w:color="1E4496" w:themeColor="text2"/>
            </w:tcBorders>
            <w:tcMar>
              <w:top w:w="85" w:type="dxa"/>
              <w:left w:w="113" w:type="dxa"/>
              <w:bottom w:w="85" w:type="dxa"/>
              <w:right w:w="113" w:type="dxa"/>
            </w:tcMar>
            <w:vAlign w:val="center"/>
          </w:tcPr>
          <w:p w14:paraId="0489613C" w14:textId="77777777" w:rsidR="00BB3421" w:rsidRPr="00BB3421" w:rsidRDefault="00BB3421" w:rsidP="00BB3421">
            <w:pPr>
              <w:pStyle w:val="CDITable-RowCentre"/>
              <w:rPr>
                <w:lang w:val="en-GB"/>
              </w:rPr>
            </w:pPr>
            <w:r w:rsidRPr="00BB3421">
              <w:rPr>
                <w:lang w:val="en-GB"/>
              </w:rPr>
              <w:t>9</w:t>
            </w:r>
          </w:p>
        </w:tc>
        <w:tc>
          <w:tcPr>
            <w:tcW w:w="1985" w:type="dxa"/>
            <w:tcBorders>
              <w:top w:val="single" w:sz="6" w:space="0" w:color="1E4496" w:themeColor="text2"/>
              <w:bottom w:val="single" w:sz="6" w:space="0" w:color="1E4496" w:themeColor="text2"/>
            </w:tcBorders>
            <w:tcMar>
              <w:top w:w="85" w:type="dxa"/>
              <w:left w:w="113" w:type="dxa"/>
              <w:bottom w:w="85" w:type="dxa"/>
              <w:right w:w="113" w:type="dxa"/>
            </w:tcMar>
            <w:vAlign w:val="center"/>
          </w:tcPr>
          <w:p w14:paraId="2563F6F7" w14:textId="77777777" w:rsidR="00BB3421" w:rsidRPr="00BB3421" w:rsidRDefault="00BB3421" w:rsidP="00BB3421">
            <w:pPr>
              <w:pStyle w:val="CDITable-RowCentre"/>
              <w:rPr>
                <w:lang w:val="en-GB"/>
              </w:rPr>
            </w:pPr>
            <w:r w:rsidRPr="00BB3421">
              <w:rPr>
                <w:lang w:val="en-GB"/>
              </w:rPr>
              <w:t>5</w:t>
            </w:r>
          </w:p>
        </w:tc>
        <w:tc>
          <w:tcPr>
            <w:tcW w:w="1984" w:type="dxa"/>
            <w:tcBorders>
              <w:top w:val="single" w:sz="6" w:space="0" w:color="1E4496" w:themeColor="text2"/>
              <w:bottom w:val="single" w:sz="6" w:space="0" w:color="1E4496" w:themeColor="text2"/>
            </w:tcBorders>
            <w:tcMar>
              <w:top w:w="85" w:type="dxa"/>
              <w:left w:w="113" w:type="dxa"/>
              <w:bottom w:w="85" w:type="dxa"/>
              <w:right w:w="113" w:type="dxa"/>
            </w:tcMar>
            <w:vAlign w:val="center"/>
          </w:tcPr>
          <w:p w14:paraId="0706361B" w14:textId="77777777" w:rsidR="00BB3421" w:rsidRPr="00BB3421" w:rsidRDefault="00BB3421" w:rsidP="00BB3421">
            <w:pPr>
              <w:pStyle w:val="CDITable-RowCentre"/>
              <w:rPr>
                <w:lang w:val="en-GB"/>
              </w:rPr>
            </w:pPr>
            <w:r w:rsidRPr="00BB3421">
              <w:rPr>
                <w:lang w:val="en-GB"/>
              </w:rPr>
              <w:t>0</w:t>
            </w:r>
          </w:p>
        </w:tc>
        <w:tc>
          <w:tcPr>
            <w:tcW w:w="1984" w:type="dxa"/>
            <w:tcBorders>
              <w:top w:val="single" w:sz="6" w:space="0" w:color="1E4496" w:themeColor="text2"/>
              <w:bottom w:val="single" w:sz="6" w:space="0" w:color="1E4496" w:themeColor="text2"/>
            </w:tcBorders>
            <w:tcMar>
              <w:top w:w="85" w:type="dxa"/>
              <w:left w:w="113" w:type="dxa"/>
              <w:bottom w:w="85" w:type="dxa"/>
              <w:right w:w="113" w:type="dxa"/>
            </w:tcMar>
            <w:vAlign w:val="center"/>
          </w:tcPr>
          <w:p w14:paraId="14564B28" w14:textId="77777777" w:rsidR="00BB3421" w:rsidRPr="00BB3421" w:rsidRDefault="00BB3421" w:rsidP="00BB3421">
            <w:pPr>
              <w:pStyle w:val="CDITable-RowCentre"/>
              <w:rPr>
                <w:lang w:val="en-GB"/>
              </w:rPr>
            </w:pPr>
            <w:r w:rsidRPr="00BB3421">
              <w:rPr>
                <w:lang w:val="en-GB"/>
              </w:rPr>
              <w:t>0</w:t>
            </w:r>
          </w:p>
        </w:tc>
        <w:tc>
          <w:tcPr>
            <w:tcW w:w="1984" w:type="dxa"/>
            <w:tcBorders>
              <w:top w:val="single" w:sz="6" w:space="0" w:color="1E4496" w:themeColor="text2"/>
              <w:bottom w:val="single" w:sz="6" w:space="0" w:color="1E4496" w:themeColor="text2"/>
              <w:right w:val="nil"/>
            </w:tcBorders>
            <w:tcMar>
              <w:top w:w="85" w:type="dxa"/>
              <w:left w:w="113" w:type="dxa"/>
              <w:bottom w:w="85" w:type="dxa"/>
              <w:right w:w="113" w:type="dxa"/>
            </w:tcMar>
            <w:vAlign w:val="center"/>
          </w:tcPr>
          <w:p w14:paraId="4D8DEA7D" w14:textId="77777777" w:rsidR="00BB3421" w:rsidRPr="00BB3421" w:rsidRDefault="00BB3421" w:rsidP="00BB3421">
            <w:pPr>
              <w:pStyle w:val="CDITable-RowCentre"/>
              <w:rPr>
                <w:lang w:val="en-GB"/>
              </w:rPr>
            </w:pPr>
            <w:r w:rsidRPr="00BB3421">
              <w:rPr>
                <w:lang w:val="en-GB"/>
              </w:rPr>
              <w:t>4</w:t>
            </w:r>
          </w:p>
        </w:tc>
      </w:tr>
      <w:tr w:rsidR="00BB3421" w:rsidRPr="00BB3421" w14:paraId="37C8EE46" w14:textId="77777777" w:rsidTr="00086093">
        <w:trPr>
          <w:trHeight w:val="60"/>
        </w:trPr>
        <w:tc>
          <w:tcPr>
            <w:tcW w:w="4422" w:type="dxa"/>
            <w:tcBorders>
              <w:top w:val="single" w:sz="6" w:space="0" w:color="1E4496" w:themeColor="text2"/>
              <w:left w:val="nil"/>
              <w:bottom w:val="single" w:sz="6" w:space="0" w:color="1E4496" w:themeColor="text2"/>
            </w:tcBorders>
            <w:tcMar>
              <w:top w:w="85" w:type="dxa"/>
              <w:left w:w="113" w:type="dxa"/>
              <w:bottom w:w="85" w:type="dxa"/>
              <w:right w:w="113" w:type="dxa"/>
            </w:tcMar>
            <w:vAlign w:val="center"/>
          </w:tcPr>
          <w:p w14:paraId="65C544F4" w14:textId="77777777" w:rsidR="00BB3421" w:rsidRPr="00BB3421" w:rsidRDefault="00BB3421" w:rsidP="00BB3421">
            <w:pPr>
              <w:pStyle w:val="CDITable-RowLeft"/>
              <w:rPr>
                <w:lang w:val="en-GB"/>
              </w:rPr>
            </w:pPr>
            <w:r w:rsidRPr="00BB3421">
              <w:rPr>
                <w:lang w:val="en-GB"/>
              </w:rPr>
              <w:t>Juvenile-onset recurrent respiratory papillomatosis</w:t>
            </w:r>
          </w:p>
        </w:tc>
        <w:tc>
          <w:tcPr>
            <w:tcW w:w="1984" w:type="dxa"/>
            <w:tcBorders>
              <w:top w:val="single" w:sz="6" w:space="0" w:color="1E4496" w:themeColor="text2"/>
              <w:bottom w:val="single" w:sz="6" w:space="0" w:color="1E4496" w:themeColor="text2"/>
            </w:tcBorders>
            <w:tcMar>
              <w:top w:w="85" w:type="dxa"/>
              <w:left w:w="113" w:type="dxa"/>
              <w:bottom w:w="85" w:type="dxa"/>
              <w:right w:w="113" w:type="dxa"/>
            </w:tcMar>
            <w:vAlign w:val="center"/>
          </w:tcPr>
          <w:p w14:paraId="5BF33EFF" w14:textId="77777777" w:rsidR="00BB3421" w:rsidRPr="00BB3421" w:rsidRDefault="00BB3421" w:rsidP="00BB3421">
            <w:pPr>
              <w:pStyle w:val="CDITable-RowCentre"/>
              <w:rPr>
                <w:lang w:val="en-GB"/>
              </w:rPr>
            </w:pPr>
            <w:r w:rsidRPr="00BB3421">
              <w:rPr>
                <w:lang w:val="en-GB"/>
              </w:rPr>
              <w:t>2</w:t>
            </w:r>
          </w:p>
        </w:tc>
        <w:tc>
          <w:tcPr>
            <w:tcW w:w="1985" w:type="dxa"/>
            <w:tcBorders>
              <w:top w:val="single" w:sz="6" w:space="0" w:color="1E4496" w:themeColor="text2"/>
              <w:bottom w:val="single" w:sz="6" w:space="0" w:color="1E4496" w:themeColor="text2"/>
            </w:tcBorders>
            <w:tcMar>
              <w:top w:w="85" w:type="dxa"/>
              <w:left w:w="113" w:type="dxa"/>
              <w:bottom w:w="85" w:type="dxa"/>
              <w:right w:w="113" w:type="dxa"/>
            </w:tcMar>
            <w:vAlign w:val="center"/>
          </w:tcPr>
          <w:p w14:paraId="1DC4AE3B" w14:textId="77777777" w:rsidR="00BB3421" w:rsidRPr="00BB3421" w:rsidRDefault="00BB3421" w:rsidP="00BB3421">
            <w:pPr>
              <w:pStyle w:val="CDITable-RowCentre"/>
              <w:rPr>
                <w:lang w:val="en-GB"/>
              </w:rPr>
            </w:pPr>
            <w:r w:rsidRPr="00BB3421">
              <w:rPr>
                <w:lang w:val="en-GB"/>
              </w:rPr>
              <w:t>1</w:t>
            </w:r>
            <w:r w:rsidRPr="00BB3421">
              <w:rPr>
                <w:vertAlign w:val="superscript"/>
                <w:lang w:val="en-GB"/>
              </w:rPr>
              <w:t>e</w:t>
            </w:r>
          </w:p>
        </w:tc>
        <w:tc>
          <w:tcPr>
            <w:tcW w:w="1984" w:type="dxa"/>
            <w:tcBorders>
              <w:top w:val="single" w:sz="6" w:space="0" w:color="1E4496" w:themeColor="text2"/>
              <w:bottom w:val="single" w:sz="6" w:space="0" w:color="1E4496" w:themeColor="text2"/>
            </w:tcBorders>
            <w:tcMar>
              <w:top w:w="85" w:type="dxa"/>
              <w:left w:w="113" w:type="dxa"/>
              <w:bottom w:w="85" w:type="dxa"/>
              <w:right w:w="113" w:type="dxa"/>
            </w:tcMar>
            <w:vAlign w:val="center"/>
          </w:tcPr>
          <w:p w14:paraId="1D5CCF00" w14:textId="77777777" w:rsidR="00BB3421" w:rsidRPr="00BB3421" w:rsidRDefault="00BB3421" w:rsidP="00BB3421">
            <w:pPr>
              <w:pStyle w:val="CDITable-RowCentre"/>
              <w:rPr>
                <w:lang w:val="en-GB"/>
              </w:rPr>
            </w:pPr>
            <w:r w:rsidRPr="00BB3421">
              <w:rPr>
                <w:lang w:val="en-GB"/>
              </w:rPr>
              <w:t>0</w:t>
            </w:r>
          </w:p>
        </w:tc>
        <w:tc>
          <w:tcPr>
            <w:tcW w:w="1984" w:type="dxa"/>
            <w:tcBorders>
              <w:top w:val="single" w:sz="6" w:space="0" w:color="1E4496" w:themeColor="text2"/>
              <w:bottom w:val="single" w:sz="6" w:space="0" w:color="1E4496" w:themeColor="text2"/>
            </w:tcBorders>
            <w:tcMar>
              <w:top w:w="85" w:type="dxa"/>
              <w:left w:w="113" w:type="dxa"/>
              <w:bottom w:w="85" w:type="dxa"/>
              <w:right w:w="113" w:type="dxa"/>
            </w:tcMar>
            <w:vAlign w:val="center"/>
          </w:tcPr>
          <w:p w14:paraId="0C7DE402" w14:textId="77777777" w:rsidR="00BB3421" w:rsidRPr="00BB3421" w:rsidRDefault="00BB3421" w:rsidP="00BB3421">
            <w:pPr>
              <w:pStyle w:val="CDITable-RowCentre"/>
              <w:rPr>
                <w:lang w:val="en-GB"/>
              </w:rPr>
            </w:pPr>
            <w:r w:rsidRPr="00BB3421">
              <w:rPr>
                <w:lang w:val="en-GB"/>
              </w:rPr>
              <w:t>1</w:t>
            </w:r>
          </w:p>
        </w:tc>
        <w:tc>
          <w:tcPr>
            <w:tcW w:w="1984" w:type="dxa"/>
            <w:tcBorders>
              <w:top w:val="single" w:sz="6" w:space="0" w:color="1E4496" w:themeColor="text2"/>
              <w:bottom w:val="single" w:sz="6" w:space="0" w:color="1E4496" w:themeColor="text2"/>
              <w:right w:val="nil"/>
            </w:tcBorders>
            <w:tcMar>
              <w:top w:w="85" w:type="dxa"/>
              <w:left w:w="113" w:type="dxa"/>
              <w:bottom w:w="85" w:type="dxa"/>
              <w:right w:w="113" w:type="dxa"/>
            </w:tcMar>
            <w:vAlign w:val="center"/>
          </w:tcPr>
          <w:p w14:paraId="54A0CC42" w14:textId="77777777" w:rsidR="00BB3421" w:rsidRPr="00BB3421" w:rsidRDefault="00BB3421" w:rsidP="00BB3421">
            <w:pPr>
              <w:pStyle w:val="CDITable-RowCentre"/>
              <w:rPr>
                <w:lang w:val="en-GB"/>
              </w:rPr>
            </w:pPr>
            <w:r w:rsidRPr="00BB3421">
              <w:rPr>
                <w:lang w:val="en-GB"/>
              </w:rPr>
              <w:t>0</w:t>
            </w:r>
          </w:p>
        </w:tc>
      </w:tr>
      <w:tr w:rsidR="00BB3421" w:rsidRPr="00BB3421" w14:paraId="55D8F28E" w14:textId="77777777" w:rsidTr="00086093">
        <w:trPr>
          <w:trHeight w:val="60"/>
        </w:trPr>
        <w:tc>
          <w:tcPr>
            <w:tcW w:w="4422" w:type="dxa"/>
            <w:tcBorders>
              <w:top w:val="single" w:sz="6" w:space="0" w:color="1E4496" w:themeColor="text2"/>
              <w:left w:val="nil"/>
              <w:bottom w:val="single" w:sz="6" w:space="0" w:color="1E4496" w:themeColor="text2"/>
            </w:tcBorders>
            <w:tcMar>
              <w:top w:w="85" w:type="dxa"/>
              <w:left w:w="113" w:type="dxa"/>
              <w:bottom w:w="85" w:type="dxa"/>
              <w:right w:w="113" w:type="dxa"/>
            </w:tcMar>
            <w:vAlign w:val="center"/>
          </w:tcPr>
          <w:p w14:paraId="3269B54B" w14:textId="77777777" w:rsidR="00BB3421" w:rsidRPr="00BB3421" w:rsidRDefault="00BB3421" w:rsidP="00BB3421">
            <w:pPr>
              <w:pStyle w:val="CDITable-RowLeft"/>
              <w:rPr>
                <w:lang w:val="en-GB"/>
              </w:rPr>
            </w:pPr>
            <w:r w:rsidRPr="00BB3421">
              <w:rPr>
                <w:lang w:val="en-GB"/>
              </w:rPr>
              <w:t>Congenital rubella syndrome</w:t>
            </w:r>
          </w:p>
        </w:tc>
        <w:tc>
          <w:tcPr>
            <w:tcW w:w="1984" w:type="dxa"/>
            <w:tcBorders>
              <w:top w:val="single" w:sz="6" w:space="0" w:color="1E4496" w:themeColor="text2"/>
              <w:bottom w:val="single" w:sz="6" w:space="0" w:color="1E4496" w:themeColor="text2"/>
            </w:tcBorders>
            <w:tcMar>
              <w:top w:w="85" w:type="dxa"/>
              <w:left w:w="113" w:type="dxa"/>
              <w:bottom w:w="85" w:type="dxa"/>
              <w:right w:w="113" w:type="dxa"/>
            </w:tcMar>
            <w:vAlign w:val="center"/>
          </w:tcPr>
          <w:p w14:paraId="1C5CCB20" w14:textId="77777777" w:rsidR="00BB3421" w:rsidRPr="00BB3421" w:rsidRDefault="00BB3421" w:rsidP="00BB3421">
            <w:pPr>
              <w:pStyle w:val="CDITable-RowCentre"/>
              <w:rPr>
                <w:lang w:val="en-GB"/>
              </w:rPr>
            </w:pPr>
            <w:r w:rsidRPr="00BB3421">
              <w:rPr>
                <w:lang w:val="en-GB"/>
              </w:rPr>
              <w:t>0</w:t>
            </w:r>
          </w:p>
        </w:tc>
        <w:tc>
          <w:tcPr>
            <w:tcW w:w="1985" w:type="dxa"/>
            <w:tcBorders>
              <w:top w:val="single" w:sz="6" w:space="0" w:color="1E4496" w:themeColor="text2"/>
              <w:bottom w:val="single" w:sz="6" w:space="0" w:color="1E4496" w:themeColor="text2"/>
            </w:tcBorders>
            <w:tcMar>
              <w:top w:w="85" w:type="dxa"/>
              <w:left w:w="113" w:type="dxa"/>
              <w:bottom w:w="85" w:type="dxa"/>
              <w:right w:w="113" w:type="dxa"/>
            </w:tcMar>
            <w:vAlign w:val="center"/>
          </w:tcPr>
          <w:p w14:paraId="2EE94C0A" w14:textId="77777777" w:rsidR="00BB3421" w:rsidRPr="00BB3421" w:rsidRDefault="00BB3421" w:rsidP="00BB3421">
            <w:pPr>
              <w:pStyle w:val="CDITable-RowCentre"/>
              <w:rPr>
                <w:lang w:val="en-GB"/>
              </w:rPr>
            </w:pPr>
            <w:r w:rsidRPr="00BB3421">
              <w:rPr>
                <w:lang w:val="en-GB"/>
              </w:rPr>
              <w:t>0</w:t>
            </w:r>
          </w:p>
        </w:tc>
        <w:tc>
          <w:tcPr>
            <w:tcW w:w="1984" w:type="dxa"/>
            <w:tcBorders>
              <w:top w:val="single" w:sz="6" w:space="0" w:color="1E4496" w:themeColor="text2"/>
              <w:bottom w:val="single" w:sz="6" w:space="0" w:color="1E4496" w:themeColor="text2"/>
            </w:tcBorders>
            <w:tcMar>
              <w:top w:w="85" w:type="dxa"/>
              <w:left w:w="113" w:type="dxa"/>
              <w:bottom w:w="85" w:type="dxa"/>
              <w:right w:w="113" w:type="dxa"/>
            </w:tcMar>
            <w:vAlign w:val="center"/>
          </w:tcPr>
          <w:p w14:paraId="4716E510" w14:textId="77777777" w:rsidR="00BB3421" w:rsidRPr="00BB3421" w:rsidRDefault="00BB3421" w:rsidP="00BB3421">
            <w:pPr>
              <w:pStyle w:val="CDITable-RowCentre"/>
              <w:rPr>
                <w:lang w:val="en-GB"/>
              </w:rPr>
            </w:pPr>
            <w:r w:rsidRPr="00BB3421">
              <w:rPr>
                <w:lang w:val="en-GB"/>
              </w:rPr>
              <w:t>0</w:t>
            </w:r>
          </w:p>
        </w:tc>
        <w:tc>
          <w:tcPr>
            <w:tcW w:w="1984" w:type="dxa"/>
            <w:tcBorders>
              <w:top w:val="single" w:sz="6" w:space="0" w:color="1E4496" w:themeColor="text2"/>
              <w:bottom w:val="single" w:sz="6" w:space="0" w:color="1E4496" w:themeColor="text2"/>
            </w:tcBorders>
            <w:tcMar>
              <w:top w:w="85" w:type="dxa"/>
              <w:left w:w="113" w:type="dxa"/>
              <w:bottom w:w="85" w:type="dxa"/>
              <w:right w:w="113" w:type="dxa"/>
            </w:tcMar>
            <w:vAlign w:val="center"/>
          </w:tcPr>
          <w:p w14:paraId="545E70F3" w14:textId="77777777" w:rsidR="00BB3421" w:rsidRPr="00BB3421" w:rsidRDefault="00BB3421" w:rsidP="00BB3421">
            <w:pPr>
              <w:pStyle w:val="CDITable-RowCentre"/>
              <w:rPr>
                <w:lang w:val="en-GB"/>
              </w:rPr>
            </w:pPr>
            <w:r w:rsidRPr="00BB3421">
              <w:rPr>
                <w:lang w:val="en-GB"/>
              </w:rPr>
              <w:t>0</w:t>
            </w:r>
          </w:p>
        </w:tc>
        <w:tc>
          <w:tcPr>
            <w:tcW w:w="1984" w:type="dxa"/>
            <w:tcBorders>
              <w:top w:val="single" w:sz="6" w:space="0" w:color="1E4496" w:themeColor="text2"/>
              <w:bottom w:val="single" w:sz="6" w:space="0" w:color="1E4496" w:themeColor="text2"/>
              <w:right w:val="nil"/>
            </w:tcBorders>
            <w:tcMar>
              <w:top w:w="85" w:type="dxa"/>
              <w:left w:w="113" w:type="dxa"/>
              <w:bottom w:w="85" w:type="dxa"/>
              <w:right w:w="113" w:type="dxa"/>
            </w:tcMar>
            <w:vAlign w:val="center"/>
          </w:tcPr>
          <w:p w14:paraId="462007D3" w14:textId="77777777" w:rsidR="00BB3421" w:rsidRPr="00BB3421" w:rsidRDefault="00BB3421" w:rsidP="00BB3421">
            <w:pPr>
              <w:pStyle w:val="CDITable-RowCentre"/>
              <w:rPr>
                <w:lang w:val="en-GB"/>
              </w:rPr>
            </w:pPr>
            <w:r w:rsidRPr="00BB3421">
              <w:rPr>
                <w:lang w:val="en-GB"/>
              </w:rPr>
              <w:t>0</w:t>
            </w:r>
          </w:p>
        </w:tc>
      </w:tr>
      <w:tr w:rsidR="00BB3421" w:rsidRPr="00BB3421" w14:paraId="69285B45" w14:textId="77777777" w:rsidTr="00086093">
        <w:trPr>
          <w:trHeight w:val="60"/>
        </w:trPr>
        <w:tc>
          <w:tcPr>
            <w:tcW w:w="4422" w:type="dxa"/>
            <w:tcBorders>
              <w:top w:val="single" w:sz="6" w:space="0" w:color="1E4496" w:themeColor="text2"/>
              <w:left w:val="nil"/>
              <w:bottom w:val="single" w:sz="6" w:space="0" w:color="1E4496" w:themeColor="text2"/>
            </w:tcBorders>
            <w:tcMar>
              <w:top w:w="85" w:type="dxa"/>
              <w:left w:w="113" w:type="dxa"/>
              <w:bottom w:w="85" w:type="dxa"/>
              <w:right w:w="113" w:type="dxa"/>
            </w:tcMar>
            <w:vAlign w:val="center"/>
          </w:tcPr>
          <w:p w14:paraId="7EDE27AB" w14:textId="77777777" w:rsidR="00BB3421" w:rsidRPr="00BB3421" w:rsidRDefault="00BB3421" w:rsidP="00BB3421">
            <w:pPr>
              <w:pStyle w:val="CDITable-RowLeft"/>
              <w:rPr>
                <w:lang w:val="en-GB"/>
              </w:rPr>
            </w:pPr>
            <w:r w:rsidRPr="00BB3421">
              <w:rPr>
                <w:lang w:val="en-GB"/>
              </w:rPr>
              <w:t>Congenital varicella syndrome</w:t>
            </w:r>
          </w:p>
        </w:tc>
        <w:tc>
          <w:tcPr>
            <w:tcW w:w="1984" w:type="dxa"/>
            <w:tcBorders>
              <w:top w:val="single" w:sz="6" w:space="0" w:color="1E4496" w:themeColor="text2"/>
              <w:bottom w:val="single" w:sz="6" w:space="0" w:color="1E4496" w:themeColor="text2"/>
            </w:tcBorders>
            <w:tcMar>
              <w:top w:w="85" w:type="dxa"/>
              <w:left w:w="113" w:type="dxa"/>
              <w:bottom w:w="85" w:type="dxa"/>
              <w:right w:w="113" w:type="dxa"/>
            </w:tcMar>
            <w:vAlign w:val="center"/>
          </w:tcPr>
          <w:p w14:paraId="2BA4D584" w14:textId="77777777" w:rsidR="00BB3421" w:rsidRPr="00BB3421" w:rsidRDefault="00BB3421" w:rsidP="00BB3421">
            <w:pPr>
              <w:pStyle w:val="CDITable-RowCentre"/>
              <w:rPr>
                <w:lang w:val="en-GB"/>
              </w:rPr>
            </w:pPr>
            <w:r w:rsidRPr="00BB3421">
              <w:rPr>
                <w:lang w:val="en-GB"/>
              </w:rPr>
              <w:t>0</w:t>
            </w:r>
          </w:p>
        </w:tc>
        <w:tc>
          <w:tcPr>
            <w:tcW w:w="1985" w:type="dxa"/>
            <w:tcBorders>
              <w:top w:val="single" w:sz="6" w:space="0" w:color="1E4496" w:themeColor="text2"/>
              <w:bottom w:val="single" w:sz="6" w:space="0" w:color="1E4496" w:themeColor="text2"/>
            </w:tcBorders>
            <w:tcMar>
              <w:top w:w="85" w:type="dxa"/>
              <w:left w:w="113" w:type="dxa"/>
              <w:bottom w:w="85" w:type="dxa"/>
              <w:right w:w="113" w:type="dxa"/>
            </w:tcMar>
            <w:vAlign w:val="center"/>
          </w:tcPr>
          <w:p w14:paraId="6D9FEF4F" w14:textId="77777777" w:rsidR="00BB3421" w:rsidRPr="00BB3421" w:rsidRDefault="00BB3421" w:rsidP="00BB3421">
            <w:pPr>
              <w:pStyle w:val="CDITable-RowCentre"/>
              <w:rPr>
                <w:lang w:val="en-GB"/>
              </w:rPr>
            </w:pPr>
            <w:r w:rsidRPr="00BB3421">
              <w:rPr>
                <w:lang w:val="en-GB"/>
              </w:rPr>
              <w:t>0</w:t>
            </w:r>
          </w:p>
        </w:tc>
        <w:tc>
          <w:tcPr>
            <w:tcW w:w="1984" w:type="dxa"/>
            <w:tcBorders>
              <w:top w:val="single" w:sz="6" w:space="0" w:color="1E4496" w:themeColor="text2"/>
              <w:bottom w:val="single" w:sz="6" w:space="0" w:color="1E4496" w:themeColor="text2"/>
            </w:tcBorders>
            <w:tcMar>
              <w:top w:w="85" w:type="dxa"/>
              <w:left w:w="113" w:type="dxa"/>
              <w:bottom w:w="85" w:type="dxa"/>
              <w:right w:w="113" w:type="dxa"/>
            </w:tcMar>
            <w:vAlign w:val="center"/>
          </w:tcPr>
          <w:p w14:paraId="2BAC990B" w14:textId="77777777" w:rsidR="00BB3421" w:rsidRPr="00BB3421" w:rsidRDefault="00BB3421" w:rsidP="00BB3421">
            <w:pPr>
              <w:pStyle w:val="CDITable-RowCentre"/>
              <w:rPr>
                <w:lang w:val="en-GB"/>
              </w:rPr>
            </w:pPr>
            <w:r w:rsidRPr="00BB3421">
              <w:rPr>
                <w:lang w:val="en-GB"/>
              </w:rPr>
              <w:t>0</w:t>
            </w:r>
          </w:p>
        </w:tc>
        <w:tc>
          <w:tcPr>
            <w:tcW w:w="1984" w:type="dxa"/>
            <w:tcBorders>
              <w:top w:val="single" w:sz="6" w:space="0" w:color="1E4496" w:themeColor="text2"/>
              <w:bottom w:val="single" w:sz="6" w:space="0" w:color="1E4496" w:themeColor="text2"/>
            </w:tcBorders>
            <w:tcMar>
              <w:top w:w="85" w:type="dxa"/>
              <w:left w:w="113" w:type="dxa"/>
              <w:bottom w:w="85" w:type="dxa"/>
              <w:right w:w="113" w:type="dxa"/>
            </w:tcMar>
            <w:vAlign w:val="center"/>
          </w:tcPr>
          <w:p w14:paraId="177811D7" w14:textId="77777777" w:rsidR="00BB3421" w:rsidRPr="00BB3421" w:rsidRDefault="00BB3421" w:rsidP="00BB3421">
            <w:pPr>
              <w:pStyle w:val="CDITable-RowCentre"/>
              <w:rPr>
                <w:lang w:val="en-GB"/>
              </w:rPr>
            </w:pPr>
            <w:r w:rsidRPr="00BB3421">
              <w:rPr>
                <w:lang w:val="en-GB"/>
              </w:rPr>
              <w:t>0</w:t>
            </w:r>
          </w:p>
        </w:tc>
        <w:tc>
          <w:tcPr>
            <w:tcW w:w="1984" w:type="dxa"/>
            <w:tcBorders>
              <w:top w:val="single" w:sz="6" w:space="0" w:color="1E4496" w:themeColor="text2"/>
              <w:bottom w:val="single" w:sz="6" w:space="0" w:color="1E4496" w:themeColor="text2"/>
              <w:right w:val="nil"/>
            </w:tcBorders>
            <w:tcMar>
              <w:top w:w="85" w:type="dxa"/>
              <w:left w:w="113" w:type="dxa"/>
              <w:bottom w:w="85" w:type="dxa"/>
              <w:right w:w="113" w:type="dxa"/>
            </w:tcMar>
            <w:vAlign w:val="center"/>
          </w:tcPr>
          <w:p w14:paraId="74512C96" w14:textId="77777777" w:rsidR="00BB3421" w:rsidRPr="00BB3421" w:rsidRDefault="00BB3421" w:rsidP="00BB3421">
            <w:pPr>
              <w:pStyle w:val="CDITable-RowCentre"/>
              <w:rPr>
                <w:lang w:val="en-GB"/>
              </w:rPr>
            </w:pPr>
            <w:r w:rsidRPr="00BB3421">
              <w:rPr>
                <w:lang w:val="en-GB"/>
              </w:rPr>
              <w:t>0</w:t>
            </w:r>
          </w:p>
        </w:tc>
      </w:tr>
      <w:tr w:rsidR="00BB3421" w:rsidRPr="00BB3421" w14:paraId="7C8E5E4D" w14:textId="77777777" w:rsidTr="00086093">
        <w:trPr>
          <w:trHeight w:val="60"/>
        </w:trPr>
        <w:tc>
          <w:tcPr>
            <w:tcW w:w="4422" w:type="dxa"/>
            <w:tcBorders>
              <w:top w:val="single" w:sz="6" w:space="0" w:color="1E4496" w:themeColor="text2"/>
              <w:left w:val="nil"/>
            </w:tcBorders>
            <w:tcMar>
              <w:top w:w="85" w:type="dxa"/>
              <w:left w:w="113" w:type="dxa"/>
              <w:bottom w:w="85" w:type="dxa"/>
              <w:right w:w="113" w:type="dxa"/>
            </w:tcMar>
            <w:vAlign w:val="center"/>
          </w:tcPr>
          <w:p w14:paraId="4C424BBE" w14:textId="77777777" w:rsidR="00BB3421" w:rsidRPr="00BB3421" w:rsidRDefault="00BB3421" w:rsidP="00BB3421">
            <w:pPr>
              <w:pStyle w:val="CDITable-RowLeft"/>
              <w:rPr>
                <w:lang w:val="en-GB"/>
              </w:rPr>
            </w:pPr>
            <w:r w:rsidRPr="00BB3421">
              <w:rPr>
                <w:lang w:val="en-GB"/>
              </w:rPr>
              <w:t>Neonatal varicella infection</w:t>
            </w:r>
          </w:p>
        </w:tc>
        <w:tc>
          <w:tcPr>
            <w:tcW w:w="1984" w:type="dxa"/>
            <w:tcBorders>
              <w:top w:val="single" w:sz="6" w:space="0" w:color="1E4496" w:themeColor="text2"/>
            </w:tcBorders>
            <w:tcMar>
              <w:top w:w="85" w:type="dxa"/>
              <w:left w:w="113" w:type="dxa"/>
              <w:bottom w:w="85" w:type="dxa"/>
              <w:right w:w="113" w:type="dxa"/>
            </w:tcMar>
            <w:vAlign w:val="center"/>
          </w:tcPr>
          <w:p w14:paraId="2660A486" w14:textId="77777777" w:rsidR="00BB3421" w:rsidRPr="00BB3421" w:rsidRDefault="00BB3421" w:rsidP="00BB3421">
            <w:pPr>
              <w:pStyle w:val="CDITable-RowCentre"/>
              <w:rPr>
                <w:lang w:val="en-GB"/>
              </w:rPr>
            </w:pPr>
            <w:r w:rsidRPr="00BB3421">
              <w:rPr>
                <w:lang w:val="en-GB"/>
              </w:rPr>
              <w:t>3</w:t>
            </w:r>
          </w:p>
        </w:tc>
        <w:tc>
          <w:tcPr>
            <w:tcW w:w="1985" w:type="dxa"/>
            <w:tcBorders>
              <w:top w:val="single" w:sz="6" w:space="0" w:color="1E4496" w:themeColor="text2"/>
            </w:tcBorders>
            <w:tcMar>
              <w:top w:w="85" w:type="dxa"/>
              <w:left w:w="113" w:type="dxa"/>
              <w:bottom w:w="85" w:type="dxa"/>
              <w:right w:w="113" w:type="dxa"/>
            </w:tcMar>
            <w:vAlign w:val="center"/>
          </w:tcPr>
          <w:p w14:paraId="64945CC1" w14:textId="77777777" w:rsidR="00BB3421" w:rsidRPr="00BB3421" w:rsidRDefault="00BB3421" w:rsidP="00BB3421">
            <w:pPr>
              <w:pStyle w:val="CDITable-RowCentre"/>
              <w:rPr>
                <w:lang w:val="en-GB"/>
              </w:rPr>
            </w:pPr>
            <w:r w:rsidRPr="00BB3421">
              <w:rPr>
                <w:lang w:val="en-GB"/>
              </w:rPr>
              <w:t>3</w:t>
            </w:r>
          </w:p>
        </w:tc>
        <w:tc>
          <w:tcPr>
            <w:tcW w:w="1984" w:type="dxa"/>
            <w:tcBorders>
              <w:top w:val="single" w:sz="6" w:space="0" w:color="1E4496" w:themeColor="text2"/>
            </w:tcBorders>
            <w:tcMar>
              <w:top w:w="85" w:type="dxa"/>
              <w:left w:w="113" w:type="dxa"/>
              <w:bottom w:w="85" w:type="dxa"/>
              <w:right w:w="113" w:type="dxa"/>
            </w:tcMar>
            <w:vAlign w:val="center"/>
          </w:tcPr>
          <w:p w14:paraId="2AB73B2C" w14:textId="77777777" w:rsidR="00BB3421" w:rsidRPr="00BB3421" w:rsidRDefault="00BB3421" w:rsidP="00BB3421">
            <w:pPr>
              <w:pStyle w:val="CDITable-RowCentre"/>
              <w:rPr>
                <w:lang w:val="en-GB"/>
              </w:rPr>
            </w:pPr>
            <w:r w:rsidRPr="00BB3421">
              <w:rPr>
                <w:lang w:val="en-GB"/>
              </w:rPr>
              <w:t>0</w:t>
            </w:r>
          </w:p>
        </w:tc>
        <w:tc>
          <w:tcPr>
            <w:tcW w:w="1984" w:type="dxa"/>
            <w:tcBorders>
              <w:top w:val="single" w:sz="6" w:space="0" w:color="1E4496" w:themeColor="text2"/>
            </w:tcBorders>
            <w:tcMar>
              <w:top w:w="85" w:type="dxa"/>
              <w:left w:w="113" w:type="dxa"/>
              <w:bottom w:w="85" w:type="dxa"/>
              <w:right w:w="113" w:type="dxa"/>
            </w:tcMar>
            <w:vAlign w:val="center"/>
          </w:tcPr>
          <w:p w14:paraId="5265BF68" w14:textId="77777777" w:rsidR="00BB3421" w:rsidRPr="00BB3421" w:rsidRDefault="00BB3421" w:rsidP="00BB3421">
            <w:pPr>
              <w:pStyle w:val="CDITable-RowCentre"/>
              <w:rPr>
                <w:lang w:val="en-GB"/>
              </w:rPr>
            </w:pPr>
            <w:r w:rsidRPr="00BB3421">
              <w:rPr>
                <w:lang w:val="en-GB"/>
              </w:rPr>
              <w:t>0</w:t>
            </w:r>
          </w:p>
        </w:tc>
        <w:tc>
          <w:tcPr>
            <w:tcW w:w="1984" w:type="dxa"/>
            <w:tcBorders>
              <w:top w:val="single" w:sz="6" w:space="0" w:color="1E4496" w:themeColor="text2"/>
              <w:right w:val="nil"/>
            </w:tcBorders>
            <w:tcMar>
              <w:top w:w="85" w:type="dxa"/>
              <w:left w:w="113" w:type="dxa"/>
              <w:bottom w:w="85" w:type="dxa"/>
              <w:right w:w="113" w:type="dxa"/>
            </w:tcMar>
            <w:vAlign w:val="center"/>
          </w:tcPr>
          <w:p w14:paraId="246CCA01" w14:textId="77777777" w:rsidR="00BB3421" w:rsidRPr="00BB3421" w:rsidRDefault="00BB3421" w:rsidP="00BB3421">
            <w:pPr>
              <w:pStyle w:val="CDITable-RowCentre"/>
              <w:rPr>
                <w:lang w:val="en-GB"/>
              </w:rPr>
            </w:pPr>
            <w:r w:rsidRPr="00BB3421">
              <w:rPr>
                <w:lang w:val="en-GB"/>
              </w:rPr>
              <w:t>0</w:t>
            </w:r>
          </w:p>
        </w:tc>
      </w:tr>
      <w:tr w:rsidR="00BB3421" w:rsidRPr="00BB3421" w14:paraId="482A84DA" w14:textId="77777777" w:rsidTr="00086093">
        <w:trPr>
          <w:trHeight w:val="60"/>
        </w:trPr>
        <w:tc>
          <w:tcPr>
            <w:tcW w:w="4422" w:type="dxa"/>
            <w:tcBorders>
              <w:left w:val="nil"/>
              <w:bottom w:val="single" w:sz="6" w:space="0" w:color="1E4496" w:themeColor="text2"/>
            </w:tcBorders>
            <w:shd w:val="clear" w:color="auto" w:fill="53C9F1" w:themeFill="background2"/>
            <w:tcMar>
              <w:top w:w="85" w:type="dxa"/>
              <w:left w:w="113" w:type="dxa"/>
              <w:bottom w:w="85" w:type="dxa"/>
              <w:right w:w="113" w:type="dxa"/>
            </w:tcMar>
            <w:vAlign w:val="center"/>
          </w:tcPr>
          <w:p w14:paraId="7CC4BD49" w14:textId="77777777" w:rsidR="00BB3421" w:rsidRPr="00BB3421" w:rsidRDefault="00BB3421" w:rsidP="00BB3421">
            <w:pPr>
              <w:pStyle w:val="CDITable-RowLeft"/>
            </w:pPr>
          </w:p>
        </w:tc>
        <w:tc>
          <w:tcPr>
            <w:tcW w:w="1984" w:type="dxa"/>
            <w:tcBorders>
              <w:bottom w:val="single" w:sz="6" w:space="0" w:color="1E4496" w:themeColor="text2"/>
            </w:tcBorders>
            <w:shd w:val="clear" w:color="auto" w:fill="53C9F1" w:themeFill="background2"/>
            <w:tcMar>
              <w:top w:w="85" w:type="dxa"/>
              <w:left w:w="113" w:type="dxa"/>
              <w:bottom w:w="85" w:type="dxa"/>
              <w:right w:w="113" w:type="dxa"/>
            </w:tcMar>
            <w:vAlign w:val="center"/>
          </w:tcPr>
          <w:p w14:paraId="229E898A" w14:textId="77777777" w:rsidR="00BB3421" w:rsidRPr="00BB3421" w:rsidRDefault="00BB3421" w:rsidP="00BB3421">
            <w:pPr>
              <w:pStyle w:val="CDITable-TotalRowCentre"/>
              <w:rPr>
                <w:lang w:val="en-GB"/>
              </w:rPr>
            </w:pPr>
            <w:r w:rsidRPr="00BB3421">
              <w:rPr>
                <w:lang w:val="en-GB"/>
              </w:rPr>
              <w:t>134</w:t>
            </w:r>
          </w:p>
        </w:tc>
        <w:tc>
          <w:tcPr>
            <w:tcW w:w="1985" w:type="dxa"/>
            <w:tcBorders>
              <w:bottom w:val="single" w:sz="6" w:space="0" w:color="1E4496" w:themeColor="text2"/>
            </w:tcBorders>
            <w:shd w:val="clear" w:color="auto" w:fill="53C9F1" w:themeFill="background2"/>
            <w:tcMar>
              <w:top w:w="85" w:type="dxa"/>
              <w:left w:w="113" w:type="dxa"/>
              <w:bottom w:w="85" w:type="dxa"/>
              <w:right w:w="113" w:type="dxa"/>
            </w:tcMar>
            <w:vAlign w:val="center"/>
          </w:tcPr>
          <w:p w14:paraId="370F3BE4" w14:textId="77777777" w:rsidR="00BB3421" w:rsidRPr="00BB3421" w:rsidRDefault="00BB3421" w:rsidP="00BB3421">
            <w:pPr>
              <w:pStyle w:val="CDITable-TotalRowCentre"/>
              <w:rPr>
                <w:lang w:val="en-GB"/>
              </w:rPr>
            </w:pPr>
            <w:r w:rsidRPr="00BB3421">
              <w:rPr>
                <w:lang w:val="en-GB"/>
              </w:rPr>
              <w:t>105</w:t>
            </w:r>
          </w:p>
        </w:tc>
        <w:tc>
          <w:tcPr>
            <w:tcW w:w="1984" w:type="dxa"/>
            <w:tcBorders>
              <w:bottom w:val="single" w:sz="6" w:space="0" w:color="1E4496" w:themeColor="text2"/>
            </w:tcBorders>
            <w:shd w:val="clear" w:color="auto" w:fill="53C9F1" w:themeFill="background2"/>
            <w:tcMar>
              <w:top w:w="85" w:type="dxa"/>
              <w:left w:w="113" w:type="dxa"/>
              <w:bottom w:w="85" w:type="dxa"/>
              <w:right w:w="113" w:type="dxa"/>
            </w:tcMar>
            <w:vAlign w:val="center"/>
          </w:tcPr>
          <w:p w14:paraId="5E795B9D" w14:textId="77777777" w:rsidR="00BB3421" w:rsidRPr="00BB3421" w:rsidRDefault="00BB3421" w:rsidP="00BB3421">
            <w:pPr>
              <w:pStyle w:val="CDITable-TotalRowCentre"/>
              <w:rPr>
                <w:lang w:val="en-GB"/>
              </w:rPr>
            </w:pPr>
            <w:r w:rsidRPr="00BB3421">
              <w:rPr>
                <w:lang w:val="en-GB"/>
              </w:rPr>
              <w:t>17</w:t>
            </w:r>
          </w:p>
        </w:tc>
        <w:tc>
          <w:tcPr>
            <w:tcW w:w="1984" w:type="dxa"/>
            <w:tcBorders>
              <w:bottom w:val="single" w:sz="6" w:space="0" w:color="1E4496" w:themeColor="text2"/>
            </w:tcBorders>
            <w:shd w:val="clear" w:color="auto" w:fill="53C9F1" w:themeFill="background2"/>
            <w:tcMar>
              <w:top w:w="85" w:type="dxa"/>
              <w:left w:w="113" w:type="dxa"/>
              <w:bottom w:w="85" w:type="dxa"/>
              <w:right w:w="113" w:type="dxa"/>
            </w:tcMar>
            <w:vAlign w:val="center"/>
          </w:tcPr>
          <w:p w14:paraId="70BC824E" w14:textId="77777777" w:rsidR="00BB3421" w:rsidRPr="00BB3421" w:rsidRDefault="00BB3421" w:rsidP="00BB3421">
            <w:pPr>
              <w:pStyle w:val="CDITable-TotalRowCentre"/>
              <w:rPr>
                <w:lang w:val="en-GB"/>
              </w:rPr>
            </w:pPr>
            <w:r w:rsidRPr="00BB3421">
              <w:rPr>
                <w:lang w:val="en-GB"/>
              </w:rPr>
              <w:t>4</w:t>
            </w:r>
          </w:p>
        </w:tc>
        <w:tc>
          <w:tcPr>
            <w:tcW w:w="1984" w:type="dxa"/>
            <w:tcBorders>
              <w:bottom w:val="single" w:sz="6" w:space="0" w:color="1E4496" w:themeColor="text2"/>
              <w:right w:val="nil"/>
            </w:tcBorders>
            <w:shd w:val="clear" w:color="auto" w:fill="53C9F1" w:themeFill="background2"/>
            <w:tcMar>
              <w:top w:w="85" w:type="dxa"/>
              <w:left w:w="113" w:type="dxa"/>
              <w:bottom w:w="85" w:type="dxa"/>
              <w:right w:w="113" w:type="dxa"/>
            </w:tcMar>
            <w:vAlign w:val="center"/>
          </w:tcPr>
          <w:p w14:paraId="0ADFD63C" w14:textId="77777777" w:rsidR="00BB3421" w:rsidRPr="00BB3421" w:rsidRDefault="00BB3421" w:rsidP="00BB3421">
            <w:pPr>
              <w:pStyle w:val="CDITable-TotalRowCentre"/>
              <w:rPr>
                <w:lang w:val="en-GB"/>
              </w:rPr>
            </w:pPr>
            <w:r w:rsidRPr="00BB3421">
              <w:rPr>
                <w:lang w:val="en-GB"/>
              </w:rPr>
              <w:t>8</w:t>
            </w:r>
          </w:p>
        </w:tc>
      </w:tr>
    </w:tbl>
    <w:p w14:paraId="49562C3C" w14:textId="77777777" w:rsidR="0002026D" w:rsidRPr="0002026D" w:rsidRDefault="0002026D" w:rsidP="00BB3421">
      <w:pPr>
        <w:pStyle w:val="CDITable-FirstFootnote"/>
        <w:rPr>
          <w:lang w:val="en-GB"/>
        </w:rPr>
      </w:pPr>
      <w:r w:rsidRPr="0002026D">
        <w:rPr>
          <w:lang w:val="en-GB"/>
        </w:rPr>
        <w:t>a</w:t>
      </w:r>
      <w:r w:rsidRPr="0002026D">
        <w:rPr>
          <w:lang w:val="en-GB"/>
        </w:rPr>
        <w:tab/>
        <w:t>Includes administrative errors, cases outside of study definition, missing case report forms or insufficient data provided to confirm.</w:t>
      </w:r>
    </w:p>
    <w:p w14:paraId="09EBE792" w14:textId="77777777" w:rsidR="0002026D" w:rsidRPr="0002026D" w:rsidRDefault="0002026D" w:rsidP="0002026D">
      <w:pPr>
        <w:pStyle w:val="CDITable-Footnote"/>
        <w:rPr>
          <w:lang w:val="en-GB"/>
        </w:rPr>
      </w:pPr>
      <w:r w:rsidRPr="0002026D">
        <w:rPr>
          <w:lang w:val="en-GB"/>
        </w:rPr>
        <w:t>b</w:t>
      </w:r>
      <w:r w:rsidRPr="0002026D">
        <w:rPr>
          <w:lang w:val="en-GB"/>
        </w:rPr>
        <w:tab/>
        <w:t>Historical (prevalent) cases not previously reported.</w:t>
      </w:r>
    </w:p>
    <w:p w14:paraId="3A1F837D" w14:textId="77777777" w:rsidR="0002026D" w:rsidRPr="0002026D" w:rsidRDefault="0002026D" w:rsidP="0002026D">
      <w:pPr>
        <w:pStyle w:val="CDITable-Footnote"/>
        <w:rPr>
          <w:lang w:val="en-GB"/>
        </w:rPr>
      </w:pPr>
      <w:r w:rsidRPr="0002026D">
        <w:rPr>
          <w:lang w:val="en-GB"/>
        </w:rPr>
        <w:t>c</w:t>
      </w:r>
      <w:r w:rsidRPr="0002026D">
        <w:rPr>
          <w:lang w:val="en-GB"/>
        </w:rPr>
        <w:tab/>
        <w:t>Includes all cases of acute flaccid paralysis (AFP) reported via the APSU/National Enterovirus Reference Laboratory (NERL) and Paediatric Active Enhanced Disease Surveillance (PAEDS) surveillance systems. All confirmed cases have been classified by the Polio Expert Panel (PEP) as ‘non-polio AFP’ according to World Health Organization (WHO) criteria.</w:t>
      </w:r>
      <w:r w:rsidRPr="0002026D">
        <w:rPr>
          <w:vertAlign w:val="superscript"/>
          <w:lang w:val="en-GB"/>
        </w:rPr>
        <w:t>6</w:t>
      </w:r>
      <w:r w:rsidRPr="0002026D">
        <w:rPr>
          <w:lang w:val="en-GB"/>
        </w:rPr>
        <w:t xml:space="preserve"> Twenty-four cases were reported using the APSU case report form, with seven of these cases confirmed and 16 cases duplicated by APSU and/or PAEDS surveillance.</w:t>
      </w:r>
    </w:p>
    <w:p w14:paraId="660415C5" w14:textId="77777777" w:rsidR="0002026D" w:rsidRPr="0002026D" w:rsidRDefault="0002026D" w:rsidP="0002026D">
      <w:pPr>
        <w:pStyle w:val="CDITable-Footnote"/>
        <w:rPr>
          <w:lang w:val="en-GB"/>
        </w:rPr>
      </w:pPr>
      <w:r w:rsidRPr="0002026D">
        <w:rPr>
          <w:lang w:val="en-GB"/>
        </w:rPr>
        <w:t>d</w:t>
      </w:r>
      <w:r w:rsidRPr="0002026D">
        <w:rPr>
          <w:lang w:val="en-GB"/>
        </w:rPr>
        <w:tab/>
        <w:t>Note: the reporting period for AFP case notifications was that symptom onset occurred between 1 January and 31 December 2025, in line with PEP classification and reporting of AFP cases ascertained by APSU and PAEDS surveillance systems to WHO.</w:t>
      </w:r>
      <w:r w:rsidRPr="0002026D">
        <w:rPr>
          <w:vertAlign w:val="superscript"/>
          <w:lang w:val="en-GB"/>
        </w:rPr>
        <w:t>7</w:t>
      </w:r>
    </w:p>
    <w:p w14:paraId="28A52327" w14:textId="45C40BB8" w:rsidR="0002026D" w:rsidRPr="0002026D" w:rsidRDefault="0002026D" w:rsidP="0002026D">
      <w:pPr>
        <w:pStyle w:val="CDITable-Footnote"/>
      </w:pPr>
      <w:r w:rsidRPr="0002026D">
        <w:rPr>
          <w:lang w:val="en-GB"/>
        </w:rPr>
        <w:t>e</w:t>
      </w:r>
      <w:r w:rsidRPr="0002026D">
        <w:rPr>
          <w:lang w:val="en-GB"/>
        </w:rPr>
        <w:tab/>
        <w:t>Includes both definite and probable cases.</w:t>
      </w:r>
    </w:p>
    <w:sectPr w:rsidR="0002026D" w:rsidRPr="0002026D" w:rsidSect="0002026D">
      <w:footnotePr>
        <w:numFmt w:val="lowerRoman"/>
      </w:footnotePr>
      <w:pgSz w:w="16840" w:h="11907" w:orient="landscape" w:code="9"/>
      <w:pgMar w:top="1134" w:right="1134" w:bottom="1134" w:left="1134"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B19236" w14:textId="77777777" w:rsidR="00605D6B" w:rsidRDefault="00605D6B" w:rsidP="00E54DBA">
      <w:r>
        <w:separator/>
      </w:r>
    </w:p>
    <w:p w14:paraId="7A42F1B6" w14:textId="77777777" w:rsidR="00605D6B" w:rsidRDefault="00605D6B"/>
    <w:p w14:paraId="753FD9FC" w14:textId="77777777" w:rsidR="00605D6B" w:rsidRDefault="00605D6B" w:rsidP="008714B0"/>
  </w:endnote>
  <w:endnote w:type="continuationSeparator" w:id="0">
    <w:p w14:paraId="1E9DD29A" w14:textId="77777777" w:rsidR="00605D6B" w:rsidRDefault="00605D6B" w:rsidP="00E54DBA">
      <w:r>
        <w:continuationSeparator/>
      </w:r>
    </w:p>
    <w:p w14:paraId="27A52E1F" w14:textId="77777777" w:rsidR="00605D6B" w:rsidRDefault="00605D6B"/>
    <w:p w14:paraId="06E71C61" w14:textId="77777777" w:rsidR="00605D6B" w:rsidRDefault="00605D6B" w:rsidP="008714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nrope ExtraLight">
    <w:altName w:val="Calibri"/>
    <w:charset w:val="00"/>
    <w:family w:val="auto"/>
    <w:pitch w:val="variable"/>
    <w:sig w:usb0="A00002BF" w:usb1="5000206B" w:usb2="00000000" w:usb3="00000000" w:csb0="0000019F" w:csb1="00000000"/>
  </w:font>
  <w:font w:name="MyriadPro-Bold">
    <w:altName w:val="Calibri"/>
    <w:panose1 w:val="00000000000000000000"/>
    <w:charset w:val="00"/>
    <w:family w:val="auto"/>
    <w:notTrueType/>
    <w:pitch w:val="default"/>
    <w:sig w:usb0="00000003" w:usb1="00000000" w:usb2="00000000" w:usb3="00000000" w:csb0="00000001" w:csb1="00000000"/>
  </w:font>
  <w:font w:name="MyriadPro-Regular">
    <w:altName w:val="Calibri"/>
    <w:panose1 w:val="00000000000000000000"/>
    <w:charset w:val="00"/>
    <w:family w:val="auto"/>
    <w:notTrueType/>
    <w:pitch w:val="default"/>
    <w:sig w:usb0="00000003" w:usb1="00000000" w:usb2="00000000" w:usb3="00000000" w:csb0="00000001" w:csb1="00000000"/>
  </w:font>
  <w:font w:name="Minion3-Bold">
    <w:altName w:val="Calibri"/>
    <w:panose1 w:val="00000000000000000000"/>
    <w:charset w:val="00"/>
    <w:family w:val="auto"/>
    <w:notTrueType/>
    <w:pitch w:val="default"/>
    <w:sig w:usb0="00000003" w:usb1="00000000" w:usb2="00000000" w:usb3="00000000" w:csb0="00000001" w:csb1="00000000"/>
  </w:font>
  <w:font w:name="Minion3Caption-Regular">
    <w:altName w:val="Calibri"/>
    <w:panose1 w:val="00000000000000000000"/>
    <w:charset w:val="00"/>
    <w:family w:val="auto"/>
    <w:notTrueType/>
    <w:pitch w:val="default"/>
    <w:sig w:usb0="00000003" w:usb1="00000000" w:usb2="00000000" w:usb3="00000000" w:csb0="00000001" w:csb1="00000000"/>
  </w:font>
  <w:font w:name="Minion3-Regular">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44BD1" w14:textId="77777777" w:rsidR="00B87589" w:rsidRDefault="00271616">
    <w:r>
      <w:rPr>
        <w:noProof/>
        <w14:ligatures w14:val="none"/>
      </w:rPr>
      <mc:AlternateContent>
        <mc:Choice Requires="wps">
          <w:drawing>
            <wp:anchor distT="0" distB="0" distL="0" distR="0" simplePos="0" relativeHeight="251667456" behindDoc="0" locked="0" layoutInCell="1" allowOverlap="1" wp14:anchorId="77D0CF78" wp14:editId="6DA7AAE2">
              <wp:simplePos x="635" y="635"/>
              <wp:positionH relativeFrom="page">
                <wp:align>center</wp:align>
              </wp:positionH>
              <wp:positionV relativeFrom="page">
                <wp:align>bottom</wp:align>
              </wp:positionV>
              <wp:extent cx="551815" cy="518795"/>
              <wp:effectExtent l="0" t="0" r="635" b="0"/>
              <wp:wrapNone/>
              <wp:docPr id="1844574043"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518795"/>
                      </a:xfrm>
                      <a:prstGeom prst="rect">
                        <a:avLst/>
                      </a:prstGeom>
                      <a:noFill/>
                      <a:ln>
                        <a:noFill/>
                      </a:ln>
                    </wps:spPr>
                    <wps:txbx>
                      <w:txbxContent>
                        <w:p w14:paraId="387E9578" w14:textId="77777777" w:rsidR="00271616" w:rsidRPr="00271616" w:rsidRDefault="00271616" w:rsidP="00271616">
                          <w:pPr>
                            <w:rPr>
                              <w:rFonts w:ascii="Calibri" w:eastAsia="Calibri" w:hAnsi="Calibri" w:cs="Calibri"/>
                              <w:noProof/>
                              <w:color w:val="FF0000"/>
                              <w:sz w:val="24"/>
                              <w:szCs w:val="24"/>
                            </w:rPr>
                          </w:pPr>
                          <w:r w:rsidRPr="00271616">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7D0CF78" id="_x0000_t202" coordsize="21600,21600" o:spt="202" path="m,l,21600r21600,l21600,xe">
              <v:stroke joinstyle="miter"/>
              <v:path gradientshapeok="t" o:connecttype="rect"/>
            </v:shapetype>
            <v:shape id="Text Box 5" o:spid="_x0000_s1027" type="#_x0000_t202" alt="OFFICIAL" style="position:absolute;margin-left:0;margin-top:0;width:43.45pt;height:40.85pt;z-index:2516674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" filled="f" stroked="f">
              <v:textbox style="mso-fit-shape-to-text:t" inset="0,0,0,15pt">
                <w:txbxContent>
                  <w:p w14:paraId="387E9578" w14:textId="77777777" w:rsidR="00271616" w:rsidRPr="00271616" w:rsidRDefault="00271616" w:rsidP="00271616">
                    <w:pPr>
                      <w:rPr>
                        <w:rFonts w:ascii="Calibri" w:eastAsia="Calibri" w:hAnsi="Calibri" w:cs="Calibri"/>
                        <w:noProof/>
                        <w:color w:val="FF0000"/>
                        <w:sz w:val="24"/>
                        <w:szCs w:val="24"/>
                      </w:rPr>
                    </w:pPr>
                    <w:r w:rsidRPr="00271616">
                      <w:rPr>
                        <w:rFonts w:ascii="Calibri" w:eastAsia="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58D84" w14:textId="5CC95F9A" w:rsidR="00AB3C13" w:rsidRPr="00800288" w:rsidRDefault="00AB3C13" w:rsidP="00800288">
    <w:pPr>
      <w:pStyle w:val="CDIFooter"/>
    </w:pPr>
    <w:hyperlink r:id="rId1" w:history="1"/>
    <w:r w:rsidR="00385655" w:rsidRPr="00385655">
      <w:rPr>
        <w:rStyle w:val="CDIFooteritalicChar"/>
      </w:rPr>
      <w:t>Commun Dis Intell (2018)</w:t>
    </w:r>
    <w:r w:rsidR="00385655" w:rsidRPr="001D0612">
      <w:t xml:space="preserve">  </w:t>
    </w:r>
    <w:fldSimple w:instr=" DOCPROPERTY  Year  \* MERGEFORMAT ">
      <w:r w:rsidR="00297156">
        <w:t>2026</w:t>
      </w:r>
    </w:fldSimple>
    <w:r w:rsidR="009B78A9">
      <w:t>;</w:t>
    </w:r>
    <w:fldSimple w:instr=" DOCPROPERTY  Vol  \* MERGEFORMAT ">
      <w:r w:rsidR="00297156">
        <w:t>50</w:t>
      </w:r>
    </w:fldSimple>
    <w:r w:rsidR="00385655" w:rsidRPr="001D0612">
      <w:t xml:space="preserve"> </w:t>
    </w:r>
    <w:r w:rsidR="00385655" w:rsidRPr="00B85B74">
      <w:t>•</w:t>
    </w:r>
    <w:r w:rsidR="00385655">
      <w:t xml:space="preserve"> </w:t>
    </w:r>
    <w:fldSimple w:instr=" DOCPROPERTY  DOI  \* MERGEFORMAT ">
      <w:r w:rsidR="00CE3341">
        <w:t>doi.org/10.33321/cdi.2026.50.052</w:t>
      </w:r>
    </w:fldSimple>
    <w:r w:rsidR="00343991" w:rsidRPr="00800288">
      <w:t xml:space="preserve"> </w:t>
    </w:r>
    <w:r w:rsidR="00343991" w:rsidRPr="00800288">
      <w:rPr>
        <w:rStyle w:val="CDICopyrighttextbullet"/>
        <w:rFonts w:cstheme="minorBidi"/>
        <w:color w:val="auto"/>
      </w:rPr>
      <w:t>•</w:t>
    </w:r>
    <w:r w:rsidR="00343991" w:rsidRPr="00800288">
      <w:t xml:space="preserve"> Epub</w:t>
    </w:r>
    <w:r w:rsidR="00C735E0">
      <w:t xml:space="preserve"> date:</w:t>
    </w:r>
    <w:r w:rsidR="00343991" w:rsidRPr="00800288">
      <w:t xml:space="preserve"> </w:t>
    </w:r>
    <w:fldSimple w:instr=" DOCPROPERTY  ePubDate  \* MERGEFORMAT ">
      <w:r w:rsidR="00CE3341">
        <w:t>21.07.2026</w:t>
      </w:r>
    </w:fldSimple>
    <w:r w:rsidR="00040B99" w:rsidRPr="00800288">
      <w:ptab w:relativeTo="margin" w:alignment="right" w:leader="none"/>
    </w:r>
    <w:r w:rsidR="00343991" w:rsidRPr="00800288">
      <w:fldChar w:fldCharType="begin"/>
    </w:r>
    <w:r w:rsidR="00343991" w:rsidRPr="00800288">
      <w:instrText xml:space="preserve"> PAGE   \* MERGEFORMAT </w:instrText>
    </w:r>
    <w:r w:rsidR="00343991" w:rsidRPr="00800288">
      <w:fldChar w:fldCharType="separate"/>
    </w:r>
    <w:r w:rsidR="00343991" w:rsidRPr="00800288">
      <w:t>3</w:t>
    </w:r>
    <w:r w:rsidR="00343991" w:rsidRPr="00800288">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DE5BB" w14:textId="77777777" w:rsidR="00B87589" w:rsidRDefault="00271616">
    <w:r>
      <w:rPr>
        <w:noProof/>
        <w14:ligatures w14:val="none"/>
      </w:rPr>
      <mc:AlternateContent>
        <mc:Choice Requires="wps">
          <w:drawing>
            <wp:anchor distT="0" distB="0" distL="0" distR="0" simplePos="0" relativeHeight="251666432" behindDoc="0" locked="0" layoutInCell="1" allowOverlap="1" wp14:anchorId="59D007ED" wp14:editId="5067EAE1">
              <wp:simplePos x="635" y="635"/>
              <wp:positionH relativeFrom="page">
                <wp:align>center</wp:align>
              </wp:positionH>
              <wp:positionV relativeFrom="page">
                <wp:align>bottom</wp:align>
              </wp:positionV>
              <wp:extent cx="551815" cy="518795"/>
              <wp:effectExtent l="0" t="0" r="635" b="0"/>
              <wp:wrapNone/>
              <wp:docPr id="942739723"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518795"/>
                      </a:xfrm>
                      <a:prstGeom prst="rect">
                        <a:avLst/>
                      </a:prstGeom>
                      <a:noFill/>
                      <a:ln>
                        <a:noFill/>
                      </a:ln>
                    </wps:spPr>
                    <wps:txbx>
                      <w:txbxContent>
                        <w:p w14:paraId="5CEA3E50" w14:textId="77777777" w:rsidR="00271616" w:rsidRPr="00271616" w:rsidRDefault="00271616" w:rsidP="00271616">
                          <w:pPr>
                            <w:rPr>
                              <w:rFonts w:ascii="Calibri" w:eastAsia="Calibri" w:hAnsi="Calibri" w:cs="Calibri"/>
                              <w:noProof/>
                              <w:color w:val="FF0000"/>
                              <w:sz w:val="24"/>
                              <w:szCs w:val="24"/>
                            </w:rPr>
                          </w:pPr>
                          <w:r w:rsidRPr="00271616">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9D007ED" id="_x0000_t202" coordsize="21600,21600" o:spt="202" path="m,l,21600r21600,l21600,xe">
              <v:stroke joinstyle="miter"/>
              <v:path gradientshapeok="t" o:connecttype="rect"/>
            </v:shapetype>
            <v:shape id="Text Box 4" o:spid="_x0000_s1029" type="#_x0000_t202" alt="OFFICIAL" style="position:absolute;margin-left:0;margin-top:0;width:43.45pt;height:40.85pt;z-index:25166643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" filled="f" stroked="f">
              <v:textbox style="mso-fit-shape-to-text:t" inset="0,0,0,15pt">
                <w:txbxContent>
                  <w:p w14:paraId="5CEA3E50" w14:textId="77777777" w:rsidR="00271616" w:rsidRPr="00271616" w:rsidRDefault="00271616" w:rsidP="00271616">
                    <w:pPr>
                      <w:rPr>
                        <w:rFonts w:ascii="Calibri" w:eastAsia="Calibri" w:hAnsi="Calibri" w:cs="Calibri"/>
                        <w:noProof/>
                        <w:color w:val="FF0000"/>
                        <w:sz w:val="24"/>
                        <w:szCs w:val="24"/>
                      </w:rPr>
                    </w:pPr>
                    <w:r w:rsidRPr="00271616">
                      <w:rPr>
                        <w:rFonts w:ascii="Calibri" w:eastAsia="Calibri" w:hAnsi="Calibri" w:cs="Calibri"/>
                        <w:noProof/>
                        <w:color w:val="FF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656423" w14:textId="77777777" w:rsidR="00605D6B" w:rsidRPr="00B91FB5" w:rsidRDefault="00605D6B" w:rsidP="00B91FB5">
      <w:pPr>
        <w:spacing w:line="240" w:lineRule="auto"/>
        <w:rPr>
          <w:sz w:val="18"/>
          <w:szCs w:val="18"/>
        </w:rPr>
      </w:pPr>
      <w:r w:rsidRPr="00B91FB5">
        <w:rPr>
          <w:sz w:val="18"/>
          <w:szCs w:val="18"/>
        </w:rPr>
        <w:separator/>
      </w:r>
    </w:p>
  </w:footnote>
  <w:footnote w:type="continuationSeparator" w:id="0">
    <w:p w14:paraId="13DAB8A4" w14:textId="77777777" w:rsidR="00605D6B" w:rsidRDefault="00605D6B" w:rsidP="00E54DBA">
      <w:r>
        <w:continuationSeparator/>
      </w:r>
    </w:p>
  </w:footnote>
  <w:footnote w:type="continuationNotice" w:id="1">
    <w:p w14:paraId="587410BB" w14:textId="77777777" w:rsidR="00605D6B" w:rsidRPr="00224EFF" w:rsidRDefault="00605D6B" w:rsidP="00224EFF"/>
  </w:footnote>
  <w:footnote w:id="2">
    <w:p w14:paraId="0300A6DE" w14:textId="784BD915" w:rsidR="008E39E8" w:rsidRDefault="008E39E8" w:rsidP="00CE3341">
      <w:pPr>
        <w:pStyle w:val="FootnoteText"/>
      </w:pPr>
      <w:r w:rsidRPr="00CE3341">
        <w:footnoteRef/>
      </w:r>
      <w:r>
        <w:tab/>
      </w:r>
      <w:hyperlink r:id="rId1" w:history="1">
        <w:r>
          <w:rPr>
            <w:rStyle w:val="Hyperlink"/>
          </w:rPr>
          <w:t>https://www.apsu.org.au</w:t>
        </w:r>
      </w:hyperlink>
      <w:r>
        <w:t>.</w:t>
      </w:r>
    </w:p>
  </w:footnote>
  <w:footnote w:id="3">
    <w:p w14:paraId="7E26657A" w14:textId="10D3F60A" w:rsidR="008E39E8" w:rsidRDefault="008E39E8" w:rsidP="00CE3341">
      <w:pPr>
        <w:pStyle w:val="FootnoteText"/>
      </w:pPr>
      <w:r w:rsidRPr="00CE3341">
        <w:footnoteRef/>
      </w:r>
      <w:r>
        <w:tab/>
      </w:r>
      <w:hyperlink r:id="rId2" w:history="1">
        <w:r>
          <w:rPr>
            <w:rStyle w:val="Hyperlink"/>
          </w:rPr>
          <w:t>https://my.fuzee.com/apsu-vidrl/afpquestionnaire.html</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54DEA" w14:textId="77777777" w:rsidR="00B87589" w:rsidRDefault="00271616">
    <w:pPr>
      <w:pStyle w:val="Header"/>
    </w:pPr>
    <w:r>
      <w:rPr>
        <w:noProof/>
        <w14:ligatures w14:val="none"/>
      </w:rPr>
      <mc:AlternateContent>
        <mc:Choice Requires="wps">
          <w:drawing>
            <wp:anchor distT="0" distB="0" distL="0" distR="0" simplePos="0" relativeHeight="251664384" behindDoc="0" locked="0" layoutInCell="1" allowOverlap="1" wp14:anchorId="17D8A147" wp14:editId="3BD03A82">
              <wp:simplePos x="635" y="635"/>
              <wp:positionH relativeFrom="page">
                <wp:align>center</wp:align>
              </wp:positionH>
              <wp:positionV relativeFrom="page">
                <wp:align>top</wp:align>
              </wp:positionV>
              <wp:extent cx="551815" cy="518795"/>
              <wp:effectExtent l="0" t="0" r="635" b="14605"/>
              <wp:wrapNone/>
              <wp:docPr id="46544460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518795"/>
                      </a:xfrm>
                      <a:prstGeom prst="rect">
                        <a:avLst/>
                      </a:prstGeom>
                      <a:noFill/>
                      <a:ln>
                        <a:noFill/>
                      </a:ln>
                    </wps:spPr>
                    <wps:txbx>
                      <w:txbxContent>
                        <w:p w14:paraId="1FBA81F7" w14:textId="77777777" w:rsidR="00271616" w:rsidRPr="00271616" w:rsidRDefault="00271616" w:rsidP="00271616">
                          <w:pPr>
                            <w:rPr>
                              <w:rFonts w:ascii="Calibri" w:eastAsia="Calibri" w:hAnsi="Calibri" w:cs="Calibri"/>
                              <w:noProof/>
                              <w:color w:val="FF0000"/>
                              <w:sz w:val="24"/>
                              <w:szCs w:val="24"/>
                            </w:rPr>
                          </w:pPr>
                          <w:r w:rsidRPr="00271616">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7D8A147" id="_x0000_t202" coordsize="21600,21600" o:spt="202" path="m,l,21600r21600,l21600,xe">
              <v:stroke joinstyle="miter"/>
              <v:path gradientshapeok="t" o:connecttype="rect"/>
            </v:shapetype>
            <v:shape id="Text Box 2" o:spid="_x0000_s1026" type="#_x0000_t202" alt="OFFICIAL" style="position:absolute;margin-left:0;margin-top:0;width:43.45pt;height:40.85pt;z-index:2516643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" filled="f" stroked="f">
              <v:textbox style="mso-fit-shape-to-text:t" inset="0,15pt,0,0">
                <w:txbxContent>
                  <w:p w14:paraId="1FBA81F7" w14:textId="77777777" w:rsidR="00271616" w:rsidRPr="00271616" w:rsidRDefault="00271616" w:rsidP="00271616">
                    <w:pPr>
                      <w:rPr>
                        <w:rFonts w:ascii="Calibri" w:eastAsia="Calibri" w:hAnsi="Calibri" w:cs="Calibri"/>
                        <w:noProof/>
                        <w:color w:val="FF0000"/>
                        <w:sz w:val="24"/>
                        <w:szCs w:val="24"/>
                      </w:rPr>
                    </w:pPr>
                    <w:r w:rsidRPr="00271616">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CE7A9" w14:textId="77777777" w:rsidR="00B87589" w:rsidRDefault="00271616">
    <w:pPr>
      <w:pStyle w:val="Header"/>
    </w:pPr>
    <w:r>
      <w:rPr>
        <w:noProof/>
        <w14:ligatures w14:val="none"/>
      </w:rPr>
      <mc:AlternateContent>
        <mc:Choice Requires="wps">
          <w:drawing>
            <wp:anchor distT="0" distB="0" distL="0" distR="0" simplePos="0" relativeHeight="251663360" behindDoc="0" locked="0" layoutInCell="1" allowOverlap="1" wp14:anchorId="7389ABCF" wp14:editId="731460BD">
              <wp:simplePos x="635" y="635"/>
              <wp:positionH relativeFrom="page">
                <wp:align>center</wp:align>
              </wp:positionH>
              <wp:positionV relativeFrom="page">
                <wp:align>top</wp:align>
              </wp:positionV>
              <wp:extent cx="551815" cy="518795"/>
              <wp:effectExtent l="0" t="0" r="635" b="14605"/>
              <wp:wrapNone/>
              <wp:docPr id="169664966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518795"/>
                      </a:xfrm>
                      <a:prstGeom prst="rect">
                        <a:avLst/>
                      </a:prstGeom>
                      <a:noFill/>
                      <a:ln>
                        <a:noFill/>
                      </a:ln>
                    </wps:spPr>
                    <wps:txbx>
                      <w:txbxContent>
                        <w:p w14:paraId="005ED403" w14:textId="77777777" w:rsidR="00271616" w:rsidRPr="00271616" w:rsidRDefault="00271616" w:rsidP="00271616">
                          <w:pPr>
                            <w:rPr>
                              <w:rFonts w:ascii="Calibri" w:eastAsia="Calibri" w:hAnsi="Calibri" w:cs="Calibri"/>
                              <w:noProof/>
                              <w:color w:val="FF0000"/>
                              <w:sz w:val="24"/>
                              <w:szCs w:val="24"/>
                            </w:rPr>
                          </w:pPr>
                          <w:r w:rsidRPr="00271616">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389ABCF" id="_x0000_t202" coordsize="21600,21600" o:spt="202" path="m,l,21600r21600,l21600,xe">
              <v:stroke joinstyle="miter"/>
              <v:path gradientshapeok="t" o:connecttype="rect"/>
            </v:shapetype>
            <v:shape id="Text Box 1" o:spid="_x0000_s1028" type="#_x0000_t202" alt="OFFICIAL" style="position:absolute;margin-left:0;margin-top:0;width:43.45pt;height:40.85pt;z-index:2516633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" filled="f" stroked="f">
              <v:textbox style="mso-fit-shape-to-text:t" inset="0,15pt,0,0">
                <w:txbxContent>
                  <w:p w14:paraId="005ED403" w14:textId="77777777" w:rsidR="00271616" w:rsidRPr="00271616" w:rsidRDefault="00271616" w:rsidP="00271616">
                    <w:pPr>
                      <w:rPr>
                        <w:rFonts w:ascii="Calibri" w:eastAsia="Calibri" w:hAnsi="Calibri" w:cs="Calibri"/>
                        <w:noProof/>
                        <w:color w:val="FF0000"/>
                        <w:sz w:val="24"/>
                        <w:szCs w:val="24"/>
                      </w:rPr>
                    </w:pPr>
                    <w:r w:rsidRPr="00271616">
                      <w:rPr>
                        <w:rFonts w:ascii="Calibri" w:eastAsia="Calibri" w:hAnsi="Calibri" w:cs="Calibri"/>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791E94"/>
    <w:multiLevelType w:val="hybridMultilevel"/>
    <w:tmpl w:val="9D1CE018"/>
    <w:lvl w:ilvl="0" w:tplc="97CACA28">
      <w:start w:val="1"/>
      <w:numFmt w:val="bullet"/>
      <w:pStyle w:val="CDITable-RowBullets"/>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C5F1EF6"/>
    <w:multiLevelType w:val="hybridMultilevel"/>
    <w:tmpl w:val="FBF47AD4"/>
    <w:lvl w:ilvl="0" w:tplc="B0D0A176">
      <w:start w:val="1"/>
      <w:numFmt w:val="decimal"/>
      <w:pStyle w:val="CDINumberedList1L1"/>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29CB7B26"/>
    <w:multiLevelType w:val="hybridMultilevel"/>
    <w:tmpl w:val="5C0EEDE2"/>
    <w:lvl w:ilvl="0" w:tplc="8318AE78">
      <w:start w:val="1"/>
      <w:numFmt w:val="bullet"/>
      <w:pStyle w:val="CDIBullets"/>
      <w:lvlText w:val=""/>
      <w:lvlJc w:val="left"/>
      <w:pPr>
        <w:ind w:left="717"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0A15146"/>
    <w:multiLevelType w:val="multilevel"/>
    <w:tmpl w:val="65E20FA4"/>
    <w:styleLink w:val="CDInavybullet"/>
    <w:lvl w:ilvl="0">
      <w:start w:val="1"/>
      <w:numFmt w:val="bullet"/>
      <w:lvlText w:val=""/>
      <w:lvlJc w:val="left"/>
      <w:pPr>
        <w:ind w:left="720" w:hanging="360"/>
      </w:pPr>
      <w:rPr>
        <w:rFonts w:ascii="Symbol" w:hAnsi="Symbol" w:hint="default"/>
        <w:color w:val="083E9C"/>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4BE56707"/>
    <w:multiLevelType w:val="hybridMultilevel"/>
    <w:tmpl w:val="CB20149E"/>
    <w:lvl w:ilvl="0" w:tplc="AF84EEEE">
      <w:start w:val="1"/>
      <w:numFmt w:val="bullet"/>
      <w:pStyle w:val="CDICopyright-lessspace"/>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E560A59"/>
    <w:multiLevelType w:val="multilevel"/>
    <w:tmpl w:val="39B67F0C"/>
    <w:lvl w:ilvl="0">
      <w:start w:val="1"/>
      <w:numFmt w:val="bullet"/>
      <w:pStyle w:val="CDICopyrightBullets"/>
      <w:lvlText w:val=""/>
      <w:lvlJc w:val="left"/>
      <w:pPr>
        <w:ind w:left="717" w:hanging="360"/>
      </w:pPr>
      <w:rPr>
        <w:rFonts w:ascii="Symbol" w:hAnsi="Symbol" w:hint="default"/>
        <w:color w:val="auto"/>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7608516B"/>
    <w:multiLevelType w:val="hybridMultilevel"/>
    <w:tmpl w:val="40B0EB26"/>
    <w:lvl w:ilvl="0" w:tplc="91CE0806">
      <w:start w:val="1"/>
      <w:numFmt w:val="bullet"/>
      <w:pStyle w:val="CDIBoxBullet"/>
      <w:lvlText w:val=""/>
      <w:lvlJc w:val="left"/>
      <w:pPr>
        <w:ind w:left="360" w:hanging="360"/>
      </w:pPr>
      <w:rPr>
        <w:rFonts w:ascii="Symbol" w:hAnsi="Symbol" w:hint="default"/>
        <w:color w:val="1E4496" w:themeColor="tex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7A90445D"/>
    <w:multiLevelType w:val="hybridMultilevel"/>
    <w:tmpl w:val="5ED80582"/>
    <w:lvl w:ilvl="0" w:tplc="67BC335E">
      <w:start w:val="1"/>
      <w:numFmt w:val="bullet"/>
      <w:pStyle w:val="CDIBulletsL2"/>
      <w:lvlText w:val=""/>
      <w:lvlJc w:val="left"/>
      <w:pPr>
        <w:ind w:left="1074" w:hanging="360"/>
      </w:pPr>
      <w:rPr>
        <w:rFonts w:ascii="Symbol" w:hAnsi="Symbol" w:hint="default"/>
        <w:color w:val="auto"/>
      </w:rPr>
    </w:lvl>
    <w:lvl w:ilvl="1" w:tplc="0C090003" w:tentative="1">
      <w:start w:val="1"/>
      <w:numFmt w:val="bullet"/>
      <w:lvlText w:val="o"/>
      <w:lvlJc w:val="left"/>
      <w:pPr>
        <w:ind w:left="2154" w:hanging="360"/>
      </w:pPr>
      <w:rPr>
        <w:rFonts w:ascii="Courier New" w:hAnsi="Courier New" w:cs="Courier New" w:hint="default"/>
      </w:rPr>
    </w:lvl>
    <w:lvl w:ilvl="2" w:tplc="0C090005" w:tentative="1">
      <w:start w:val="1"/>
      <w:numFmt w:val="bullet"/>
      <w:lvlText w:val=""/>
      <w:lvlJc w:val="left"/>
      <w:pPr>
        <w:ind w:left="2874" w:hanging="360"/>
      </w:pPr>
      <w:rPr>
        <w:rFonts w:ascii="Wingdings" w:hAnsi="Wingdings" w:hint="default"/>
      </w:rPr>
    </w:lvl>
    <w:lvl w:ilvl="3" w:tplc="0C090001" w:tentative="1">
      <w:start w:val="1"/>
      <w:numFmt w:val="bullet"/>
      <w:lvlText w:val=""/>
      <w:lvlJc w:val="left"/>
      <w:pPr>
        <w:ind w:left="3594" w:hanging="360"/>
      </w:pPr>
      <w:rPr>
        <w:rFonts w:ascii="Symbol" w:hAnsi="Symbol" w:hint="default"/>
      </w:rPr>
    </w:lvl>
    <w:lvl w:ilvl="4" w:tplc="0C090003" w:tentative="1">
      <w:start w:val="1"/>
      <w:numFmt w:val="bullet"/>
      <w:lvlText w:val="o"/>
      <w:lvlJc w:val="left"/>
      <w:pPr>
        <w:ind w:left="4314" w:hanging="360"/>
      </w:pPr>
      <w:rPr>
        <w:rFonts w:ascii="Courier New" w:hAnsi="Courier New" w:cs="Courier New" w:hint="default"/>
      </w:rPr>
    </w:lvl>
    <w:lvl w:ilvl="5" w:tplc="0C090005" w:tentative="1">
      <w:start w:val="1"/>
      <w:numFmt w:val="bullet"/>
      <w:lvlText w:val=""/>
      <w:lvlJc w:val="left"/>
      <w:pPr>
        <w:ind w:left="5034" w:hanging="360"/>
      </w:pPr>
      <w:rPr>
        <w:rFonts w:ascii="Wingdings" w:hAnsi="Wingdings" w:hint="default"/>
      </w:rPr>
    </w:lvl>
    <w:lvl w:ilvl="6" w:tplc="0C090001" w:tentative="1">
      <w:start w:val="1"/>
      <w:numFmt w:val="bullet"/>
      <w:lvlText w:val=""/>
      <w:lvlJc w:val="left"/>
      <w:pPr>
        <w:ind w:left="5754" w:hanging="360"/>
      </w:pPr>
      <w:rPr>
        <w:rFonts w:ascii="Symbol" w:hAnsi="Symbol" w:hint="default"/>
      </w:rPr>
    </w:lvl>
    <w:lvl w:ilvl="7" w:tplc="0C090003" w:tentative="1">
      <w:start w:val="1"/>
      <w:numFmt w:val="bullet"/>
      <w:lvlText w:val="o"/>
      <w:lvlJc w:val="left"/>
      <w:pPr>
        <w:ind w:left="6474" w:hanging="360"/>
      </w:pPr>
      <w:rPr>
        <w:rFonts w:ascii="Courier New" w:hAnsi="Courier New" w:cs="Courier New" w:hint="default"/>
      </w:rPr>
    </w:lvl>
    <w:lvl w:ilvl="8" w:tplc="0C090005" w:tentative="1">
      <w:start w:val="1"/>
      <w:numFmt w:val="bullet"/>
      <w:lvlText w:val=""/>
      <w:lvlJc w:val="left"/>
      <w:pPr>
        <w:ind w:left="7194" w:hanging="360"/>
      </w:pPr>
      <w:rPr>
        <w:rFonts w:ascii="Wingdings" w:hAnsi="Wingdings" w:hint="default"/>
      </w:rPr>
    </w:lvl>
  </w:abstractNum>
  <w:num w:numId="1" w16cid:durableId="479153694">
    <w:abstractNumId w:val="1"/>
  </w:num>
  <w:num w:numId="2" w16cid:durableId="283313819">
    <w:abstractNumId w:val="2"/>
  </w:num>
  <w:num w:numId="3" w16cid:durableId="528883462">
    <w:abstractNumId w:val="0"/>
  </w:num>
  <w:num w:numId="4" w16cid:durableId="1956327888">
    <w:abstractNumId w:val="1"/>
    <w:lvlOverride w:ilvl="0">
      <w:startOverride w:val="1"/>
    </w:lvlOverride>
  </w:num>
  <w:num w:numId="5" w16cid:durableId="1590312649">
    <w:abstractNumId w:val="6"/>
  </w:num>
  <w:num w:numId="6" w16cid:durableId="1497988032">
    <w:abstractNumId w:val="4"/>
  </w:num>
  <w:num w:numId="7" w16cid:durableId="682168431">
    <w:abstractNumId w:val="3"/>
  </w:num>
  <w:num w:numId="8" w16cid:durableId="972060625">
    <w:abstractNumId w:val="5"/>
  </w:num>
  <w:num w:numId="9" w16cid:durableId="786123373">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701" w:allStyles="1" w:customStyles="0" w:latentStyles="0" w:stylesInUse="0" w:headingStyles="0" w:numberingStyles="0" w:tableStyles="0" w:directFormattingOnRuns="1" w:directFormattingOnParagraphs="1" w:directFormattingOnNumbering="1" w:directFormattingOnTables="0" w:clearFormatting="1" w:top3HeadingStyles="0" w:visibleStyles="0" w:alternateStyleNames="0"/>
  <w:stylePaneSortMethod w:val="0000"/>
  <w:defaultTabStop w:val="720"/>
  <w:noPunctuationKerning/>
  <w:characterSpacingControl w:val="doNotCompress"/>
  <w:savePreviewPicture/>
  <w:hdrShapeDefaults>
    <o:shapedefaults v:ext="edit" spidmax="2050"/>
  </w:hdrShapeDefaults>
  <w:footnotePr>
    <w:numFmt w:val="lowerRoman"/>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156"/>
    <w:rsid w:val="00000B5B"/>
    <w:rsid w:val="00001611"/>
    <w:rsid w:val="00002B8D"/>
    <w:rsid w:val="00003842"/>
    <w:rsid w:val="000073ED"/>
    <w:rsid w:val="0001020A"/>
    <w:rsid w:val="000104A8"/>
    <w:rsid w:val="0001246E"/>
    <w:rsid w:val="000124B1"/>
    <w:rsid w:val="00013B65"/>
    <w:rsid w:val="000147ED"/>
    <w:rsid w:val="00014B0F"/>
    <w:rsid w:val="00015416"/>
    <w:rsid w:val="0001562E"/>
    <w:rsid w:val="00016FE6"/>
    <w:rsid w:val="0002026D"/>
    <w:rsid w:val="0002314E"/>
    <w:rsid w:val="0002642D"/>
    <w:rsid w:val="000264AB"/>
    <w:rsid w:val="00026D55"/>
    <w:rsid w:val="000306B9"/>
    <w:rsid w:val="00031064"/>
    <w:rsid w:val="00031692"/>
    <w:rsid w:val="00032531"/>
    <w:rsid w:val="000325A0"/>
    <w:rsid w:val="00032BCB"/>
    <w:rsid w:val="00034DCB"/>
    <w:rsid w:val="00040B99"/>
    <w:rsid w:val="000420DA"/>
    <w:rsid w:val="00043B80"/>
    <w:rsid w:val="00045035"/>
    <w:rsid w:val="000471BF"/>
    <w:rsid w:val="00047B68"/>
    <w:rsid w:val="000522C6"/>
    <w:rsid w:val="00052600"/>
    <w:rsid w:val="0005643C"/>
    <w:rsid w:val="0006264A"/>
    <w:rsid w:val="00065A6B"/>
    <w:rsid w:val="00066764"/>
    <w:rsid w:val="000705FF"/>
    <w:rsid w:val="000733B3"/>
    <w:rsid w:val="00073D77"/>
    <w:rsid w:val="0007479B"/>
    <w:rsid w:val="00074D39"/>
    <w:rsid w:val="00080A4B"/>
    <w:rsid w:val="000810E8"/>
    <w:rsid w:val="00081655"/>
    <w:rsid w:val="00084BAB"/>
    <w:rsid w:val="00086093"/>
    <w:rsid w:val="000864E0"/>
    <w:rsid w:val="00087301"/>
    <w:rsid w:val="000879D8"/>
    <w:rsid w:val="00087CC4"/>
    <w:rsid w:val="00090F9D"/>
    <w:rsid w:val="000969B3"/>
    <w:rsid w:val="000A26CA"/>
    <w:rsid w:val="000A5F42"/>
    <w:rsid w:val="000A7822"/>
    <w:rsid w:val="000B4AE0"/>
    <w:rsid w:val="000B4B63"/>
    <w:rsid w:val="000C34E2"/>
    <w:rsid w:val="000C3D48"/>
    <w:rsid w:val="000C3FB4"/>
    <w:rsid w:val="000C6D3B"/>
    <w:rsid w:val="000D2655"/>
    <w:rsid w:val="000D38EE"/>
    <w:rsid w:val="000D4B4D"/>
    <w:rsid w:val="000D6A8E"/>
    <w:rsid w:val="000E1322"/>
    <w:rsid w:val="000E6C4C"/>
    <w:rsid w:val="000F223B"/>
    <w:rsid w:val="000F32C7"/>
    <w:rsid w:val="000F44BA"/>
    <w:rsid w:val="000F73D7"/>
    <w:rsid w:val="0010033C"/>
    <w:rsid w:val="001020EE"/>
    <w:rsid w:val="00102232"/>
    <w:rsid w:val="0010368E"/>
    <w:rsid w:val="00110B7D"/>
    <w:rsid w:val="00112E44"/>
    <w:rsid w:val="00113D58"/>
    <w:rsid w:val="001176D5"/>
    <w:rsid w:val="001200CB"/>
    <w:rsid w:val="00122ADA"/>
    <w:rsid w:val="00126546"/>
    <w:rsid w:val="00135441"/>
    <w:rsid w:val="0013546A"/>
    <w:rsid w:val="001371D9"/>
    <w:rsid w:val="001378A3"/>
    <w:rsid w:val="00137C98"/>
    <w:rsid w:val="00142578"/>
    <w:rsid w:val="00144F10"/>
    <w:rsid w:val="00145807"/>
    <w:rsid w:val="00146435"/>
    <w:rsid w:val="00153D94"/>
    <w:rsid w:val="00155582"/>
    <w:rsid w:val="00161590"/>
    <w:rsid w:val="00161C85"/>
    <w:rsid w:val="00162FE6"/>
    <w:rsid w:val="00163BE3"/>
    <w:rsid w:val="001704D1"/>
    <w:rsid w:val="0017056E"/>
    <w:rsid w:val="00171CC0"/>
    <w:rsid w:val="001723AC"/>
    <w:rsid w:val="00175494"/>
    <w:rsid w:val="00175629"/>
    <w:rsid w:val="00182456"/>
    <w:rsid w:val="001830EC"/>
    <w:rsid w:val="00183534"/>
    <w:rsid w:val="0018758E"/>
    <w:rsid w:val="00194A12"/>
    <w:rsid w:val="00197A4A"/>
    <w:rsid w:val="00197ACB"/>
    <w:rsid w:val="001A26DD"/>
    <w:rsid w:val="001A4A96"/>
    <w:rsid w:val="001A5900"/>
    <w:rsid w:val="001A5D05"/>
    <w:rsid w:val="001A796C"/>
    <w:rsid w:val="001B0E7B"/>
    <w:rsid w:val="001B248E"/>
    <w:rsid w:val="001B2614"/>
    <w:rsid w:val="001B37B8"/>
    <w:rsid w:val="001B4B8D"/>
    <w:rsid w:val="001B552F"/>
    <w:rsid w:val="001C0893"/>
    <w:rsid w:val="001C1303"/>
    <w:rsid w:val="001C1643"/>
    <w:rsid w:val="001C1BD1"/>
    <w:rsid w:val="001C2B4B"/>
    <w:rsid w:val="001C2C3A"/>
    <w:rsid w:val="001C5BB1"/>
    <w:rsid w:val="001C5F09"/>
    <w:rsid w:val="001C70B2"/>
    <w:rsid w:val="001C7CE1"/>
    <w:rsid w:val="001D0612"/>
    <w:rsid w:val="001D37C7"/>
    <w:rsid w:val="001D5B20"/>
    <w:rsid w:val="001D6888"/>
    <w:rsid w:val="001E3ECB"/>
    <w:rsid w:val="001E4E1D"/>
    <w:rsid w:val="001E562B"/>
    <w:rsid w:val="001E5D4C"/>
    <w:rsid w:val="001F0D9D"/>
    <w:rsid w:val="001F6248"/>
    <w:rsid w:val="002006BA"/>
    <w:rsid w:val="002212C9"/>
    <w:rsid w:val="00221481"/>
    <w:rsid w:val="00223F42"/>
    <w:rsid w:val="00224EFF"/>
    <w:rsid w:val="0022524E"/>
    <w:rsid w:val="0022732D"/>
    <w:rsid w:val="002276DC"/>
    <w:rsid w:val="00227E00"/>
    <w:rsid w:val="00227F05"/>
    <w:rsid w:val="002307CB"/>
    <w:rsid w:val="00231046"/>
    <w:rsid w:val="0023151F"/>
    <w:rsid w:val="00234F21"/>
    <w:rsid w:val="002368EA"/>
    <w:rsid w:val="00236A5F"/>
    <w:rsid w:val="00242659"/>
    <w:rsid w:val="002428F7"/>
    <w:rsid w:val="00242A9E"/>
    <w:rsid w:val="0024315F"/>
    <w:rsid w:val="00245439"/>
    <w:rsid w:val="0024631C"/>
    <w:rsid w:val="00252C9A"/>
    <w:rsid w:val="00254E56"/>
    <w:rsid w:val="00256309"/>
    <w:rsid w:val="002571C9"/>
    <w:rsid w:val="00257484"/>
    <w:rsid w:val="00260636"/>
    <w:rsid w:val="00262EA6"/>
    <w:rsid w:val="00264B29"/>
    <w:rsid w:val="00271616"/>
    <w:rsid w:val="00271AFA"/>
    <w:rsid w:val="002728A1"/>
    <w:rsid w:val="00272A9B"/>
    <w:rsid w:val="00275C5C"/>
    <w:rsid w:val="00275C78"/>
    <w:rsid w:val="00275F5D"/>
    <w:rsid w:val="00280594"/>
    <w:rsid w:val="00281EE3"/>
    <w:rsid w:val="00282B56"/>
    <w:rsid w:val="0028429F"/>
    <w:rsid w:val="00284E4A"/>
    <w:rsid w:val="00290E04"/>
    <w:rsid w:val="00297156"/>
    <w:rsid w:val="002A3799"/>
    <w:rsid w:val="002A3BCC"/>
    <w:rsid w:val="002A4516"/>
    <w:rsid w:val="002A569F"/>
    <w:rsid w:val="002A5B2C"/>
    <w:rsid w:val="002A7066"/>
    <w:rsid w:val="002B001E"/>
    <w:rsid w:val="002B09B7"/>
    <w:rsid w:val="002B3482"/>
    <w:rsid w:val="002B3A40"/>
    <w:rsid w:val="002B493C"/>
    <w:rsid w:val="002B75A9"/>
    <w:rsid w:val="002B7779"/>
    <w:rsid w:val="002C21B0"/>
    <w:rsid w:val="002C3003"/>
    <w:rsid w:val="002C4CD7"/>
    <w:rsid w:val="002C5D55"/>
    <w:rsid w:val="002D74C3"/>
    <w:rsid w:val="002E12D6"/>
    <w:rsid w:val="002E2FB3"/>
    <w:rsid w:val="002E5438"/>
    <w:rsid w:val="002F327B"/>
    <w:rsid w:val="00301626"/>
    <w:rsid w:val="003052F5"/>
    <w:rsid w:val="003059EC"/>
    <w:rsid w:val="00316727"/>
    <w:rsid w:val="00316CCD"/>
    <w:rsid w:val="003230B3"/>
    <w:rsid w:val="00324F7E"/>
    <w:rsid w:val="0032526F"/>
    <w:rsid w:val="00325841"/>
    <w:rsid w:val="003316F4"/>
    <w:rsid w:val="003323BC"/>
    <w:rsid w:val="00336729"/>
    <w:rsid w:val="003370A9"/>
    <w:rsid w:val="0034063D"/>
    <w:rsid w:val="0034139B"/>
    <w:rsid w:val="00341720"/>
    <w:rsid w:val="00343991"/>
    <w:rsid w:val="003452F7"/>
    <w:rsid w:val="00345738"/>
    <w:rsid w:val="00346D42"/>
    <w:rsid w:val="00346E11"/>
    <w:rsid w:val="00350D1D"/>
    <w:rsid w:val="00351337"/>
    <w:rsid w:val="00351364"/>
    <w:rsid w:val="00351A5A"/>
    <w:rsid w:val="003601C0"/>
    <w:rsid w:val="00360B3A"/>
    <w:rsid w:val="003635F5"/>
    <w:rsid w:val="00371080"/>
    <w:rsid w:val="0037146D"/>
    <w:rsid w:val="00372A88"/>
    <w:rsid w:val="00373D51"/>
    <w:rsid w:val="00374F80"/>
    <w:rsid w:val="00381A0F"/>
    <w:rsid w:val="00381E8E"/>
    <w:rsid w:val="00385655"/>
    <w:rsid w:val="003858B4"/>
    <w:rsid w:val="00390F66"/>
    <w:rsid w:val="00392D07"/>
    <w:rsid w:val="00393B4D"/>
    <w:rsid w:val="003A1B3A"/>
    <w:rsid w:val="003A25A3"/>
    <w:rsid w:val="003A40F5"/>
    <w:rsid w:val="003A5BF3"/>
    <w:rsid w:val="003B3487"/>
    <w:rsid w:val="003B5B8C"/>
    <w:rsid w:val="003B7ADD"/>
    <w:rsid w:val="003C02BF"/>
    <w:rsid w:val="003C2299"/>
    <w:rsid w:val="003C23C9"/>
    <w:rsid w:val="003C554E"/>
    <w:rsid w:val="003C5E16"/>
    <w:rsid w:val="003C7841"/>
    <w:rsid w:val="003D0190"/>
    <w:rsid w:val="003D15AE"/>
    <w:rsid w:val="003D18AF"/>
    <w:rsid w:val="003D2AE3"/>
    <w:rsid w:val="003D5EAA"/>
    <w:rsid w:val="003D79B1"/>
    <w:rsid w:val="003E3A4E"/>
    <w:rsid w:val="003E4B09"/>
    <w:rsid w:val="003E74EE"/>
    <w:rsid w:val="003F0552"/>
    <w:rsid w:val="003F2AC2"/>
    <w:rsid w:val="003F3BC2"/>
    <w:rsid w:val="003F5172"/>
    <w:rsid w:val="003F6268"/>
    <w:rsid w:val="003F725B"/>
    <w:rsid w:val="00401ED1"/>
    <w:rsid w:val="0040224C"/>
    <w:rsid w:val="00403F8B"/>
    <w:rsid w:val="004101DC"/>
    <w:rsid w:val="00410513"/>
    <w:rsid w:val="00411852"/>
    <w:rsid w:val="004118D0"/>
    <w:rsid w:val="00413397"/>
    <w:rsid w:val="00413EE1"/>
    <w:rsid w:val="00415494"/>
    <w:rsid w:val="004164BB"/>
    <w:rsid w:val="00417EF2"/>
    <w:rsid w:val="0042000E"/>
    <w:rsid w:val="00421A14"/>
    <w:rsid w:val="00421ECE"/>
    <w:rsid w:val="004228F2"/>
    <w:rsid w:val="00422FEB"/>
    <w:rsid w:val="00423436"/>
    <w:rsid w:val="0042435E"/>
    <w:rsid w:val="00425757"/>
    <w:rsid w:val="004315F5"/>
    <w:rsid w:val="00432ADD"/>
    <w:rsid w:val="00433456"/>
    <w:rsid w:val="00433DFA"/>
    <w:rsid w:val="00435D67"/>
    <w:rsid w:val="0043642C"/>
    <w:rsid w:val="0043704E"/>
    <w:rsid w:val="00437680"/>
    <w:rsid w:val="004427FD"/>
    <w:rsid w:val="00447E97"/>
    <w:rsid w:val="00452C2E"/>
    <w:rsid w:val="004568FC"/>
    <w:rsid w:val="00461653"/>
    <w:rsid w:val="00464A58"/>
    <w:rsid w:val="00464E0D"/>
    <w:rsid w:val="00470721"/>
    <w:rsid w:val="00470C19"/>
    <w:rsid w:val="00471494"/>
    <w:rsid w:val="00472B68"/>
    <w:rsid w:val="00473D2D"/>
    <w:rsid w:val="00481503"/>
    <w:rsid w:val="00484919"/>
    <w:rsid w:val="004914F7"/>
    <w:rsid w:val="00491C26"/>
    <w:rsid w:val="00492014"/>
    <w:rsid w:val="004973B4"/>
    <w:rsid w:val="004A19B8"/>
    <w:rsid w:val="004A2125"/>
    <w:rsid w:val="004A2E24"/>
    <w:rsid w:val="004A38F6"/>
    <w:rsid w:val="004A7EC2"/>
    <w:rsid w:val="004B0C95"/>
    <w:rsid w:val="004B0E96"/>
    <w:rsid w:val="004B1266"/>
    <w:rsid w:val="004B4EB6"/>
    <w:rsid w:val="004B4F34"/>
    <w:rsid w:val="004C04D3"/>
    <w:rsid w:val="004C083C"/>
    <w:rsid w:val="004C2636"/>
    <w:rsid w:val="004C3BDE"/>
    <w:rsid w:val="004C62AA"/>
    <w:rsid w:val="004C67C6"/>
    <w:rsid w:val="004D1D6A"/>
    <w:rsid w:val="004D29DE"/>
    <w:rsid w:val="004E1094"/>
    <w:rsid w:val="004E2E81"/>
    <w:rsid w:val="004E5103"/>
    <w:rsid w:val="004E5D74"/>
    <w:rsid w:val="004F5434"/>
    <w:rsid w:val="004F55C9"/>
    <w:rsid w:val="00502965"/>
    <w:rsid w:val="00505184"/>
    <w:rsid w:val="0050662A"/>
    <w:rsid w:val="00510EAC"/>
    <w:rsid w:val="005138AF"/>
    <w:rsid w:val="00514F40"/>
    <w:rsid w:val="005226F2"/>
    <w:rsid w:val="00526875"/>
    <w:rsid w:val="0052708C"/>
    <w:rsid w:val="00532189"/>
    <w:rsid w:val="005354D9"/>
    <w:rsid w:val="00536DD8"/>
    <w:rsid w:val="00542A57"/>
    <w:rsid w:val="00543294"/>
    <w:rsid w:val="00545068"/>
    <w:rsid w:val="0054635D"/>
    <w:rsid w:val="005608D4"/>
    <w:rsid w:val="005635C8"/>
    <w:rsid w:val="00565974"/>
    <w:rsid w:val="005665CA"/>
    <w:rsid w:val="00570913"/>
    <w:rsid w:val="00572200"/>
    <w:rsid w:val="005732C0"/>
    <w:rsid w:val="0057336D"/>
    <w:rsid w:val="0057489A"/>
    <w:rsid w:val="00574ACF"/>
    <w:rsid w:val="00581588"/>
    <w:rsid w:val="0058264F"/>
    <w:rsid w:val="0058540B"/>
    <w:rsid w:val="00587C87"/>
    <w:rsid w:val="00590B80"/>
    <w:rsid w:val="005A4E9D"/>
    <w:rsid w:val="005B14C5"/>
    <w:rsid w:val="005B3134"/>
    <w:rsid w:val="005B4E61"/>
    <w:rsid w:val="005B595A"/>
    <w:rsid w:val="005B66C2"/>
    <w:rsid w:val="005B7A44"/>
    <w:rsid w:val="005C1AA0"/>
    <w:rsid w:val="005C3CE9"/>
    <w:rsid w:val="005C485F"/>
    <w:rsid w:val="005C4923"/>
    <w:rsid w:val="005C66A6"/>
    <w:rsid w:val="005C7FD1"/>
    <w:rsid w:val="005D2465"/>
    <w:rsid w:val="005D304C"/>
    <w:rsid w:val="005D4A40"/>
    <w:rsid w:val="005D79A5"/>
    <w:rsid w:val="005E33DD"/>
    <w:rsid w:val="005E3E4C"/>
    <w:rsid w:val="005E4229"/>
    <w:rsid w:val="005E5181"/>
    <w:rsid w:val="005E540E"/>
    <w:rsid w:val="005E55FB"/>
    <w:rsid w:val="005E709A"/>
    <w:rsid w:val="005E78FD"/>
    <w:rsid w:val="005F16BB"/>
    <w:rsid w:val="005F58C4"/>
    <w:rsid w:val="00600103"/>
    <w:rsid w:val="006018F5"/>
    <w:rsid w:val="00602AC1"/>
    <w:rsid w:val="00604098"/>
    <w:rsid w:val="00605B0B"/>
    <w:rsid w:val="00605D6B"/>
    <w:rsid w:val="00606DFF"/>
    <w:rsid w:val="00607115"/>
    <w:rsid w:val="006108F2"/>
    <w:rsid w:val="00611DAB"/>
    <w:rsid w:val="00620509"/>
    <w:rsid w:val="00620768"/>
    <w:rsid w:val="006221DD"/>
    <w:rsid w:val="00624477"/>
    <w:rsid w:val="0062594B"/>
    <w:rsid w:val="00627997"/>
    <w:rsid w:val="006306A8"/>
    <w:rsid w:val="006307C1"/>
    <w:rsid w:val="00631406"/>
    <w:rsid w:val="006324FF"/>
    <w:rsid w:val="00632787"/>
    <w:rsid w:val="00632B07"/>
    <w:rsid w:val="006351D6"/>
    <w:rsid w:val="00636E0D"/>
    <w:rsid w:val="0064142F"/>
    <w:rsid w:val="00643CB4"/>
    <w:rsid w:val="00644B9D"/>
    <w:rsid w:val="00647DEA"/>
    <w:rsid w:val="0065219D"/>
    <w:rsid w:val="00656427"/>
    <w:rsid w:val="00656FDA"/>
    <w:rsid w:val="00660255"/>
    <w:rsid w:val="00661FE1"/>
    <w:rsid w:val="00662078"/>
    <w:rsid w:val="0066362A"/>
    <w:rsid w:val="00663EA5"/>
    <w:rsid w:val="00666D94"/>
    <w:rsid w:val="00676161"/>
    <w:rsid w:val="00681509"/>
    <w:rsid w:val="00682146"/>
    <w:rsid w:val="00682E53"/>
    <w:rsid w:val="00683E6F"/>
    <w:rsid w:val="006862C0"/>
    <w:rsid w:val="00690811"/>
    <w:rsid w:val="00690957"/>
    <w:rsid w:val="00693DAE"/>
    <w:rsid w:val="00697039"/>
    <w:rsid w:val="006971F3"/>
    <w:rsid w:val="006A12BE"/>
    <w:rsid w:val="006B16A5"/>
    <w:rsid w:val="006B337D"/>
    <w:rsid w:val="006C2787"/>
    <w:rsid w:val="006C56DA"/>
    <w:rsid w:val="006C5B50"/>
    <w:rsid w:val="006C74A3"/>
    <w:rsid w:val="006C76D0"/>
    <w:rsid w:val="006C7D54"/>
    <w:rsid w:val="006D1381"/>
    <w:rsid w:val="006D31BC"/>
    <w:rsid w:val="006D4979"/>
    <w:rsid w:val="006D508B"/>
    <w:rsid w:val="006D6625"/>
    <w:rsid w:val="006E0B0E"/>
    <w:rsid w:val="006E222D"/>
    <w:rsid w:val="006E7943"/>
    <w:rsid w:val="006E7AC3"/>
    <w:rsid w:val="006F24EA"/>
    <w:rsid w:val="006F540F"/>
    <w:rsid w:val="006F5FEC"/>
    <w:rsid w:val="00700338"/>
    <w:rsid w:val="0070113C"/>
    <w:rsid w:val="00702D05"/>
    <w:rsid w:val="00703009"/>
    <w:rsid w:val="00704CA9"/>
    <w:rsid w:val="0071048D"/>
    <w:rsid w:val="00710F86"/>
    <w:rsid w:val="007111A8"/>
    <w:rsid w:val="007114BA"/>
    <w:rsid w:val="00714CD2"/>
    <w:rsid w:val="0071536A"/>
    <w:rsid w:val="007179BE"/>
    <w:rsid w:val="00723B5F"/>
    <w:rsid w:val="00725C33"/>
    <w:rsid w:val="00726C6A"/>
    <w:rsid w:val="00731BC3"/>
    <w:rsid w:val="00731FF7"/>
    <w:rsid w:val="00733216"/>
    <w:rsid w:val="00734159"/>
    <w:rsid w:val="00734DD2"/>
    <w:rsid w:val="007401FD"/>
    <w:rsid w:val="00741192"/>
    <w:rsid w:val="007430BF"/>
    <w:rsid w:val="007439DE"/>
    <w:rsid w:val="00743A33"/>
    <w:rsid w:val="00743DF3"/>
    <w:rsid w:val="00745AE2"/>
    <w:rsid w:val="00746080"/>
    <w:rsid w:val="0075144A"/>
    <w:rsid w:val="00751A1D"/>
    <w:rsid w:val="00760A97"/>
    <w:rsid w:val="0076543B"/>
    <w:rsid w:val="00771313"/>
    <w:rsid w:val="00774BA6"/>
    <w:rsid w:val="00775C3B"/>
    <w:rsid w:val="0077614D"/>
    <w:rsid w:val="007804A4"/>
    <w:rsid w:val="00780C3D"/>
    <w:rsid w:val="00781AEF"/>
    <w:rsid w:val="00781C54"/>
    <w:rsid w:val="007828D7"/>
    <w:rsid w:val="007852D0"/>
    <w:rsid w:val="00786329"/>
    <w:rsid w:val="007918B3"/>
    <w:rsid w:val="00792C7D"/>
    <w:rsid w:val="00794293"/>
    <w:rsid w:val="00794A4D"/>
    <w:rsid w:val="00796377"/>
    <w:rsid w:val="00796FC4"/>
    <w:rsid w:val="007A159E"/>
    <w:rsid w:val="007A2D74"/>
    <w:rsid w:val="007A33B9"/>
    <w:rsid w:val="007A35A0"/>
    <w:rsid w:val="007A39B4"/>
    <w:rsid w:val="007A4B9B"/>
    <w:rsid w:val="007A5234"/>
    <w:rsid w:val="007A764D"/>
    <w:rsid w:val="007B119B"/>
    <w:rsid w:val="007B537E"/>
    <w:rsid w:val="007B7854"/>
    <w:rsid w:val="007C1CF5"/>
    <w:rsid w:val="007C457F"/>
    <w:rsid w:val="007C482B"/>
    <w:rsid w:val="007C55BD"/>
    <w:rsid w:val="007C56A1"/>
    <w:rsid w:val="007C6454"/>
    <w:rsid w:val="007D5B5D"/>
    <w:rsid w:val="007D6F3B"/>
    <w:rsid w:val="007E01E0"/>
    <w:rsid w:val="007E0C24"/>
    <w:rsid w:val="007E5CA0"/>
    <w:rsid w:val="007E610C"/>
    <w:rsid w:val="007E6297"/>
    <w:rsid w:val="007E7486"/>
    <w:rsid w:val="007F0B93"/>
    <w:rsid w:val="007F21B9"/>
    <w:rsid w:val="007F2B27"/>
    <w:rsid w:val="007F2ECA"/>
    <w:rsid w:val="007F7B26"/>
    <w:rsid w:val="00800288"/>
    <w:rsid w:val="008017B6"/>
    <w:rsid w:val="008019B9"/>
    <w:rsid w:val="00802960"/>
    <w:rsid w:val="0080547B"/>
    <w:rsid w:val="00805663"/>
    <w:rsid w:val="00811675"/>
    <w:rsid w:val="00811708"/>
    <w:rsid w:val="00813007"/>
    <w:rsid w:val="0081404B"/>
    <w:rsid w:val="00814759"/>
    <w:rsid w:val="00816B90"/>
    <w:rsid w:val="00817799"/>
    <w:rsid w:val="00821796"/>
    <w:rsid w:val="00822F5F"/>
    <w:rsid w:val="00823A5D"/>
    <w:rsid w:val="00824FD3"/>
    <w:rsid w:val="008261E4"/>
    <w:rsid w:val="00826589"/>
    <w:rsid w:val="00830070"/>
    <w:rsid w:val="00830AEA"/>
    <w:rsid w:val="00830F91"/>
    <w:rsid w:val="00834BCC"/>
    <w:rsid w:val="008355D9"/>
    <w:rsid w:val="00836451"/>
    <w:rsid w:val="00845F68"/>
    <w:rsid w:val="00850D54"/>
    <w:rsid w:val="00852E2B"/>
    <w:rsid w:val="00854079"/>
    <w:rsid w:val="00856EC6"/>
    <w:rsid w:val="00856FF3"/>
    <w:rsid w:val="0086228F"/>
    <w:rsid w:val="00862C50"/>
    <w:rsid w:val="00863F8D"/>
    <w:rsid w:val="008673F6"/>
    <w:rsid w:val="00867976"/>
    <w:rsid w:val="008714B0"/>
    <w:rsid w:val="00872A7F"/>
    <w:rsid w:val="0087374B"/>
    <w:rsid w:val="00876331"/>
    <w:rsid w:val="008766FF"/>
    <w:rsid w:val="00877B90"/>
    <w:rsid w:val="00880726"/>
    <w:rsid w:val="008863B2"/>
    <w:rsid w:val="0089025E"/>
    <w:rsid w:val="00895527"/>
    <w:rsid w:val="00897881"/>
    <w:rsid w:val="008A0736"/>
    <w:rsid w:val="008A3532"/>
    <w:rsid w:val="008A3544"/>
    <w:rsid w:val="008A4460"/>
    <w:rsid w:val="008B48B8"/>
    <w:rsid w:val="008B5348"/>
    <w:rsid w:val="008B58F8"/>
    <w:rsid w:val="008B5BAA"/>
    <w:rsid w:val="008B62FF"/>
    <w:rsid w:val="008B70C2"/>
    <w:rsid w:val="008C0712"/>
    <w:rsid w:val="008C4520"/>
    <w:rsid w:val="008C536D"/>
    <w:rsid w:val="008C5F09"/>
    <w:rsid w:val="008D470F"/>
    <w:rsid w:val="008D47FC"/>
    <w:rsid w:val="008D4B44"/>
    <w:rsid w:val="008E1F8F"/>
    <w:rsid w:val="008E3020"/>
    <w:rsid w:val="008E39E8"/>
    <w:rsid w:val="008E3F81"/>
    <w:rsid w:val="008E4768"/>
    <w:rsid w:val="008E4EF5"/>
    <w:rsid w:val="008E761E"/>
    <w:rsid w:val="008E7F61"/>
    <w:rsid w:val="008F105F"/>
    <w:rsid w:val="008F77B3"/>
    <w:rsid w:val="009007D1"/>
    <w:rsid w:val="009008F5"/>
    <w:rsid w:val="00900B78"/>
    <w:rsid w:val="009011D1"/>
    <w:rsid w:val="00904CC1"/>
    <w:rsid w:val="009066AF"/>
    <w:rsid w:val="00906D66"/>
    <w:rsid w:val="00910578"/>
    <w:rsid w:val="00912050"/>
    <w:rsid w:val="00912A31"/>
    <w:rsid w:val="00912DD2"/>
    <w:rsid w:val="00912E48"/>
    <w:rsid w:val="00912E68"/>
    <w:rsid w:val="00913840"/>
    <w:rsid w:val="00920F4E"/>
    <w:rsid w:val="00923159"/>
    <w:rsid w:val="0092746F"/>
    <w:rsid w:val="00933601"/>
    <w:rsid w:val="00933DE2"/>
    <w:rsid w:val="00935DC9"/>
    <w:rsid w:val="00937F3C"/>
    <w:rsid w:val="009446C0"/>
    <w:rsid w:val="00947BAF"/>
    <w:rsid w:val="00947D0A"/>
    <w:rsid w:val="00951883"/>
    <w:rsid w:val="009527E3"/>
    <w:rsid w:val="009533E1"/>
    <w:rsid w:val="00955A0C"/>
    <w:rsid w:val="009572C6"/>
    <w:rsid w:val="0096082E"/>
    <w:rsid w:val="00961347"/>
    <w:rsid w:val="00962C2F"/>
    <w:rsid w:val="00964753"/>
    <w:rsid w:val="00965AD4"/>
    <w:rsid w:val="009666BE"/>
    <w:rsid w:val="00967410"/>
    <w:rsid w:val="00967D73"/>
    <w:rsid w:val="00970B9A"/>
    <w:rsid w:val="00971C4F"/>
    <w:rsid w:val="009745B6"/>
    <w:rsid w:val="0098119A"/>
    <w:rsid w:val="009823EE"/>
    <w:rsid w:val="0098426C"/>
    <w:rsid w:val="00984AAF"/>
    <w:rsid w:val="00985521"/>
    <w:rsid w:val="00987E68"/>
    <w:rsid w:val="00991B09"/>
    <w:rsid w:val="0099319C"/>
    <w:rsid w:val="00993CB2"/>
    <w:rsid w:val="0099796D"/>
    <w:rsid w:val="009A0251"/>
    <w:rsid w:val="009A218B"/>
    <w:rsid w:val="009A5166"/>
    <w:rsid w:val="009A76F8"/>
    <w:rsid w:val="009B2B11"/>
    <w:rsid w:val="009B2B83"/>
    <w:rsid w:val="009B720F"/>
    <w:rsid w:val="009B78A9"/>
    <w:rsid w:val="009C0E89"/>
    <w:rsid w:val="009C31B2"/>
    <w:rsid w:val="009C49F8"/>
    <w:rsid w:val="009D0F93"/>
    <w:rsid w:val="009D56E7"/>
    <w:rsid w:val="009D77CC"/>
    <w:rsid w:val="009D797A"/>
    <w:rsid w:val="009E07CF"/>
    <w:rsid w:val="009E0F9D"/>
    <w:rsid w:val="009E2423"/>
    <w:rsid w:val="009E491D"/>
    <w:rsid w:val="009E5490"/>
    <w:rsid w:val="009E55D7"/>
    <w:rsid w:val="009E703E"/>
    <w:rsid w:val="009F4150"/>
    <w:rsid w:val="009F5151"/>
    <w:rsid w:val="009F5665"/>
    <w:rsid w:val="009F5DAD"/>
    <w:rsid w:val="009F71CB"/>
    <w:rsid w:val="009F752C"/>
    <w:rsid w:val="00A01BCA"/>
    <w:rsid w:val="00A01FD5"/>
    <w:rsid w:val="00A06C73"/>
    <w:rsid w:val="00A07088"/>
    <w:rsid w:val="00A10458"/>
    <w:rsid w:val="00A104E5"/>
    <w:rsid w:val="00A14629"/>
    <w:rsid w:val="00A153B6"/>
    <w:rsid w:val="00A164D5"/>
    <w:rsid w:val="00A20C2D"/>
    <w:rsid w:val="00A20E4F"/>
    <w:rsid w:val="00A24E95"/>
    <w:rsid w:val="00A25601"/>
    <w:rsid w:val="00A2678D"/>
    <w:rsid w:val="00A273C3"/>
    <w:rsid w:val="00A30C37"/>
    <w:rsid w:val="00A31091"/>
    <w:rsid w:val="00A34275"/>
    <w:rsid w:val="00A3671B"/>
    <w:rsid w:val="00A36C65"/>
    <w:rsid w:val="00A37AE9"/>
    <w:rsid w:val="00A37B04"/>
    <w:rsid w:val="00A40894"/>
    <w:rsid w:val="00A41BBE"/>
    <w:rsid w:val="00A443E3"/>
    <w:rsid w:val="00A45BDD"/>
    <w:rsid w:val="00A46060"/>
    <w:rsid w:val="00A46A0A"/>
    <w:rsid w:val="00A51E0E"/>
    <w:rsid w:val="00A53F60"/>
    <w:rsid w:val="00A553F8"/>
    <w:rsid w:val="00A5606F"/>
    <w:rsid w:val="00A56852"/>
    <w:rsid w:val="00A56D0C"/>
    <w:rsid w:val="00A571EC"/>
    <w:rsid w:val="00A623E8"/>
    <w:rsid w:val="00A649E7"/>
    <w:rsid w:val="00A65082"/>
    <w:rsid w:val="00A65DFA"/>
    <w:rsid w:val="00A6708F"/>
    <w:rsid w:val="00A709F0"/>
    <w:rsid w:val="00A71BF6"/>
    <w:rsid w:val="00A72AF9"/>
    <w:rsid w:val="00A74050"/>
    <w:rsid w:val="00A8036A"/>
    <w:rsid w:val="00A86837"/>
    <w:rsid w:val="00A86F9A"/>
    <w:rsid w:val="00A925D6"/>
    <w:rsid w:val="00A95A81"/>
    <w:rsid w:val="00AA075C"/>
    <w:rsid w:val="00AA3329"/>
    <w:rsid w:val="00AA35E6"/>
    <w:rsid w:val="00AA50B6"/>
    <w:rsid w:val="00AA78FF"/>
    <w:rsid w:val="00AB1606"/>
    <w:rsid w:val="00AB3472"/>
    <w:rsid w:val="00AB3C13"/>
    <w:rsid w:val="00AB7613"/>
    <w:rsid w:val="00AC0F5D"/>
    <w:rsid w:val="00AC27EF"/>
    <w:rsid w:val="00AC3843"/>
    <w:rsid w:val="00AC3AD3"/>
    <w:rsid w:val="00AC4595"/>
    <w:rsid w:val="00AC46DC"/>
    <w:rsid w:val="00AC659C"/>
    <w:rsid w:val="00AC66D9"/>
    <w:rsid w:val="00AC69D8"/>
    <w:rsid w:val="00AC7CD7"/>
    <w:rsid w:val="00AD0762"/>
    <w:rsid w:val="00AD3C9E"/>
    <w:rsid w:val="00AE0209"/>
    <w:rsid w:val="00AE3DCF"/>
    <w:rsid w:val="00AE4452"/>
    <w:rsid w:val="00AE50B9"/>
    <w:rsid w:val="00AE6604"/>
    <w:rsid w:val="00AE7C38"/>
    <w:rsid w:val="00AF1538"/>
    <w:rsid w:val="00AF1FAC"/>
    <w:rsid w:val="00AF2679"/>
    <w:rsid w:val="00AF2814"/>
    <w:rsid w:val="00AF5008"/>
    <w:rsid w:val="00AF6920"/>
    <w:rsid w:val="00B01F99"/>
    <w:rsid w:val="00B02B37"/>
    <w:rsid w:val="00B05276"/>
    <w:rsid w:val="00B0666B"/>
    <w:rsid w:val="00B132DB"/>
    <w:rsid w:val="00B14264"/>
    <w:rsid w:val="00B15F5B"/>
    <w:rsid w:val="00B20A91"/>
    <w:rsid w:val="00B23214"/>
    <w:rsid w:val="00B24295"/>
    <w:rsid w:val="00B24C05"/>
    <w:rsid w:val="00B26F80"/>
    <w:rsid w:val="00B31427"/>
    <w:rsid w:val="00B3166B"/>
    <w:rsid w:val="00B32FF9"/>
    <w:rsid w:val="00B33861"/>
    <w:rsid w:val="00B33E0B"/>
    <w:rsid w:val="00B404EB"/>
    <w:rsid w:val="00B40DE2"/>
    <w:rsid w:val="00B4377A"/>
    <w:rsid w:val="00B45F1C"/>
    <w:rsid w:val="00B4641C"/>
    <w:rsid w:val="00B50210"/>
    <w:rsid w:val="00B5057E"/>
    <w:rsid w:val="00B50D8D"/>
    <w:rsid w:val="00B52457"/>
    <w:rsid w:val="00B53955"/>
    <w:rsid w:val="00B53BFC"/>
    <w:rsid w:val="00B63C79"/>
    <w:rsid w:val="00B6408A"/>
    <w:rsid w:val="00B6478A"/>
    <w:rsid w:val="00B7014D"/>
    <w:rsid w:val="00B714B8"/>
    <w:rsid w:val="00B716E8"/>
    <w:rsid w:val="00B73144"/>
    <w:rsid w:val="00B814CF"/>
    <w:rsid w:val="00B82C2C"/>
    <w:rsid w:val="00B85B74"/>
    <w:rsid w:val="00B85F35"/>
    <w:rsid w:val="00B8720B"/>
    <w:rsid w:val="00B87589"/>
    <w:rsid w:val="00B876EF"/>
    <w:rsid w:val="00B87887"/>
    <w:rsid w:val="00B91551"/>
    <w:rsid w:val="00B91FB5"/>
    <w:rsid w:val="00B9572B"/>
    <w:rsid w:val="00B96233"/>
    <w:rsid w:val="00BA2598"/>
    <w:rsid w:val="00BA4697"/>
    <w:rsid w:val="00BA5893"/>
    <w:rsid w:val="00BB0C53"/>
    <w:rsid w:val="00BB3320"/>
    <w:rsid w:val="00BB3421"/>
    <w:rsid w:val="00BB5378"/>
    <w:rsid w:val="00BB589B"/>
    <w:rsid w:val="00BB6F53"/>
    <w:rsid w:val="00BC086C"/>
    <w:rsid w:val="00BC0BD3"/>
    <w:rsid w:val="00BC4B9A"/>
    <w:rsid w:val="00BC4EAA"/>
    <w:rsid w:val="00BC5BA6"/>
    <w:rsid w:val="00BD0107"/>
    <w:rsid w:val="00BD2220"/>
    <w:rsid w:val="00BD4DBE"/>
    <w:rsid w:val="00BE0C33"/>
    <w:rsid w:val="00BE0FE9"/>
    <w:rsid w:val="00BE262C"/>
    <w:rsid w:val="00BE479F"/>
    <w:rsid w:val="00BE4C25"/>
    <w:rsid w:val="00BE6C3D"/>
    <w:rsid w:val="00BE73E6"/>
    <w:rsid w:val="00BF1476"/>
    <w:rsid w:val="00BF17F2"/>
    <w:rsid w:val="00BF42FE"/>
    <w:rsid w:val="00C02B29"/>
    <w:rsid w:val="00C06DA4"/>
    <w:rsid w:val="00C07606"/>
    <w:rsid w:val="00C12542"/>
    <w:rsid w:val="00C130EE"/>
    <w:rsid w:val="00C230DA"/>
    <w:rsid w:val="00C245C5"/>
    <w:rsid w:val="00C24725"/>
    <w:rsid w:val="00C30BA9"/>
    <w:rsid w:val="00C32396"/>
    <w:rsid w:val="00C32715"/>
    <w:rsid w:val="00C3541E"/>
    <w:rsid w:val="00C36A8F"/>
    <w:rsid w:val="00C401C8"/>
    <w:rsid w:val="00C42834"/>
    <w:rsid w:val="00C42FFA"/>
    <w:rsid w:val="00C43021"/>
    <w:rsid w:val="00C47780"/>
    <w:rsid w:val="00C47C8C"/>
    <w:rsid w:val="00C47CC2"/>
    <w:rsid w:val="00C507D8"/>
    <w:rsid w:val="00C51F5A"/>
    <w:rsid w:val="00C526D3"/>
    <w:rsid w:val="00C57018"/>
    <w:rsid w:val="00C62EAC"/>
    <w:rsid w:val="00C63F9F"/>
    <w:rsid w:val="00C6558E"/>
    <w:rsid w:val="00C66F97"/>
    <w:rsid w:val="00C722FD"/>
    <w:rsid w:val="00C735E0"/>
    <w:rsid w:val="00C7723C"/>
    <w:rsid w:val="00C81439"/>
    <w:rsid w:val="00C82027"/>
    <w:rsid w:val="00C838F5"/>
    <w:rsid w:val="00C841C0"/>
    <w:rsid w:val="00C91F37"/>
    <w:rsid w:val="00C94309"/>
    <w:rsid w:val="00C97898"/>
    <w:rsid w:val="00CA07E5"/>
    <w:rsid w:val="00CA1AF4"/>
    <w:rsid w:val="00CA4725"/>
    <w:rsid w:val="00CA6068"/>
    <w:rsid w:val="00CA757A"/>
    <w:rsid w:val="00CB15E1"/>
    <w:rsid w:val="00CB3460"/>
    <w:rsid w:val="00CB3D46"/>
    <w:rsid w:val="00CB3D75"/>
    <w:rsid w:val="00CC0771"/>
    <w:rsid w:val="00CC3648"/>
    <w:rsid w:val="00CC7AF8"/>
    <w:rsid w:val="00CD1A87"/>
    <w:rsid w:val="00CD35F3"/>
    <w:rsid w:val="00CD4362"/>
    <w:rsid w:val="00CD5C93"/>
    <w:rsid w:val="00CD69CD"/>
    <w:rsid w:val="00CE2CC7"/>
    <w:rsid w:val="00CE3341"/>
    <w:rsid w:val="00CE342B"/>
    <w:rsid w:val="00CE4961"/>
    <w:rsid w:val="00CE63A5"/>
    <w:rsid w:val="00CE6CCC"/>
    <w:rsid w:val="00CF131F"/>
    <w:rsid w:val="00CF320C"/>
    <w:rsid w:val="00CF3A4B"/>
    <w:rsid w:val="00CF4001"/>
    <w:rsid w:val="00CF75DF"/>
    <w:rsid w:val="00D05837"/>
    <w:rsid w:val="00D11736"/>
    <w:rsid w:val="00D12D8A"/>
    <w:rsid w:val="00D13E0C"/>
    <w:rsid w:val="00D20FB5"/>
    <w:rsid w:val="00D22CC8"/>
    <w:rsid w:val="00D25896"/>
    <w:rsid w:val="00D26EE6"/>
    <w:rsid w:val="00D26FF6"/>
    <w:rsid w:val="00D32A59"/>
    <w:rsid w:val="00D33918"/>
    <w:rsid w:val="00D34AAF"/>
    <w:rsid w:val="00D36033"/>
    <w:rsid w:val="00D373A1"/>
    <w:rsid w:val="00D37C0F"/>
    <w:rsid w:val="00D4113F"/>
    <w:rsid w:val="00D43E8E"/>
    <w:rsid w:val="00D45661"/>
    <w:rsid w:val="00D45943"/>
    <w:rsid w:val="00D47D22"/>
    <w:rsid w:val="00D50346"/>
    <w:rsid w:val="00D50368"/>
    <w:rsid w:val="00D51865"/>
    <w:rsid w:val="00D51D0C"/>
    <w:rsid w:val="00D52ECE"/>
    <w:rsid w:val="00D54734"/>
    <w:rsid w:val="00D55D13"/>
    <w:rsid w:val="00D56C54"/>
    <w:rsid w:val="00D6364B"/>
    <w:rsid w:val="00D63E60"/>
    <w:rsid w:val="00D6407A"/>
    <w:rsid w:val="00D64A19"/>
    <w:rsid w:val="00D666A7"/>
    <w:rsid w:val="00D7189B"/>
    <w:rsid w:val="00D7327C"/>
    <w:rsid w:val="00D74140"/>
    <w:rsid w:val="00D74EC3"/>
    <w:rsid w:val="00D80045"/>
    <w:rsid w:val="00D8087F"/>
    <w:rsid w:val="00D842AC"/>
    <w:rsid w:val="00D84FBE"/>
    <w:rsid w:val="00D93AD4"/>
    <w:rsid w:val="00DA2E9E"/>
    <w:rsid w:val="00DA6D25"/>
    <w:rsid w:val="00DA6E56"/>
    <w:rsid w:val="00DA78DD"/>
    <w:rsid w:val="00DB0DF2"/>
    <w:rsid w:val="00DB1C65"/>
    <w:rsid w:val="00DC0C4C"/>
    <w:rsid w:val="00DC127D"/>
    <w:rsid w:val="00DC1AA9"/>
    <w:rsid w:val="00DC24E5"/>
    <w:rsid w:val="00DC3B05"/>
    <w:rsid w:val="00DC6705"/>
    <w:rsid w:val="00DD1EF6"/>
    <w:rsid w:val="00DD2DE8"/>
    <w:rsid w:val="00DD6220"/>
    <w:rsid w:val="00DD717B"/>
    <w:rsid w:val="00DE04B8"/>
    <w:rsid w:val="00DE1C81"/>
    <w:rsid w:val="00DE2BFC"/>
    <w:rsid w:val="00DE38B4"/>
    <w:rsid w:val="00DE4482"/>
    <w:rsid w:val="00DE5D02"/>
    <w:rsid w:val="00DF1E91"/>
    <w:rsid w:val="00DF2102"/>
    <w:rsid w:val="00DF3918"/>
    <w:rsid w:val="00DF48CC"/>
    <w:rsid w:val="00DF4E62"/>
    <w:rsid w:val="00DF78F3"/>
    <w:rsid w:val="00E005A9"/>
    <w:rsid w:val="00E03579"/>
    <w:rsid w:val="00E040CF"/>
    <w:rsid w:val="00E065BA"/>
    <w:rsid w:val="00E07A93"/>
    <w:rsid w:val="00E115A8"/>
    <w:rsid w:val="00E1166E"/>
    <w:rsid w:val="00E15CF6"/>
    <w:rsid w:val="00E2299C"/>
    <w:rsid w:val="00E24DC0"/>
    <w:rsid w:val="00E2519C"/>
    <w:rsid w:val="00E25229"/>
    <w:rsid w:val="00E25F2A"/>
    <w:rsid w:val="00E271F7"/>
    <w:rsid w:val="00E30C30"/>
    <w:rsid w:val="00E34468"/>
    <w:rsid w:val="00E35EB1"/>
    <w:rsid w:val="00E3614F"/>
    <w:rsid w:val="00E363D2"/>
    <w:rsid w:val="00E41455"/>
    <w:rsid w:val="00E42AD2"/>
    <w:rsid w:val="00E50856"/>
    <w:rsid w:val="00E538CC"/>
    <w:rsid w:val="00E54BBD"/>
    <w:rsid w:val="00E54DBA"/>
    <w:rsid w:val="00E57DB7"/>
    <w:rsid w:val="00E61A68"/>
    <w:rsid w:val="00E61FEF"/>
    <w:rsid w:val="00E62A74"/>
    <w:rsid w:val="00E62A9E"/>
    <w:rsid w:val="00E63D7C"/>
    <w:rsid w:val="00E640D5"/>
    <w:rsid w:val="00E64C4F"/>
    <w:rsid w:val="00E66E2E"/>
    <w:rsid w:val="00E67691"/>
    <w:rsid w:val="00E6790C"/>
    <w:rsid w:val="00E714F6"/>
    <w:rsid w:val="00E734F1"/>
    <w:rsid w:val="00E80F90"/>
    <w:rsid w:val="00E8436D"/>
    <w:rsid w:val="00E87669"/>
    <w:rsid w:val="00E877F0"/>
    <w:rsid w:val="00E91ABD"/>
    <w:rsid w:val="00E92237"/>
    <w:rsid w:val="00E9313B"/>
    <w:rsid w:val="00E94D1B"/>
    <w:rsid w:val="00E951EF"/>
    <w:rsid w:val="00E969B0"/>
    <w:rsid w:val="00E96FA4"/>
    <w:rsid w:val="00E97D6E"/>
    <w:rsid w:val="00EA1A80"/>
    <w:rsid w:val="00EA387D"/>
    <w:rsid w:val="00EA3D54"/>
    <w:rsid w:val="00EA42F9"/>
    <w:rsid w:val="00EA487F"/>
    <w:rsid w:val="00EA5244"/>
    <w:rsid w:val="00EA56D9"/>
    <w:rsid w:val="00EA5CE3"/>
    <w:rsid w:val="00EA6586"/>
    <w:rsid w:val="00EA6AD8"/>
    <w:rsid w:val="00EA7AB8"/>
    <w:rsid w:val="00EB51C1"/>
    <w:rsid w:val="00EB5AE1"/>
    <w:rsid w:val="00EB5E0B"/>
    <w:rsid w:val="00EB7247"/>
    <w:rsid w:val="00EB7C2A"/>
    <w:rsid w:val="00EC05A3"/>
    <w:rsid w:val="00EC2171"/>
    <w:rsid w:val="00ED14CC"/>
    <w:rsid w:val="00ED3E32"/>
    <w:rsid w:val="00ED442D"/>
    <w:rsid w:val="00ED70C2"/>
    <w:rsid w:val="00EE155D"/>
    <w:rsid w:val="00EE18FF"/>
    <w:rsid w:val="00EE1D64"/>
    <w:rsid w:val="00EE3E29"/>
    <w:rsid w:val="00EE489F"/>
    <w:rsid w:val="00EE558A"/>
    <w:rsid w:val="00EF082D"/>
    <w:rsid w:val="00EF55AE"/>
    <w:rsid w:val="00F04552"/>
    <w:rsid w:val="00F051E5"/>
    <w:rsid w:val="00F0647F"/>
    <w:rsid w:val="00F071CC"/>
    <w:rsid w:val="00F07FA0"/>
    <w:rsid w:val="00F10CE3"/>
    <w:rsid w:val="00F12006"/>
    <w:rsid w:val="00F13443"/>
    <w:rsid w:val="00F14F3B"/>
    <w:rsid w:val="00F16362"/>
    <w:rsid w:val="00F165AE"/>
    <w:rsid w:val="00F207C7"/>
    <w:rsid w:val="00F216F0"/>
    <w:rsid w:val="00F24CCA"/>
    <w:rsid w:val="00F25C00"/>
    <w:rsid w:val="00F26301"/>
    <w:rsid w:val="00F27185"/>
    <w:rsid w:val="00F34C4E"/>
    <w:rsid w:val="00F35D78"/>
    <w:rsid w:val="00F36B6D"/>
    <w:rsid w:val="00F41618"/>
    <w:rsid w:val="00F4166D"/>
    <w:rsid w:val="00F43FA3"/>
    <w:rsid w:val="00F4712F"/>
    <w:rsid w:val="00F4772B"/>
    <w:rsid w:val="00F510E5"/>
    <w:rsid w:val="00F538A0"/>
    <w:rsid w:val="00F55648"/>
    <w:rsid w:val="00F568F7"/>
    <w:rsid w:val="00F5766B"/>
    <w:rsid w:val="00F57C42"/>
    <w:rsid w:val="00F6343B"/>
    <w:rsid w:val="00F64F80"/>
    <w:rsid w:val="00F664DD"/>
    <w:rsid w:val="00F67E07"/>
    <w:rsid w:val="00F70046"/>
    <w:rsid w:val="00F713D0"/>
    <w:rsid w:val="00F72B15"/>
    <w:rsid w:val="00F748C2"/>
    <w:rsid w:val="00F74958"/>
    <w:rsid w:val="00F76C5C"/>
    <w:rsid w:val="00F804EC"/>
    <w:rsid w:val="00F8130F"/>
    <w:rsid w:val="00F818C7"/>
    <w:rsid w:val="00F819BB"/>
    <w:rsid w:val="00F81EF3"/>
    <w:rsid w:val="00F82066"/>
    <w:rsid w:val="00F84496"/>
    <w:rsid w:val="00F85DCB"/>
    <w:rsid w:val="00F86F9C"/>
    <w:rsid w:val="00F90067"/>
    <w:rsid w:val="00F90D76"/>
    <w:rsid w:val="00F94055"/>
    <w:rsid w:val="00F95581"/>
    <w:rsid w:val="00FA4A4C"/>
    <w:rsid w:val="00FB17AB"/>
    <w:rsid w:val="00FB48CF"/>
    <w:rsid w:val="00FC002E"/>
    <w:rsid w:val="00FC4C23"/>
    <w:rsid w:val="00FC6204"/>
    <w:rsid w:val="00FC642E"/>
    <w:rsid w:val="00FD2E5E"/>
    <w:rsid w:val="00FD6229"/>
    <w:rsid w:val="00FD7675"/>
    <w:rsid w:val="00FD7AA0"/>
    <w:rsid w:val="00FE081C"/>
    <w:rsid w:val="00FE2847"/>
    <w:rsid w:val="00FE2AE4"/>
    <w:rsid w:val="00FE3ED6"/>
    <w:rsid w:val="00FE3F9E"/>
    <w:rsid w:val="00FE689F"/>
    <w:rsid w:val="00FE6B2F"/>
    <w:rsid w:val="00FE7809"/>
    <w:rsid w:val="00FF1223"/>
    <w:rsid w:val="00FF40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B06892"/>
  <w15:docId w15:val="{F61C35AF-9395-4075-AA31-2DECBBE25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3421"/>
    <w:pPr>
      <w:spacing w:before="180" w:after="0"/>
    </w:pPr>
    <w:rPr>
      <w14:ligatures w14:val="standardContextual"/>
    </w:rPr>
  </w:style>
  <w:style w:type="paragraph" w:styleId="Heading1">
    <w:name w:val="heading 1"/>
    <w:basedOn w:val="Normal"/>
    <w:next w:val="Normal"/>
    <w:link w:val="Heading1Char"/>
    <w:uiPriority w:val="9"/>
    <w:qFormat/>
    <w:rsid w:val="00E94D1B"/>
    <w:pPr>
      <w:keepNext/>
      <w:keepLines/>
      <w:pageBreakBefore/>
      <w:pBdr>
        <w:bottom w:val="single" w:sz="12" w:space="4" w:color="53C9F1" w:themeColor="background2"/>
      </w:pBdr>
      <w:autoSpaceDE w:val="0"/>
      <w:autoSpaceDN w:val="0"/>
      <w:adjustRightInd w:val="0"/>
      <w:spacing w:before="480"/>
      <w:textAlignment w:val="center"/>
      <w:outlineLvl w:val="0"/>
    </w:pPr>
    <w:rPr>
      <w:rFonts w:asciiTheme="majorHAnsi" w:hAnsiTheme="majorHAnsi" w:cs="Manrope ExtraLight"/>
      <w:b/>
      <w:color w:val="1E4496" w:themeColor="text2"/>
      <w:sz w:val="48"/>
      <w:szCs w:val="32"/>
    </w:rPr>
  </w:style>
  <w:style w:type="paragraph" w:styleId="Heading2">
    <w:name w:val="heading 2"/>
    <w:basedOn w:val="Normal"/>
    <w:next w:val="Normal"/>
    <w:link w:val="Heading2Char"/>
    <w:uiPriority w:val="9"/>
    <w:unhideWhenUsed/>
    <w:qFormat/>
    <w:rsid w:val="00920F4E"/>
    <w:pPr>
      <w:keepNext/>
      <w:autoSpaceDE w:val="0"/>
      <w:autoSpaceDN w:val="0"/>
      <w:adjustRightInd w:val="0"/>
      <w:spacing w:before="360" w:line="240" w:lineRule="auto"/>
      <w:textAlignment w:val="center"/>
      <w:outlineLvl w:val="1"/>
    </w:pPr>
    <w:rPr>
      <w:rFonts w:asciiTheme="majorHAnsi" w:hAnsiTheme="majorHAnsi" w:cs="MyriadPro-Bold"/>
      <w:b/>
      <w:bCs/>
      <w:color w:val="1E4496" w:themeColor="text2"/>
      <w:sz w:val="38"/>
      <w:szCs w:val="28"/>
    </w:rPr>
  </w:style>
  <w:style w:type="paragraph" w:styleId="Heading3">
    <w:name w:val="heading 3"/>
    <w:basedOn w:val="Normal"/>
    <w:next w:val="Normal"/>
    <w:link w:val="Heading3Char"/>
    <w:uiPriority w:val="9"/>
    <w:unhideWhenUsed/>
    <w:qFormat/>
    <w:rsid w:val="00920F4E"/>
    <w:pPr>
      <w:keepNext/>
      <w:keepLines/>
      <w:autoSpaceDE w:val="0"/>
      <w:autoSpaceDN w:val="0"/>
      <w:adjustRightInd w:val="0"/>
      <w:spacing w:before="360" w:line="240" w:lineRule="auto"/>
      <w:textAlignment w:val="center"/>
      <w:outlineLvl w:val="2"/>
    </w:pPr>
    <w:rPr>
      <w:rFonts w:asciiTheme="majorHAnsi" w:hAnsiTheme="majorHAnsi" w:cs="MyriadPro-Regular"/>
      <w:bCs/>
      <w:color w:val="1E4496" w:themeColor="text2"/>
      <w:sz w:val="32"/>
      <w:szCs w:val="26"/>
    </w:rPr>
  </w:style>
  <w:style w:type="paragraph" w:styleId="Heading4">
    <w:name w:val="heading 4"/>
    <w:basedOn w:val="Normal"/>
    <w:next w:val="Normal"/>
    <w:link w:val="Heading4Char"/>
    <w:uiPriority w:val="9"/>
    <w:unhideWhenUsed/>
    <w:qFormat/>
    <w:rsid w:val="005138AF"/>
    <w:pPr>
      <w:keepNext/>
      <w:keepLines/>
      <w:spacing w:before="360" w:line="240" w:lineRule="auto"/>
      <w:outlineLvl w:val="3"/>
    </w:pPr>
    <w:rPr>
      <w:rFonts w:asciiTheme="majorHAnsi" w:eastAsiaTheme="majorEastAsia" w:hAnsiTheme="majorHAnsi" w:cstheme="majorBidi"/>
      <w:bCs/>
      <w:iCs/>
      <w:sz w:val="28"/>
    </w:rPr>
  </w:style>
  <w:style w:type="paragraph" w:styleId="Heading5">
    <w:name w:val="heading 5"/>
    <w:basedOn w:val="Normal"/>
    <w:next w:val="Normal"/>
    <w:link w:val="Heading5Char"/>
    <w:uiPriority w:val="9"/>
    <w:unhideWhenUsed/>
    <w:rsid w:val="005138AF"/>
    <w:pPr>
      <w:keepNext/>
      <w:spacing w:before="360" w:line="240" w:lineRule="auto"/>
      <w:outlineLvl w:val="4"/>
    </w:pPr>
    <w:rPr>
      <w:rFonts w:asciiTheme="majorHAnsi" w:eastAsiaTheme="majorEastAsia" w:hAnsiTheme="majorHAnsi" w:cstheme="majorBidi"/>
      <w:b/>
      <w:bCs/>
      <w:sz w:val="24"/>
    </w:rPr>
  </w:style>
  <w:style w:type="paragraph" w:styleId="Heading6">
    <w:name w:val="heading 6"/>
    <w:basedOn w:val="Normal"/>
    <w:next w:val="Normal"/>
    <w:link w:val="Heading6Char"/>
    <w:uiPriority w:val="9"/>
    <w:unhideWhenUsed/>
    <w:rsid w:val="005138AF"/>
    <w:pPr>
      <w:keepNext/>
      <w:keepLines/>
      <w:spacing w:before="240" w:line="240" w:lineRule="auto"/>
      <w:outlineLvl w:val="5"/>
    </w:pPr>
    <w:rPr>
      <w:rFonts w:asciiTheme="majorHAnsi" w:eastAsiaTheme="majorEastAsia" w:hAnsiTheme="majorHAnsi" w:cstheme="majorBidi"/>
      <w:b/>
      <w:bCs/>
      <w:i/>
      <w:iCs/>
      <w:sz w:val="24"/>
    </w:rPr>
  </w:style>
  <w:style w:type="paragraph" w:styleId="Heading7">
    <w:name w:val="heading 7"/>
    <w:basedOn w:val="Normal"/>
    <w:next w:val="Normal"/>
    <w:link w:val="Heading7Char"/>
    <w:uiPriority w:val="9"/>
    <w:semiHidden/>
    <w:unhideWhenUsed/>
    <w:qFormat/>
    <w:rsid w:val="00741192"/>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41192"/>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41192"/>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4D1B"/>
    <w:rPr>
      <w:rFonts w:asciiTheme="majorHAnsi" w:hAnsiTheme="majorHAnsi" w:cs="Manrope ExtraLight"/>
      <w:b/>
      <w:color w:val="1E4496" w:themeColor="text2"/>
      <w:sz w:val="48"/>
      <w:szCs w:val="32"/>
      <w14:ligatures w14:val="standardContextual"/>
    </w:rPr>
  </w:style>
  <w:style w:type="paragraph" w:customStyle="1" w:styleId="CDIFooter">
    <w:name w:val="CDI Footer"/>
    <w:basedOn w:val="Normal"/>
    <w:link w:val="CDIFooterChar"/>
    <w:rsid w:val="00E94D1B"/>
    <w:pPr>
      <w:spacing w:before="0" w:line="240" w:lineRule="auto"/>
    </w:pPr>
    <w:rPr>
      <w:sz w:val="18"/>
      <w:szCs w:val="18"/>
    </w:rPr>
  </w:style>
  <w:style w:type="character" w:customStyle="1" w:styleId="Heading2Char">
    <w:name w:val="Heading 2 Char"/>
    <w:basedOn w:val="DefaultParagraphFont"/>
    <w:link w:val="Heading2"/>
    <w:uiPriority w:val="9"/>
    <w:rsid w:val="00920F4E"/>
    <w:rPr>
      <w:rFonts w:asciiTheme="majorHAnsi" w:hAnsiTheme="majorHAnsi" w:cs="MyriadPro-Bold"/>
      <w:b/>
      <w:bCs/>
      <w:color w:val="1E4496" w:themeColor="text2"/>
      <w:sz w:val="38"/>
      <w:szCs w:val="28"/>
      <w14:ligatures w14:val="standardContextual"/>
    </w:rPr>
  </w:style>
  <w:style w:type="paragraph" w:customStyle="1" w:styleId="CDIBoxH1Heading">
    <w:name w:val="CDI Box H1 Heading"/>
    <w:basedOn w:val="CDIBoxHeading"/>
    <w:next w:val="Normal"/>
    <w:rsid w:val="006C5B50"/>
    <w:rPr>
      <w:b/>
      <w:bCs/>
      <w:sz w:val="48"/>
    </w:rPr>
  </w:style>
  <w:style w:type="paragraph" w:styleId="Title">
    <w:name w:val="Title"/>
    <w:basedOn w:val="Normal"/>
    <w:next w:val="Normal"/>
    <w:link w:val="TitleChar"/>
    <w:uiPriority w:val="10"/>
    <w:qFormat/>
    <w:rsid w:val="00BB3320"/>
    <w:pPr>
      <w:spacing w:before="400"/>
    </w:pPr>
    <w:rPr>
      <w:rFonts w:asciiTheme="majorHAnsi" w:hAnsiTheme="majorHAnsi" w:cs="Arial"/>
      <w:b/>
      <w:bCs/>
      <w:sz w:val="48"/>
      <w:szCs w:val="54"/>
    </w:rPr>
  </w:style>
  <w:style w:type="character" w:customStyle="1" w:styleId="TitleChar">
    <w:name w:val="Title Char"/>
    <w:basedOn w:val="DefaultParagraphFont"/>
    <w:link w:val="Title"/>
    <w:uiPriority w:val="10"/>
    <w:rsid w:val="00BB3320"/>
    <w:rPr>
      <w:rFonts w:asciiTheme="majorHAnsi" w:hAnsiTheme="majorHAnsi" w:cs="Arial"/>
      <w:b/>
      <w:bCs/>
      <w:sz w:val="48"/>
      <w:szCs w:val="54"/>
      <w14:ligatures w14:val="standardContextual"/>
    </w:rPr>
  </w:style>
  <w:style w:type="character" w:customStyle="1" w:styleId="Heading3Char">
    <w:name w:val="Heading 3 Char"/>
    <w:basedOn w:val="DefaultParagraphFont"/>
    <w:link w:val="Heading3"/>
    <w:uiPriority w:val="9"/>
    <w:rsid w:val="00920F4E"/>
    <w:rPr>
      <w:rFonts w:asciiTheme="majorHAnsi" w:hAnsiTheme="majorHAnsi" w:cs="MyriadPro-Regular"/>
      <w:bCs/>
      <w:color w:val="1E4496" w:themeColor="text2"/>
      <w:sz w:val="32"/>
      <w:szCs w:val="26"/>
      <w14:ligatures w14:val="standardContextual"/>
    </w:rPr>
  </w:style>
  <w:style w:type="character" w:customStyle="1" w:styleId="Heading4Char">
    <w:name w:val="Heading 4 Char"/>
    <w:basedOn w:val="DefaultParagraphFont"/>
    <w:link w:val="Heading4"/>
    <w:uiPriority w:val="9"/>
    <w:rsid w:val="005138AF"/>
    <w:rPr>
      <w:rFonts w:asciiTheme="majorHAnsi" w:eastAsiaTheme="majorEastAsia" w:hAnsiTheme="majorHAnsi" w:cstheme="majorBidi"/>
      <w:bCs/>
      <w:iCs/>
      <w:sz w:val="28"/>
      <w14:ligatures w14:val="standardContextual"/>
    </w:rPr>
  </w:style>
  <w:style w:type="character" w:customStyle="1" w:styleId="Heading5Char">
    <w:name w:val="Heading 5 Char"/>
    <w:basedOn w:val="DefaultParagraphFont"/>
    <w:link w:val="Heading5"/>
    <w:uiPriority w:val="9"/>
    <w:rsid w:val="005138AF"/>
    <w:rPr>
      <w:rFonts w:asciiTheme="majorHAnsi" w:eastAsiaTheme="majorEastAsia" w:hAnsiTheme="majorHAnsi" w:cstheme="majorBidi"/>
      <w:b/>
      <w:bCs/>
      <w:sz w:val="24"/>
      <w14:ligatures w14:val="standardContextual"/>
    </w:rPr>
  </w:style>
  <w:style w:type="character" w:customStyle="1" w:styleId="Heading6Char">
    <w:name w:val="Heading 6 Char"/>
    <w:basedOn w:val="DefaultParagraphFont"/>
    <w:link w:val="Heading6"/>
    <w:uiPriority w:val="9"/>
    <w:rsid w:val="005138AF"/>
    <w:rPr>
      <w:rFonts w:asciiTheme="majorHAnsi" w:eastAsiaTheme="majorEastAsia" w:hAnsiTheme="majorHAnsi" w:cstheme="majorBidi"/>
      <w:b/>
      <w:bCs/>
      <w:i/>
      <w:iCs/>
      <w:sz w:val="24"/>
      <w14:ligatures w14:val="standardContextual"/>
    </w:rPr>
  </w:style>
  <w:style w:type="paragraph" w:styleId="Subtitle">
    <w:name w:val="Subtitle"/>
    <w:basedOn w:val="Normal"/>
    <w:next w:val="Normal"/>
    <w:link w:val="SubtitleChar"/>
    <w:uiPriority w:val="11"/>
    <w:qFormat/>
    <w:rsid w:val="00A37B04"/>
    <w:pPr>
      <w:spacing w:before="240"/>
    </w:pPr>
    <w:rPr>
      <w:rFonts w:asciiTheme="majorHAnsi" w:hAnsiTheme="majorHAnsi"/>
      <w:sz w:val="28"/>
    </w:rPr>
  </w:style>
  <w:style w:type="character" w:customStyle="1" w:styleId="SubtitleChar">
    <w:name w:val="Subtitle Char"/>
    <w:basedOn w:val="DefaultParagraphFont"/>
    <w:link w:val="Subtitle"/>
    <w:uiPriority w:val="11"/>
    <w:rsid w:val="00A37B04"/>
    <w:rPr>
      <w:rFonts w:asciiTheme="majorHAnsi" w:hAnsiTheme="majorHAnsi"/>
      <w:sz w:val="28"/>
      <w14:ligatures w14:val="standardContextual"/>
    </w:rPr>
  </w:style>
  <w:style w:type="character" w:customStyle="1" w:styleId="Heading7Char">
    <w:name w:val="Heading 7 Char"/>
    <w:basedOn w:val="DefaultParagraphFont"/>
    <w:link w:val="Heading7"/>
    <w:uiPriority w:val="9"/>
    <w:semiHidden/>
    <w:rsid w:val="0074119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4119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41192"/>
    <w:rPr>
      <w:rFonts w:asciiTheme="majorHAnsi" w:eastAsiaTheme="majorEastAsia" w:hAnsiTheme="majorHAnsi" w:cstheme="majorBidi"/>
      <w:i/>
      <w:iCs/>
      <w:spacing w:val="5"/>
      <w:sz w:val="20"/>
      <w:szCs w:val="20"/>
    </w:rPr>
  </w:style>
  <w:style w:type="paragraph" w:customStyle="1" w:styleId="CDIFigure-Title">
    <w:name w:val="CDI Figure - Title"/>
    <w:basedOn w:val="CDITable-Title"/>
    <w:rsid w:val="00425757"/>
  </w:style>
  <w:style w:type="paragraph" w:styleId="Header">
    <w:name w:val="header"/>
    <w:basedOn w:val="Normal"/>
    <w:link w:val="HeaderChar"/>
    <w:uiPriority w:val="99"/>
    <w:unhideWhenUsed/>
    <w:rsid w:val="00690957"/>
    <w:pPr>
      <w:spacing w:before="0" w:line="240" w:lineRule="auto"/>
    </w:pPr>
  </w:style>
  <w:style w:type="paragraph" w:styleId="FootnoteText">
    <w:name w:val="footnote text"/>
    <w:basedOn w:val="Normal"/>
    <w:link w:val="FootnoteTextChar"/>
    <w:unhideWhenUsed/>
    <w:rsid w:val="00800288"/>
    <w:pPr>
      <w:spacing w:before="60"/>
      <w:ind w:left="397" w:hanging="397"/>
    </w:pPr>
    <w:rPr>
      <w:sz w:val="18"/>
      <w:szCs w:val="20"/>
    </w:rPr>
  </w:style>
  <w:style w:type="character" w:customStyle="1" w:styleId="FootnoteTextChar">
    <w:name w:val="Footnote Text Char"/>
    <w:basedOn w:val="DefaultParagraphFont"/>
    <w:link w:val="FootnoteText"/>
    <w:rsid w:val="00800288"/>
    <w:rPr>
      <w:sz w:val="18"/>
      <w:szCs w:val="20"/>
      <w14:ligatures w14:val="standardContextual"/>
    </w:rPr>
  </w:style>
  <w:style w:type="character" w:styleId="FootnoteReference">
    <w:name w:val="footnote reference"/>
    <w:basedOn w:val="DefaultParagraphFont"/>
    <w:unhideWhenUsed/>
    <w:rsid w:val="00224EFF"/>
    <w:rPr>
      <w:vertAlign w:val="superscript"/>
    </w:rPr>
  </w:style>
  <w:style w:type="paragraph" w:customStyle="1" w:styleId="Heading2-nospacebefore">
    <w:name w:val="Heading 2 - no space before"/>
    <w:basedOn w:val="Heading2"/>
    <w:link w:val="Heading2-nospacebeforeChar"/>
    <w:rsid w:val="004C62AA"/>
    <w:pPr>
      <w:spacing w:before="0"/>
    </w:pPr>
    <w:rPr>
      <w:lang w:val="en-GB"/>
    </w:rPr>
  </w:style>
  <w:style w:type="paragraph" w:customStyle="1" w:styleId="CDITable-Title">
    <w:name w:val="CDI Table - Title"/>
    <w:basedOn w:val="Normal"/>
    <w:next w:val="Normal"/>
    <w:uiPriority w:val="99"/>
    <w:rsid w:val="002571C9"/>
    <w:pPr>
      <w:keepNext/>
      <w:suppressAutoHyphens/>
      <w:autoSpaceDE w:val="0"/>
      <w:autoSpaceDN w:val="0"/>
      <w:adjustRightInd w:val="0"/>
      <w:spacing w:before="360" w:after="180"/>
      <w:textAlignment w:val="center"/>
    </w:pPr>
    <w:rPr>
      <w:rFonts w:cs="Minion3-Bold"/>
      <w:b/>
      <w:bCs/>
      <w:szCs w:val="23"/>
    </w:rPr>
  </w:style>
  <w:style w:type="paragraph" w:customStyle="1" w:styleId="CDITable-Footnote">
    <w:name w:val="CDI Table - Footnote"/>
    <w:basedOn w:val="Normal"/>
    <w:link w:val="CDITable-FootnoteChar"/>
    <w:uiPriority w:val="99"/>
    <w:rsid w:val="0052708C"/>
    <w:pPr>
      <w:autoSpaceDE w:val="0"/>
      <w:autoSpaceDN w:val="0"/>
      <w:adjustRightInd w:val="0"/>
      <w:spacing w:before="60"/>
      <w:ind w:left="284" w:hanging="284"/>
      <w:textAlignment w:val="center"/>
    </w:pPr>
    <w:rPr>
      <w:rFonts w:cs="Minion3Caption-Regular"/>
      <w:sz w:val="17"/>
      <w:szCs w:val="16"/>
    </w:rPr>
  </w:style>
  <w:style w:type="paragraph" w:customStyle="1" w:styleId="CDIAbouttext">
    <w:name w:val="CDI About text"/>
    <w:basedOn w:val="CDIBoxText"/>
    <w:rsid w:val="00423436"/>
    <w:rPr>
      <w:sz w:val="18"/>
      <w:szCs w:val="20"/>
    </w:rPr>
  </w:style>
  <w:style w:type="paragraph" w:styleId="TOCHeading">
    <w:name w:val="TOC Heading"/>
    <w:basedOn w:val="Heading1"/>
    <w:next w:val="Normal"/>
    <w:uiPriority w:val="39"/>
    <w:unhideWhenUsed/>
    <w:rsid w:val="00913840"/>
    <w:pPr>
      <w:autoSpaceDE/>
      <w:autoSpaceDN/>
      <w:adjustRightInd/>
      <w:textAlignment w:val="auto"/>
      <w:outlineLvl w:val="9"/>
    </w:pPr>
    <w:rPr>
      <w:rFonts w:eastAsiaTheme="majorEastAsia" w:cstheme="majorBidi"/>
      <w:bCs/>
      <w:kern w:val="28"/>
      <w:szCs w:val="28"/>
      <w:lang w:val="en-US" w:eastAsia="en-US"/>
    </w:rPr>
  </w:style>
  <w:style w:type="paragraph" w:customStyle="1" w:styleId="Heading3-nospacebefore">
    <w:name w:val="Heading 3 - no space before"/>
    <w:basedOn w:val="Heading3"/>
    <w:next w:val="Normal"/>
    <w:link w:val="Heading3-nospacebeforeChar"/>
    <w:rsid w:val="00BA2598"/>
    <w:pPr>
      <w:spacing w:before="0"/>
    </w:pPr>
    <w:rPr>
      <w:lang w:val="en-GB"/>
    </w:rPr>
  </w:style>
  <w:style w:type="character" w:customStyle="1" w:styleId="CDITable-FootnoteChar">
    <w:name w:val="CDI Table - Footnote Char"/>
    <w:basedOn w:val="DefaultParagraphFont"/>
    <w:link w:val="CDITable-Footnote"/>
    <w:uiPriority w:val="99"/>
    <w:rsid w:val="0052708C"/>
    <w:rPr>
      <w:rFonts w:cs="Minion3Caption-Regular"/>
      <w:sz w:val="17"/>
      <w:szCs w:val="16"/>
      <w14:ligatures w14:val="standardContextual"/>
    </w:rPr>
  </w:style>
  <w:style w:type="paragraph" w:customStyle="1" w:styleId="CDIBullets">
    <w:name w:val="CDI Bullets"/>
    <w:basedOn w:val="Normal"/>
    <w:uiPriority w:val="99"/>
    <w:rsid w:val="007179BE"/>
    <w:pPr>
      <w:numPr>
        <w:numId w:val="2"/>
      </w:numPr>
      <w:suppressAutoHyphens/>
      <w:autoSpaceDE w:val="0"/>
      <w:autoSpaceDN w:val="0"/>
      <w:adjustRightInd w:val="0"/>
      <w:ind w:left="794" w:hanging="397"/>
      <w:textAlignment w:val="center"/>
    </w:pPr>
    <w:rPr>
      <w:rFonts w:cs="Minion3-Regular"/>
      <w:szCs w:val="23"/>
    </w:rPr>
  </w:style>
  <w:style w:type="paragraph" w:customStyle="1" w:styleId="CDINumberedList1L1">
    <w:name w:val="CDI Numbered List (1.) L1"/>
    <w:basedOn w:val="Normal"/>
    <w:uiPriority w:val="99"/>
    <w:rsid w:val="00C735E0"/>
    <w:pPr>
      <w:keepLines/>
      <w:numPr>
        <w:numId w:val="1"/>
      </w:numPr>
      <w:autoSpaceDE w:val="0"/>
      <w:autoSpaceDN w:val="0"/>
      <w:adjustRightInd w:val="0"/>
      <w:ind w:left="397" w:hanging="397"/>
      <w:textAlignment w:val="center"/>
    </w:pPr>
    <w:rPr>
      <w:rFonts w:cs="Minion3-Regular"/>
      <w:szCs w:val="23"/>
    </w:rPr>
  </w:style>
  <w:style w:type="paragraph" w:customStyle="1" w:styleId="CDIBoxBullet">
    <w:name w:val="CDI Box Bullet"/>
    <w:basedOn w:val="Normal"/>
    <w:rsid w:val="007179BE"/>
    <w:pPr>
      <w:numPr>
        <w:numId w:val="5"/>
      </w:numPr>
      <w:pBdr>
        <w:top w:val="single" w:sz="6" w:space="4" w:color="53C9F1" w:themeColor="background2"/>
        <w:left w:val="single" w:sz="6" w:space="4" w:color="53C9F1" w:themeColor="background2"/>
        <w:bottom w:val="single" w:sz="6" w:space="4" w:color="53C9F1" w:themeColor="background2"/>
        <w:right w:val="single" w:sz="6" w:space="4" w:color="53C9F1" w:themeColor="background2"/>
      </w:pBdr>
      <w:spacing w:before="120"/>
      <w:ind w:left="397" w:hanging="397"/>
    </w:pPr>
    <w:rPr>
      <w:rFonts w:eastAsia="Arial"/>
      <w:szCs w:val="24"/>
      <w:lang w:eastAsia="en-US"/>
    </w:rPr>
  </w:style>
  <w:style w:type="paragraph" w:customStyle="1" w:styleId="CDIBoxHeading">
    <w:name w:val="CDI Box Heading"/>
    <w:basedOn w:val="Normal"/>
    <w:rsid w:val="006C5B50"/>
    <w:pPr>
      <w:keepNext/>
      <w:keepLines/>
      <w:pBdr>
        <w:top w:val="single" w:sz="6" w:space="4" w:color="53C9F1" w:themeColor="background2"/>
        <w:left w:val="single" w:sz="6" w:space="4" w:color="53C9F1" w:themeColor="background2"/>
        <w:bottom w:val="single" w:sz="6" w:space="4" w:color="53C9F1" w:themeColor="background2"/>
        <w:right w:val="single" w:sz="6" w:space="4" w:color="53C9F1" w:themeColor="background2"/>
      </w:pBdr>
      <w:outlineLvl w:val="1"/>
    </w:pPr>
    <w:rPr>
      <w:rFonts w:eastAsia="Times New Roman" w:cs="Times New Roman"/>
      <w:color w:val="1E4496" w:themeColor="text2"/>
      <w:sz w:val="28"/>
      <w:szCs w:val="24"/>
      <w:lang w:eastAsia="en-US"/>
    </w:rPr>
  </w:style>
  <w:style w:type="paragraph" w:customStyle="1" w:styleId="CDIBoxText">
    <w:name w:val="CDI Box Text"/>
    <w:basedOn w:val="Normal"/>
    <w:rsid w:val="003E4B09"/>
    <w:pPr>
      <w:pBdr>
        <w:top w:val="single" w:sz="6" w:space="4" w:color="53C9F1" w:themeColor="background2"/>
        <w:left w:val="single" w:sz="6" w:space="4" w:color="53C9F1" w:themeColor="background2"/>
        <w:bottom w:val="single" w:sz="6" w:space="4" w:color="53C9F1" w:themeColor="background2"/>
        <w:right w:val="single" w:sz="6" w:space="4" w:color="53C9F1" w:themeColor="background2"/>
      </w:pBdr>
    </w:pPr>
  </w:style>
  <w:style w:type="paragraph" w:customStyle="1" w:styleId="CDIPublicationstring">
    <w:name w:val="CDI Publication string"/>
    <w:basedOn w:val="Normal"/>
    <w:link w:val="CDIPublicationstringChar"/>
    <w:rsid w:val="00700338"/>
    <w:pPr>
      <w:spacing w:before="2640"/>
    </w:pPr>
    <w:rPr>
      <w:rFonts w:ascii="Arial" w:hAnsi="Arial"/>
      <w:sz w:val="20"/>
    </w:rPr>
  </w:style>
  <w:style w:type="paragraph" w:customStyle="1" w:styleId="CDIFigure-Placeholder">
    <w:name w:val="CDI Figure - Placeholder"/>
    <w:basedOn w:val="Normal"/>
    <w:rsid w:val="00BB589B"/>
    <w:pPr>
      <w:spacing w:before="240" w:after="240"/>
      <w:jc w:val="center"/>
    </w:pPr>
  </w:style>
  <w:style w:type="paragraph" w:customStyle="1" w:styleId="CDITable-FirstFootnote">
    <w:name w:val="CDI Table - First Footnote"/>
    <w:basedOn w:val="CDITable-Footnote"/>
    <w:rsid w:val="0052708C"/>
    <w:pPr>
      <w:spacing w:before="180"/>
    </w:pPr>
  </w:style>
  <w:style w:type="paragraph" w:customStyle="1" w:styleId="CDIAbout">
    <w:name w:val="CDI About"/>
    <w:basedOn w:val="CDIBoxHeading"/>
    <w:rsid w:val="00423436"/>
    <w:pPr>
      <w:spacing w:before="360"/>
      <w:outlineLvl w:val="9"/>
    </w:pPr>
    <w:rPr>
      <w:sz w:val="24"/>
    </w:rPr>
  </w:style>
  <w:style w:type="character" w:customStyle="1" w:styleId="CDICopyrighttextbullet">
    <w:name w:val="CDI Copyright text bullet"/>
    <w:basedOn w:val="DefaultParagraphFont"/>
    <w:uiPriority w:val="1"/>
    <w:rsid w:val="00734159"/>
    <w:rPr>
      <w:rFonts w:cs="Arial"/>
      <w:color w:val="1E4496" w:themeColor="text2"/>
    </w:rPr>
  </w:style>
  <w:style w:type="paragraph" w:customStyle="1" w:styleId="CDICopyrightHeading">
    <w:name w:val="CDI Copyright Heading"/>
    <w:basedOn w:val="CDICopyright"/>
    <w:rsid w:val="00CC3648"/>
    <w:pPr>
      <w:spacing w:before="180"/>
    </w:pPr>
    <w:rPr>
      <w:b/>
      <w:bCs/>
    </w:rPr>
  </w:style>
  <w:style w:type="character" w:styleId="Hyperlink">
    <w:name w:val="Hyperlink"/>
    <w:basedOn w:val="DefaultParagraphFont"/>
    <w:uiPriority w:val="99"/>
    <w:unhideWhenUsed/>
    <w:rsid w:val="00423436"/>
    <w:rPr>
      <w:color w:val="1E4496" w:themeColor="text2"/>
      <w:u w:val="single"/>
    </w:rPr>
  </w:style>
  <w:style w:type="character" w:customStyle="1" w:styleId="HeaderChar">
    <w:name w:val="Header Char"/>
    <w:basedOn w:val="DefaultParagraphFont"/>
    <w:link w:val="Header"/>
    <w:uiPriority w:val="99"/>
    <w:rsid w:val="00690957"/>
    <w:rPr>
      <w:rFonts w:ascii="Calibri" w:hAnsi="Calibri"/>
      <w14:ligatures w14:val="standardContextual"/>
    </w:rPr>
  </w:style>
  <w:style w:type="paragraph" w:customStyle="1" w:styleId="Normal-morespacebefore">
    <w:name w:val="Normal - more space before"/>
    <w:basedOn w:val="Normal"/>
    <w:rsid w:val="00662078"/>
    <w:pPr>
      <w:spacing w:before="360"/>
    </w:pPr>
  </w:style>
  <w:style w:type="paragraph" w:customStyle="1" w:styleId="CDITable-HeaderRowLeft">
    <w:name w:val="CDI Table - Header Row Left"/>
    <w:basedOn w:val="CDITable-Title"/>
    <w:rsid w:val="00987E68"/>
    <w:pPr>
      <w:spacing w:beforeAutospacing="1" w:afterAutospacing="1" w:line="240" w:lineRule="auto"/>
    </w:pPr>
    <w:rPr>
      <w:color w:val="FFFFFF" w:themeColor="background1"/>
      <w:sz w:val="18"/>
    </w:rPr>
  </w:style>
  <w:style w:type="paragraph" w:customStyle="1" w:styleId="CDITable-RowLeft">
    <w:name w:val="CDI Table - Row Left"/>
    <w:basedOn w:val="Normal"/>
    <w:rsid w:val="002571C9"/>
    <w:pPr>
      <w:spacing w:before="100" w:beforeAutospacing="1" w:after="100" w:afterAutospacing="1" w:line="240" w:lineRule="auto"/>
    </w:pPr>
    <w:rPr>
      <w:sz w:val="18"/>
    </w:rPr>
  </w:style>
  <w:style w:type="paragraph" w:customStyle="1" w:styleId="CDITable-TotalRowLeft">
    <w:name w:val="CDI Table - Total Row Left"/>
    <w:basedOn w:val="Normal"/>
    <w:rsid w:val="00AC46DC"/>
    <w:pPr>
      <w:spacing w:before="100" w:beforeAutospacing="1" w:after="100" w:afterAutospacing="1" w:line="240" w:lineRule="auto"/>
    </w:pPr>
    <w:rPr>
      <w:b/>
      <w:sz w:val="18"/>
    </w:rPr>
  </w:style>
  <w:style w:type="paragraph" w:customStyle="1" w:styleId="CDITable-TotalRowCentre">
    <w:name w:val="CDI Table - Total Row Centre"/>
    <w:basedOn w:val="CDITable-TotalRowLeft"/>
    <w:rsid w:val="00734159"/>
    <w:pPr>
      <w:jc w:val="center"/>
    </w:pPr>
  </w:style>
  <w:style w:type="paragraph" w:customStyle="1" w:styleId="CDITable-RowCentre">
    <w:name w:val="CDI Table - Row Centre"/>
    <w:basedOn w:val="CDITable-RowLeft"/>
    <w:rsid w:val="002571C9"/>
    <w:pPr>
      <w:jc w:val="center"/>
    </w:pPr>
  </w:style>
  <w:style w:type="paragraph" w:customStyle="1" w:styleId="CDITable-HeaderRowCentre">
    <w:name w:val="CDI Table - Header Row Centre"/>
    <w:basedOn w:val="Normal"/>
    <w:rsid w:val="00987E68"/>
    <w:pPr>
      <w:spacing w:beforeAutospacing="1" w:afterAutospacing="1" w:line="240" w:lineRule="auto"/>
      <w:jc w:val="center"/>
    </w:pPr>
    <w:rPr>
      <w:b/>
      <w:color w:val="FFFFFF" w:themeColor="background1"/>
      <w:sz w:val="18"/>
      <w:lang w:val="en-GB"/>
    </w:rPr>
  </w:style>
  <w:style w:type="paragraph" w:customStyle="1" w:styleId="Normal-lessspace">
    <w:name w:val="Normal - less space"/>
    <w:basedOn w:val="Normal"/>
    <w:rsid w:val="00F8130F"/>
    <w:pPr>
      <w:spacing w:before="120"/>
    </w:pPr>
    <w:rPr>
      <w:lang w:val="en-GB"/>
    </w:rPr>
  </w:style>
  <w:style w:type="paragraph" w:customStyle="1" w:styleId="Normal-nospace">
    <w:name w:val="Normal - no space"/>
    <w:basedOn w:val="Normal"/>
    <w:rsid w:val="00962C2F"/>
    <w:pPr>
      <w:spacing w:before="0"/>
    </w:pPr>
    <w:rPr>
      <w:noProof/>
    </w:rPr>
  </w:style>
  <w:style w:type="paragraph" w:customStyle="1" w:styleId="CDIShadedBoxText">
    <w:name w:val="CDI Shaded Box Text"/>
    <w:basedOn w:val="CDIBoxText"/>
    <w:rsid w:val="00CD4362"/>
    <w:pPr>
      <w:pBdr>
        <w:top w:val="single" w:sz="6" w:space="4" w:color="DCF4FC" w:themeColor="background2" w:themeTint="33"/>
        <w:left w:val="single" w:sz="6" w:space="4" w:color="DCF4FC" w:themeColor="background2" w:themeTint="33"/>
        <w:bottom w:val="single" w:sz="6" w:space="4" w:color="DCF4FC" w:themeColor="background2" w:themeTint="33"/>
        <w:right w:val="single" w:sz="6" w:space="4" w:color="DCF4FC" w:themeColor="background2" w:themeTint="33"/>
      </w:pBdr>
      <w:shd w:val="clear" w:color="auto" w:fill="DCF4FC" w:themeFill="background2" w:themeFillTint="33"/>
    </w:pPr>
  </w:style>
  <w:style w:type="paragraph" w:customStyle="1" w:styleId="CDIShadedBoxHeading">
    <w:name w:val="CDI Shaded Box Heading"/>
    <w:basedOn w:val="CDIBoxHeading"/>
    <w:rsid w:val="00CD4362"/>
    <w:pPr>
      <w:pBdr>
        <w:top w:val="single" w:sz="6" w:space="4" w:color="DCF4FC" w:themeColor="background2" w:themeTint="33"/>
        <w:left w:val="single" w:sz="6" w:space="4" w:color="DCF4FC" w:themeColor="background2" w:themeTint="33"/>
        <w:bottom w:val="single" w:sz="6" w:space="4" w:color="DCF4FC" w:themeColor="background2" w:themeTint="33"/>
        <w:right w:val="single" w:sz="6" w:space="4" w:color="DCF4FC" w:themeColor="background2" w:themeTint="33"/>
      </w:pBdr>
      <w:shd w:val="clear" w:color="auto" w:fill="DCF4FC" w:themeFill="background2" w:themeFillTint="33"/>
    </w:pPr>
  </w:style>
  <w:style w:type="paragraph" w:customStyle="1" w:styleId="CDINumberedList1-L1lessspace">
    <w:name w:val="CDI Numbered List (1.) - L1 less space"/>
    <w:basedOn w:val="CDINumberedList1L1"/>
    <w:rsid w:val="00343991"/>
    <w:pPr>
      <w:spacing w:before="120"/>
    </w:pPr>
  </w:style>
  <w:style w:type="paragraph" w:customStyle="1" w:styleId="CDITable-RowBullets">
    <w:name w:val="CDI Table - Row Bullets"/>
    <w:basedOn w:val="CDITable-RowLeft"/>
    <w:rsid w:val="009C0E89"/>
    <w:pPr>
      <w:numPr>
        <w:numId w:val="3"/>
      </w:numPr>
      <w:spacing w:before="120" w:beforeAutospacing="0" w:after="0" w:afterAutospacing="0"/>
      <w:ind w:left="170" w:hanging="170"/>
    </w:pPr>
  </w:style>
  <w:style w:type="paragraph" w:customStyle="1" w:styleId="CDIShadedBoxBullets">
    <w:name w:val="CDI Shaded Box Bullets"/>
    <w:basedOn w:val="CDIBoxBullet"/>
    <w:rsid w:val="00CD4362"/>
    <w:pPr>
      <w:pBdr>
        <w:top w:val="single" w:sz="6" w:space="4" w:color="DCF4FC" w:themeColor="background2" w:themeTint="33"/>
        <w:left w:val="single" w:sz="6" w:space="4" w:color="DCF4FC" w:themeColor="background2" w:themeTint="33"/>
        <w:bottom w:val="single" w:sz="6" w:space="4" w:color="DCF4FC" w:themeColor="background2" w:themeTint="33"/>
        <w:right w:val="single" w:sz="6" w:space="4" w:color="DCF4FC" w:themeColor="background2" w:themeTint="33"/>
      </w:pBdr>
      <w:shd w:val="clear" w:color="auto" w:fill="DCF4FC" w:themeFill="background2" w:themeFillTint="33"/>
    </w:pPr>
  </w:style>
  <w:style w:type="paragraph" w:styleId="Revision">
    <w:name w:val="Revision"/>
    <w:hidden/>
    <w:uiPriority w:val="99"/>
    <w:semiHidden/>
    <w:rsid w:val="006221DD"/>
    <w:pPr>
      <w:spacing w:after="0" w:line="240" w:lineRule="auto"/>
    </w:pPr>
    <w:rPr>
      <w:rFonts w:ascii="Calibri" w:hAnsi="Calibri"/>
      <w14:ligatures w14:val="standardContextual"/>
    </w:rPr>
  </w:style>
  <w:style w:type="paragraph" w:customStyle="1" w:styleId="CDICopyright">
    <w:name w:val="CDI Copyright"/>
    <w:basedOn w:val="Normal"/>
    <w:rsid w:val="00CC3648"/>
    <w:pPr>
      <w:spacing w:before="120"/>
    </w:pPr>
    <w:rPr>
      <w:sz w:val="18"/>
    </w:rPr>
  </w:style>
  <w:style w:type="paragraph" w:customStyle="1" w:styleId="Heading1-nospacebefore">
    <w:name w:val="Heading 1 - no space before"/>
    <w:basedOn w:val="Heading1"/>
    <w:next w:val="Normal"/>
    <w:link w:val="Heading1-nospacebeforeChar"/>
    <w:rsid w:val="00122ADA"/>
    <w:pPr>
      <w:spacing w:before="0"/>
    </w:pPr>
  </w:style>
  <w:style w:type="paragraph" w:customStyle="1" w:styleId="Heading1-lessspacebefore">
    <w:name w:val="Heading 1 - less space before"/>
    <w:basedOn w:val="Heading1"/>
    <w:link w:val="Heading1-lessspacebeforeChar"/>
    <w:rsid w:val="00B87887"/>
    <w:pPr>
      <w:spacing w:before="180"/>
    </w:pPr>
    <w:rPr>
      <w:lang w:val="en-GB"/>
    </w:rPr>
  </w:style>
  <w:style w:type="character" w:customStyle="1" w:styleId="Heading1-lessspacebeforeChar">
    <w:name w:val="Heading 1 - less space before Char"/>
    <w:basedOn w:val="Heading1Char"/>
    <w:link w:val="Heading1-lessspacebefore"/>
    <w:rsid w:val="00B87887"/>
    <w:rPr>
      <w:rFonts w:asciiTheme="majorHAnsi" w:hAnsiTheme="majorHAnsi" w:cs="Manrope ExtraLight"/>
      <w:b/>
      <w:color w:val="1E4496" w:themeColor="text2"/>
      <w:sz w:val="48"/>
      <w:szCs w:val="32"/>
      <w:lang w:val="en-GB"/>
      <w14:ligatures w14:val="standardContextual"/>
    </w:rPr>
  </w:style>
  <w:style w:type="character" w:customStyle="1" w:styleId="Heading1-nospacebeforeChar">
    <w:name w:val="Heading 1 - no space before Char"/>
    <w:basedOn w:val="Heading1Char"/>
    <w:link w:val="Heading1-nospacebefore"/>
    <w:rsid w:val="00BA2598"/>
    <w:rPr>
      <w:rFonts w:ascii="Arial" w:hAnsi="Arial" w:cs="Manrope ExtraLight"/>
      <w:b/>
      <w:color w:val="1E4496" w:themeColor="text2"/>
      <w:kern w:val="2"/>
      <w:sz w:val="48"/>
      <w:szCs w:val="32"/>
      <w14:ligatures w14:val="standardContextual"/>
    </w:rPr>
  </w:style>
  <w:style w:type="character" w:customStyle="1" w:styleId="Heading2-nospacebeforeChar">
    <w:name w:val="Heading 2 - no space before Char"/>
    <w:basedOn w:val="Heading2Char"/>
    <w:link w:val="Heading2-nospacebefore"/>
    <w:rsid w:val="00BA2598"/>
    <w:rPr>
      <w:rFonts w:ascii="Arial" w:hAnsi="Arial" w:cs="MyriadPro-Bold"/>
      <w:b/>
      <w:bCs/>
      <w:color w:val="1E4496" w:themeColor="text2"/>
      <w:sz w:val="38"/>
      <w:szCs w:val="28"/>
      <w:lang w:val="en-GB"/>
      <w14:ligatures w14:val="standardContextual"/>
    </w:rPr>
  </w:style>
  <w:style w:type="paragraph" w:customStyle="1" w:styleId="Heading2-lessspacebefore">
    <w:name w:val="Heading 2 - less space before"/>
    <w:basedOn w:val="Heading2"/>
    <w:next w:val="Normal"/>
    <w:link w:val="Heading2-lessspacebeforeChar"/>
    <w:rsid w:val="00B87887"/>
    <w:pPr>
      <w:spacing w:before="180"/>
    </w:pPr>
  </w:style>
  <w:style w:type="character" w:customStyle="1" w:styleId="Heading2-lessspacebeforeChar">
    <w:name w:val="Heading 2 - less space before Char"/>
    <w:basedOn w:val="Heading2Char"/>
    <w:link w:val="Heading2-lessspacebefore"/>
    <w:rsid w:val="00B87887"/>
    <w:rPr>
      <w:rFonts w:asciiTheme="majorHAnsi" w:hAnsiTheme="majorHAnsi" w:cs="MyriadPro-Bold"/>
      <w:b/>
      <w:bCs/>
      <w:color w:val="1E4496" w:themeColor="text2"/>
      <w:sz w:val="38"/>
      <w:szCs w:val="28"/>
      <w14:ligatures w14:val="standardContextual"/>
    </w:rPr>
  </w:style>
  <w:style w:type="character" w:customStyle="1" w:styleId="Heading3-nospacebeforeChar">
    <w:name w:val="Heading 3 - no space before Char"/>
    <w:basedOn w:val="Heading3Char"/>
    <w:link w:val="Heading3-nospacebefore"/>
    <w:rsid w:val="00BA2598"/>
    <w:rPr>
      <w:rFonts w:ascii="Arial" w:hAnsi="Arial" w:cs="MyriadPro-Regular"/>
      <w:bCs/>
      <w:color w:val="1E4496" w:themeColor="text2"/>
      <w:sz w:val="32"/>
      <w:szCs w:val="26"/>
      <w:lang w:val="en-GB"/>
      <w14:ligatures w14:val="standardContextual"/>
    </w:rPr>
  </w:style>
  <w:style w:type="paragraph" w:customStyle="1" w:styleId="Heading3-lessspacebefore">
    <w:name w:val="Heading 3 - less space before"/>
    <w:basedOn w:val="Heading3"/>
    <w:next w:val="Normal"/>
    <w:link w:val="Heading3-lessspacebeforeChar"/>
    <w:rsid w:val="00B87887"/>
    <w:pPr>
      <w:spacing w:before="180"/>
    </w:pPr>
  </w:style>
  <w:style w:type="character" w:customStyle="1" w:styleId="Heading3-lessspacebeforeChar">
    <w:name w:val="Heading 3 - less space before Char"/>
    <w:basedOn w:val="Heading3Char"/>
    <w:link w:val="Heading3-lessspacebefore"/>
    <w:rsid w:val="00B87887"/>
    <w:rPr>
      <w:rFonts w:asciiTheme="majorHAnsi" w:hAnsiTheme="majorHAnsi" w:cs="MyriadPro-Regular"/>
      <w:bCs/>
      <w:color w:val="1E4496" w:themeColor="text2"/>
      <w:sz w:val="32"/>
      <w:szCs w:val="26"/>
      <w14:ligatures w14:val="standardContextual"/>
    </w:rPr>
  </w:style>
  <w:style w:type="paragraph" w:customStyle="1" w:styleId="CDICorrespondingauthor">
    <w:name w:val="CDI Corresponding author"/>
    <w:basedOn w:val="Heading4"/>
    <w:next w:val="Normal"/>
    <w:link w:val="CDICorrespondingauthorChar"/>
    <w:rsid w:val="003E4B09"/>
    <w:pPr>
      <w:outlineLvl w:val="1"/>
    </w:pPr>
  </w:style>
  <w:style w:type="character" w:customStyle="1" w:styleId="CDICorrespondingauthorChar">
    <w:name w:val="CDI Corresponding author Char"/>
    <w:basedOn w:val="Heading4Char"/>
    <w:link w:val="CDICorrespondingauthor"/>
    <w:rsid w:val="003E4B09"/>
    <w:rPr>
      <w:rFonts w:asciiTheme="majorHAnsi" w:eastAsiaTheme="majorEastAsia" w:hAnsiTheme="majorHAnsi" w:cstheme="majorBidi"/>
      <w:bCs/>
      <w:iCs/>
      <w:color w:val="1E4496" w:themeColor="text2"/>
      <w:sz w:val="28"/>
      <w:lang w:val="en-GB"/>
      <w14:ligatures w14:val="standardContextual"/>
    </w:rPr>
  </w:style>
  <w:style w:type="character" w:customStyle="1" w:styleId="CDIFooterChar">
    <w:name w:val="CDI Footer Char"/>
    <w:basedOn w:val="DefaultParagraphFont"/>
    <w:link w:val="CDIFooter"/>
    <w:rsid w:val="00E94D1B"/>
    <w:rPr>
      <w:sz w:val="18"/>
      <w:szCs w:val="18"/>
      <w14:ligatures w14:val="standardContextual"/>
    </w:rPr>
  </w:style>
  <w:style w:type="paragraph" w:customStyle="1" w:styleId="CDIDOIInformation-nospace">
    <w:name w:val="CDI DOI Information - no space"/>
    <w:basedOn w:val="CDIPublicationstring"/>
    <w:rsid w:val="003C02BF"/>
    <w:pPr>
      <w:spacing w:before="0"/>
    </w:pPr>
  </w:style>
  <w:style w:type="character" w:customStyle="1" w:styleId="CDIPublicationstringChar">
    <w:name w:val="CDI Publication string Char"/>
    <w:basedOn w:val="DefaultParagraphFont"/>
    <w:link w:val="CDIPublicationstring"/>
    <w:rsid w:val="00700338"/>
    <w:rPr>
      <w:rFonts w:ascii="Arial" w:hAnsi="Arial"/>
      <w:sz w:val="20"/>
      <w14:ligatures w14:val="standardContextual"/>
    </w:rPr>
  </w:style>
  <w:style w:type="paragraph" w:customStyle="1" w:styleId="CDIName">
    <w:name w:val="CDI Name"/>
    <w:basedOn w:val="CDIPublicationstring"/>
    <w:link w:val="CDINameChar"/>
    <w:rsid w:val="00867976"/>
    <w:rPr>
      <w:rFonts w:cs="Arial"/>
      <w:bCs/>
      <w:spacing w:val="-5"/>
      <w:szCs w:val="21"/>
    </w:rPr>
  </w:style>
  <w:style w:type="character" w:customStyle="1" w:styleId="CDINameChar">
    <w:name w:val="CDI Name Char"/>
    <w:basedOn w:val="CDIPublicationstringChar"/>
    <w:link w:val="CDIName"/>
    <w:rsid w:val="00867976"/>
    <w:rPr>
      <w:rFonts w:ascii="Arial" w:hAnsi="Arial" w:cs="Arial"/>
      <w:bCs/>
      <w:spacing w:val="-5"/>
      <w:sz w:val="21"/>
      <w:szCs w:val="21"/>
      <w14:ligatures w14:val="standardContextual"/>
    </w:rPr>
  </w:style>
  <w:style w:type="paragraph" w:customStyle="1" w:styleId="CDIAbouttextLess">
    <w:name w:val="CDI About text Less"/>
    <w:basedOn w:val="CDIAbouttext"/>
    <w:rsid w:val="00B87589"/>
    <w:pPr>
      <w:spacing w:before="60"/>
    </w:pPr>
  </w:style>
  <w:style w:type="paragraph" w:customStyle="1" w:styleId="CDICopyright-lessspace">
    <w:name w:val="CDI Copyright - less space"/>
    <w:basedOn w:val="CDICopyright"/>
    <w:rsid w:val="00D8087F"/>
    <w:pPr>
      <w:numPr>
        <w:numId w:val="6"/>
      </w:numPr>
      <w:spacing w:before="60"/>
    </w:pPr>
  </w:style>
  <w:style w:type="paragraph" w:styleId="TOC1">
    <w:name w:val="toc 1"/>
    <w:basedOn w:val="Normal"/>
    <w:next w:val="Normal"/>
    <w:autoRedefine/>
    <w:uiPriority w:val="39"/>
    <w:unhideWhenUsed/>
    <w:rsid w:val="003E4B09"/>
    <w:pPr>
      <w:tabs>
        <w:tab w:val="right" w:leader="dot" w:pos="9629"/>
      </w:tabs>
    </w:pPr>
    <w:rPr>
      <w:rFonts w:eastAsiaTheme="minorHAnsi" w:cstheme="minorHAnsi"/>
      <w:b/>
      <w:bCs/>
      <w:iCs/>
      <w:szCs w:val="24"/>
      <w:lang w:eastAsia="en-US"/>
    </w:rPr>
  </w:style>
  <w:style w:type="paragraph" w:styleId="TOC2">
    <w:name w:val="toc 2"/>
    <w:basedOn w:val="Normal"/>
    <w:next w:val="Normal"/>
    <w:autoRedefine/>
    <w:uiPriority w:val="39"/>
    <w:unhideWhenUsed/>
    <w:rsid w:val="00897881"/>
    <w:pPr>
      <w:spacing w:before="120"/>
      <w:ind w:left="284"/>
    </w:pPr>
    <w:rPr>
      <w:rFonts w:eastAsiaTheme="minorHAnsi" w:cstheme="minorHAnsi"/>
      <w:bCs/>
      <w:lang w:eastAsia="en-US"/>
    </w:rPr>
  </w:style>
  <w:style w:type="character" w:styleId="UnresolvedMention">
    <w:name w:val="Unresolved Mention"/>
    <w:basedOn w:val="DefaultParagraphFont"/>
    <w:uiPriority w:val="99"/>
    <w:semiHidden/>
    <w:unhideWhenUsed/>
    <w:rsid w:val="00B87887"/>
    <w:rPr>
      <w:color w:val="605E5C"/>
      <w:shd w:val="clear" w:color="auto" w:fill="E1DFDD"/>
    </w:rPr>
  </w:style>
  <w:style w:type="paragraph" w:customStyle="1" w:styleId="Heading1-noline">
    <w:name w:val="Heading 1 - no line"/>
    <w:basedOn w:val="Heading1"/>
    <w:next w:val="Normal"/>
    <w:rsid w:val="0098426C"/>
    <w:pPr>
      <w:pageBreakBefore w:val="0"/>
      <w:pBdr>
        <w:bottom w:val="none" w:sz="0" w:space="0" w:color="auto"/>
      </w:pBdr>
    </w:pPr>
    <w:rPr>
      <w:lang w:val="en-GB"/>
    </w:rPr>
  </w:style>
  <w:style w:type="paragraph" w:customStyle="1" w:styleId="CDICopyrightBullets">
    <w:name w:val="CDI Copyright Bullets"/>
    <w:basedOn w:val="CDICopyright"/>
    <w:rsid w:val="00BB3320"/>
    <w:pPr>
      <w:numPr>
        <w:numId w:val="8"/>
      </w:numPr>
    </w:pPr>
  </w:style>
  <w:style w:type="paragraph" w:customStyle="1" w:styleId="Heading2-newpage">
    <w:name w:val="Heading 2 - new page"/>
    <w:basedOn w:val="Heading2"/>
    <w:next w:val="Normal"/>
    <w:rsid w:val="003A25A3"/>
    <w:pPr>
      <w:pageBreakBefore/>
    </w:pPr>
  </w:style>
  <w:style w:type="numbering" w:customStyle="1" w:styleId="CDInavybullet">
    <w:name w:val="CDI navy bullet"/>
    <w:basedOn w:val="NoList"/>
    <w:rsid w:val="00E62A74"/>
    <w:pPr>
      <w:numPr>
        <w:numId w:val="7"/>
      </w:numPr>
    </w:pPr>
  </w:style>
  <w:style w:type="paragraph" w:styleId="TableofFigures">
    <w:name w:val="table of figures"/>
    <w:basedOn w:val="Normal"/>
    <w:next w:val="Normal"/>
    <w:uiPriority w:val="99"/>
    <w:unhideWhenUsed/>
    <w:rsid w:val="00FD7AA0"/>
  </w:style>
  <w:style w:type="paragraph" w:styleId="BodyText">
    <w:name w:val="Body Text"/>
    <w:basedOn w:val="Normal"/>
    <w:link w:val="BodyTextChar"/>
    <w:uiPriority w:val="99"/>
    <w:semiHidden/>
    <w:unhideWhenUsed/>
    <w:rsid w:val="000F44BA"/>
    <w:pPr>
      <w:spacing w:after="120"/>
    </w:pPr>
  </w:style>
  <w:style w:type="character" w:customStyle="1" w:styleId="BodyTextChar">
    <w:name w:val="Body Text Char"/>
    <w:basedOn w:val="DefaultParagraphFont"/>
    <w:link w:val="BodyText"/>
    <w:uiPriority w:val="99"/>
    <w:semiHidden/>
    <w:rsid w:val="000F44BA"/>
    <w:rPr>
      <w14:ligatures w14:val="standardContextual"/>
    </w:rPr>
  </w:style>
  <w:style w:type="character" w:styleId="CommentReference">
    <w:name w:val="annotation reference"/>
    <w:basedOn w:val="DefaultParagraphFont"/>
    <w:uiPriority w:val="99"/>
    <w:semiHidden/>
    <w:unhideWhenUsed/>
    <w:rsid w:val="007B537E"/>
    <w:rPr>
      <w:sz w:val="16"/>
      <w:szCs w:val="16"/>
    </w:rPr>
  </w:style>
  <w:style w:type="paragraph" w:styleId="CommentSubject">
    <w:name w:val="annotation subject"/>
    <w:basedOn w:val="Normal"/>
    <w:next w:val="Normal"/>
    <w:link w:val="CommentSubjectChar"/>
    <w:uiPriority w:val="99"/>
    <w:semiHidden/>
    <w:unhideWhenUsed/>
    <w:rsid w:val="00BE479F"/>
    <w:pPr>
      <w:spacing w:line="240" w:lineRule="auto"/>
    </w:pPr>
    <w:rPr>
      <w:b/>
      <w:bCs/>
      <w:sz w:val="20"/>
      <w:szCs w:val="20"/>
    </w:rPr>
  </w:style>
  <w:style w:type="character" w:customStyle="1" w:styleId="CommentSubjectChar">
    <w:name w:val="Comment Subject Char"/>
    <w:basedOn w:val="DefaultParagraphFont"/>
    <w:link w:val="CommentSubject"/>
    <w:uiPriority w:val="99"/>
    <w:semiHidden/>
    <w:rsid w:val="00BE479F"/>
    <w:rPr>
      <w:b/>
      <w:bCs/>
      <w:sz w:val="20"/>
      <w:szCs w:val="20"/>
      <w14:ligatures w14:val="standardContextual"/>
    </w:rPr>
  </w:style>
  <w:style w:type="paragraph" w:customStyle="1" w:styleId="CDIFooteritalic">
    <w:name w:val="CDI Footer italic"/>
    <w:basedOn w:val="CDIFooter"/>
    <w:next w:val="CDIFooter"/>
    <w:link w:val="CDIFooteritalicChar"/>
    <w:rsid w:val="00385655"/>
    <w:rPr>
      <w:i/>
    </w:rPr>
  </w:style>
  <w:style w:type="table" w:styleId="TableGrid">
    <w:name w:val="Table Grid"/>
    <w:basedOn w:val="TableNormal"/>
    <w:uiPriority w:val="59"/>
    <w:rsid w:val="00BB33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DIFooteritalicChar">
    <w:name w:val="CDI Footer italic Char"/>
    <w:basedOn w:val="CDIFooterChar"/>
    <w:link w:val="CDIFooteritalic"/>
    <w:rsid w:val="00385655"/>
    <w:rPr>
      <w:i/>
      <w:sz w:val="18"/>
      <w:szCs w:val="18"/>
      <w14:ligatures w14:val="standardContextual"/>
    </w:rPr>
  </w:style>
  <w:style w:type="paragraph" w:customStyle="1" w:styleId="CDIBulletsL2">
    <w:name w:val="CDI Bullets L2"/>
    <w:basedOn w:val="CDIBullets"/>
    <w:rsid w:val="007179BE"/>
    <w:pPr>
      <w:numPr>
        <w:numId w:val="9"/>
      </w:numPr>
      <w:ind w:left="1191" w:hanging="397"/>
    </w:pPr>
  </w:style>
  <w:style w:type="paragraph" w:customStyle="1" w:styleId="CDINumberedListL2">
    <w:name w:val="CDI Numbered List L2"/>
    <w:basedOn w:val="Normal"/>
    <w:rsid w:val="005A4E9D"/>
    <w:pPr>
      <w:ind w:left="794" w:hanging="397"/>
    </w:pPr>
  </w:style>
  <w:style w:type="paragraph" w:customStyle="1" w:styleId="CDINumberedListL3">
    <w:name w:val="CDI Numbered List L3"/>
    <w:basedOn w:val="CDINumberedListL2"/>
    <w:rsid w:val="000522C6"/>
    <w:pPr>
      <w:ind w:left="1191"/>
    </w:pPr>
  </w:style>
  <w:style w:type="paragraph" w:customStyle="1" w:styleId="Normal-Opening">
    <w:name w:val="Normal - Opening"/>
    <w:basedOn w:val="Normal"/>
    <w:rsid w:val="003858B4"/>
    <w:pPr>
      <w:spacing w:before="360"/>
    </w:pPr>
  </w:style>
  <w:style w:type="paragraph" w:customStyle="1" w:styleId="Normal-morespaceafter">
    <w:name w:val="Normal - more space after"/>
    <w:basedOn w:val="Normal"/>
    <w:rsid w:val="00662078"/>
    <w:pPr>
      <w:spacing w:after="360"/>
    </w:pPr>
  </w:style>
  <w:style w:type="paragraph" w:customStyle="1" w:styleId="CDITable-RowLeftlessspace">
    <w:name w:val="CDI Table - Row Left less space"/>
    <w:basedOn w:val="CDITable-RowLeft"/>
    <w:rsid w:val="000D2655"/>
    <w:pPr>
      <w:spacing w:before="120" w:beforeAutospacing="0" w:after="0" w:afterAutospacing="0"/>
    </w:pPr>
    <w:rPr>
      <w:rFonts w:eastAsia="Times New Roman" w:cs="Times New Roman"/>
      <w:szCs w:val="20"/>
    </w:rPr>
  </w:style>
  <w:style w:type="paragraph" w:customStyle="1" w:styleId="CDITable-RowBulletsindented">
    <w:name w:val="CDI Table - Row Bullets indented"/>
    <w:basedOn w:val="CDITable-RowBullets"/>
    <w:qFormat/>
    <w:rsid w:val="00BB3421"/>
    <w:pPr>
      <w:ind w:left="340"/>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342280">
      <w:bodyDiv w:val="1"/>
      <w:marLeft w:val="0"/>
      <w:marRight w:val="0"/>
      <w:marTop w:val="0"/>
      <w:marBottom w:val="0"/>
      <w:divBdr>
        <w:top w:val="none" w:sz="0" w:space="0" w:color="auto"/>
        <w:left w:val="none" w:sz="0" w:space="0" w:color="auto"/>
        <w:bottom w:val="none" w:sz="0" w:space="0" w:color="auto"/>
        <w:right w:val="none" w:sz="0" w:space="0" w:color="auto"/>
      </w:divBdr>
    </w:div>
    <w:div w:id="387656109">
      <w:bodyDiv w:val="1"/>
      <w:marLeft w:val="0"/>
      <w:marRight w:val="0"/>
      <w:marTop w:val="0"/>
      <w:marBottom w:val="0"/>
      <w:divBdr>
        <w:top w:val="none" w:sz="0" w:space="0" w:color="auto"/>
        <w:left w:val="none" w:sz="0" w:space="0" w:color="auto"/>
        <w:bottom w:val="none" w:sz="0" w:space="0" w:color="auto"/>
        <w:right w:val="none" w:sz="0" w:space="0" w:color="auto"/>
      </w:divBdr>
    </w:div>
    <w:div w:id="574974463">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016/j.jbi.2019.103208" TargetMode="External"/><Relationship Id="rId21" Type="http://schemas.openxmlformats.org/officeDocument/2006/relationships/header" Target="header2.xml"/><Relationship Id="rId42" Type="http://schemas.openxmlformats.org/officeDocument/2006/relationships/hyperlink" Target="http://www.kirby.unsw.edu.au/research/reports/asr2025" TargetMode="External"/><Relationship Id="rId47" Type="http://schemas.openxmlformats.org/officeDocument/2006/relationships/hyperlink" Target="https://ncirs.org.au/sites/default/files/2025-09/Measles%2C%20mumps%20and%20rubella_July%202025%20update_0.pdf" TargetMode="External"/><Relationship Id="rId63" Type="http://schemas.openxmlformats.org/officeDocument/2006/relationships/hyperlink" Target="https://doi.org/10.1136/archdischild-2022-324820" TargetMode="External"/><Relationship Id="rId68" Type="http://schemas.openxmlformats.org/officeDocument/2006/relationships/hyperlink" Target="https://www.who.int/publications/i/item/9789240053779" TargetMode="External"/><Relationship Id="rId2" Type="http://schemas.openxmlformats.org/officeDocument/2006/relationships/customXml" Target="../customXml/item2.xml"/><Relationship Id="rId16" Type="http://schemas.openxmlformats.org/officeDocument/2006/relationships/hyperlink" Target="https://www.cdc.gov.au/cdi" TargetMode="External"/><Relationship Id="rId29" Type="http://schemas.openxmlformats.org/officeDocument/2006/relationships/hyperlink" Target="https://www.who.int/publications/m/item/vaccine-preventable-diseases-surveillance-standards-polio" TargetMode="External"/><Relationship Id="rId11" Type="http://schemas.openxmlformats.org/officeDocument/2006/relationships/hyperlink" Target="https://creativecommons.org/licenses/by-nc-nd/4.0/legalcode" TargetMode="External"/><Relationship Id="rId24" Type="http://schemas.openxmlformats.org/officeDocument/2006/relationships/hyperlink" Target="https://doi.org/10.1136/archdischild-2023-326116" TargetMode="External"/><Relationship Id="rId32" Type="http://schemas.openxmlformats.org/officeDocument/2006/relationships/hyperlink" Target="https://www.aihw.gov.au/reports/mothers-babies/australias-mothers-babies" TargetMode="External"/><Relationship Id="rId37" Type="http://schemas.openxmlformats.org/officeDocument/2006/relationships/hyperlink" Target="https://doi.org/10.33321/cdi.2023.47.64" TargetMode="External"/><Relationship Id="rId40" Type="http://schemas.openxmlformats.org/officeDocument/2006/relationships/hyperlink" Target="https://doi.org/10.1097/QAD.0b013e3282f9b67a" TargetMode="External"/><Relationship Id="rId45" Type="http://schemas.openxmlformats.org/officeDocument/2006/relationships/hyperlink" Target="https://www.cdc.gov.au/resources/apps-and-tools/nndss-data-visualisation-tool" TargetMode="External"/><Relationship Id="rId53" Type="http://schemas.openxmlformats.org/officeDocument/2006/relationships/hyperlink" Target="https://doi.org/10.1016/j.jvacx.2023.100278" TargetMode="External"/><Relationship Id="rId58" Type="http://schemas.openxmlformats.org/officeDocument/2006/relationships/hyperlink" Target="https://doi.org/10.33321/cdi.1999.23.9" TargetMode="External"/><Relationship Id="rId66" Type="http://schemas.openxmlformats.org/officeDocument/2006/relationships/hyperlink" Target="https://doi.org/10.1002/jhm.70169" TargetMode="External"/><Relationship Id="rId74" Type="http://schemas.openxmlformats.org/officeDocument/2006/relationships/theme" Target="theme/theme1.xml"/><Relationship Id="rId5" Type="http://schemas.openxmlformats.org/officeDocument/2006/relationships/settings" Target="settings.xml"/><Relationship Id="rId61" Type="http://schemas.openxmlformats.org/officeDocument/2006/relationships/hyperlink" Target="https://doi.org/10.33321/cdi.2026.50.023" TargetMode="External"/><Relationship Id="rId19" Type="http://schemas.openxmlformats.org/officeDocument/2006/relationships/footer" Target="footer1.xml"/><Relationship Id="rId14" Type="http://schemas.openxmlformats.org/officeDocument/2006/relationships/hyperlink" Target="https://www.cdc.gov.au/resources/communicable-diseases-intelligence/guidelines-cdi-authors" TargetMode="External"/><Relationship Id="rId22" Type="http://schemas.openxmlformats.org/officeDocument/2006/relationships/footer" Target="footer3.xml"/><Relationship Id="rId27" Type="http://schemas.openxmlformats.org/officeDocument/2006/relationships/hyperlink" Target="https://doi.org/10.33321/cdi.2025.49.047" TargetMode="External"/><Relationship Id="rId30" Type="http://schemas.openxmlformats.org/officeDocument/2006/relationships/hyperlink" Target="https://iris.who.int/handle/10665/380438" TargetMode="External"/><Relationship Id="rId35" Type="http://schemas.openxmlformats.org/officeDocument/2006/relationships/hyperlink" Target="https://doi.org/10.33321/cdi.2025.49.019" TargetMode="External"/><Relationship Id="rId43" Type="http://schemas.openxmlformats.org/officeDocument/2006/relationships/hyperlink" Target="https://doi.org/10.1093/infdis/jix498" TargetMode="External"/><Relationship Id="rId48" Type="http://schemas.openxmlformats.org/officeDocument/2006/relationships/hyperlink" Target="https://doi.org/10.1016/j.vaccine.2014.10.021" TargetMode="External"/><Relationship Id="rId56" Type="http://schemas.openxmlformats.org/officeDocument/2006/relationships/hyperlink" Target="https://doi.org/10.5694/j.1326-5377.2011.tb03144.x" TargetMode="External"/><Relationship Id="rId64" Type="http://schemas.openxmlformats.org/officeDocument/2006/relationships/hyperlink" Target="https://doi.org/10.1016/j.lansea.2025.100682" TargetMode="External"/><Relationship Id="rId69" Type="http://schemas.openxmlformats.org/officeDocument/2006/relationships/hyperlink" Target="https://www.who.int/publications/i/item/9789240086784" TargetMode="External"/><Relationship Id="rId8" Type="http://schemas.openxmlformats.org/officeDocument/2006/relationships/endnotes" Target="endnotes.xml"/><Relationship Id="rId51" Type="http://schemas.openxmlformats.org/officeDocument/2006/relationships/hyperlink" Target="https://www.ncirs.org.au/sites/default/files/2018-11/Varicella-history-July-2018.pdf" TargetMode="External"/><Relationship Id="rId72" Type="http://schemas.openxmlformats.org/officeDocument/2006/relationships/hyperlink" Target="https://doi.org/10.33321/cdi.2025.49.026" TargetMode="External"/><Relationship Id="rId3" Type="http://schemas.openxmlformats.org/officeDocument/2006/relationships/numbering" Target="numbering.xml"/><Relationship Id="rId12" Type="http://schemas.openxmlformats.org/officeDocument/2006/relationships/hyperlink" Target="mailto:cdi.editor@cdc.gov.au" TargetMode="External"/><Relationship Id="rId17" Type="http://schemas.openxmlformats.org/officeDocument/2006/relationships/hyperlink" Target="mailto:cdi.editor@cdc.gov.au" TargetMode="External"/><Relationship Id="rId25" Type="http://schemas.openxmlformats.org/officeDocument/2006/relationships/hyperlink" Target="http://doi.org/10.1016/j.jbi.2008.08.010" TargetMode="External"/><Relationship Id="rId33" Type="http://schemas.openxmlformats.org/officeDocument/2006/relationships/hyperlink" Target="https://doi.org/10.33321/cdi.2026.50.007" TargetMode="External"/><Relationship Id="rId38" Type="http://schemas.openxmlformats.org/officeDocument/2006/relationships/hyperlink" Target="https://journals.lww.com/aidsonline/abstract/2001/04130/hiv_infected_pregnant_women_and_vertical.12.aspx" TargetMode="External"/><Relationship Id="rId46" Type="http://schemas.openxmlformats.org/officeDocument/2006/relationships/hyperlink" Target="https://doi.org/10.33321/cdi.2017.41.22" TargetMode="External"/><Relationship Id="rId59" Type="http://schemas.openxmlformats.org/officeDocument/2006/relationships/hyperlink" Target="https://doi.org/10.3201/eid1501.080791" TargetMode="External"/><Relationship Id="rId67" Type="http://schemas.openxmlformats.org/officeDocument/2006/relationships/hyperlink" Target="https://doi.org/10.1046/j.1365-2273.2002.00555.x" TargetMode="External"/><Relationship Id="rId20" Type="http://schemas.openxmlformats.org/officeDocument/2006/relationships/footer" Target="footer2.xml"/><Relationship Id="rId41" Type="http://schemas.openxmlformats.org/officeDocument/2006/relationships/hyperlink" Target="https://doi.org/10.33321/cdi.2021.45.59" TargetMode="External"/><Relationship Id="rId54" Type="http://schemas.openxmlformats.org/officeDocument/2006/relationships/hyperlink" Target="https://doi.org/10.1136/adc.85.2.125" TargetMode="External"/><Relationship Id="rId62" Type="http://schemas.openxmlformats.org/officeDocument/2006/relationships/hyperlink" Target="https://doi.org/10.64628/AAI.ejeyg6cpc" TargetMode="External"/><Relationship Id="rId70" Type="http://schemas.openxmlformats.org/officeDocument/2006/relationships/hyperlink" Target="https://www.who.int/publications/i/item/9789240112490"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mailto:cdi.editor@cdc.gov.au" TargetMode="External"/><Relationship Id="rId23" Type="http://schemas.openxmlformats.org/officeDocument/2006/relationships/hyperlink" Target="mailto:suzy.teutsch@health.nsw.gov.au" TargetMode="External"/><Relationship Id="rId28" Type="http://schemas.openxmlformats.org/officeDocument/2006/relationships/hyperlink" Target="https://doi.org/10.1111/imj.70360" TargetMode="External"/><Relationship Id="rId36" Type="http://schemas.openxmlformats.org/officeDocument/2006/relationships/hyperlink" Target="https://doi.org/10.33321/cdi.2023.47.46" TargetMode="External"/><Relationship Id="rId49" Type="http://schemas.openxmlformats.org/officeDocument/2006/relationships/hyperlink" Target="https://www.who.int/news/item/31-10-2018-singapore-wipes-out-measles-australia-brunei-darussalam-and-macao-sar-(china)-eliminate-rubella" TargetMode="External"/><Relationship Id="rId57" Type="http://schemas.openxmlformats.org/officeDocument/2006/relationships/hyperlink" Target="https://polioeradication.org/global-polio-surveillance-action-plan-2025-2026-2" TargetMode="External"/><Relationship Id="rId10" Type="http://schemas.openxmlformats.org/officeDocument/2006/relationships/hyperlink" Target="https://www.cdc.gov.au/cdi" TargetMode="External"/><Relationship Id="rId31" Type="http://schemas.openxmlformats.org/officeDocument/2006/relationships/hyperlink" Target="https://www.abs.gov.au/statistics/people/population/national-state-and-territory-population/jun-2025" TargetMode="External"/><Relationship Id="rId44" Type="http://schemas.openxmlformats.org/officeDocument/2006/relationships/hyperlink" Target="https://ncirs.org.au/sites/default/files/2025-04/Human%20papillomavirus_March%202025_0.pdf" TargetMode="External"/><Relationship Id="rId52" Type="http://schemas.openxmlformats.org/officeDocument/2006/relationships/hyperlink" Target="https://doi.org/10.1136/adc.2010.206037" TargetMode="External"/><Relationship Id="rId60" Type="http://schemas.openxmlformats.org/officeDocument/2006/relationships/hyperlink" Target="https://www.who.int/emergencies/disease-outbreak-news/item/2025-DON571" TargetMode="External"/><Relationship Id="rId65" Type="http://schemas.openxmlformats.org/officeDocument/2006/relationships/hyperlink" Target="https://www.who.int/publications/i/item/9789290229476" TargetMode="External"/><Relationship Id="rId73"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jpg"/><Relationship Id="rId13" Type="http://schemas.openxmlformats.org/officeDocument/2006/relationships/hyperlink" Target="https://www.cdc.gov.au/resources/communicable-diseases-intelligence/cdi-editorial-advisory-board-biographies" TargetMode="External"/><Relationship Id="rId18" Type="http://schemas.openxmlformats.org/officeDocument/2006/relationships/header" Target="header1.xml"/><Relationship Id="rId39" Type="http://schemas.openxmlformats.org/officeDocument/2006/relationships/hyperlink" Target="https://doi.org/10.1136/bmj.331.7528.1285" TargetMode="External"/><Relationship Id="rId34" Type="http://schemas.openxmlformats.org/officeDocument/2006/relationships/hyperlink" Target="https://doi.org/10.33321/cdi.2010.34.28" TargetMode="External"/><Relationship Id="rId50" Type="http://schemas.openxmlformats.org/officeDocument/2006/relationships/hyperlink" Target="https://doi.org/10.1016/j.ijid.2021.11.003" TargetMode="External"/><Relationship Id="rId55" Type="http://schemas.openxmlformats.org/officeDocument/2006/relationships/hyperlink" Target="https://doi.org/10.1016/j.vaccine.2011.01.088" TargetMode="External"/><Relationship Id="rId7" Type="http://schemas.openxmlformats.org/officeDocument/2006/relationships/footnotes" Target="footnotes.xml"/><Relationship Id="rId71" Type="http://schemas.openxmlformats.org/officeDocument/2006/relationships/hyperlink" Target="https://doi.org/10.5694/mja2.52388"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dc.gov.au/topics/communicable-diseases/cdi"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my.fuzee.com/apsu-vidrl/afpquestionnaire.html" TargetMode="External"/><Relationship Id="rId1" Type="http://schemas.openxmlformats.org/officeDocument/2006/relationships/hyperlink" Target="https://www.apsu.org.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LISA\OneDrive%20-%20Department%20of%20Health\Documents\Custom%20Office%20Templates\2026\CDI-long-report-template-2026.dotx" TargetMode="External"/></Relationships>
</file>

<file path=word/theme/theme1.xml><?xml version="1.0" encoding="utf-8"?>
<a:theme xmlns:a="http://schemas.openxmlformats.org/drawingml/2006/main" name="Office Theme">
  <a:themeElements>
    <a:clrScheme name="CDI 2025">
      <a:dk1>
        <a:srgbClr val="000000"/>
      </a:dk1>
      <a:lt1>
        <a:srgbClr val="FFFFFF"/>
      </a:lt1>
      <a:dk2>
        <a:srgbClr val="1E4496"/>
      </a:dk2>
      <a:lt2>
        <a:srgbClr val="53C9F1"/>
      </a:lt2>
      <a:accent1>
        <a:srgbClr val="003936"/>
      </a:accent1>
      <a:accent2>
        <a:srgbClr val="52BE96"/>
      </a:accent2>
      <a:accent3>
        <a:srgbClr val="C45727"/>
      </a:accent3>
      <a:accent4>
        <a:srgbClr val="FFD133"/>
      </a:accent4>
      <a:accent5>
        <a:srgbClr val="9F1D20"/>
      </a:accent5>
      <a:accent6>
        <a:srgbClr val="9B91C6"/>
      </a:accent6>
      <a:hlink>
        <a:srgbClr val="1E4496"/>
      </a:hlink>
      <a:folHlink>
        <a:srgbClr val="522C7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2019-03-15T00:00:00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DE3CEDF-0107-42E3-93CC-370A8D395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CDI-long-report-template-2026.dotx</Template>
  <TotalTime>9</TotalTime>
  <Pages>28</Pages>
  <Words>9461</Words>
  <Characters>52982</Characters>
  <Application>Microsoft Office Word</Application>
  <DocSecurity>0</DocSecurity>
  <Lines>1513</Lines>
  <Paragraphs>1058</Paragraphs>
  <ScaleCrop>false</ScaleCrop>
  <HeadingPairs>
    <vt:vector size="4" baseType="variant">
      <vt:variant>
        <vt:lpstr>Title</vt:lpstr>
      </vt:variant>
      <vt:variant>
        <vt:i4>1</vt:i4>
      </vt:variant>
      <vt:variant>
        <vt:lpstr>Headings</vt:lpstr>
      </vt:variant>
      <vt:variant>
        <vt:i4>21</vt:i4>
      </vt:variant>
    </vt:vector>
  </HeadingPairs>
  <TitlesOfParts>
    <vt:vector size="22" baseType="lpstr">
      <vt:lpstr>Communicable Diseases Intelligence - Australian Paediatric Surveillance Unit (APSU) Annual Surveillance Report 2025</vt:lpstr>
      <vt:lpstr>Contents</vt:lpstr>
      <vt:lpstr>Context</vt:lpstr>
      <vt:lpstr>Introduction</vt:lpstr>
      <vt:lpstr>Surveillance method</vt:lpstr>
      <vt:lpstr>    Calculation of incidence and birth prevalence estimates</vt:lpstr>
      <vt:lpstr>Results</vt:lpstr>
      <vt:lpstr>    Representativeness of clinician reporting and response rates</vt:lpstr>
      <vt:lpstr>    Summary of notifications, confirmed cases and annual incidence or birth prevalen</vt:lpstr>
      <vt:lpstr>    Summary of demographic, clinical, management, risk and outcome data on communica</vt:lpstr>
      <vt:lpstr>        Acute flaccid paralysis</vt:lpstr>
      <vt:lpstr>        Perinatal exposure to HIV and paediatric HIV infection</vt:lpstr>
      <vt:lpstr>        Juvenile-onset recurrent respiratory papillomatosis</vt:lpstr>
      <vt:lpstr>        Congenital rubella infection and syndrome</vt:lpstr>
      <vt:lpstr>        Congenital varicella syndrome and neonatal varicella infection</vt:lpstr>
      <vt:lpstr>Discussion and conclusions</vt:lpstr>
      <vt:lpstr>Implications</vt:lpstr>
      <vt:lpstr>Acknowledgments</vt:lpstr>
      <vt:lpstr>Author details</vt:lpstr>
      <vt:lpstr>    Corresponding author</vt:lpstr>
      <vt:lpstr>References</vt:lpstr>
      <vt:lpstr>Appendix A</vt:lpstr>
    </vt:vector>
  </TitlesOfParts>
  <Company/>
  <LinksUpToDate>false</LinksUpToDate>
  <CharactersWithSpaces>61385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Communicable Diseases Intelligence - Australian Paediatric Surveillance Unit (APSU) Annual Surveillance Report 2025</dc:title>
  <dc:subject>The Australian Paediatric Surveillance Unit (APSU) conducted prospective national surveillance of seven communicable diseases, and complications of communicable diseases, in Australian children aged less than 16 years in 2025. This report summarises the APSU surveillance mechanism and data obtained during this period for the seven communicable diseases and complications under surveillance, which included: acute flaccid paralysis, perinatal exposure to human immunodeficiency virus (HIV), paediatric HIV infection, congenital rubella infection/syndrome, juvenile-onset recurrent respiratory papillomatosis, congenital varicella syndrome, and neonatal varicella infection.</dc:subject>
  <dc:creator>Suzy M Teutsch; Carlos A Nunez; Anne Morris; Elizabeth J Elliott; Australian Paediatric Surveillance Unit</dc:creator>
  <cp:keywords>adolescent; Australia; child; communicable diseases; infant; public health surveillance; rare diseases</cp:keywords>
  <dc:description>© 2026 Commonwealth of Australia as represented by the Australian Centre for Disease Control. This publication is licenced under a CC BY-NC-ND licence.</dc:description>
  <cp:revision>6</cp:revision>
  <cp:lastPrinted>2024-03-07T01:06:00Z</cp:lastPrinted>
  <dcterms:created xsi:type="dcterms:W3CDTF">2026-07-09T02:42:00Z</dcterms:created>
  <dcterms:modified xsi:type="dcterms:W3CDTF">2026-07-16T02:31:00Z</dcterms:modified>
  <cp:category>Annual report</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Year">
    <vt:lpwstr>2026</vt:lpwstr>
  </property>
  <property fmtid="{D5CDD505-2E9C-101B-9397-08002B2CF9AE}" pid="3" name="Vol">
    <vt:i4>50</vt:i4>
  </property>
  <property fmtid="{D5CDD505-2E9C-101B-9397-08002B2CF9AE}" pid="4" name="ePubDate">
    <vt:lpwstr>21.07.2026</vt:lpwstr>
  </property>
  <property fmtid="{D5CDD505-2E9C-101B-9397-08002B2CF9AE}" pid="5" name="DOI">
    <vt:lpwstr>doi.org/10.33321/cdi.2026.50.052</vt:lpwstr>
  </property>
  <property fmtid="{D5CDD505-2E9C-101B-9397-08002B2CF9AE}" pid="6" name="ClassificationContentMarkingHeaderShapeIds">
    <vt:lpwstr>6520d1bd,1bbe1eff,6affb1e4</vt:lpwstr>
  </property>
  <property fmtid="{D5CDD505-2E9C-101B-9397-08002B2CF9AE}" pid="7" name="ClassificationContentMarkingHeaderFontProps">
    <vt:lpwstr>#ff0000,12,Calibri</vt:lpwstr>
  </property>
  <property fmtid="{D5CDD505-2E9C-101B-9397-08002B2CF9AE}" pid="8" name="ClassificationContentMarkingHeaderText">
    <vt:lpwstr>OFFICIAL</vt:lpwstr>
  </property>
  <property fmtid="{D5CDD505-2E9C-101B-9397-08002B2CF9AE}" pid="9" name="ClassificationContentMarkingFooterShapeIds">
    <vt:lpwstr>3831110b,6df1f75b,3cfbd6bf</vt:lpwstr>
  </property>
  <property fmtid="{D5CDD505-2E9C-101B-9397-08002B2CF9AE}" pid="10" name="ClassificationContentMarkingFooterFontProps">
    <vt:lpwstr>#ff0000,12,Calibri</vt:lpwstr>
  </property>
  <property fmtid="{D5CDD505-2E9C-101B-9397-08002B2CF9AE}" pid="11" name="ClassificationContentMarkingFooterText">
    <vt:lpwstr>OFFICIAL</vt:lpwstr>
  </property>
  <property fmtid="{D5CDD505-2E9C-101B-9397-08002B2CF9AE}" pid="12" name="MSIP_Label_7cd3e8b9-ffed-43a8-b7f4-cc2fa0382d36_Enabled">
    <vt:lpwstr>true</vt:lpwstr>
  </property>
  <property fmtid="{D5CDD505-2E9C-101B-9397-08002B2CF9AE}" pid="13" name="MSIP_Label_7cd3e8b9-ffed-43a8-b7f4-cc2fa0382d36_SetDate">
    <vt:lpwstr>2025-11-21T03:40:04Z</vt:lpwstr>
  </property>
  <property fmtid="{D5CDD505-2E9C-101B-9397-08002B2CF9AE}" pid="14" name="MSIP_Label_7cd3e8b9-ffed-43a8-b7f4-cc2fa0382d36_Method">
    <vt:lpwstr>Privileged</vt:lpwstr>
  </property>
  <property fmtid="{D5CDD505-2E9C-101B-9397-08002B2CF9AE}" pid="15" name="MSIP_Label_7cd3e8b9-ffed-43a8-b7f4-cc2fa0382d36_Name">
    <vt:lpwstr>O</vt:lpwstr>
  </property>
  <property fmtid="{D5CDD505-2E9C-101B-9397-08002B2CF9AE}" pid="16" name="MSIP_Label_7cd3e8b9-ffed-43a8-b7f4-cc2fa0382d36_SiteId">
    <vt:lpwstr>34a3929c-73cf-4954-abfe-147dc3517892</vt:lpwstr>
  </property>
  <property fmtid="{D5CDD505-2E9C-101B-9397-08002B2CF9AE}" pid="17" name="MSIP_Label_7cd3e8b9-ffed-43a8-b7f4-cc2fa0382d36_ActionId">
    <vt:lpwstr>3d130504-3f00-4302-9cfc-b9df9a1005dc</vt:lpwstr>
  </property>
  <property fmtid="{D5CDD505-2E9C-101B-9397-08002B2CF9AE}" pid="18" name="MSIP_Label_7cd3e8b9-ffed-43a8-b7f4-cc2fa0382d36_ContentBits">
    <vt:lpwstr>3</vt:lpwstr>
  </property>
  <property fmtid="{D5CDD505-2E9C-101B-9397-08002B2CF9AE}" pid="19" name="MSIP_Label_7cd3e8b9-ffed-43a8-b7f4-cc2fa0382d36_Tag">
    <vt:lpwstr>10, 0, 1, 1</vt:lpwstr>
  </property>
</Properties>
</file>