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0E479" w14:textId="26B76032"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39094F23" wp14:editId="5AF9B6C7">
            <wp:simplePos x="0" y="0"/>
            <wp:positionH relativeFrom="page">
              <wp:align>left</wp:align>
            </wp:positionH>
            <wp:positionV relativeFrom="page">
              <wp:align>top</wp:align>
            </wp:positionV>
            <wp:extent cx="7559675" cy="10690860"/>
            <wp:effectExtent l="0" t="0" r="3175" b="0"/>
            <wp:wrapNone/>
            <wp:doc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tretch>
                      <a:fillRect/>
                    </a:stretch>
                  </pic:blipFill>
                  <pic:spPr>
                    <a:xfrm>
                      <a:off x="0" y="0"/>
                      <a:ext cx="7559998" cy="10690952"/>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C43BDC">
          <w:t>2026</w:t>
        </w:r>
      </w:fldSimple>
      <w:r w:rsidR="00D22CC8" w:rsidRPr="00B85B74">
        <w:t xml:space="preserve"> • Volume </w:t>
      </w:r>
      <w:fldSimple w:instr=" DOCPROPERTY  Vol  \* MERGEFORMAT ">
        <w:r w:rsidR="00C43BDC">
          <w:t>50</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C43BDC">
          <w:t>21.07.2026</w:t>
        </w:r>
      </w:fldSimple>
      <w:r w:rsidR="00700338">
        <w:t xml:space="preserve"> </w:t>
      </w:r>
      <w:r w:rsidR="00700338" w:rsidRPr="00B85B74">
        <w:t xml:space="preserve">• </w:t>
      </w:r>
      <w:fldSimple w:instr=" DOCPROPERTY  DOI  \* MERGEFORMAT ">
        <w:r w:rsidR="00C43BDC">
          <w:t>doi.org/10.33321/cdi.2026.50.049</w:t>
        </w:r>
      </w:fldSimple>
    </w:p>
    <w:p w14:paraId="27E9C17D" w14:textId="4C30B9F6" w:rsidR="006B16A5" w:rsidRPr="00142578" w:rsidRDefault="00C43BDC" w:rsidP="00CE2CC7">
      <w:pPr>
        <w:pStyle w:val="Title"/>
      </w:pPr>
      <w:r w:rsidRPr="00C43BDC">
        <w:rPr>
          <w:i/>
          <w:iCs/>
        </w:rPr>
        <w:t>Neisseria gonorrhoeae</w:t>
      </w:r>
      <w:r w:rsidRPr="00C43BDC">
        <w:t xml:space="preserve"> notifications, resistance and management in the Pilbara Region, Western Australia, July 2023 – June 2024</w:t>
      </w:r>
    </w:p>
    <w:p w14:paraId="4DB08F7B" w14:textId="20FD2E43" w:rsidR="00013B65" w:rsidRDefault="00C43BDC" w:rsidP="00BB3320">
      <w:pPr>
        <w:pStyle w:val="Subtitle"/>
      </w:pPr>
      <w:r w:rsidRPr="00C43BDC">
        <w:t xml:space="preserve">Simon Slota-Kan, Pauline Glasson, Katherine Black </w:t>
      </w:r>
      <w:r w:rsidR="00013B65">
        <w:br w:type="page"/>
      </w:r>
    </w:p>
    <w:p w14:paraId="097D4EEF"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C43BDC">
          <w:t>2026</w:t>
        </w:r>
      </w:fldSimple>
      <w:r w:rsidRPr="0089025E">
        <w:t xml:space="preserve"> Commonwealth of Australia as represented by the </w:t>
      </w:r>
      <w:r w:rsidR="00C722FD">
        <w:t>Australian Centre for Disease Control</w:t>
      </w:r>
    </w:p>
    <w:p w14:paraId="2749D3DC" w14:textId="77777777" w:rsidR="00B52457" w:rsidRPr="0089025E" w:rsidRDefault="00B52457" w:rsidP="00087CC4">
      <w:pPr>
        <w:pStyle w:val="CDICopyright"/>
      </w:pPr>
      <w:r w:rsidRPr="0089025E">
        <w:t>ISSN: 2209-6051 Online</w:t>
      </w:r>
    </w:p>
    <w:p w14:paraId="565158C4" w14:textId="77777777" w:rsidR="00B52457" w:rsidRDefault="00B52457" w:rsidP="00087CC4">
      <w:pPr>
        <w:pStyle w:val="CDICopyright"/>
      </w:pPr>
      <w:r w:rsidRPr="0089025E">
        <w:t>This journal is indexed by Index Medicus and Medline.</w:t>
      </w:r>
    </w:p>
    <w:p w14:paraId="09C739BD" w14:textId="77777777" w:rsidR="00B52457" w:rsidRPr="007F2B27" w:rsidRDefault="00B52457" w:rsidP="00CC3648">
      <w:pPr>
        <w:pStyle w:val="CDICopyrightHeading"/>
      </w:pPr>
      <w:r w:rsidRPr="007F2B27">
        <w:t>Creative Commons Licence</w:t>
      </w:r>
    </w:p>
    <w:p w14:paraId="3AFEB5AB"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588C28D4" w14:textId="77777777" w:rsidR="00B52457" w:rsidRPr="007F2B27" w:rsidRDefault="00B52457" w:rsidP="00CC3648">
      <w:pPr>
        <w:pStyle w:val="CDICopyrightHeading"/>
      </w:pPr>
      <w:r w:rsidRPr="007F2B27">
        <w:t>Restrictions</w:t>
      </w:r>
    </w:p>
    <w:p w14:paraId="14072057"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70705C7B" w14:textId="77777777" w:rsidR="00B52457" w:rsidRPr="00E9313B" w:rsidRDefault="00B52457" w:rsidP="00E9313B">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C722FD">
        <w:t>)</w:t>
      </w:r>
      <w:r w:rsidRPr="00E9313B">
        <w:t>;</w:t>
      </w:r>
    </w:p>
    <w:p w14:paraId="2198C156" w14:textId="77777777" w:rsidR="00B52457" w:rsidRPr="003C23C9" w:rsidRDefault="0022524E" w:rsidP="00E9313B">
      <w:pPr>
        <w:pStyle w:val="CDICopyrightBullets"/>
      </w:pPr>
      <w:r w:rsidRPr="0022524E">
        <w:t>any logos (including the Australian Centre for Disease Control’s logo) and trademarks</w:t>
      </w:r>
      <w:r w:rsidR="00B52457" w:rsidRPr="003C23C9">
        <w:t>;</w:t>
      </w:r>
    </w:p>
    <w:p w14:paraId="7C3DD462" w14:textId="77777777" w:rsidR="00B52457" w:rsidRPr="00E9313B" w:rsidRDefault="00B52457" w:rsidP="00E9313B">
      <w:pPr>
        <w:pStyle w:val="CDICopyrightBullets"/>
      </w:pPr>
      <w:r w:rsidRPr="00E9313B">
        <w:t xml:space="preserve">any photographs and images; </w:t>
      </w:r>
    </w:p>
    <w:p w14:paraId="6B09B321" w14:textId="77777777" w:rsidR="00B52457" w:rsidRPr="00E9313B" w:rsidRDefault="00B52457" w:rsidP="00E9313B">
      <w:pPr>
        <w:pStyle w:val="CDICopyrightBullets"/>
      </w:pPr>
      <w:r w:rsidRPr="00E9313B">
        <w:t>any signatures; and</w:t>
      </w:r>
    </w:p>
    <w:p w14:paraId="6E29D8D2" w14:textId="77777777" w:rsidR="00B52457" w:rsidRPr="003C23C9" w:rsidRDefault="00B52457" w:rsidP="00E9313B">
      <w:pPr>
        <w:pStyle w:val="CDICopyrightBullets"/>
      </w:pPr>
      <w:r w:rsidRPr="00E9313B">
        <w:t>any</w:t>
      </w:r>
      <w:r w:rsidRPr="003C23C9">
        <w:t xml:space="preserve"> material belonging to third parties.</w:t>
      </w:r>
    </w:p>
    <w:p w14:paraId="566FD66A" w14:textId="77777777" w:rsidR="00B52457" w:rsidRPr="00CC3648" w:rsidRDefault="00B52457" w:rsidP="00CC3648">
      <w:pPr>
        <w:pStyle w:val="CDICopyrightHeading"/>
      </w:pPr>
      <w:r w:rsidRPr="00CC3648">
        <w:t>Disclaimer</w:t>
      </w:r>
    </w:p>
    <w:p w14:paraId="1B819087"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w:t>
      </w:r>
      <w:r w:rsidR="00C722FD">
        <w:t xml:space="preserve"> or </w:t>
      </w:r>
      <w:r w:rsidR="0022524E" w:rsidRPr="0022524E">
        <w:t>the Australian Centre for Disease Control</w:t>
      </w:r>
      <w:r w:rsidRPr="0089025E">
        <w:t>. Data may be subject to revision.</w:t>
      </w:r>
    </w:p>
    <w:p w14:paraId="549253B9" w14:textId="77777777" w:rsidR="00B52457" w:rsidRPr="007F2B27" w:rsidRDefault="00B52457" w:rsidP="00CC3648">
      <w:pPr>
        <w:pStyle w:val="CDICopyrightHeading"/>
      </w:pPr>
      <w:r w:rsidRPr="007F2B27">
        <w:t>Enquiries</w:t>
      </w:r>
    </w:p>
    <w:p w14:paraId="0CA2C164"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5AE1E35B" w14:textId="77777777" w:rsidR="00B52457" w:rsidRPr="00A65DFA" w:rsidRDefault="00B52457" w:rsidP="00B52457">
      <w:pPr>
        <w:pStyle w:val="CDIAbout"/>
      </w:pPr>
      <w:bookmarkStart w:id="1" w:name="_Toc190257376"/>
      <w:r>
        <w:t xml:space="preserve">About </w:t>
      </w:r>
      <w:bookmarkEnd w:id="1"/>
      <w:r w:rsidR="0022524E">
        <w:t>CDI</w:t>
      </w:r>
    </w:p>
    <w:p w14:paraId="26DC0595"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Australian Centre for Disease Control.</w:t>
      </w:r>
    </w:p>
    <w:p w14:paraId="61CEF1B4" w14:textId="77777777" w:rsidR="009572C6" w:rsidRDefault="009572C6" w:rsidP="00C722FD">
      <w:pPr>
        <w:pStyle w:val="CDIAbouttextLess"/>
        <w:spacing w:before="120"/>
      </w:pPr>
      <w:r w:rsidRPr="009572C6">
        <w:t>The journal aims to disseminate information on the epidemiology, surveillance, prevention and control of communicable diseases of relevance to Australia and the near region.</w:t>
      </w:r>
    </w:p>
    <w:p w14:paraId="5B1B78A8" w14:textId="77777777" w:rsidR="00B52457" w:rsidRPr="00D8087F" w:rsidRDefault="00B52457" w:rsidP="00D8087F">
      <w:pPr>
        <w:pStyle w:val="CDIAbouttext"/>
      </w:pPr>
      <w:r w:rsidRPr="00D8087F">
        <w:rPr>
          <w:b/>
          <w:bCs/>
        </w:rPr>
        <w:t>Editor</w:t>
      </w:r>
      <w:r w:rsidRPr="00D8087F">
        <w:t xml:space="preserve">: </w:t>
      </w:r>
      <w:r w:rsidR="00A53F60">
        <w:t xml:space="preserve">Dr </w:t>
      </w:r>
      <w:r w:rsidR="00AC69D8">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47F09EF2"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750E828D"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48B356DB"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2317DE4F" w14:textId="77777777" w:rsidR="00B52457" w:rsidRPr="00B87589" w:rsidRDefault="00B52457" w:rsidP="00B87589">
      <w:pPr>
        <w:pStyle w:val="CDIAbouttext"/>
        <w:rPr>
          <w:b/>
          <w:bCs/>
        </w:rPr>
      </w:pPr>
      <w:r w:rsidRPr="00B87589">
        <w:rPr>
          <w:b/>
          <w:bCs/>
        </w:rPr>
        <w:t>Contact us</w:t>
      </w:r>
    </w:p>
    <w:p w14:paraId="65B852DD" w14:textId="77777777" w:rsidR="00B52457" w:rsidRPr="00087CC4" w:rsidRDefault="00B52457" w:rsidP="00360B3A">
      <w:pPr>
        <w:pStyle w:val="CDIAbouttextLess"/>
      </w:pPr>
      <w:r w:rsidRPr="009572C6">
        <w:t>Communicable Diseases Intelligence</w:t>
      </w:r>
      <w:r w:rsidRPr="00087CC4">
        <w:t xml:space="preserve"> (CDI)</w:t>
      </w:r>
    </w:p>
    <w:p w14:paraId="6B4FE424" w14:textId="77777777" w:rsidR="00B52457" w:rsidRPr="00087CC4" w:rsidRDefault="009572C6" w:rsidP="00360B3A">
      <w:pPr>
        <w:pStyle w:val="CDIAbouttextLess"/>
      </w:pPr>
      <w:r>
        <w:t>Australian Centre for Disease Control</w:t>
      </w:r>
    </w:p>
    <w:p w14:paraId="72F01C95" w14:textId="2DC2B934" w:rsidR="00B52457" w:rsidRPr="0089025E" w:rsidRDefault="00386CED" w:rsidP="00360B3A">
      <w:pPr>
        <w:pStyle w:val="CDIAbouttextLess"/>
      </w:pPr>
      <w:r>
        <w:t>G</w:t>
      </w:r>
      <w:r w:rsidR="00B52457" w:rsidRPr="00087CC4">
        <w:t xml:space="preserve">PO Box </w:t>
      </w:r>
      <w:r w:rsidR="0010368E">
        <w:t>79</w:t>
      </w:r>
      <w:r w:rsidR="004E5D74">
        <w:t>5</w:t>
      </w:r>
      <w:r w:rsidR="00B52457" w:rsidRPr="00087CC4">
        <w:t>, C</w:t>
      </w:r>
      <w:r w:rsidR="004E5D74">
        <w:t>anberra</w:t>
      </w:r>
      <w:r w:rsidR="00B52457" w:rsidRPr="0089025E">
        <w:t xml:space="preserve"> ACT 2601</w:t>
      </w:r>
      <w:r w:rsidR="004E5D74">
        <w:t>, Australia</w:t>
      </w:r>
    </w:p>
    <w:p w14:paraId="0085625D"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181B425C" w14:textId="77777777" w:rsidR="00B52457" w:rsidRPr="0089025E" w:rsidRDefault="00B52457" w:rsidP="00360B3A">
      <w:pPr>
        <w:pStyle w:val="CDIAbouttextLess"/>
      </w:pPr>
      <w:r w:rsidRPr="0089025E">
        <w:t xml:space="preserve">Email: </w:t>
      </w:r>
      <w:hyperlink r:id="rId17" w:history="1">
        <w:r w:rsidR="002368EA">
          <w:rPr>
            <w:rStyle w:val="Hyperlink"/>
          </w:rPr>
          <w:t>cdi.editor@cdc.gov.au</w:t>
        </w:r>
      </w:hyperlink>
    </w:p>
    <w:p w14:paraId="68CD7C37"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34421145"/>
      <w:bookmarkStart w:id="7" w:name="_Toc195530496"/>
      <w:r>
        <w:t>Contents</w:t>
      </w:r>
      <w:bookmarkEnd w:id="2"/>
      <w:bookmarkEnd w:id="3"/>
      <w:bookmarkEnd w:id="4"/>
      <w:bookmarkEnd w:id="5"/>
      <w:bookmarkEnd w:id="6"/>
    </w:p>
    <w:p w14:paraId="25C7E42D" w14:textId="5D71BF6C" w:rsidR="005075F0" w:rsidRPr="00555EB5" w:rsidRDefault="005A4E9D" w:rsidP="005075F0">
      <w:pPr>
        <w:pStyle w:val="TOC1"/>
        <w:spacing w:before="360"/>
        <w:rPr>
          <w:lang w:eastAsia="en-AU"/>
        </w:rPr>
      </w:pPr>
      <w:r>
        <w:fldChar w:fldCharType="begin"/>
      </w:r>
      <w:r>
        <w:instrText xml:space="preserve"> TOC \o "1-1" \h \z \t "Heading 2,2,Heading 2 - no space before,2,Heading 2 - less space before,2,Heading 2 - new page,2" </w:instrText>
      </w:r>
      <w:r>
        <w:fldChar w:fldCharType="separate"/>
      </w:r>
      <w:hyperlink w:anchor="_Toc234421146" w:history="1">
        <w:r w:rsidR="005075F0" w:rsidRPr="00DA05A7">
          <w:rPr>
            <w:rStyle w:val="Hyperlink"/>
            <w:noProof/>
          </w:rPr>
          <w:t>Abstract</w:t>
        </w:r>
        <w:r w:rsidR="005075F0">
          <w:rPr>
            <w:noProof/>
            <w:webHidden/>
          </w:rPr>
          <w:tab/>
        </w:r>
        <w:r w:rsidR="005075F0">
          <w:rPr>
            <w:noProof/>
            <w:webHidden/>
          </w:rPr>
          <w:fldChar w:fldCharType="begin"/>
        </w:r>
        <w:r w:rsidR="005075F0">
          <w:rPr>
            <w:noProof/>
            <w:webHidden/>
          </w:rPr>
          <w:instrText xml:space="preserve"> PAGEREF _Toc234421146 \h </w:instrText>
        </w:r>
        <w:r w:rsidR="005075F0">
          <w:rPr>
            <w:noProof/>
            <w:webHidden/>
          </w:rPr>
        </w:r>
        <w:r w:rsidR="005075F0">
          <w:rPr>
            <w:noProof/>
            <w:webHidden/>
          </w:rPr>
          <w:fldChar w:fldCharType="separate"/>
        </w:r>
        <w:r w:rsidR="005075F0">
          <w:rPr>
            <w:noProof/>
            <w:webHidden/>
          </w:rPr>
          <w:t>4</w:t>
        </w:r>
        <w:r w:rsidR="005075F0">
          <w:rPr>
            <w:noProof/>
            <w:webHidden/>
          </w:rPr>
          <w:fldChar w:fldCharType="end"/>
        </w:r>
      </w:hyperlink>
    </w:p>
    <w:p w14:paraId="008961B3" w14:textId="73DA99D3" w:rsidR="005075F0" w:rsidRPr="00555EB5" w:rsidRDefault="005075F0">
      <w:pPr>
        <w:pStyle w:val="TOC2"/>
        <w:tabs>
          <w:tab w:val="right" w:leader="dot" w:pos="9629"/>
        </w:tabs>
        <w:rPr>
          <w:lang w:eastAsia="en-AU"/>
        </w:rPr>
      </w:pPr>
      <w:hyperlink w:anchor="_Toc234421147" w:history="1">
        <w:r w:rsidRPr="00DA05A7">
          <w:rPr>
            <w:rStyle w:val="Hyperlink"/>
            <w:noProof/>
            <w:lang w:val="en-GB"/>
          </w:rPr>
          <w:t>Background</w:t>
        </w:r>
        <w:r>
          <w:rPr>
            <w:noProof/>
            <w:webHidden/>
          </w:rPr>
          <w:tab/>
        </w:r>
        <w:r>
          <w:rPr>
            <w:noProof/>
            <w:webHidden/>
          </w:rPr>
          <w:fldChar w:fldCharType="begin"/>
        </w:r>
        <w:r>
          <w:rPr>
            <w:noProof/>
            <w:webHidden/>
          </w:rPr>
          <w:instrText xml:space="preserve"> PAGEREF _Toc234421147 \h </w:instrText>
        </w:r>
        <w:r>
          <w:rPr>
            <w:noProof/>
            <w:webHidden/>
          </w:rPr>
        </w:r>
        <w:r>
          <w:rPr>
            <w:noProof/>
            <w:webHidden/>
          </w:rPr>
          <w:fldChar w:fldCharType="separate"/>
        </w:r>
        <w:r>
          <w:rPr>
            <w:noProof/>
            <w:webHidden/>
          </w:rPr>
          <w:t>4</w:t>
        </w:r>
        <w:r>
          <w:rPr>
            <w:noProof/>
            <w:webHidden/>
          </w:rPr>
          <w:fldChar w:fldCharType="end"/>
        </w:r>
      </w:hyperlink>
    </w:p>
    <w:p w14:paraId="3175D137" w14:textId="18436358" w:rsidR="005075F0" w:rsidRPr="00555EB5" w:rsidRDefault="005075F0">
      <w:pPr>
        <w:pStyle w:val="TOC2"/>
        <w:tabs>
          <w:tab w:val="right" w:leader="dot" w:pos="9629"/>
        </w:tabs>
        <w:rPr>
          <w:lang w:eastAsia="en-AU"/>
        </w:rPr>
      </w:pPr>
      <w:hyperlink w:anchor="_Toc234421148" w:history="1">
        <w:r w:rsidRPr="00DA05A7">
          <w:rPr>
            <w:rStyle w:val="Hyperlink"/>
            <w:noProof/>
            <w:lang w:val="en-GB"/>
          </w:rPr>
          <w:t>Design</w:t>
        </w:r>
        <w:r>
          <w:rPr>
            <w:noProof/>
            <w:webHidden/>
          </w:rPr>
          <w:tab/>
        </w:r>
        <w:r>
          <w:rPr>
            <w:noProof/>
            <w:webHidden/>
          </w:rPr>
          <w:fldChar w:fldCharType="begin"/>
        </w:r>
        <w:r>
          <w:rPr>
            <w:noProof/>
            <w:webHidden/>
          </w:rPr>
          <w:instrText xml:space="preserve"> PAGEREF _Toc234421148 \h </w:instrText>
        </w:r>
        <w:r>
          <w:rPr>
            <w:noProof/>
            <w:webHidden/>
          </w:rPr>
        </w:r>
        <w:r>
          <w:rPr>
            <w:noProof/>
            <w:webHidden/>
          </w:rPr>
          <w:fldChar w:fldCharType="separate"/>
        </w:r>
        <w:r>
          <w:rPr>
            <w:noProof/>
            <w:webHidden/>
          </w:rPr>
          <w:t>4</w:t>
        </w:r>
        <w:r>
          <w:rPr>
            <w:noProof/>
            <w:webHidden/>
          </w:rPr>
          <w:fldChar w:fldCharType="end"/>
        </w:r>
      </w:hyperlink>
    </w:p>
    <w:p w14:paraId="0FE805DF" w14:textId="75B2B386" w:rsidR="005075F0" w:rsidRPr="00555EB5" w:rsidRDefault="005075F0">
      <w:pPr>
        <w:pStyle w:val="TOC2"/>
        <w:tabs>
          <w:tab w:val="right" w:leader="dot" w:pos="9629"/>
        </w:tabs>
        <w:rPr>
          <w:lang w:eastAsia="en-AU"/>
        </w:rPr>
      </w:pPr>
      <w:hyperlink w:anchor="_Toc234421149" w:history="1">
        <w:r w:rsidRPr="00DA05A7">
          <w:rPr>
            <w:rStyle w:val="Hyperlink"/>
            <w:noProof/>
            <w:lang w:val="en-GB"/>
          </w:rPr>
          <w:t>Setting</w:t>
        </w:r>
        <w:r>
          <w:rPr>
            <w:noProof/>
            <w:webHidden/>
          </w:rPr>
          <w:tab/>
        </w:r>
        <w:r>
          <w:rPr>
            <w:noProof/>
            <w:webHidden/>
          </w:rPr>
          <w:fldChar w:fldCharType="begin"/>
        </w:r>
        <w:r>
          <w:rPr>
            <w:noProof/>
            <w:webHidden/>
          </w:rPr>
          <w:instrText xml:space="preserve"> PAGEREF _Toc234421149 \h </w:instrText>
        </w:r>
        <w:r>
          <w:rPr>
            <w:noProof/>
            <w:webHidden/>
          </w:rPr>
        </w:r>
        <w:r>
          <w:rPr>
            <w:noProof/>
            <w:webHidden/>
          </w:rPr>
          <w:fldChar w:fldCharType="separate"/>
        </w:r>
        <w:r>
          <w:rPr>
            <w:noProof/>
            <w:webHidden/>
          </w:rPr>
          <w:t>4</w:t>
        </w:r>
        <w:r>
          <w:rPr>
            <w:noProof/>
            <w:webHidden/>
          </w:rPr>
          <w:fldChar w:fldCharType="end"/>
        </w:r>
      </w:hyperlink>
    </w:p>
    <w:p w14:paraId="533607A7" w14:textId="4002E87E" w:rsidR="005075F0" w:rsidRPr="00555EB5" w:rsidRDefault="005075F0">
      <w:pPr>
        <w:pStyle w:val="TOC2"/>
        <w:tabs>
          <w:tab w:val="right" w:leader="dot" w:pos="9629"/>
        </w:tabs>
        <w:rPr>
          <w:lang w:eastAsia="en-AU"/>
        </w:rPr>
      </w:pPr>
      <w:hyperlink w:anchor="_Toc234421150" w:history="1">
        <w:r w:rsidRPr="00DA05A7">
          <w:rPr>
            <w:rStyle w:val="Hyperlink"/>
            <w:noProof/>
            <w:lang w:val="en-GB"/>
          </w:rPr>
          <w:t>Main outcome measures</w:t>
        </w:r>
        <w:r>
          <w:rPr>
            <w:noProof/>
            <w:webHidden/>
          </w:rPr>
          <w:tab/>
        </w:r>
        <w:r>
          <w:rPr>
            <w:noProof/>
            <w:webHidden/>
          </w:rPr>
          <w:fldChar w:fldCharType="begin"/>
        </w:r>
        <w:r>
          <w:rPr>
            <w:noProof/>
            <w:webHidden/>
          </w:rPr>
          <w:instrText xml:space="preserve"> PAGEREF _Toc234421150 \h </w:instrText>
        </w:r>
        <w:r>
          <w:rPr>
            <w:noProof/>
            <w:webHidden/>
          </w:rPr>
        </w:r>
        <w:r>
          <w:rPr>
            <w:noProof/>
            <w:webHidden/>
          </w:rPr>
          <w:fldChar w:fldCharType="separate"/>
        </w:r>
        <w:r>
          <w:rPr>
            <w:noProof/>
            <w:webHidden/>
          </w:rPr>
          <w:t>4</w:t>
        </w:r>
        <w:r>
          <w:rPr>
            <w:noProof/>
            <w:webHidden/>
          </w:rPr>
          <w:fldChar w:fldCharType="end"/>
        </w:r>
      </w:hyperlink>
    </w:p>
    <w:p w14:paraId="5AD06660" w14:textId="299BDF9E" w:rsidR="005075F0" w:rsidRPr="00555EB5" w:rsidRDefault="005075F0">
      <w:pPr>
        <w:pStyle w:val="TOC2"/>
        <w:tabs>
          <w:tab w:val="right" w:leader="dot" w:pos="9629"/>
        </w:tabs>
        <w:rPr>
          <w:lang w:eastAsia="en-AU"/>
        </w:rPr>
      </w:pPr>
      <w:hyperlink w:anchor="_Toc234421151" w:history="1">
        <w:r w:rsidRPr="00DA05A7">
          <w:rPr>
            <w:rStyle w:val="Hyperlink"/>
            <w:noProof/>
            <w:lang w:val="en-GB"/>
          </w:rPr>
          <w:t>Results</w:t>
        </w:r>
        <w:r>
          <w:rPr>
            <w:noProof/>
            <w:webHidden/>
          </w:rPr>
          <w:tab/>
        </w:r>
        <w:r>
          <w:rPr>
            <w:noProof/>
            <w:webHidden/>
          </w:rPr>
          <w:fldChar w:fldCharType="begin"/>
        </w:r>
        <w:r>
          <w:rPr>
            <w:noProof/>
            <w:webHidden/>
          </w:rPr>
          <w:instrText xml:space="preserve"> PAGEREF _Toc234421151 \h </w:instrText>
        </w:r>
        <w:r>
          <w:rPr>
            <w:noProof/>
            <w:webHidden/>
          </w:rPr>
        </w:r>
        <w:r>
          <w:rPr>
            <w:noProof/>
            <w:webHidden/>
          </w:rPr>
          <w:fldChar w:fldCharType="separate"/>
        </w:r>
        <w:r>
          <w:rPr>
            <w:noProof/>
            <w:webHidden/>
          </w:rPr>
          <w:t>4</w:t>
        </w:r>
        <w:r>
          <w:rPr>
            <w:noProof/>
            <w:webHidden/>
          </w:rPr>
          <w:fldChar w:fldCharType="end"/>
        </w:r>
      </w:hyperlink>
    </w:p>
    <w:p w14:paraId="07F444CC" w14:textId="7ED26CB9" w:rsidR="005075F0" w:rsidRPr="00555EB5" w:rsidRDefault="005075F0">
      <w:pPr>
        <w:pStyle w:val="TOC2"/>
        <w:tabs>
          <w:tab w:val="right" w:leader="dot" w:pos="9629"/>
        </w:tabs>
        <w:rPr>
          <w:lang w:eastAsia="en-AU"/>
        </w:rPr>
      </w:pPr>
      <w:hyperlink w:anchor="_Toc234421152" w:history="1">
        <w:r w:rsidRPr="00DA05A7">
          <w:rPr>
            <w:rStyle w:val="Hyperlink"/>
            <w:noProof/>
            <w:lang w:val="en-GB"/>
          </w:rPr>
          <w:t>Conclusions</w:t>
        </w:r>
        <w:r>
          <w:rPr>
            <w:noProof/>
            <w:webHidden/>
          </w:rPr>
          <w:tab/>
        </w:r>
        <w:r>
          <w:rPr>
            <w:noProof/>
            <w:webHidden/>
          </w:rPr>
          <w:fldChar w:fldCharType="begin"/>
        </w:r>
        <w:r>
          <w:rPr>
            <w:noProof/>
            <w:webHidden/>
          </w:rPr>
          <w:instrText xml:space="preserve"> PAGEREF _Toc234421152 \h </w:instrText>
        </w:r>
        <w:r>
          <w:rPr>
            <w:noProof/>
            <w:webHidden/>
          </w:rPr>
        </w:r>
        <w:r>
          <w:rPr>
            <w:noProof/>
            <w:webHidden/>
          </w:rPr>
          <w:fldChar w:fldCharType="separate"/>
        </w:r>
        <w:r>
          <w:rPr>
            <w:noProof/>
            <w:webHidden/>
          </w:rPr>
          <w:t>5</w:t>
        </w:r>
        <w:r>
          <w:rPr>
            <w:noProof/>
            <w:webHidden/>
          </w:rPr>
          <w:fldChar w:fldCharType="end"/>
        </w:r>
      </w:hyperlink>
    </w:p>
    <w:p w14:paraId="41000A5F" w14:textId="04E073DD" w:rsidR="005075F0" w:rsidRPr="00555EB5" w:rsidRDefault="005075F0">
      <w:pPr>
        <w:pStyle w:val="TOC1"/>
        <w:rPr>
          <w:lang w:eastAsia="en-AU"/>
        </w:rPr>
      </w:pPr>
      <w:hyperlink w:anchor="_Toc234421153" w:history="1">
        <w:r w:rsidRPr="00DA05A7">
          <w:rPr>
            <w:rStyle w:val="Hyperlink"/>
            <w:noProof/>
          </w:rPr>
          <w:t>Introduction</w:t>
        </w:r>
        <w:r>
          <w:rPr>
            <w:noProof/>
            <w:webHidden/>
          </w:rPr>
          <w:tab/>
        </w:r>
        <w:r>
          <w:rPr>
            <w:noProof/>
            <w:webHidden/>
          </w:rPr>
          <w:fldChar w:fldCharType="begin"/>
        </w:r>
        <w:r>
          <w:rPr>
            <w:noProof/>
            <w:webHidden/>
          </w:rPr>
          <w:instrText xml:space="preserve"> PAGEREF _Toc234421153 \h </w:instrText>
        </w:r>
        <w:r>
          <w:rPr>
            <w:noProof/>
            <w:webHidden/>
          </w:rPr>
        </w:r>
        <w:r>
          <w:rPr>
            <w:noProof/>
            <w:webHidden/>
          </w:rPr>
          <w:fldChar w:fldCharType="separate"/>
        </w:r>
        <w:r>
          <w:rPr>
            <w:noProof/>
            <w:webHidden/>
          </w:rPr>
          <w:t>6</w:t>
        </w:r>
        <w:r>
          <w:rPr>
            <w:noProof/>
            <w:webHidden/>
          </w:rPr>
          <w:fldChar w:fldCharType="end"/>
        </w:r>
      </w:hyperlink>
    </w:p>
    <w:p w14:paraId="399AA432" w14:textId="1EFBD6BF" w:rsidR="005075F0" w:rsidRPr="00555EB5" w:rsidRDefault="005075F0">
      <w:pPr>
        <w:pStyle w:val="TOC1"/>
        <w:rPr>
          <w:lang w:eastAsia="en-AU"/>
        </w:rPr>
      </w:pPr>
      <w:hyperlink w:anchor="_Toc234421154" w:history="1">
        <w:r w:rsidRPr="00DA05A7">
          <w:rPr>
            <w:rStyle w:val="Hyperlink"/>
            <w:noProof/>
            <w:lang w:val="en-GB"/>
          </w:rPr>
          <w:t>Methods</w:t>
        </w:r>
        <w:r>
          <w:rPr>
            <w:noProof/>
            <w:webHidden/>
          </w:rPr>
          <w:tab/>
        </w:r>
        <w:r>
          <w:rPr>
            <w:noProof/>
            <w:webHidden/>
          </w:rPr>
          <w:fldChar w:fldCharType="begin"/>
        </w:r>
        <w:r>
          <w:rPr>
            <w:noProof/>
            <w:webHidden/>
          </w:rPr>
          <w:instrText xml:space="preserve"> PAGEREF _Toc234421154 \h </w:instrText>
        </w:r>
        <w:r>
          <w:rPr>
            <w:noProof/>
            <w:webHidden/>
          </w:rPr>
        </w:r>
        <w:r>
          <w:rPr>
            <w:noProof/>
            <w:webHidden/>
          </w:rPr>
          <w:fldChar w:fldCharType="separate"/>
        </w:r>
        <w:r>
          <w:rPr>
            <w:noProof/>
            <w:webHidden/>
          </w:rPr>
          <w:t>8</w:t>
        </w:r>
        <w:r>
          <w:rPr>
            <w:noProof/>
            <w:webHidden/>
          </w:rPr>
          <w:fldChar w:fldCharType="end"/>
        </w:r>
      </w:hyperlink>
    </w:p>
    <w:p w14:paraId="7C99E927" w14:textId="074F11DD" w:rsidR="005075F0" w:rsidRPr="00555EB5" w:rsidRDefault="005075F0">
      <w:pPr>
        <w:pStyle w:val="TOC2"/>
        <w:tabs>
          <w:tab w:val="right" w:leader="dot" w:pos="9629"/>
        </w:tabs>
        <w:rPr>
          <w:lang w:eastAsia="en-AU"/>
        </w:rPr>
      </w:pPr>
      <w:hyperlink w:anchor="_Toc234421155" w:history="1">
        <w:r w:rsidRPr="00DA05A7">
          <w:rPr>
            <w:rStyle w:val="Hyperlink"/>
            <w:noProof/>
            <w:lang w:val="en-GB"/>
          </w:rPr>
          <w:t>Ethics approval statement</w:t>
        </w:r>
        <w:r>
          <w:rPr>
            <w:noProof/>
            <w:webHidden/>
          </w:rPr>
          <w:tab/>
        </w:r>
        <w:r>
          <w:rPr>
            <w:noProof/>
            <w:webHidden/>
          </w:rPr>
          <w:fldChar w:fldCharType="begin"/>
        </w:r>
        <w:r>
          <w:rPr>
            <w:noProof/>
            <w:webHidden/>
          </w:rPr>
          <w:instrText xml:space="preserve"> PAGEREF _Toc234421155 \h </w:instrText>
        </w:r>
        <w:r>
          <w:rPr>
            <w:noProof/>
            <w:webHidden/>
          </w:rPr>
        </w:r>
        <w:r>
          <w:rPr>
            <w:noProof/>
            <w:webHidden/>
          </w:rPr>
          <w:fldChar w:fldCharType="separate"/>
        </w:r>
        <w:r>
          <w:rPr>
            <w:noProof/>
            <w:webHidden/>
          </w:rPr>
          <w:t>8</w:t>
        </w:r>
        <w:r>
          <w:rPr>
            <w:noProof/>
            <w:webHidden/>
          </w:rPr>
          <w:fldChar w:fldCharType="end"/>
        </w:r>
      </w:hyperlink>
    </w:p>
    <w:p w14:paraId="379278F3" w14:textId="15115E05" w:rsidR="005075F0" w:rsidRPr="00555EB5" w:rsidRDefault="005075F0">
      <w:pPr>
        <w:pStyle w:val="TOC1"/>
        <w:rPr>
          <w:lang w:eastAsia="en-AU"/>
        </w:rPr>
      </w:pPr>
      <w:hyperlink w:anchor="_Toc234421156" w:history="1">
        <w:r w:rsidRPr="00DA05A7">
          <w:rPr>
            <w:rStyle w:val="Hyperlink"/>
            <w:noProof/>
          </w:rPr>
          <w:t>Results</w:t>
        </w:r>
        <w:r>
          <w:rPr>
            <w:noProof/>
            <w:webHidden/>
          </w:rPr>
          <w:tab/>
        </w:r>
        <w:r>
          <w:rPr>
            <w:noProof/>
            <w:webHidden/>
          </w:rPr>
          <w:fldChar w:fldCharType="begin"/>
        </w:r>
        <w:r>
          <w:rPr>
            <w:noProof/>
            <w:webHidden/>
          </w:rPr>
          <w:instrText xml:space="preserve"> PAGEREF _Toc234421156 \h </w:instrText>
        </w:r>
        <w:r>
          <w:rPr>
            <w:noProof/>
            <w:webHidden/>
          </w:rPr>
        </w:r>
        <w:r>
          <w:rPr>
            <w:noProof/>
            <w:webHidden/>
          </w:rPr>
          <w:fldChar w:fldCharType="separate"/>
        </w:r>
        <w:r>
          <w:rPr>
            <w:noProof/>
            <w:webHidden/>
          </w:rPr>
          <w:t>9</w:t>
        </w:r>
        <w:r>
          <w:rPr>
            <w:noProof/>
            <w:webHidden/>
          </w:rPr>
          <w:fldChar w:fldCharType="end"/>
        </w:r>
      </w:hyperlink>
    </w:p>
    <w:p w14:paraId="0936DED1" w14:textId="70B33A46" w:rsidR="005075F0" w:rsidRPr="00555EB5" w:rsidRDefault="005075F0">
      <w:pPr>
        <w:pStyle w:val="TOC1"/>
        <w:rPr>
          <w:lang w:eastAsia="en-AU"/>
        </w:rPr>
      </w:pPr>
      <w:hyperlink w:anchor="_Toc234421157" w:history="1">
        <w:r w:rsidRPr="00DA05A7">
          <w:rPr>
            <w:rStyle w:val="Hyperlink"/>
            <w:noProof/>
          </w:rPr>
          <w:t>Discussion</w:t>
        </w:r>
        <w:r>
          <w:rPr>
            <w:noProof/>
            <w:webHidden/>
          </w:rPr>
          <w:tab/>
        </w:r>
        <w:r>
          <w:rPr>
            <w:noProof/>
            <w:webHidden/>
          </w:rPr>
          <w:fldChar w:fldCharType="begin"/>
        </w:r>
        <w:r>
          <w:rPr>
            <w:noProof/>
            <w:webHidden/>
          </w:rPr>
          <w:instrText xml:space="preserve"> PAGEREF _Toc234421157 \h </w:instrText>
        </w:r>
        <w:r>
          <w:rPr>
            <w:noProof/>
            <w:webHidden/>
          </w:rPr>
        </w:r>
        <w:r>
          <w:rPr>
            <w:noProof/>
            <w:webHidden/>
          </w:rPr>
          <w:fldChar w:fldCharType="separate"/>
        </w:r>
        <w:r>
          <w:rPr>
            <w:noProof/>
            <w:webHidden/>
          </w:rPr>
          <w:t>12</w:t>
        </w:r>
        <w:r>
          <w:rPr>
            <w:noProof/>
            <w:webHidden/>
          </w:rPr>
          <w:fldChar w:fldCharType="end"/>
        </w:r>
      </w:hyperlink>
    </w:p>
    <w:p w14:paraId="190EB7EB" w14:textId="0050B36F" w:rsidR="005075F0" w:rsidRPr="00555EB5" w:rsidRDefault="005075F0">
      <w:pPr>
        <w:pStyle w:val="TOC2"/>
        <w:tabs>
          <w:tab w:val="right" w:leader="dot" w:pos="9629"/>
        </w:tabs>
        <w:rPr>
          <w:lang w:eastAsia="en-AU"/>
        </w:rPr>
      </w:pPr>
      <w:hyperlink w:anchor="_Toc234421158" w:history="1">
        <w:r w:rsidRPr="00DA05A7">
          <w:rPr>
            <w:rStyle w:val="Hyperlink"/>
            <w:noProof/>
            <w:lang w:val="en-GB"/>
          </w:rPr>
          <w:t>Limitations</w:t>
        </w:r>
        <w:r>
          <w:rPr>
            <w:noProof/>
            <w:webHidden/>
          </w:rPr>
          <w:tab/>
        </w:r>
        <w:r>
          <w:rPr>
            <w:noProof/>
            <w:webHidden/>
          </w:rPr>
          <w:fldChar w:fldCharType="begin"/>
        </w:r>
        <w:r>
          <w:rPr>
            <w:noProof/>
            <w:webHidden/>
          </w:rPr>
          <w:instrText xml:space="preserve"> PAGEREF _Toc234421158 \h </w:instrText>
        </w:r>
        <w:r>
          <w:rPr>
            <w:noProof/>
            <w:webHidden/>
          </w:rPr>
        </w:r>
        <w:r>
          <w:rPr>
            <w:noProof/>
            <w:webHidden/>
          </w:rPr>
          <w:fldChar w:fldCharType="separate"/>
        </w:r>
        <w:r>
          <w:rPr>
            <w:noProof/>
            <w:webHidden/>
          </w:rPr>
          <w:t>12</w:t>
        </w:r>
        <w:r>
          <w:rPr>
            <w:noProof/>
            <w:webHidden/>
          </w:rPr>
          <w:fldChar w:fldCharType="end"/>
        </w:r>
      </w:hyperlink>
    </w:p>
    <w:p w14:paraId="64B26A7E" w14:textId="316D8535" w:rsidR="005075F0" w:rsidRPr="00555EB5" w:rsidRDefault="005075F0">
      <w:pPr>
        <w:pStyle w:val="TOC1"/>
        <w:rPr>
          <w:lang w:eastAsia="en-AU"/>
        </w:rPr>
      </w:pPr>
      <w:hyperlink w:anchor="_Toc234421159" w:history="1">
        <w:r w:rsidRPr="00DA05A7">
          <w:rPr>
            <w:rStyle w:val="Hyperlink"/>
            <w:noProof/>
          </w:rPr>
          <w:t>Conclusions</w:t>
        </w:r>
        <w:r>
          <w:rPr>
            <w:noProof/>
            <w:webHidden/>
          </w:rPr>
          <w:tab/>
        </w:r>
        <w:r>
          <w:rPr>
            <w:noProof/>
            <w:webHidden/>
          </w:rPr>
          <w:fldChar w:fldCharType="begin"/>
        </w:r>
        <w:r>
          <w:rPr>
            <w:noProof/>
            <w:webHidden/>
          </w:rPr>
          <w:instrText xml:space="preserve"> PAGEREF _Toc234421159 \h </w:instrText>
        </w:r>
        <w:r>
          <w:rPr>
            <w:noProof/>
            <w:webHidden/>
          </w:rPr>
        </w:r>
        <w:r>
          <w:rPr>
            <w:noProof/>
            <w:webHidden/>
          </w:rPr>
          <w:fldChar w:fldCharType="separate"/>
        </w:r>
        <w:r>
          <w:rPr>
            <w:noProof/>
            <w:webHidden/>
          </w:rPr>
          <w:t>14</w:t>
        </w:r>
        <w:r>
          <w:rPr>
            <w:noProof/>
            <w:webHidden/>
          </w:rPr>
          <w:fldChar w:fldCharType="end"/>
        </w:r>
      </w:hyperlink>
    </w:p>
    <w:p w14:paraId="2BAC3F7D" w14:textId="68DB2555" w:rsidR="005075F0" w:rsidRPr="00555EB5" w:rsidRDefault="005075F0">
      <w:pPr>
        <w:pStyle w:val="TOC1"/>
        <w:rPr>
          <w:lang w:eastAsia="en-AU"/>
        </w:rPr>
      </w:pPr>
      <w:hyperlink w:anchor="_Toc234421160" w:history="1">
        <w:r w:rsidRPr="00DA05A7">
          <w:rPr>
            <w:rStyle w:val="Hyperlink"/>
            <w:noProof/>
          </w:rPr>
          <w:t>Acknowledgments</w:t>
        </w:r>
        <w:r>
          <w:rPr>
            <w:noProof/>
            <w:webHidden/>
          </w:rPr>
          <w:tab/>
        </w:r>
        <w:r>
          <w:rPr>
            <w:noProof/>
            <w:webHidden/>
          </w:rPr>
          <w:fldChar w:fldCharType="begin"/>
        </w:r>
        <w:r>
          <w:rPr>
            <w:noProof/>
            <w:webHidden/>
          </w:rPr>
          <w:instrText xml:space="preserve"> PAGEREF _Toc234421160 \h </w:instrText>
        </w:r>
        <w:r>
          <w:rPr>
            <w:noProof/>
            <w:webHidden/>
          </w:rPr>
        </w:r>
        <w:r>
          <w:rPr>
            <w:noProof/>
            <w:webHidden/>
          </w:rPr>
          <w:fldChar w:fldCharType="separate"/>
        </w:r>
        <w:r>
          <w:rPr>
            <w:noProof/>
            <w:webHidden/>
          </w:rPr>
          <w:t>14</w:t>
        </w:r>
        <w:r>
          <w:rPr>
            <w:noProof/>
            <w:webHidden/>
          </w:rPr>
          <w:fldChar w:fldCharType="end"/>
        </w:r>
      </w:hyperlink>
    </w:p>
    <w:p w14:paraId="0A0C5E7A" w14:textId="7EBECE76" w:rsidR="005075F0" w:rsidRPr="00555EB5" w:rsidRDefault="005075F0">
      <w:pPr>
        <w:pStyle w:val="TOC1"/>
        <w:rPr>
          <w:lang w:eastAsia="en-AU"/>
        </w:rPr>
      </w:pPr>
      <w:hyperlink w:anchor="_Toc234421161" w:history="1">
        <w:r w:rsidRPr="00DA05A7">
          <w:rPr>
            <w:rStyle w:val="Hyperlink"/>
            <w:noProof/>
          </w:rPr>
          <w:t>Author details</w:t>
        </w:r>
        <w:r>
          <w:rPr>
            <w:noProof/>
            <w:webHidden/>
          </w:rPr>
          <w:tab/>
        </w:r>
        <w:r>
          <w:rPr>
            <w:noProof/>
            <w:webHidden/>
          </w:rPr>
          <w:fldChar w:fldCharType="begin"/>
        </w:r>
        <w:r>
          <w:rPr>
            <w:noProof/>
            <w:webHidden/>
          </w:rPr>
          <w:instrText xml:space="preserve"> PAGEREF _Toc234421161 \h </w:instrText>
        </w:r>
        <w:r>
          <w:rPr>
            <w:noProof/>
            <w:webHidden/>
          </w:rPr>
        </w:r>
        <w:r>
          <w:rPr>
            <w:noProof/>
            <w:webHidden/>
          </w:rPr>
          <w:fldChar w:fldCharType="separate"/>
        </w:r>
        <w:r>
          <w:rPr>
            <w:noProof/>
            <w:webHidden/>
          </w:rPr>
          <w:t>15</w:t>
        </w:r>
        <w:r>
          <w:rPr>
            <w:noProof/>
            <w:webHidden/>
          </w:rPr>
          <w:fldChar w:fldCharType="end"/>
        </w:r>
      </w:hyperlink>
    </w:p>
    <w:p w14:paraId="17912D6A" w14:textId="16D2B830" w:rsidR="005075F0" w:rsidRPr="00555EB5" w:rsidRDefault="005075F0">
      <w:pPr>
        <w:pStyle w:val="TOC1"/>
        <w:rPr>
          <w:lang w:eastAsia="en-AU"/>
        </w:rPr>
      </w:pPr>
      <w:hyperlink w:anchor="_Toc234421162" w:history="1">
        <w:r w:rsidRPr="00DA05A7">
          <w:rPr>
            <w:rStyle w:val="Hyperlink"/>
            <w:noProof/>
          </w:rPr>
          <w:t>References</w:t>
        </w:r>
        <w:r>
          <w:rPr>
            <w:noProof/>
            <w:webHidden/>
          </w:rPr>
          <w:tab/>
        </w:r>
        <w:r>
          <w:rPr>
            <w:noProof/>
            <w:webHidden/>
          </w:rPr>
          <w:fldChar w:fldCharType="begin"/>
        </w:r>
        <w:r>
          <w:rPr>
            <w:noProof/>
            <w:webHidden/>
          </w:rPr>
          <w:instrText xml:space="preserve"> PAGEREF _Toc234421162 \h </w:instrText>
        </w:r>
        <w:r>
          <w:rPr>
            <w:noProof/>
            <w:webHidden/>
          </w:rPr>
        </w:r>
        <w:r>
          <w:rPr>
            <w:noProof/>
            <w:webHidden/>
          </w:rPr>
          <w:fldChar w:fldCharType="separate"/>
        </w:r>
        <w:r>
          <w:rPr>
            <w:noProof/>
            <w:webHidden/>
          </w:rPr>
          <w:t>16</w:t>
        </w:r>
        <w:r>
          <w:rPr>
            <w:noProof/>
            <w:webHidden/>
          </w:rPr>
          <w:fldChar w:fldCharType="end"/>
        </w:r>
      </w:hyperlink>
    </w:p>
    <w:p w14:paraId="6A062AA4" w14:textId="3787ECBD" w:rsidR="00F216F0" w:rsidRPr="00F216F0" w:rsidRDefault="005A4E9D" w:rsidP="00F216F0">
      <w:r>
        <w:rPr>
          <w:rFonts w:eastAsiaTheme="minorHAnsi" w:cstheme="minorHAnsi"/>
          <w:szCs w:val="24"/>
          <w:lang w:eastAsia="en-US"/>
        </w:rPr>
        <w:fldChar w:fldCharType="end"/>
      </w:r>
    </w:p>
    <w:p w14:paraId="7E88BFF4" w14:textId="77777777" w:rsidR="00F25C00" w:rsidRDefault="0098426C" w:rsidP="00A24E95">
      <w:pPr>
        <w:pStyle w:val="Heading1"/>
      </w:pPr>
      <w:bookmarkStart w:id="8" w:name="_Toc195530498"/>
      <w:bookmarkStart w:id="9" w:name="_Toc234421146"/>
      <w:bookmarkEnd w:id="7"/>
      <w:r>
        <w:t>Abstract</w:t>
      </w:r>
      <w:bookmarkEnd w:id="8"/>
      <w:bookmarkEnd w:id="9"/>
    </w:p>
    <w:p w14:paraId="5F6561EF" w14:textId="77777777" w:rsidR="00C43BDC" w:rsidRPr="00C43BDC" w:rsidRDefault="00C43BDC" w:rsidP="00C43BDC">
      <w:pPr>
        <w:pStyle w:val="Heading2"/>
        <w:rPr>
          <w:lang w:val="en-GB"/>
        </w:rPr>
      </w:pPr>
      <w:bookmarkStart w:id="10" w:name="_Toc234421147"/>
      <w:r w:rsidRPr="00C43BDC">
        <w:rPr>
          <w:lang w:val="en-GB"/>
        </w:rPr>
        <w:t>Background</w:t>
      </w:r>
      <w:bookmarkEnd w:id="10"/>
    </w:p>
    <w:p w14:paraId="4F6AF97F" w14:textId="77777777" w:rsidR="00C43BDC" w:rsidRPr="00C43BDC" w:rsidRDefault="00C43BDC" w:rsidP="00C43BDC">
      <w:pPr>
        <w:rPr>
          <w:lang w:val="en-GB"/>
        </w:rPr>
      </w:pPr>
      <w:r w:rsidRPr="00C43BDC">
        <w:rPr>
          <w:lang w:val="en-GB"/>
        </w:rPr>
        <w:t xml:space="preserve">In October 2024, Pilbara treatment guidance for uncomplicated urogenital gonorrhoea shifted from routine ZAP pack (amoxicillin 3 g and probenecid 1 g and azithromycin 1 g oral as a single treatment) to ceftriaxone-based LAC pack (ceftriaxone 500 mg in 2 mL 1% lignocaine intramuscularly and azithromycin 1 g oral, as a single treatment) in response to rising penicillinase-producing </w:t>
      </w:r>
      <w:r w:rsidRPr="00C43BDC">
        <w:rPr>
          <w:i/>
          <w:iCs/>
          <w:lang w:val="en-GB"/>
        </w:rPr>
        <w:t>N. gonorrhoeae</w:t>
      </w:r>
      <w:r w:rsidRPr="00C43BDC">
        <w:rPr>
          <w:lang w:val="en-GB"/>
        </w:rPr>
        <w:t xml:space="preserve"> (PPNG) and the threat of imported ciprofloxacin resistance.</w:t>
      </w:r>
    </w:p>
    <w:p w14:paraId="55F257A6" w14:textId="77777777" w:rsidR="00C43BDC" w:rsidRPr="00C43BDC" w:rsidRDefault="00C43BDC" w:rsidP="00C43BDC">
      <w:pPr>
        <w:pStyle w:val="Heading2"/>
        <w:rPr>
          <w:lang w:val="en-GB"/>
        </w:rPr>
      </w:pPr>
      <w:bookmarkStart w:id="11" w:name="_Toc234421148"/>
      <w:r w:rsidRPr="00C43BDC">
        <w:rPr>
          <w:lang w:val="en-GB"/>
        </w:rPr>
        <w:t>Design</w:t>
      </w:r>
      <w:bookmarkEnd w:id="11"/>
    </w:p>
    <w:p w14:paraId="4D196554" w14:textId="77777777" w:rsidR="00C43BDC" w:rsidRPr="00C43BDC" w:rsidRDefault="00C43BDC" w:rsidP="00C43BDC">
      <w:pPr>
        <w:rPr>
          <w:lang w:val="en-GB"/>
        </w:rPr>
      </w:pPr>
      <w:r w:rsidRPr="00C43BDC">
        <w:rPr>
          <w:lang w:val="en-GB"/>
        </w:rPr>
        <w:t xml:space="preserve">A retrospective clinical audit to describe demographics, compare treatment and resistance data collected for </w:t>
      </w:r>
      <w:r w:rsidRPr="00C43BDC">
        <w:rPr>
          <w:i/>
          <w:iCs/>
          <w:lang w:val="en-GB"/>
        </w:rPr>
        <w:t>N. gonorrhoeae</w:t>
      </w:r>
      <w:r w:rsidRPr="00C43BDC">
        <w:rPr>
          <w:lang w:val="en-GB"/>
        </w:rPr>
        <w:t xml:space="preserve"> notifications for Pilbara health region residents meeting the surveillance case definitions in the Western Australian Notifiable Infectious Diseases Database (WANIDD) against clinical guidelines. </w:t>
      </w:r>
    </w:p>
    <w:p w14:paraId="6251222D" w14:textId="77777777" w:rsidR="00C43BDC" w:rsidRPr="00C43BDC" w:rsidRDefault="00C43BDC" w:rsidP="00C43BDC">
      <w:pPr>
        <w:pStyle w:val="Heading2"/>
        <w:rPr>
          <w:lang w:val="en-GB"/>
        </w:rPr>
      </w:pPr>
      <w:bookmarkStart w:id="12" w:name="_Toc234421149"/>
      <w:r w:rsidRPr="00C43BDC">
        <w:rPr>
          <w:lang w:val="en-GB"/>
        </w:rPr>
        <w:t>Setting</w:t>
      </w:r>
      <w:bookmarkEnd w:id="12"/>
    </w:p>
    <w:p w14:paraId="5D99104E" w14:textId="77777777" w:rsidR="00C43BDC" w:rsidRPr="00C43BDC" w:rsidRDefault="00C43BDC" w:rsidP="00C43BDC">
      <w:pPr>
        <w:rPr>
          <w:lang w:val="en-GB"/>
        </w:rPr>
      </w:pPr>
      <w:r w:rsidRPr="00C43BDC">
        <w:rPr>
          <w:lang w:val="en-GB"/>
        </w:rPr>
        <w:t xml:space="preserve">All Pilbara health region resident </w:t>
      </w:r>
      <w:r w:rsidRPr="00C43BDC">
        <w:rPr>
          <w:i/>
          <w:iCs/>
          <w:lang w:val="en-GB"/>
        </w:rPr>
        <w:t>N. gonorrhoeae</w:t>
      </w:r>
      <w:r w:rsidRPr="00C43BDC">
        <w:rPr>
          <w:lang w:val="en-GB"/>
        </w:rPr>
        <w:t xml:space="preserve"> notifications in the Western Australian Notifiable Infectious Diseases Database (WANIDD) from 1 July 2023 to 30 June 2024.</w:t>
      </w:r>
    </w:p>
    <w:p w14:paraId="5413791F" w14:textId="77777777" w:rsidR="00C43BDC" w:rsidRPr="00C43BDC" w:rsidRDefault="00C43BDC" w:rsidP="00C43BDC">
      <w:pPr>
        <w:pStyle w:val="Heading2"/>
        <w:rPr>
          <w:lang w:val="en-GB"/>
        </w:rPr>
      </w:pPr>
      <w:bookmarkStart w:id="13" w:name="_Toc234421150"/>
      <w:r w:rsidRPr="00C43BDC">
        <w:rPr>
          <w:lang w:val="en-GB"/>
        </w:rPr>
        <w:t>Main outcome measures</w:t>
      </w:r>
      <w:bookmarkEnd w:id="13"/>
    </w:p>
    <w:p w14:paraId="0A1A6C9D" w14:textId="77777777" w:rsidR="00C43BDC" w:rsidRPr="00C43BDC" w:rsidRDefault="00C43BDC" w:rsidP="00C43BDC">
      <w:pPr>
        <w:rPr>
          <w:lang w:val="en-GB"/>
        </w:rPr>
      </w:pPr>
      <w:r w:rsidRPr="00C43BDC">
        <w:rPr>
          <w:lang w:val="en-GB"/>
        </w:rPr>
        <w:t>The proportion of notifications that reported treatment with a ZAP pack or LAC pack as per Western Australian and national clinical guidelines. Secondary outcomes included the proportion of notifications undertaken by the WA Country Health Service that reported test of cure at 1–2 weeks; the proportion that reported rescreening at 3 months post notification; and the proportion of notifications that reported PPNG and ciprofloxacin resistance.</w:t>
      </w:r>
    </w:p>
    <w:p w14:paraId="32C5680D" w14:textId="77777777" w:rsidR="00C43BDC" w:rsidRPr="00C43BDC" w:rsidRDefault="00C43BDC" w:rsidP="00C43BDC">
      <w:pPr>
        <w:pStyle w:val="Heading2"/>
        <w:rPr>
          <w:lang w:val="en-GB"/>
        </w:rPr>
      </w:pPr>
      <w:bookmarkStart w:id="14" w:name="_Toc234421151"/>
      <w:r w:rsidRPr="00C43BDC">
        <w:rPr>
          <w:lang w:val="en-GB"/>
        </w:rPr>
        <w:t>Results</w:t>
      </w:r>
      <w:bookmarkEnd w:id="14"/>
    </w:p>
    <w:p w14:paraId="5A358A38" w14:textId="77777777" w:rsidR="00C43BDC" w:rsidRPr="00C43BDC" w:rsidRDefault="00C43BDC" w:rsidP="00C43BDC">
      <w:pPr>
        <w:rPr>
          <w:lang w:val="en-GB"/>
        </w:rPr>
      </w:pPr>
      <w:r w:rsidRPr="00C43BDC">
        <w:rPr>
          <w:lang w:val="en-GB"/>
        </w:rPr>
        <w:t xml:space="preserve">A total of 188 </w:t>
      </w:r>
      <w:r w:rsidRPr="00C43BDC">
        <w:rPr>
          <w:i/>
          <w:iCs/>
          <w:lang w:val="en-GB"/>
        </w:rPr>
        <w:t>N. gonorrhoeae</w:t>
      </w:r>
      <w:r w:rsidRPr="00C43BDC">
        <w:rPr>
          <w:lang w:val="en-GB"/>
        </w:rPr>
        <w:t xml:space="preserve"> notifications were received over the audit time frame. One hundred and twenty-seven notifications of a total of 156 </w:t>
      </w:r>
      <w:r w:rsidRPr="00C43BDC">
        <w:rPr>
          <w:i/>
          <w:iCs/>
          <w:lang w:val="en-GB"/>
        </w:rPr>
        <w:t>N. gonorrhoeae</w:t>
      </w:r>
      <w:r w:rsidRPr="00C43BDC">
        <w:rPr>
          <w:lang w:val="en-GB"/>
        </w:rPr>
        <w:t xml:space="preserve"> notifications (81%) reported receiving treatment consistent with WA and National STI treatment guidelines, i.e. ZAP or LAC pack. Fifteen notifications of a total of 188 notifications (8%) reported detection of PPNG and 20 notifications of a total of 188 notifications (11%) reported ciprofloxacin resistance. For WA Country Health service notifications, 9 of 27 (33%) reported re-testing at 1–2 weeks or 3 months. </w:t>
      </w:r>
    </w:p>
    <w:p w14:paraId="53047BD5" w14:textId="77777777" w:rsidR="00C43BDC" w:rsidRPr="00C43BDC" w:rsidRDefault="00C43BDC" w:rsidP="00C43BDC">
      <w:pPr>
        <w:pStyle w:val="Heading2-newpage"/>
        <w:rPr>
          <w:lang w:val="en-GB"/>
        </w:rPr>
      </w:pPr>
      <w:bookmarkStart w:id="15" w:name="_Toc234421152"/>
      <w:r w:rsidRPr="00C43BDC">
        <w:rPr>
          <w:lang w:val="en-GB"/>
        </w:rPr>
        <w:t>Conclusions</w:t>
      </w:r>
      <w:bookmarkEnd w:id="15"/>
    </w:p>
    <w:p w14:paraId="6E0F6D06" w14:textId="1C200AFF" w:rsidR="00C43BDC" w:rsidRPr="00C43BDC" w:rsidRDefault="00C43BDC" w:rsidP="00C43BDC">
      <w:pPr>
        <w:pStyle w:val="Normal-morespaceafter"/>
        <w:rPr>
          <w:lang w:val="en-GB"/>
        </w:rPr>
      </w:pPr>
      <w:proofErr w:type="gramStart"/>
      <w:r w:rsidRPr="00C43BDC">
        <w:rPr>
          <w:lang w:val="en-GB"/>
        </w:rPr>
        <w:t>The majority of</w:t>
      </w:r>
      <w:proofErr w:type="gramEnd"/>
      <w:r w:rsidRPr="00C43BDC">
        <w:rPr>
          <w:lang w:val="en-GB"/>
        </w:rPr>
        <w:t xml:space="preserve"> notifications (81%) reported </w:t>
      </w:r>
      <w:r w:rsidRPr="00C43BDC">
        <w:rPr>
          <w:i/>
          <w:iCs/>
          <w:lang w:val="en-GB"/>
        </w:rPr>
        <w:t>N. gonorrhoeae</w:t>
      </w:r>
      <w:r w:rsidRPr="00C43BDC">
        <w:rPr>
          <w:lang w:val="en-GB"/>
        </w:rPr>
        <w:t xml:space="preserve"> treatment consistent with guidelines. A</w:t>
      </w:r>
      <w:r>
        <w:rPr>
          <w:lang w:val="en-GB"/>
        </w:rPr>
        <w:t> </w:t>
      </w:r>
      <w:r w:rsidRPr="00C43BDC">
        <w:rPr>
          <w:lang w:val="en-GB"/>
        </w:rPr>
        <w:t>significant proportion of notifications (8%) indicated likely penicillin resistance due to the detection of PPNG. Reinforcing treatment consistent with the updated treatment guidelines of October 2024 for the Pilbara region will reduce the risk of ineffective treatment. Improving the rate of test of cure and test for reinfection (33%) would improve the likelihood of detecting treatment failure and detecting resistance.</w:t>
      </w:r>
    </w:p>
    <w:p w14:paraId="20ECD715" w14:textId="79B1314B" w:rsidR="00B73144" w:rsidRDefault="00B73144" w:rsidP="00E61A68">
      <w:pPr>
        <w:pStyle w:val="CDIBoxText"/>
        <w:rPr>
          <w:lang w:val="en-GB"/>
        </w:rPr>
      </w:pPr>
      <w:r w:rsidRPr="00E61A68">
        <w:t>Keywords</w:t>
      </w:r>
      <w:r w:rsidR="00BF1476">
        <w:t xml:space="preserve">: </w:t>
      </w:r>
      <w:r w:rsidR="00C43BDC" w:rsidRPr="00C43BDC">
        <w:rPr>
          <w:i/>
          <w:iCs/>
          <w:lang w:val="en-GB"/>
        </w:rPr>
        <w:t>Neisseria gonorrhoeae</w:t>
      </w:r>
      <w:r w:rsidR="00C43BDC" w:rsidRPr="00C43BDC">
        <w:rPr>
          <w:lang w:val="en-GB"/>
        </w:rPr>
        <w:t>; gonococcal infection; notifications; management; treatment; antimicrobial resistance; Pilbara; Western Australia</w:t>
      </w:r>
    </w:p>
    <w:p w14:paraId="3903F18F" w14:textId="77777777" w:rsidR="0037146D" w:rsidRDefault="00B73144" w:rsidP="00B73144">
      <w:pPr>
        <w:pStyle w:val="Heading1"/>
      </w:pPr>
      <w:bookmarkStart w:id="16" w:name="_Toc195530501"/>
      <w:bookmarkStart w:id="17" w:name="_Toc234421153"/>
      <w:r>
        <w:t>Introduction</w:t>
      </w:r>
      <w:bookmarkEnd w:id="16"/>
      <w:bookmarkEnd w:id="17"/>
    </w:p>
    <w:p w14:paraId="6E528928" w14:textId="77777777" w:rsidR="002577C6" w:rsidRPr="002577C6" w:rsidRDefault="002577C6" w:rsidP="002577C6">
      <w:pPr>
        <w:pStyle w:val="Normal-Opening"/>
        <w:rPr>
          <w:lang w:val="en-GB"/>
        </w:rPr>
      </w:pPr>
      <w:r w:rsidRPr="002577C6">
        <w:rPr>
          <w:i/>
          <w:iCs/>
          <w:lang w:val="en-GB"/>
        </w:rPr>
        <w:t>Neisseria gonorrhoeae</w:t>
      </w:r>
      <w:r w:rsidRPr="002577C6">
        <w:rPr>
          <w:lang w:val="en-GB"/>
        </w:rPr>
        <w:t xml:space="preserve"> remains an ongoing challenge, with 40,029 notifications in Australia in 2023; this represents a 155% increase in notifications from 2014 (15,671 notifications).</w:t>
      </w:r>
      <w:r w:rsidRPr="002577C6">
        <w:rPr>
          <w:vertAlign w:val="superscript"/>
          <w:lang w:val="en-GB"/>
        </w:rPr>
        <w:t>1</w:t>
      </w:r>
      <w:r w:rsidRPr="002577C6">
        <w:rPr>
          <w:lang w:val="en-GB"/>
        </w:rPr>
        <w:t xml:space="preserve"> In 2023, the age-standardised gonorrhoea notification rate among Aboriginal and Torres Strait Islander peoples living in remote areas was almost 15 times as high as the rate among non-Indigenous persons (1819.3 vs. 117.6 per 100,000 persons).</w:t>
      </w:r>
      <w:r w:rsidRPr="002577C6">
        <w:rPr>
          <w:vertAlign w:val="superscript"/>
          <w:lang w:val="en-GB"/>
        </w:rPr>
        <w:t>2</w:t>
      </w:r>
      <w:r w:rsidRPr="002577C6">
        <w:rPr>
          <w:lang w:val="en-GB"/>
        </w:rPr>
        <w:t xml:space="preserve"> The remote Pilbara region of Western Australia (WA) has the second highest Aboriginal population proportion in WA, comprising 14.8% of the population vs. 3.3% in the rest of WA and 3.2% in Australia.</w:t>
      </w:r>
      <w:r w:rsidRPr="002577C6">
        <w:rPr>
          <w:vertAlign w:val="superscript"/>
          <w:lang w:val="en-GB"/>
        </w:rPr>
        <w:t>3</w:t>
      </w:r>
      <w:r w:rsidRPr="002577C6">
        <w:rPr>
          <w:lang w:val="en-GB"/>
        </w:rPr>
        <w:t xml:space="preserve"> </w:t>
      </w:r>
    </w:p>
    <w:p w14:paraId="6F64BA11" w14:textId="77777777" w:rsidR="002577C6" w:rsidRPr="002577C6" w:rsidRDefault="002577C6" w:rsidP="002577C6">
      <w:pPr>
        <w:rPr>
          <w:lang w:val="en-GB"/>
        </w:rPr>
      </w:pPr>
      <w:r w:rsidRPr="002577C6">
        <w:rPr>
          <w:lang w:val="en-GB"/>
        </w:rPr>
        <w:t>The Pilbara has challenges in tracking gonococcal resistance due to lack of access to clinical services to undertake testing; logistical difficulties in getting viable culture specimens from regional and remote sites to laboratories to culture and undertake resistance testing; and reliance on GeneXpert point-of-care testing that does not result in a culture specimen that can undergo resistance testing. This audit assisted with validating local empirical sexually transmitted infection (STI) treatment guideline changes.</w:t>
      </w:r>
    </w:p>
    <w:p w14:paraId="064305CE" w14:textId="7F1C6254" w:rsidR="002577C6" w:rsidRPr="002577C6" w:rsidRDefault="002577C6" w:rsidP="002577C6">
      <w:pPr>
        <w:rPr>
          <w:lang w:val="en-GB"/>
        </w:rPr>
      </w:pPr>
      <w:r w:rsidRPr="002577C6">
        <w:rPr>
          <w:i/>
          <w:iCs/>
          <w:lang w:val="en-GB"/>
        </w:rPr>
        <w:t>Neisseria gonorrhoeae</w:t>
      </w:r>
      <w:r w:rsidRPr="002577C6">
        <w:rPr>
          <w:lang w:val="en-GB"/>
        </w:rPr>
        <w:t xml:space="preserve"> treatment guidance is continually updated as antimicrobial resistance evolves.</w:t>
      </w:r>
      <w:r w:rsidRPr="002577C6">
        <w:rPr>
          <w:vertAlign w:val="superscript"/>
          <w:lang w:val="en-GB"/>
        </w:rPr>
        <w:t>4</w:t>
      </w:r>
      <w:r w:rsidRPr="002577C6">
        <w:rPr>
          <w:lang w:val="en-GB"/>
        </w:rPr>
        <w:t xml:space="preserve"> The United States Centers for Disease Control (US CDC) guidelines for treatment of gonorrhoeae were last updated in 2020, with the recommended regime for uncomplicated gonococcal infection of ceftriaxone 500 mg intramuscular injection (IMI), ceasing the previous recommendation for dual therapy (ceftriaxone and azithromycin) due to potential microbiome harm and effect on other pathogens.</w:t>
      </w:r>
      <w:r w:rsidRPr="002577C6">
        <w:rPr>
          <w:vertAlign w:val="superscript"/>
          <w:lang w:val="en-GB"/>
        </w:rPr>
        <w:t>5–7</w:t>
      </w:r>
      <w:r w:rsidRPr="002577C6">
        <w:rPr>
          <w:lang w:val="en-GB"/>
        </w:rPr>
        <w:t xml:space="preserve"> Australian STI treatment guidelines recommend ceftriaxone 500</w:t>
      </w:r>
      <w:r>
        <w:rPr>
          <w:lang w:val="en-GB"/>
        </w:rPr>
        <w:t> </w:t>
      </w:r>
      <w:r w:rsidRPr="002577C6">
        <w:rPr>
          <w:lang w:val="en-GB"/>
        </w:rPr>
        <w:t>mg in 2 mL 1% lignocaine IM plus azithromycin 1 g oral (LAC pack) for uncomplicated genital or anorectal infection, with the alternative treatment amoxicillin 3 g plus probenecid 1 g plus azithromycin 1 g oral (single observed dose) (ZAP pack) for some remote Australian locations such as the Pilbara.</w:t>
      </w:r>
      <w:r w:rsidRPr="002577C6">
        <w:rPr>
          <w:vertAlign w:val="superscript"/>
          <w:lang w:val="en-GB"/>
        </w:rPr>
        <w:t>8</w:t>
      </w:r>
      <w:r w:rsidRPr="002577C6">
        <w:rPr>
          <w:lang w:val="en-GB"/>
        </w:rPr>
        <w:t xml:space="preserve"> However, in October 2024 the Pilbara region empirical gonococcal treatment guidelines changed to exclude the use of amoxicillin-based treatment due to unacceptable levels of penicillin resistance to treatment: i.e., cessation of the use of the amoxicillin-based ZAP pack.</w:t>
      </w:r>
      <w:r w:rsidRPr="002577C6">
        <w:rPr>
          <w:vertAlign w:val="superscript"/>
          <w:lang w:val="en-GB"/>
        </w:rPr>
        <w:t>4</w:t>
      </w:r>
    </w:p>
    <w:p w14:paraId="54426B67" w14:textId="15DBB001" w:rsidR="002577C6" w:rsidRPr="002577C6" w:rsidRDefault="002577C6" w:rsidP="002577C6">
      <w:pPr>
        <w:rPr>
          <w:lang w:val="en-GB"/>
        </w:rPr>
      </w:pPr>
      <w:r w:rsidRPr="002577C6">
        <w:rPr>
          <w:lang w:val="en-GB"/>
        </w:rPr>
        <w:t xml:space="preserve">A key risk to the Pilbara is the direct importation of ceftriaxone-resistant </w:t>
      </w:r>
      <w:r w:rsidRPr="002577C6">
        <w:rPr>
          <w:i/>
          <w:iCs/>
          <w:lang w:val="en-GB"/>
        </w:rPr>
        <w:t>N. gonorrhoeae</w:t>
      </w:r>
      <w:r w:rsidRPr="002577C6">
        <w:rPr>
          <w:lang w:val="en-GB"/>
        </w:rPr>
        <w:t xml:space="preserve"> strains from the Asia-Pacific region, where there is demonstrated spread of ceftriaxone-resistant strains</w:t>
      </w:r>
      <w:r w:rsidR="00842801">
        <w:rPr>
          <w:lang w:val="en-GB"/>
        </w:rPr>
        <w:t>,</w:t>
      </w:r>
      <w:r w:rsidRPr="002577C6">
        <w:rPr>
          <w:lang w:val="en-GB"/>
        </w:rPr>
        <w:t xml:space="preserve"> via the large fly-in-fly-out working population.</w:t>
      </w:r>
      <w:r w:rsidRPr="002577C6">
        <w:rPr>
          <w:vertAlign w:val="superscript"/>
          <w:lang w:val="en-GB"/>
        </w:rPr>
        <w:t>9</w:t>
      </w:r>
      <w:r w:rsidRPr="002577C6">
        <w:rPr>
          <w:lang w:val="en-GB"/>
        </w:rPr>
        <w:t xml:space="preserve"> Concurrently, the spread of PPNG strains reduce the effectiveness of ZAP packs, which rely on amoxicillin activity and does not contain clavulanic acid. Although amoxicillin-clavulanate regimens have been used historically in settings such as Papua New Guinea and in the ZAP packs used in the neighbouring Northern Territory, increasing PPNG prevalence in these regions requires a shift away from penicillin-based therapy towards ceftriaxone-based regimens.</w:t>
      </w:r>
      <w:r w:rsidRPr="002577C6">
        <w:rPr>
          <w:vertAlign w:val="superscript"/>
          <w:lang w:val="en-GB"/>
        </w:rPr>
        <w:t>10–12</w:t>
      </w:r>
      <w:r w:rsidRPr="002577C6">
        <w:rPr>
          <w:lang w:val="en-GB"/>
        </w:rPr>
        <w:t xml:space="preserve"> In addition, the detection of multi-drug resistant (MDR) or extensively drug resistant (XDR) gonorrhoea prior to its widespread dissemination is unlikely in the Pilbara due to the limitations in gonococcal culture and resistance testing. </w:t>
      </w:r>
    </w:p>
    <w:p w14:paraId="131F37C5" w14:textId="77777777" w:rsidR="002577C6" w:rsidRPr="002577C6" w:rsidRDefault="002577C6" w:rsidP="002577C6">
      <w:pPr>
        <w:rPr>
          <w:lang w:val="en-GB"/>
        </w:rPr>
      </w:pPr>
      <w:r w:rsidRPr="002577C6">
        <w:rPr>
          <w:lang w:val="en-GB"/>
        </w:rPr>
        <w:t>Gonococcal reinfection is a recognised issue, with a recent Australian analysis in the Australian Capital Territory showing a reinfection rate of over 20%, highlighting the importance of testing for reinfection in addition to effective health promotion, education and counselling as well as pharmacological strategies.</w:t>
      </w:r>
      <w:r w:rsidRPr="002577C6">
        <w:rPr>
          <w:vertAlign w:val="superscript"/>
          <w:lang w:val="en-GB"/>
        </w:rPr>
        <w:t>13</w:t>
      </w:r>
      <w:r w:rsidRPr="002577C6">
        <w:rPr>
          <w:lang w:val="en-GB"/>
        </w:rPr>
        <w:t xml:space="preserve"> This indicates that the recommendations in the Western Australian Silver Book (</w:t>
      </w:r>
      <w:r w:rsidRPr="002577C6">
        <w:rPr>
          <w:i/>
          <w:iCs/>
          <w:lang w:val="en-GB"/>
        </w:rPr>
        <w:t>WA Sexually Transmissible Infection/Blood-Borne Virus (STI/BBV) management guidelines</w:t>
      </w:r>
      <w:r w:rsidRPr="002577C6">
        <w:rPr>
          <w:lang w:val="en-GB"/>
        </w:rPr>
        <w:t>), to follow up cases, to consider test of cure in specific circumstances, as well as to consider testing for reinfection at 3 months, are important interventions to reduce disease.</w:t>
      </w:r>
      <w:r w:rsidRPr="002577C6">
        <w:rPr>
          <w:vertAlign w:val="superscript"/>
          <w:lang w:val="en-GB"/>
        </w:rPr>
        <w:t>4</w:t>
      </w:r>
      <w:r w:rsidRPr="002577C6">
        <w:rPr>
          <w:lang w:val="en-GB"/>
        </w:rPr>
        <w:t xml:space="preserve"> </w:t>
      </w:r>
    </w:p>
    <w:p w14:paraId="2FAB42E1" w14:textId="0D239375" w:rsidR="002577C6" w:rsidRPr="002577C6" w:rsidRDefault="002577C6" w:rsidP="002577C6">
      <w:pPr>
        <w:rPr>
          <w:lang w:val="en-GB"/>
        </w:rPr>
      </w:pPr>
      <w:r w:rsidRPr="002577C6">
        <w:rPr>
          <w:lang w:val="en-GB"/>
        </w:rPr>
        <w:t xml:space="preserve">The purposes of the </w:t>
      </w:r>
      <w:r w:rsidRPr="002577C6">
        <w:rPr>
          <w:i/>
          <w:iCs/>
          <w:lang w:val="en-GB"/>
        </w:rPr>
        <w:t>Neisseria gonorrhoeae</w:t>
      </w:r>
      <w:r w:rsidRPr="002577C6">
        <w:rPr>
          <w:lang w:val="en-GB"/>
        </w:rPr>
        <w:t xml:space="preserve"> Notification, Susceptibility Testing and Test of Cure/Reinfection Audit were to describe the epidemiology of gonococcal infections in the Pilbara region of Western Australia; to quantify compliance with retesting recommendations; and to describe available resistance data. Additionally, the retrospective audit of 1 July 2023 to 30</w:t>
      </w:r>
      <w:r w:rsidR="00BD22AE">
        <w:rPr>
          <w:lang w:val="en-GB"/>
        </w:rPr>
        <w:t> </w:t>
      </w:r>
      <w:r w:rsidRPr="002577C6">
        <w:rPr>
          <w:lang w:val="en-GB"/>
        </w:rPr>
        <w:t>June</w:t>
      </w:r>
      <w:r w:rsidR="00BD22AE">
        <w:rPr>
          <w:lang w:val="en-GB"/>
        </w:rPr>
        <w:t> </w:t>
      </w:r>
      <w:r w:rsidRPr="002577C6">
        <w:rPr>
          <w:lang w:val="en-GB"/>
        </w:rPr>
        <w:t>2024 notifications provides a pre-October 2024 baseline for the Pilbara (historical-control context), to support the October 2024 gonococcal empirical treatment guideline change (removal of amoxicillin-based ZAP packs) and to enable future comparison with post-change data.</w:t>
      </w:r>
    </w:p>
    <w:p w14:paraId="06F214CB" w14:textId="77777777" w:rsidR="00A24E95" w:rsidRDefault="00B73144" w:rsidP="00B73144">
      <w:pPr>
        <w:pStyle w:val="Heading1"/>
        <w:rPr>
          <w:lang w:val="en-GB"/>
        </w:rPr>
      </w:pPr>
      <w:bookmarkStart w:id="18" w:name="_Toc195530502"/>
      <w:bookmarkStart w:id="19" w:name="_Toc234421154"/>
      <w:r>
        <w:rPr>
          <w:lang w:val="en-GB"/>
        </w:rPr>
        <w:t>Methods</w:t>
      </w:r>
      <w:bookmarkEnd w:id="18"/>
      <w:bookmarkEnd w:id="19"/>
    </w:p>
    <w:p w14:paraId="5225CD6D" w14:textId="35263637" w:rsidR="002577C6" w:rsidRPr="002577C6" w:rsidRDefault="002577C6" w:rsidP="002577C6">
      <w:pPr>
        <w:pStyle w:val="Normal-Opening"/>
        <w:rPr>
          <w:lang w:val="en-GB"/>
        </w:rPr>
      </w:pPr>
      <w:r w:rsidRPr="002577C6">
        <w:rPr>
          <w:lang w:val="en-GB"/>
        </w:rPr>
        <w:t xml:space="preserve">A retrospective clinical audit was undertaken to compare information collected for </w:t>
      </w:r>
      <w:r w:rsidRPr="002577C6">
        <w:rPr>
          <w:i/>
          <w:iCs/>
          <w:lang w:val="en-GB"/>
        </w:rPr>
        <w:t>Neisseria gonorrhoeae</w:t>
      </w:r>
      <w:r w:rsidRPr="002577C6">
        <w:rPr>
          <w:lang w:val="en-GB"/>
        </w:rPr>
        <w:t xml:space="preserve"> notifications against clinical guidelines and evidence-based best practice in the WA STI and BBV guidelines and the Australian STI treatment guidelines for use in primary care.</w:t>
      </w:r>
      <w:r w:rsidRPr="002577C6">
        <w:rPr>
          <w:vertAlign w:val="superscript"/>
          <w:lang w:val="en-GB"/>
        </w:rPr>
        <w:t>4,8</w:t>
      </w:r>
      <w:r w:rsidRPr="002577C6">
        <w:rPr>
          <w:lang w:val="en-GB"/>
        </w:rPr>
        <w:t xml:space="preserve"> Notifications of </w:t>
      </w:r>
      <w:r w:rsidRPr="002577C6">
        <w:rPr>
          <w:i/>
          <w:iCs/>
          <w:lang w:val="en-GB"/>
        </w:rPr>
        <w:t>N. gonorrhoeae</w:t>
      </w:r>
      <w:r w:rsidRPr="002577C6">
        <w:rPr>
          <w:lang w:val="en-GB"/>
        </w:rPr>
        <w:t xml:space="preserve"> included in the audit were those meeting the surveillance case definitions for notifiable infectious diseases and related conditions in Western Australia</w:t>
      </w:r>
      <w:r w:rsidRPr="002577C6">
        <w:rPr>
          <w:vertAlign w:val="superscript"/>
          <w:lang w:val="en-GB"/>
        </w:rPr>
        <w:t>14</w:t>
      </w:r>
      <w:r w:rsidRPr="002577C6">
        <w:rPr>
          <w:lang w:val="en-GB"/>
        </w:rPr>
        <w:t xml:space="preserve"> and received by the Pilbara Public Health Unit (PHU) between 1 July 2023 and 30 June 2024.</w:t>
      </w:r>
      <w:r w:rsidRPr="002577C6">
        <w:rPr>
          <w:vertAlign w:val="superscript"/>
          <w:lang w:val="en-GB"/>
        </w:rPr>
        <w:t>14</w:t>
      </w:r>
      <w:r w:rsidRPr="002577C6">
        <w:rPr>
          <w:lang w:val="en-GB"/>
        </w:rPr>
        <w:t xml:space="preserve"> This period was selected to establish a pre-implementation baseline for practice and resistance profiling against which post-October 2024 outcomes can be compared. The Pilbara PHU extracted data from the WA Notifiable Infectious Diseases Database (WANIDD) which included pathology, clinician details and enhanced surveillance form data for de-identified </w:t>
      </w:r>
      <w:r w:rsidRPr="002577C6">
        <w:rPr>
          <w:i/>
          <w:iCs/>
          <w:lang w:val="en-GB"/>
        </w:rPr>
        <w:t>N. gonorrhoeae</w:t>
      </w:r>
      <w:r w:rsidRPr="002577C6">
        <w:rPr>
          <w:lang w:val="en-GB"/>
        </w:rPr>
        <w:t xml:space="preserve"> cases above 14 years of age. The analysis for these cases also included their penicillinase-producing </w:t>
      </w:r>
      <w:r w:rsidRPr="002577C6">
        <w:rPr>
          <w:i/>
          <w:iCs/>
          <w:lang w:val="en-GB"/>
        </w:rPr>
        <w:t>N.</w:t>
      </w:r>
      <w:r>
        <w:rPr>
          <w:i/>
          <w:iCs/>
          <w:lang w:val="en-GB"/>
        </w:rPr>
        <w:t> </w:t>
      </w:r>
      <w:r w:rsidRPr="002577C6">
        <w:rPr>
          <w:i/>
          <w:iCs/>
          <w:lang w:val="en-GB"/>
        </w:rPr>
        <w:t>gonorrhoeae</w:t>
      </w:r>
      <w:r w:rsidRPr="002577C6">
        <w:rPr>
          <w:lang w:val="en-GB"/>
        </w:rPr>
        <w:t xml:space="preserve"> (PPNG) and ciprofloxacin resistance status, where recorded, as well as </w:t>
      </w:r>
      <w:r w:rsidRPr="002577C6">
        <w:rPr>
          <w:i/>
          <w:iCs/>
          <w:lang w:val="en-GB"/>
        </w:rPr>
        <w:t>N.</w:t>
      </w:r>
      <w:r>
        <w:rPr>
          <w:i/>
          <w:iCs/>
          <w:lang w:val="en-GB"/>
        </w:rPr>
        <w:t> </w:t>
      </w:r>
      <w:r w:rsidRPr="002577C6">
        <w:rPr>
          <w:i/>
          <w:iCs/>
          <w:lang w:val="en-GB"/>
        </w:rPr>
        <w:t>gonorrhoeae</w:t>
      </w:r>
      <w:r w:rsidRPr="002577C6">
        <w:rPr>
          <w:lang w:val="en-GB"/>
        </w:rPr>
        <w:t xml:space="preserve"> re-testing at 1–2 weeks and 3 months for WA Country Health services notifications.</w:t>
      </w:r>
    </w:p>
    <w:p w14:paraId="0F46C0A4" w14:textId="4DC20F19" w:rsidR="002577C6" w:rsidRPr="002577C6" w:rsidRDefault="002577C6" w:rsidP="002577C6">
      <w:pPr>
        <w:rPr>
          <w:lang w:val="en-GB"/>
        </w:rPr>
      </w:pPr>
      <w:r w:rsidRPr="002577C6">
        <w:rPr>
          <w:lang w:val="en-GB"/>
        </w:rPr>
        <w:t xml:space="preserve">This data was extracted, de-identified, from WANIDD to an Excel spreadsheet used to complete the Gonorrhoea Data Collection Tool Variables in a REDCap survey. Resistance data for </w:t>
      </w:r>
      <w:r w:rsidRPr="002577C6">
        <w:rPr>
          <w:i/>
          <w:iCs/>
          <w:lang w:val="en-GB"/>
        </w:rPr>
        <w:t>N.</w:t>
      </w:r>
      <w:r>
        <w:rPr>
          <w:i/>
          <w:iCs/>
          <w:lang w:val="en-GB"/>
        </w:rPr>
        <w:t> </w:t>
      </w:r>
      <w:r w:rsidRPr="002577C6">
        <w:rPr>
          <w:i/>
          <w:iCs/>
          <w:lang w:val="en-GB"/>
        </w:rPr>
        <w:t>gonorrhoeae</w:t>
      </w:r>
      <w:r w:rsidRPr="002577C6">
        <w:rPr>
          <w:lang w:val="en-GB"/>
        </w:rPr>
        <w:t xml:space="preserve"> was verified with accessible pathology reports. WA Country Health-provided services management data was extracted from the Community Health Information System. The REDCap survey entries were reviewed by a clinician to assess whether the case was managed and treated in accordance with WA and national guidelines.</w:t>
      </w:r>
      <w:r w:rsidRPr="002577C6">
        <w:rPr>
          <w:vertAlign w:val="superscript"/>
          <w:lang w:val="en-GB"/>
        </w:rPr>
        <w:t>4,8</w:t>
      </w:r>
      <w:r w:rsidRPr="002577C6">
        <w:rPr>
          <w:lang w:val="en-GB"/>
        </w:rPr>
        <w:t xml:space="preserve"> This audit also acted as a quality assurance activity against National Safety and Quality Health Service (NSQHS) Standard 1.</w:t>
      </w:r>
      <w:r w:rsidRPr="002577C6">
        <w:rPr>
          <w:vertAlign w:val="superscript"/>
          <w:lang w:val="en-GB"/>
        </w:rPr>
        <w:t>15</w:t>
      </w:r>
      <w:r w:rsidRPr="002577C6">
        <w:rPr>
          <w:lang w:val="en-GB"/>
        </w:rPr>
        <w:t xml:space="preserve"> </w:t>
      </w:r>
    </w:p>
    <w:p w14:paraId="28591897" w14:textId="77777777" w:rsidR="002577C6" w:rsidRPr="002577C6" w:rsidRDefault="002577C6" w:rsidP="002577C6">
      <w:pPr>
        <w:rPr>
          <w:lang w:val="en-GB"/>
        </w:rPr>
      </w:pPr>
      <w:r w:rsidRPr="002577C6">
        <w:rPr>
          <w:lang w:val="en-GB"/>
        </w:rPr>
        <w:t xml:space="preserve">Descriptive statistics were used to summarise demographics by individual notifications. All further statistics were based on individual notification numbers and proportions. Inferential analyses used Fisher’s Exact test (two-tailed) in RStudio; statistical significance was set at </w:t>
      </w:r>
      <w:r w:rsidRPr="002577C6">
        <w:rPr>
          <w:i/>
          <w:iCs/>
          <w:lang w:val="en-GB"/>
        </w:rPr>
        <w:t>p</w:t>
      </w:r>
      <w:r w:rsidRPr="002577C6">
        <w:rPr>
          <w:lang w:val="en-GB"/>
        </w:rPr>
        <w:t xml:space="preserve"> &lt; 0.05. </w:t>
      </w:r>
    </w:p>
    <w:p w14:paraId="7D11177E" w14:textId="77777777" w:rsidR="002577C6" w:rsidRPr="002577C6" w:rsidRDefault="002577C6" w:rsidP="002577C6">
      <w:pPr>
        <w:pStyle w:val="Heading2"/>
        <w:rPr>
          <w:lang w:val="en-GB"/>
        </w:rPr>
      </w:pPr>
      <w:bookmarkStart w:id="20" w:name="_Toc234421155"/>
      <w:r w:rsidRPr="002577C6">
        <w:rPr>
          <w:lang w:val="en-GB"/>
        </w:rPr>
        <w:t>Ethics approval statement</w:t>
      </w:r>
      <w:bookmarkEnd w:id="20"/>
    </w:p>
    <w:p w14:paraId="1014713D" w14:textId="6F16EE72" w:rsidR="00BE73E6" w:rsidRPr="00BE73E6" w:rsidRDefault="002577C6" w:rsidP="00BE73E6">
      <w:pPr>
        <w:rPr>
          <w:lang w:val="en-GB"/>
        </w:rPr>
      </w:pPr>
      <w:r w:rsidRPr="002577C6">
        <w:rPr>
          <w:lang w:val="en-GB"/>
        </w:rPr>
        <w:t xml:space="preserve">The audit was reviewed and approved by the WA Health Human Ethics Research Committee (RGS635) and the WA Aboriginal Health Ethics Committee (HREC1343). </w:t>
      </w:r>
    </w:p>
    <w:p w14:paraId="7B48DB31" w14:textId="77777777" w:rsidR="008A0736" w:rsidRDefault="000073ED" w:rsidP="005A4E9D">
      <w:pPr>
        <w:pStyle w:val="Heading1"/>
      </w:pPr>
      <w:bookmarkStart w:id="21" w:name="_Toc195530503"/>
      <w:bookmarkStart w:id="22" w:name="_Toc234421156"/>
      <w:r>
        <w:t>Results</w:t>
      </w:r>
      <w:bookmarkEnd w:id="21"/>
      <w:bookmarkEnd w:id="22"/>
    </w:p>
    <w:p w14:paraId="59C75A96" w14:textId="77777777" w:rsidR="00EF2547" w:rsidRPr="00EF2547" w:rsidRDefault="00EF2547" w:rsidP="00EF2547">
      <w:pPr>
        <w:pStyle w:val="Normal-Opening"/>
        <w:rPr>
          <w:lang w:val="en-GB"/>
        </w:rPr>
      </w:pPr>
      <w:r w:rsidRPr="00EF2547">
        <w:rPr>
          <w:lang w:val="en-GB"/>
        </w:rPr>
        <w:t xml:space="preserve">A total of 188 </w:t>
      </w:r>
      <w:r w:rsidRPr="00EF2547">
        <w:rPr>
          <w:i/>
          <w:iCs/>
          <w:lang w:val="en-GB"/>
        </w:rPr>
        <w:t>N. gonorrhoeae</w:t>
      </w:r>
      <w:r w:rsidRPr="00EF2547">
        <w:rPr>
          <w:lang w:val="en-GB"/>
        </w:rPr>
        <w:t xml:space="preserve"> notifications were received over the audit time frame. Aboriginal persons comprised 82% of notifications; 4% of notifications were of unknown ethnicity. Females comprised 51% of notifications, with 49% male. The highest numbers of notifications were observed among those aged 20–24 years of age (28%) and 14–19 years of age (24%). Notifications were received from Pilbara WA Country Health Services (38%); Pilbara Aboriginal Medical Services (32%); other Pilbara general practitioners (GPs; 10%); or from the Royal Flying Doctor Service, Corrective Services, or services outside the Pilbara (20%). Of the 188 notifications, 156 reported </w:t>
      </w:r>
      <w:proofErr w:type="gramStart"/>
      <w:r w:rsidRPr="00EF2547">
        <w:rPr>
          <w:lang w:val="en-GB"/>
        </w:rPr>
        <w:t>treatment</w:t>
      </w:r>
      <w:proofErr w:type="gramEnd"/>
      <w:r w:rsidRPr="00EF2547">
        <w:rPr>
          <w:lang w:val="en-GB"/>
        </w:rPr>
        <w:t>; 9 reported no treatment; and 23 did not report any treatment details.</w:t>
      </w:r>
    </w:p>
    <w:p w14:paraId="4FEB1145" w14:textId="77777777" w:rsidR="00EF2547" w:rsidRPr="00EF2547" w:rsidRDefault="00EF2547" w:rsidP="00EF2547">
      <w:pPr>
        <w:rPr>
          <w:lang w:val="en-GB"/>
        </w:rPr>
      </w:pPr>
      <w:r w:rsidRPr="00EF2547">
        <w:rPr>
          <w:lang w:val="en-GB"/>
        </w:rPr>
        <w:t>For context, the gonorrhoea notification rate in the Pilbara is typically two to three times higher than the statewide WA rate.</w:t>
      </w:r>
      <w:r w:rsidRPr="00EF2547">
        <w:rPr>
          <w:vertAlign w:val="superscript"/>
          <w:lang w:val="en-GB"/>
        </w:rPr>
        <w:t>16</w:t>
      </w:r>
      <w:r w:rsidRPr="00EF2547">
        <w:rPr>
          <w:lang w:val="en-GB"/>
        </w:rPr>
        <w:t xml:space="preserve"> In 2024, the Pilbara reported 403.7 notifications per 100,000 population, compared with 192.2 per 100,000 population in WA.</w:t>
      </w:r>
      <w:r w:rsidRPr="00EF2547">
        <w:rPr>
          <w:vertAlign w:val="superscript"/>
          <w:lang w:val="en-GB"/>
        </w:rPr>
        <w:t>16</w:t>
      </w:r>
      <w:r w:rsidRPr="00EF2547">
        <w:rPr>
          <w:lang w:val="en-GB"/>
        </w:rPr>
        <w:t xml:space="preserve"> These rates represent an increase from 2021, when annual notification rates were 388.5 per 100,000 population in the Pilbara and 109.7 per 100,000 population in WA.</w:t>
      </w:r>
      <w:r w:rsidRPr="00EF2547">
        <w:rPr>
          <w:vertAlign w:val="superscript"/>
          <w:lang w:val="en-GB"/>
        </w:rPr>
        <w:t>16</w:t>
      </w:r>
    </w:p>
    <w:p w14:paraId="080269AC" w14:textId="77777777" w:rsidR="00EF2547" w:rsidRPr="00EF2547" w:rsidRDefault="00EF2547" w:rsidP="00EF2547">
      <w:pPr>
        <w:rPr>
          <w:lang w:val="en-GB"/>
        </w:rPr>
      </w:pPr>
      <w:r w:rsidRPr="00EF2547">
        <w:rPr>
          <w:lang w:val="en-GB"/>
        </w:rPr>
        <w:t>Of treated notifications, 81% (127/156) were consistent with WA/national guidance current to October 2024 (Table 1).</w:t>
      </w:r>
      <w:r w:rsidRPr="00EF2547">
        <w:rPr>
          <w:vertAlign w:val="superscript"/>
          <w:lang w:val="en-GB"/>
        </w:rPr>
        <w:t>4</w:t>
      </w:r>
      <w:r w:rsidRPr="00EF2547">
        <w:rPr>
          <w:lang w:val="en-GB"/>
        </w:rPr>
        <w:t xml:space="preserve"> In general, this meant that the LAC pack treatment was used for people with suspected or confirmed gonorrhoea, particularly when laboratory testing was not available, or where there was a concern about antibiotic resistance. The ZAP pack treatment was usually avoided in situations where resistance to penicillin was known or </w:t>
      </w:r>
      <w:proofErr w:type="gramStart"/>
      <w:r w:rsidRPr="00EF2547">
        <w:rPr>
          <w:lang w:val="en-GB"/>
        </w:rPr>
        <w:t>suspected, and</w:t>
      </w:r>
      <w:proofErr w:type="gramEnd"/>
      <w:r w:rsidRPr="00EF2547">
        <w:rPr>
          <w:lang w:val="en-GB"/>
        </w:rPr>
        <w:t xml:space="preserve"> was used in more limited situations where earlier local practices suggested it was an effective treatment e.g. in remote Aboriginal communities. Of 156 cases recorded as receiving treatment 31% received a ZAP pack and 50% received a LAC pack (Table 1). ZAP packs used in WA do not contain clavulanic acid, which has been used with amoxicillin in other settings to reduce penicillin mediated resistance.</w:t>
      </w:r>
    </w:p>
    <w:p w14:paraId="5EA4A8FE" w14:textId="77777777" w:rsidR="00EF2547" w:rsidRPr="00EF2547" w:rsidRDefault="00EF2547" w:rsidP="00EF2547">
      <w:pPr>
        <w:pStyle w:val="CDITable-Title"/>
        <w:rPr>
          <w:lang w:val="en-GB"/>
        </w:rPr>
      </w:pPr>
      <w:r w:rsidRPr="00EF2547">
        <w:rPr>
          <w:lang w:val="en-GB"/>
        </w:rPr>
        <w:t xml:space="preserve">Table 1: Number of </w:t>
      </w:r>
      <w:r w:rsidRPr="00EF2547">
        <w:rPr>
          <w:i/>
          <w:iCs/>
          <w:lang w:val="en-GB"/>
        </w:rPr>
        <w:t>N. gonorrhoeae</w:t>
      </w:r>
      <w:r w:rsidRPr="00EF2547">
        <w:rPr>
          <w:lang w:val="en-GB"/>
        </w:rPr>
        <w:t xml:space="preserve"> notifications by reported treatment, sex and </w:t>
      </w:r>
      <w:proofErr w:type="spellStart"/>
      <w:proofErr w:type="gramStart"/>
      <w:r w:rsidRPr="00EF2547">
        <w:rPr>
          <w:lang w:val="en-GB"/>
        </w:rPr>
        <w:t>ethnicity,</w:t>
      </w:r>
      <w:r w:rsidRPr="00EF2547">
        <w:rPr>
          <w:vertAlign w:val="superscript"/>
          <w:lang w:val="en-GB"/>
        </w:rPr>
        <w:t>a</w:t>
      </w:r>
      <w:proofErr w:type="spellEnd"/>
      <w:proofErr w:type="gramEnd"/>
      <w:r w:rsidRPr="00EF2547">
        <w:rPr>
          <w:lang w:val="en-GB"/>
        </w:rPr>
        <w:t xml:space="preserve"> Pilbara, Western Australia, 1 July 2023 – 30 June 2024</w:t>
      </w:r>
    </w:p>
    <w:tbl>
      <w:tblPr>
        <w:tblW w:w="0" w:type="auto"/>
        <w:tblLayout w:type="fixed"/>
        <w:tblCellMar>
          <w:left w:w="0" w:type="dxa"/>
          <w:right w:w="0" w:type="dxa"/>
        </w:tblCellMar>
        <w:tblLook w:val="0000" w:firstRow="0" w:lastRow="0" w:firstColumn="0" w:lastColumn="0" w:noHBand="0" w:noVBand="0"/>
        <w:tblCaption w:val="Table 1: Number of N. gonorrhoeae notifications by reported treatment, sex and ethnicity,a Pilbara, Western Australia, 1 July 2023 – 30 June 2024"/>
        <w:tblDescription w:val="Eighty-one percent (127/156) of notifications received treatment consistent with the published treatment guidelines up to October 2024. Thirty-one percent underwent treatment with a ZAP pack (Amoxicillin 3 g and Probenecid 1g and Azithromycin 1 g oral as a single treatment) and 50% received a LAC pack (Ceftriaxone 500 mg in 2 mL 1% lignocaine intramuscularly and Azithromycin 1 g oral, given together as a single treatment)."/>
      </w:tblPr>
      <w:tblGrid>
        <w:gridCol w:w="1134"/>
        <w:gridCol w:w="3345"/>
        <w:gridCol w:w="964"/>
        <w:gridCol w:w="963"/>
        <w:gridCol w:w="1077"/>
        <w:gridCol w:w="1078"/>
        <w:gridCol w:w="1077"/>
      </w:tblGrid>
      <w:tr w:rsidR="00EF2547" w:rsidRPr="00EF2547" w14:paraId="7C11627D" w14:textId="77777777" w:rsidTr="00F42F95">
        <w:trPr>
          <w:trHeight w:val="60"/>
          <w:tblHeader/>
        </w:trPr>
        <w:tc>
          <w:tcPr>
            <w:tcW w:w="4479" w:type="dxa"/>
            <w:gridSpan w:val="2"/>
            <w:tcBorders>
              <w:top w:val="nil"/>
              <w:left w:val="nil"/>
              <w:bottom w:val="single" w:sz="6" w:space="0" w:color="FFFFFF" w:themeColor="background1"/>
            </w:tcBorders>
            <w:shd w:val="clear" w:color="auto" w:fill="1E4496" w:themeFill="text2"/>
            <w:tcMar>
              <w:top w:w="85" w:type="dxa"/>
              <w:left w:w="85" w:type="dxa"/>
              <w:bottom w:w="85" w:type="dxa"/>
              <w:right w:w="85" w:type="dxa"/>
            </w:tcMar>
            <w:vAlign w:val="bottom"/>
          </w:tcPr>
          <w:p w14:paraId="6DF40AFC" w14:textId="77777777" w:rsidR="00EF2547" w:rsidRPr="00EF2547" w:rsidRDefault="00EF2547" w:rsidP="00F42F95">
            <w:pPr>
              <w:pStyle w:val="CDITable-HeaderRowLeft"/>
            </w:pPr>
            <w:r w:rsidRPr="00EF2547">
              <w:t>Demographics</w:t>
            </w:r>
          </w:p>
        </w:tc>
        <w:tc>
          <w:tcPr>
            <w:tcW w:w="5159" w:type="dxa"/>
            <w:gridSpan w:val="5"/>
            <w:tcBorders>
              <w:top w:val="nil"/>
              <w:bottom w:val="single" w:sz="6" w:space="0" w:color="FFFFFF" w:themeColor="background1"/>
            </w:tcBorders>
            <w:shd w:val="clear" w:color="auto" w:fill="1E4496" w:themeFill="text2"/>
            <w:tcMar>
              <w:top w:w="85" w:type="dxa"/>
              <w:left w:w="85" w:type="dxa"/>
              <w:bottom w:w="85" w:type="dxa"/>
              <w:right w:w="85" w:type="dxa"/>
            </w:tcMar>
            <w:vAlign w:val="bottom"/>
          </w:tcPr>
          <w:p w14:paraId="46566945" w14:textId="77777777" w:rsidR="00EF2547" w:rsidRPr="00EF2547" w:rsidRDefault="00EF2547" w:rsidP="00F42F95">
            <w:pPr>
              <w:pStyle w:val="CDITable-HeaderRowCentre"/>
            </w:pPr>
            <w:r w:rsidRPr="00EF2547">
              <w:t>Treatment given</w:t>
            </w:r>
          </w:p>
        </w:tc>
      </w:tr>
      <w:tr w:rsidR="00EF2547" w:rsidRPr="00EF2547" w14:paraId="7E35D9AC" w14:textId="77777777" w:rsidTr="00F42F95">
        <w:trPr>
          <w:trHeight w:val="60"/>
          <w:tblHeader/>
        </w:trPr>
        <w:tc>
          <w:tcPr>
            <w:tcW w:w="1134" w:type="dxa"/>
            <w:tcBorders>
              <w:top w:val="single" w:sz="6" w:space="0" w:color="FFFFFF" w:themeColor="background1"/>
              <w:left w:val="nil"/>
            </w:tcBorders>
            <w:shd w:val="clear" w:color="auto" w:fill="1E4496" w:themeFill="text2"/>
            <w:tcMar>
              <w:top w:w="85" w:type="dxa"/>
              <w:left w:w="85" w:type="dxa"/>
              <w:bottom w:w="85" w:type="dxa"/>
              <w:right w:w="85" w:type="dxa"/>
            </w:tcMar>
            <w:vAlign w:val="bottom"/>
          </w:tcPr>
          <w:p w14:paraId="41FC613A" w14:textId="77777777" w:rsidR="00EF2547" w:rsidRPr="00EF2547" w:rsidRDefault="00EF2547" w:rsidP="00F42F95">
            <w:pPr>
              <w:pStyle w:val="CDITable-HeaderRowLeft"/>
            </w:pPr>
            <w:r w:rsidRPr="00EF2547">
              <w:t>Sex</w:t>
            </w:r>
          </w:p>
        </w:tc>
        <w:tc>
          <w:tcPr>
            <w:tcW w:w="3345" w:type="dxa"/>
            <w:tcBorders>
              <w:top w:val="single" w:sz="6" w:space="0" w:color="FFFFFF" w:themeColor="background1"/>
              <w:right w:val="single" w:sz="6" w:space="0" w:color="FFFFFF" w:themeColor="background1"/>
            </w:tcBorders>
            <w:shd w:val="clear" w:color="auto" w:fill="1E4496" w:themeFill="text2"/>
            <w:tcMar>
              <w:top w:w="85" w:type="dxa"/>
              <w:left w:w="85" w:type="dxa"/>
              <w:bottom w:w="85" w:type="dxa"/>
              <w:right w:w="85" w:type="dxa"/>
            </w:tcMar>
            <w:vAlign w:val="bottom"/>
          </w:tcPr>
          <w:p w14:paraId="0A2AC5D1" w14:textId="77777777" w:rsidR="00EF2547" w:rsidRPr="00EF2547" w:rsidRDefault="00EF2547" w:rsidP="00F42F95">
            <w:pPr>
              <w:pStyle w:val="CDITable-HeaderRowLeft"/>
            </w:pPr>
            <w:r w:rsidRPr="00EF2547">
              <w:t>Ethnicity</w:t>
            </w:r>
          </w:p>
        </w:tc>
        <w:tc>
          <w:tcPr>
            <w:tcW w:w="964" w:type="dxa"/>
            <w:tcBorders>
              <w:top w:val="single" w:sz="6" w:space="0" w:color="FFFFFF" w:themeColor="background1"/>
              <w:left w:val="single" w:sz="6" w:space="0" w:color="FFFFFF" w:themeColor="background1"/>
            </w:tcBorders>
            <w:shd w:val="clear" w:color="auto" w:fill="1E4496" w:themeFill="text2"/>
            <w:tcMar>
              <w:top w:w="85" w:type="dxa"/>
              <w:left w:w="85" w:type="dxa"/>
              <w:bottom w:w="85" w:type="dxa"/>
              <w:right w:w="85" w:type="dxa"/>
            </w:tcMar>
            <w:vAlign w:val="bottom"/>
          </w:tcPr>
          <w:p w14:paraId="25F38AF0" w14:textId="77777777" w:rsidR="00EF2547" w:rsidRPr="00EF2547" w:rsidRDefault="00EF2547" w:rsidP="00F42F95">
            <w:pPr>
              <w:pStyle w:val="CDITable-HeaderRowCentre"/>
            </w:pPr>
            <w:r w:rsidRPr="00EF2547">
              <w:t xml:space="preserve">LAC </w:t>
            </w:r>
            <w:proofErr w:type="spellStart"/>
            <w:r w:rsidRPr="00EF2547">
              <w:t>pack</w:t>
            </w:r>
            <w:r w:rsidRPr="00EF2547">
              <w:rPr>
                <w:vertAlign w:val="superscript"/>
              </w:rPr>
              <w:t>b</w:t>
            </w:r>
            <w:proofErr w:type="spellEnd"/>
          </w:p>
        </w:tc>
        <w:tc>
          <w:tcPr>
            <w:tcW w:w="963" w:type="dxa"/>
            <w:tcBorders>
              <w:top w:val="single" w:sz="6" w:space="0" w:color="FFFFFF" w:themeColor="background1"/>
            </w:tcBorders>
            <w:shd w:val="clear" w:color="auto" w:fill="1E4496" w:themeFill="text2"/>
            <w:tcMar>
              <w:top w:w="85" w:type="dxa"/>
              <w:left w:w="85" w:type="dxa"/>
              <w:bottom w:w="85" w:type="dxa"/>
              <w:right w:w="85" w:type="dxa"/>
            </w:tcMar>
            <w:vAlign w:val="bottom"/>
          </w:tcPr>
          <w:p w14:paraId="0B25F2E1" w14:textId="77777777" w:rsidR="00EF2547" w:rsidRPr="00EF2547" w:rsidRDefault="00EF2547" w:rsidP="00F42F95">
            <w:pPr>
              <w:pStyle w:val="CDITable-HeaderRowCentre"/>
            </w:pPr>
            <w:r w:rsidRPr="00EF2547">
              <w:t xml:space="preserve">ZAP </w:t>
            </w:r>
            <w:proofErr w:type="spellStart"/>
            <w:r w:rsidRPr="00EF2547">
              <w:t>pack</w:t>
            </w:r>
            <w:r w:rsidRPr="00EF2547">
              <w:rPr>
                <w:vertAlign w:val="superscript"/>
              </w:rPr>
              <w:t>c</w:t>
            </w:r>
            <w:proofErr w:type="spellEnd"/>
          </w:p>
        </w:tc>
        <w:tc>
          <w:tcPr>
            <w:tcW w:w="1077" w:type="dxa"/>
            <w:tcBorders>
              <w:top w:val="single" w:sz="6" w:space="0" w:color="FFFFFF" w:themeColor="background1"/>
            </w:tcBorders>
            <w:shd w:val="clear" w:color="auto" w:fill="1E4496" w:themeFill="text2"/>
            <w:tcMar>
              <w:top w:w="85" w:type="dxa"/>
              <w:left w:w="85" w:type="dxa"/>
              <w:bottom w:w="85" w:type="dxa"/>
              <w:right w:w="85" w:type="dxa"/>
            </w:tcMar>
            <w:vAlign w:val="bottom"/>
          </w:tcPr>
          <w:p w14:paraId="49E36579" w14:textId="77777777" w:rsidR="00EF2547" w:rsidRPr="00EF2547" w:rsidRDefault="00EF2547" w:rsidP="00F42F95">
            <w:pPr>
              <w:pStyle w:val="CDITable-HeaderRowCentre"/>
            </w:pPr>
            <w:r w:rsidRPr="00EF2547">
              <w:t>Unknown treatment</w:t>
            </w:r>
          </w:p>
        </w:tc>
        <w:tc>
          <w:tcPr>
            <w:tcW w:w="1078" w:type="dxa"/>
            <w:tcBorders>
              <w:top w:val="single" w:sz="6" w:space="0" w:color="FFFFFF" w:themeColor="background1"/>
            </w:tcBorders>
            <w:shd w:val="clear" w:color="auto" w:fill="1E4496" w:themeFill="text2"/>
            <w:tcMar>
              <w:top w:w="85" w:type="dxa"/>
              <w:left w:w="85" w:type="dxa"/>
              <w:bottom w:w="85" w:type="dxa"/>
              <w:right w:w="85" w:type="dxa"/>
            </w:tcMar>
            <w:vAlign w:val="bottom"/>
          </w:tcPr>
          <w:p w14:paraId="33B8B497" w14:textId="77777777" w:rsidR="00EF2547" w:rsidRPr="00EF2547" w:rsidRDefault="00EF2547" w:rsidP="00F42F95">
            <w:pPr>
              <w:pStyle w:val="CDITable-HeaderRowCentre"/>
            </w:pPr>
            <w:r w:rsidRPr="00EF2547">
              <w:t>Other treatment</w:t>
            </w:r>
          </w:p>
        </w:tc>
        <w:tc>
          <w:tcPr>
            <w:tcW w:w="1077" w:type="dxa"/>
            <w:tcBorders>
              <w:top w:val="single" w:sz="6" w:space="0" w:color="FFFFFF" w:themeColor="background1"/>
              <w:right w:val="nil"/>
            </w:tcBorders>
            <w:shd w:val="clear" w:color="auto" w:fill="1E4496" w:themeFill="text2"/>
            <w:tcMar>
              <w:top w:w="85" w:type="dxa"/>
              <w:left w:w="85" w:type="dxa"/>
              <w:bottom w:w="85" w:type="dxa"/>
              <w:right w:w="85" w:type="dxa"/>
            </w:tcMar>
            <w:vAlign w:val="bottom"/>
          </w:tcPr>
          <w:p w14:paraId="4FF4D255" w14:textId="77777777" w:rsidR="00EF2547" w:rsidRPr="00EF2547" w:rsidRDefault="00EF2547" w:rsidP="00F42F95">
            <w:pPr>
              <w:pStyle w:val="CDITable-HeaderRowCentre"/>
            </w:pPr>
            <w:r w:rsidRPr="00EF2547">
              <w:t>Total</w:t>
            </w:r>
          </w:p>
        </w:tc>
      </w:tr>
      <w:tr w:rsidR="00EF2547" w:rsidRPr="00EF2547" w14:paraId="086B116D" w14:textId="77777777" w:rsidTr="00F42F95">
        <w:trPr>
          <w:trHeight w:val="60"/>
        </w:trPr>
        <w:tc>
          <w:tcPr>
            <w:tcW w:w="1134" w:type="dxa"/>
            <w:vMerge w:val="restart"/>
            <w:tcBorders>
              <w:left w:val="nil"/>
              <w:bottom w:val="single" w:sz="6" w:space="0" w:color="1E4496" w:themeColor="text2"/>
            </w:tcBorders>
            <w:tcMar>
              <w:top w:w="85" w:type="dxa"/>
              <w:left w:w="85" w:type="dxa"/>
              <w:bottom w:w="85" w:type="dxa"/>
              <w:right w:w="85" w:type="dxa"/>
            </w:tcMar>
            <w:vAlign w:val="center"/>
          </w:tcPr>
          <w:p w14:paraId="72EC90AB" w14:textId="77777777" w:rsidR="00EF2547" w:rsidRPr="00EF2547" w:rsidRDefault="00EF2547" w:rsidP="00F42F95">
            <w:pPr>
              <w:pStyle w:val="CDITable-RowLeft"/>
              <w:rPr>
                <w:lang w:val="en-GB"/>
              </w:rPr>
            </w:pPr>
            <w:r w:rsidRPr="00EF2547">
              <w:rPr>
                <w:lang w:val="en-GB"/>
              </w:rPr>
              <w:t>Female</w:t>
            </w:r>
          </w:p>
        </w:tc>
        <w:tc>
          <w:tcPr>
            <w:tcW w:w="3345" w:type="dxa"/>
            <w:tcBorders>
              <w:bottom w:val="single" w:sz="6" w:space="0" w:color="1E4496" w:themeColor="text2"/>
            </w:tcBorders>
            <w:tcMar>
              <w:top w:w="85" w:type="dxa"/>
              <w:left w:w="85" w:type="dxa"/>
              <w:bottom w:w="85" w:type="dxa"/>
              <w:right w:w="85" w:type="dxa"/>
            </w:tcMar>
            <w:vAlign w:val="center"/>
          </w:tcPr>
          <w:p w14:paraId="7876F39E" w14:textId="77777777" w:rsidR="00EF2547" w:rsidRPr="00EF2547" w:rsidRDefault="00EF2547" w:rsidP="00F42F95">
            <w:pPr>
              <w:pStyle w:val="CDITable-RowLeft"/>
              <w:rPr>
                <w:lang w:val="en-GB"/>
              </w:rPr>
            </w:pPr>
            <w:r w:rsidRPr="00EF2547">
              <w:rPr>
                <w:lang w:val="en-GB"/>
              </w:rPr>
              <w:t>Aboriginal and/or Torres Strait Islander</w:t>
            </w:r>
          </w:p>
        </w:tc>
        <w:tc>
          <w:tcPr>
            <w:tcW w:w="964" w:type="dxa"/>
            <w:tcBorders>
              <w:left w:val="nil"/>
              <w:bottom w:val="single" w:sz="6" w:space="0" w:color="1E4496" w:themeColor="text2"/>
            </w:tcBorders>
            <w:tcMar>
              <w:top w:w="85" w:type="dxa"/>
              <w:left w:w="85" w:type="dxa"/>
              <w:bottom w:w="85" w:type="dxa"/>
              <w:right w:w="85" w:type="dxa"/>
            </w:tcMar>
            <w:vAlign w:val="center"/>
          </w:tcPr>
          <w:p w14:paraId="066CEC36" w14:textId="77777777" w:rsidR="00EF2547" w:rsidRPr="00EF2547" w:rsidRDefault="00EF2547" w:rsidP="00EF2547">
            <w:pPr>
              <w:pStyle w:val="CDITable-RowCentre"/>
              <w:rPr>
                <w:lang w:val="en-GB"/>
              </w:rPr>
            </w:pPr>
            <w:r w:rsidRPr="00EF2547">
              <w:rPr>
                <w:lang w:val="en-GB"/>
              </w:rPr>
              <w:t>33</w:t>
            </w:r>
          </w:p>
        </w:tc>
        <w:tc>
          <w:tcPr>
            <w:tcW w:w="963" w:type="dxa"/>
            <w:tcBorders>
              <w:bottom w:val="single" w:sz="6" w:space="0" w:color="1E4496" w:themeColor="text2"/>
            </w:tcBorders>
            <w:tcMar>
              <w:top w:w="85" w:type="dxa"/>
              <w:left w:w="85" w:type="dxa"/>
              <w:bottom w:w="85" w:type="dxa"/>
              <w:right w:w="85" w:type="dxa"/>
            </w:tcMar>
            <w:vAlign w:val="center"/>
          </w:tcPr>
          <w:p w14:paraId="1BAE982E" w14:textId="77777777" w:rsidR="00EF2547" w:rsidRPr="00EF2547" w:rsidRDefault="00EF2547" w:rsidP="00EF2547">
            <w:pPr>
              <w:pStyle w:val="CDITable-RowCentre"/>
              <w:rPr>
                <w:lang w:val="en-GB"/>
              </w:rPr>
            </w:pPr>
            <w:r w:rsidRPr="00EF2547">
              <w:rPr>
                <w:lang w:val="en-GB"/>
              </w:rPr>
              <w:t>23</w:t>
            </w:r>
          </w:p>
        </w:tc>
        <w:tc>
          <w:tcPr>
            <w:tcW w:w="1077" w:type="dxa"/>
            <w:tcBorders>
              <w:bottom w:val="single" w:sz="6" w:space="0" w:color="1E4496" w:themeColor="text2"/>
            </w:tcBorders>
            <w:tcMar>
              <w:top w:w="85" w:type="dxa"/>
              <w:left w:w="85" w:type="dxa"/>
              <w:bottom w:w="85" w:type="dxa"/>
              <w:right w:w="85" w:type="dxa"/>
            </w:tcMar>
            <w:vAlign w:val="center"/>
          </w:tcPr>
          <w:p w14:paraId="1410D7E8" w14:textId="77777777" w:rsidR="00EF2547" w:rsidRPr="00EF2547" w:rsidRDefault="00EF2547" w:rsidP="00EF2547">
            <w:pPr>
              <w:pStyle w:val="CDITable-RowCentre"/>
              <w:rPr>
                <w:lang w:val="en-GB"/>
              </w:rPr>
            </w:pPr>
            <w:r w:rsidRPr="00EF2547">
              <w:rPr>
                <w:lang w:val="en-GB"/>
              </w:rPr>
              <w:t>1</w:t>
            </w:r>
          </w:p>
        </w:tc>
        <w:tc>
          <w:tcPr>
            <w:tcW w:w="1078" w:type="dxa"/>
            <w:tcBorders>
              <w:bottom w:val="single" w:sz="6" w:space="0" w:color="1E4496" w:themeColor="text2"/>
            </w:tcBorders>
            <w:tcMar>
              <w:top w:w="85" w:type="dxa"/>
              <w:left w:w="85" w:type="dxa"/>
              <w:bottom w:w="85" w:type="dxa"/>
              <w:right w:w="85" w:type="dxa"/>
            </w:tcMar>
            <w:vAlign w:val="center"/>
          </w:tcPr>
          <w:p w14:paraId="6537A5C9" w14:textId="77777777" w:rsidR="00EF2547" w:rsidRPr="00EF2547" w:rsidRDefault="00EF2547" w:rsidP="00EF2547">
            <w:pPr>
              <w:pStyle w:val="CDITable-RowCentre"/>
              <w:rPr>
                <w:lang w:val="en-GB"/>
              </w:rPr>
            </w:pPr>
            <w:r w:rsidRPr="00EF2547">
              <w:rPr>
                <w:lang w:val="en-GB"/>
              </w:rPr>
              <w:t>12</w:t>
            </w:r>
          </w:p>
        </w:tc>
        <w:tc>
          <w:tcPr>
            <w:tcW w:w="1077" w:type="dxa"/>
            <w:tcBorders>
              <w:bottom w:val="single" w:sz="6" w:space="0" w:color="1E4496" w:themeColor="text2"/>
              <w:right w:val="nil"/>
            </w:tcBorders>
            <w:tcMar>
              <w:top w:w="85" w:type="dxa"/>
              <w:left w:w="85" w:type="dxa"/>
              <w:bottom w:w="85" w:type="dxa"/>
              <w:right w:w="85" w:type="dxa"/>
            </w:tcMar>
            <w:vAlign w:val="center"/>
          </w:tcPr>
          <w:p w14:paraId="22E00D4D" w14:textId="77777777" w:rsidR="00EF2547" w:rsidRPr="00EF2547" w:rsidRDefault="00EF2547" w:rsidP="00EF2547">
            <w:pPr>
              <w:pStyle w:val="CDITable-RowCentre"/>
              <w:rPr>
                <w:lang w:val="en-GB"/>
              </w:rPr>
            </w:pPr>
            <w:r w:rsidRPr="00EF2547">
              <w:rPr>
                <w:lang w:val="en-GB"/>
              </w:rPr>
              <w:t>69</w:t>
            </w:r>
          </w:p>
        </w:tc>
      </w:tr>
      <w:tr w:rsidR="00EF2547" w:rsidRPr="00EF2547" w14:paraId="56DEF1F7" w14:textId="77777777" w:rsidTr="00F42F95">
        <w:trPr>
          <w:trHeight w:val="60"/>
        </w:trPr>
        <w:tc>
          <w:tcPr>
            <w:tcW w:w="1134" w:type="dxa"/>
            <w:vMerge/>
            <w:tcBorders>
              <w:top w:val="single" w:sz="6" w:space="0" w:color="1E4496" w:themeColor="text2"/>
              <w:left w:val="nil"/>
            </w:tcBorders>
            <w:tcMar>
              <w:top w:w="85" w:type="dxa"/>
              <w:bottom w:w="85" w:type="dxa"/>
            </w:tcMar>
          </w:tcPr>
          <w:p w14:paraId="0E883CE5" w14:textId="77777777" w:rsidR="00EF2547" w:rsidRPr="00EF2547" w:rsidRDefault="00EF2547" w:rsidP="00F42F95">
            <w:pPr>
              <w:pStyle w:val="CDITable-RowLeft"/>
            </w:pPr>
          </w:p>
        </w:tc>
        <w:tc>
          <w:tcPr>
            <w:tcW w:w="3345"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B94DCCF" w14:textId="77777777" w:rsidR="00EF2547" w:rsidRPr="00EF2547" w:rsidRDefault="00EF2547" w:rsidP="00F42F95">
            <w:pPr>
              <w:pStyle w:val="CDITable-RowLeft"/>
              <w:rPr>
                <w:lang w:val="en-GB"/>
              </w:rPr>
            </w:pPr>
            <w:r w:rsidRPr="00EF2547">
              <w:rPr>
                <w:lang w:val="en-GB"/>
              </w:rPr>
              <w:t>Other</w:t>
            </w:r>
          </w:p>
        </w:tc>
        <w:tc>
          <w:tcPr>
            <w:tcW w:w="964" w:type="dxa"/>
            <w:tcBorders>
              <w:top w:val="single" w:sz="6" w:space="0" w:color="1E4496" w:themeColor="text2"/>
              <w:left w:val="nil"/>
              <w:bottom w:val="single" w:sz="6" w:space="0" w:color="1E4496" w:themeColor="text2"/>
            </w:tcBorders>
            <w:tcMar>
              <w:top w:w="85" w:type="dxa"/>
              <w:left w:w="85" w:type="dxa"/>
              <w:bottom w:w="85" w:type="dxa"/>
              <w:right w:w="85" w:type="dxa"/>
            </w:tcMar>
            <w:vAlign w:val="center"/>
          </w:tcPr>
          <w:p w14:paraId="38E7ACD8" w14:textId="77777777" w:rsidR="00EF2547" w:rsidRPr="00EF2547" w:rsidRDefault="00EF2547" w:rsidP="00EF2547">
            <w:pPr>
              <w:pStyle w:val="CDITable-RowCentre"/>
              <w:rPr>
                <w:lang w:val="en-GB"/>
              </w:rPr>
            </w:pPr>
            <w:r w:rsidRPr="00EF2547">
              <w:rPr>
                <w:lang w:val="en-GB"/>
              </w:rPr>
              <w:t>5</w:t>
            </w:r>
          </w:p>
        </w:tc>
        <w:tc>
          <w:tcPr>
            <w:tcW w:w="963"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ADEA46D" w14:textId="77777777" w:rsidR="00EF2547" w:rsidRPr="00EF2547" w:rsidRDefault="00EF2547" w:rsidP="00EF2547">
            <w:pPr>
              <w:pStyle w:val="CDITable-RowCentre"/>
              <w:rPr>
                <w:lang w:val="en-GB"/>
              </w:rPr>
            </w:pPr>
            <w:r w:rsidRPr="00EF2547">
              <w:rPr>
                <w:lang w:val="en-GB"/>
              </w:rPr>
              <w:t>—</w:t>
            </w:r>
          </w:p>
        </w:tc>
        <w:tc>
          <w:tcPr>
            <w:tcW w:w="107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A56A7CA" w14:textId="77777777" w:rsidR="00EF2547" w:rsidRPr="00EF2547" w:rsidRDefault="00EF2547" w:rsidP="00EF2547">
            <w:pPr>
              <w:pStyle w:val="CDITable-RowCentre"/>
              <w:rPr>
                <w:lang w:val="en-GB"/>
              </w:rPr>
            </w:pPr>
            <w:r w:rsidRPr="00EF2547">
              <w:rPr>
                <w:lang w:val="en-GB"/>
              </w:rPr>
              <w:t>—</w:t>
            </w:r>
          </w:p>
        </w:tc>
        <w:tc>
          <w:tcPr>
            <w:tcW w:w="1078"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96FC115" w14:textId="77777777" w:rsidR="00EF2547" w:rsidRPr="00EF2547" w:rsidRDefault="00EF2547" w:rsidP="00EF2547">
            <w:pPr>
              <w:pStyle w:val="CDITable-RowCentre"/>
              <w:rPr>
                <w:lang w:val="en-GB"/>
              </w:rPr>
            </w:pPr>
            <w:r w:rsidRPr="00EF2547">
              <w:rPr>
                <w:lang w:val="en-GB"/>
              </w:rPr>
              <w:t>3</w:t>
            </w:r>
          </w:p>
        </w:tc>
        <w:tc>
          <w:tcPr>
            <w:tcW w:w="1077"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3F4F0E28" w14:textId="77777777" w:rsidR="00EF2547" w:rsidRPr="00EF2547" w:rsidRDefault="00EF2547" w:rsidP="00EF2547">
            <w:pPr>
              <w:pStyle w:val="CDITable-RowCentre"/>
              <w:rPr>
                <w:lang w:val="en-GB"/>
              </w:rPr>
            </w:pPr>
            <w:r w:rsidRPr="00EF2547">
              <w:rPr>
                <w:lang w:val="en-GB"/>
              </w:rPr>
              <w:t>8</w:t>
            </w:r>
          </w:p>
        </w:tc>
      </w:tr>
      <w:tr w:rsidR="00EF2547" w:rsidRPr="00EF2547" w14:paraId="0F551ACB" w14:textId="77777777" w:rsidTr="00F42F95">
        <w:trPr>
          <w:trHeight w:val="60"/>
        </w:trPr>
        <w:tc>
          <w:tcPr>
            <w:tcW w:w="1134" w:type="dxa"/>
            <w:vMerge w:val="restart"/>
            <w:tcBorders>
              <w:left w:val="nil"/>
            </w:tcBorders>
            <w:tcMar>
              <w:top w:w="85" w:type="dxa"/>
              <w:left w:w="85" w:type="dxa"/>
              <w:bottom w:w="85" w:type="dxa"/>
              <w:right w:w="85" w:type="dxa"/>
            </w:tcMar>
            <w:vAlign w:val="center"/>
          </w:tcPr>
          <w:p w14:paraId="41F57DFA" w14:textId="77777777" w:rsidR="00EF2547" w:rsidRPr="00EF2547" w:rsidRDefault="00EF2547" w:rsidP="00F42F95">
            <w:pPr>
              <w:pStyle w:val="CDITable-RowLeft"/>
              <w:rPr>
                <w:lang w:val="en-GB"/>
              </w:rPr>
            </w:pPr>
            <w:r w:rsidRPr="00EF2547">
              <w:rPr>
                <w:lang w:val="en-GB"/>
              </w:rPr>
              <w:t>Male</w:t>
            </w:r>
          </w:p>
        </w:tc>
        <w:tc>
          <w:tcPr>
            <w:tcW w:w="3345"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1EEB338" w14:textId="77777777" w:rsidR="00EF2547" w:rsidRPr="00EF2547" w:rsidRDefault="00EF2547" w:rsidP="00F42F95">
            <w:pPr>
              <w:pStyle w:val="CDITable-RowLeft"/>
              <w:rPr>
                <w:lang w:val="en-GB"/>
              </w:rPr>
            </w:pPr>
            <w:r w:rsidRPr="00EF2547">
              <w:rPr>
                <w:lang w:val="en-GB"/>
              </w:rPr>
              <w:t>Aboriginal and/or Torres Strait Islander</w:t>
            </w:r>
          </w:p>
        </w:tc>
        <w:tc>
          <w:tcPr>
            <w:tcW w:w="964" w:type="dxa"/>
            <w:tcBorders>
              <w:top w:val="single" w:sz="6" w:space="0" w:color="1E4496" w:themeColor="text2"/>
              <w:left w:val="nil"/>
              <w:bottom w:val="single" w:sz="6" w:space="0" w:color="1E4496" w:themeColor="text2"/>
            </w:tcBorders>
            <w:tcMar>
              <w:top w:w="85" w:type="dxa"/>
              <w:left w:w="85" w:type="dxa"/>
              <w:bottom w:w="85" w:type="dxa"/>
              <w:right w:w="85" w:type="dxa"/>
            </w:tcMar>
            <w:vAlign w:val="center"/>
          </w:tcPr>
          <w:p w14:paraId="3D5E2530" w14:textId="77777777" w:rsidR="00EF2547" w:rsidRPr="00EF2547" w:rsidRDefault="00EF2547" w:rsidP="00EF2547">
            <w:pPr>
              <w:pStyle w:val="CDITable-RowCentre"/>
              <w:rPr>
                <w:lang w:val="en-GB"/>
              </w:rPr>
            </w:pPr>
            <w:r w:rsidRPr="00EF2547">
              <w:rPr>
                <w:lang w:val="en-GB"/>
              </w:rPr>
              <w:t>28</w:t>
            </w:r>
          </w:p>
        </w:tc>
        <w:tc>
          <w:tcPr>
            <w:tcW w:w="963"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FC584F8" w14:textId="77777777" w:rsidR="00EF2547" w:rsidRPr="00EF2547" w:rsidRDefault="00EF2547" w:rsidP="00EF2547">
            <w:pPr>
              <w:pStyle w:val="CDITable-RowCentre"/>
              <w:rPr>
                <w:lang w:val="en-GB"/>
              </w:rPr>
            </w:pPr>
            <w:r w:rsidRPr="00EF2547">
              <w:rPr>
                <w:lang w:val="en-GB"/>
              </w:rPr>
              <w:t>25</w:t>
            </w:r>
          </w:p>
        </w:tc>
        <w:tc>
          <w:tcPr>
            <w:tcW w:w="107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78B0978" w14:textId="77777777" w:rsidR="00EF2547" w:rsidRPr="00EF2547" w:rsidRDefault="00EF2547" w:rsidP="00EF2547">
            <w:pPr>
              <w:pStyle w:val="CDITable-RowCentre"/>
              <w:rPr>
                <w:lang w:val="en-GB"/>
              </w:rPr>
            </w:pPr>
            <w:r w:rsidRPr="00EF2547">
              <w:rPr>
                <w:lang w:val="en-GB"/>
              </w:rPr>
              <w:t>1</w:t>
            </w:r>
          </w:p>
        </w:tc>
        <w:tc>
          <w:tcPr>
            <w:tcW w:w="1078"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BF6FF3B" w14:textId="77777777" w:rsidR="00EF2547" w:rsidRPr="00EF2547" w:rsidRDefault="00EF2547" w:rsidP="00EF2547">
            <w:pPr>
              <w:pStyle w:val="CDITable-RowCentre"/>
              <w:rPr>
                <w:lang w:val="en-GB"/>
              </w:rPr>
            </w:pPr>
            <w:r w:rsidRPr="00EF2547">
              <w:rPr>
                <w:lang w:val="en-GB"/>
              </w:rPr>
              <w:t>10</w:t>
            </w:r>
          </w:p>
        </w:tc>
        <w:tc>
          <w:tcPr>
            <w:tcW w:w="1077"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7DAA74F0" w14:textId="77777777" w:rsidR="00EF2547" w:rsidRPr="00EF2547" w:rsidRDefault="00EF2547" w:rsidP="00EF2547">
            <w:pPr>
              <w:pStyle w:val="CDITable-RowCentre"/>
              <w:rPr>
                <w:lang w:val="en-GB"/>
              </w:rPr>
            </w:pPr>
            <w:r w:rsidRPr="00EF2547">
              <w:rPr>
                <w:lang w:val="en-GB"/>
              </w:rPr>
              <w:t>64</w:t>
            </w:r>
          </w:p>
        </w:tc>
      </w:tr>
      <w:tr w:rsidR="00EF2547" w:rsidRPr="00EF2547" w14:paraId="0B99DCDC" w14:textId="77777777" w:rsidTr="009B581E">
        <w:trPr>
          <w:trHeight w:val="60"/>
        </w:trPr>
        <w:tc>
          <w:tcPr>
            <w:tcW w:w="1134" w:type="dxa"/>
            <w:vMerge/>
            <w:tcBorders>
              <w:left w:val="nil"/>
            </w:tcBorders>
            <w:tcMar>
              <w:top w:w="85" w:type="dxa"/>
              <w:bottom w:w="85" w:type="dxa"/>
            </w:tcMar>
          </w:tcPr>
          <w:p w14:paraId="4EF19E1C" w14:textId="77777777" w:rsidR="00EF2547" w:rsidRPr="00EF2547" w:rsidRDefault="00EF2547" w:rsidP="00F42F95">
            <w:pPr>
              <w:pStyle w:val="CDITable-RowLeft"/>
            </w:pPr>
          </w:p>
        </w:tc>
        <w:tc>
          <w:tcPr>
            <w:tcW w:w="3345" w:type="dxa"/>
            <w:tcBorders>
              <w:top w:val="single" w:sz="6" w:space="0" w:color="1E4496" w:themeColor="text2"/>
            </w:tcBorders>
            <w:tcMar>
              <w:top w:w="85" w:type="dxa"/>
              <w:left w:w="85" w:type="dxa"/>
              <w:bottom w:w="85" w:type="dxa"/>
              <w:right w:w="85" w:type="dxa"/>
            </w:tcMar>
            <w:vAlign w:val="center"/>
          </w:tcPr>
          <w:p w14:paraId="264B7323" w14:textId="77777777" w:rsidR="00EF2547" w:rsidRPr="00EF2547" w:rsidRDefault="00EF2547" w:rsidP="00F42F95">
            <w:pPr>
              <w:pStyle w:val="CDITable-RowLeft"/>
              <w:rPr>
                <w:lang w:val="en-GB"/>
              </w:rPr>
            </w:pPr>
            <w:r w:rsidRPr="00EF2547">
              <w:rPr>
                <w:lang w:val="en-GB"/>
              </w:rPr>
              <w:t>Other</w:t>
            </w:r>
          </w:p>
        </w:tc>
        <w:tc>
          <w:tcPr>
            <w:tcW w:w="964" w:type="dxa"/>
            <w:tcBorders>
              <w:top w:val="single" w:sz="6" w:space="0" w:color="1E4496" w:themeColor="text2"/>
              <w:left w:val="nil"/>
            </w:tcBorders>
            <w:tcMar>
              <w:top w:w="85" w:type="dxa"/>
              <w:left w:w="85" w:type="dxa"/>
              <w:bottom w:w="85" w:type="dxa"/>
              <w:right w:w="85" w:type="dxa"/>
            </w:tcMar>
            <w:vAlign w:val="center"/>
          </w:tcPr>
          <w:p w14:paraId="378CCCD3" w14:textId="77777777" w:rsidR="00EF2547" w:rsidRPr="00EF2547" w:rsidRDefault="00EF2547" w:rsidP="00EF2547">
            <w:pPr>
              <w:pStyle w:val="CDITable-RowCentre"/>
              <w:rPr>
                <w:lang w:val="en-GB"/>
              </w:rPr>
            </w:pPr>
            <w:r w:rsidRPr="00EF2547">
              <w:rPr>
                <w:lang w:val="en-GB"/>
              </w:rPr>
              <w:t>12</w:t>
            </w:r>
          </w:p>
        </w:tc>
        <w:tc>
          <w:tcPr>
            <w:tcW w:w="963" w:type="dxa"/>
            <w:tcBorders>
              <w:top w:val="single" w:sz="6" w:space="0" w:color="1E4496" w:themeColor="text2"/>
            </w:tcBorders>
            <w:tcMar>
              <w:top w:w="85" w:type="dxa"/>
              <w:left w:w="85" w:type="dxa"/>
              <w:bottom w:w="85" w:type="dxa"/>
              <w:right w:w="85" w:type="dxa"/>
            </w:tcMar>
            <w:vAlign w:val="center"/>
          </w:tcPr>
          <w:p w14:paraId="2F9A7C97" w14:textId="77777777" w:rsidR="00EF2547" w:rsidRPr="00EF2547" w:rsidRDefault="00EF2547" w:rsidP="00EF2547">
            <w:pPr>
              <w:pStyle w:val="CDITable-RowCentre"/>
              <w:rPr>
                <w:lang w:val="en-GB"/>
              </w:rPr>
            </w:pPr>
            <w:r w:rsidRPr="00EF2547">
              <w:rPr>
                <w:lang w:val="en-GB"/>
              </w:rPr>
              <w:t>1</w:t>
            </w:r>
          </w:p>
        </w:tc>
        <w:tc>
          <w:tcPr>
            <w:tcW w:w="1077" w:type="dxa"/>
            <w:tcBorders>
              <w:top w:val="single" w:sz="6" w:space="0" w:color="1E4496" w:themeColor="text2"/>
            </w:tcBorders>
            <w:tcMar>
              <w:top w:w="85" w:type="dxa"/>
              <w:left w:w="85" w:type="dxa"/>
              <w:bottom w:w="85" w:type="dxa"/>
              <w:right w:w="85" w:type="dxa"/>
            </w:tcMar>
            <w:vAlign w:val="center"/>
          </w:tcPr>
          <w:p w14:paraId="54AA80B3" w14:textId="77777777" w:rsidR="00EF2547" w:rsidRPr="00EF2547" w:rsidRDefault="00EF2547" w:rsidP="00EF2547">
            <w:pPr>
              <w:pStyle w:val="CDITable-RowCentre"/>
              <w:rPr>
                <w:lang w:val="en-GB"/>
              </w:rPr>
            </w:pPr>
            <w:r w:rsidRPr="00EF2547">
              <w:rPr>
                <w:lang w:val="en-GB"/>
              </w:rPr>
              <w:t>—</w:t>
            </w:r>
          </w:p>
        </w:tc>
        <w:tc>
          <w:tcPr>
            <w:tcW w:w="1078" w:type="dxa"/>
            <w:tcBorders>
              <w:top w:val="single" w:sz="6" w:space="0" w:color="1E4496" w:themeColor="text2"/>
            </w:tcBorders>
            <w:tcMar>
              <w:top w:w="85" w:type="dxa"/>
              <w:left w:w="85" w:type="dxa"/>
              <w:bottom w:w="85" w:type="dxa"/>
              <w:right w:w="85" w:type="dxa"/>
            </w:tcMar>
            <w:vAlign w:val="center"/>
          </w:tcPr>
          <w:p w14:paraId="2C1836AF" w14:textId="77777777" w:rsidR="00EF2547" w:rsidRPr="00EF2547" w:rsidRDefault="00EF2547" w:rsidP="00EF2547">
            <w:pPr>
              <w:pStyle w:val="CDITable-RowCentre"/>
              <w:rPr>
                <w:lang w:val="en-GB"/>
              </w:rPr>
            </w:pPr>
            <w:r w:rsidRPr="00EF2547">
              <w:rPr>
                <w:lang w:val="en-GB"/>
              </w:rPr>
              <w:t>2</w:t>
            </w:r>
          </w:p>
        </w:tc>
        <w:tc>
          <w:tcPr>
            <w:tcW w:w="1077" w:type="dxa"/>
            <w:tcBorders>
              <w:top w:val="single" w:sz="6" w:space="0" w:color="1E4496" w:themeColor="text2"/>
              <w:right w:val="nil"/>
            </w:tcBorders>
            <w:tcMar>
              <w:top w:w="85" w:type="dxa"/>
              <w:left w:w="85" w:type="dxa"/>
              <w:bottom w:w="85" w:type="dxa"/>
              <w:right w:w="85" w:type="dxa"/>
            </w:tcMar>
            <w:vAlign w:val="center"/>
          </w:tcPr>
          <w:p w14:paraId="37F6A161" w14:textId="77777777" w:rsidR="00EF2547" w:rsidRPr="00EF2547" w:rsidRDefault="00EF2547" w:rsidP="00EF2547">
            <w:pPr>
              <w:pStyle w:val="CDITable-RowCentre"/>
              <w:rPr>
                <w:lang w:val="en-GB"/>
              </w:rPr>
            </w:pPr>
            <w:r w:rsidRPr="00EF2547">
              <w:rPr>
                <w:lang w:val="en-GB"/>
              </w:rPr>
              <w:t>15</w:t>
            </w:r>
          </w:p>
        </w:tc>
      </w:tr>
      <w:tr w:rsidR="00EF2547" w:rsidRPr="00EF2547" w14:paraId="4A3AF7B3" w14:textId="77777777" w:rsidTr="009B581E">
        <w:trPr>
          <w:trHeight w:val="60"/>
        </w:trPr>
        <w:tc>
          <w:tcPr>
            <w:tcW w:w="1134" w:type="dxa"/>
            <w:tcBorders>
              <w:left w:val="nil"/>
              <w:bottom w:val="single" w:sz="6" w:space="0" w:color="1E4496" w:themeColor="text2"/>
            </w:tcBorders>
            <w:shd w:val="clear" w:color="auto" w:fill="53C9F1" w:themeFill="background2"/>
            <w:tcMar>
              <w:top w:w="85" w:type="dxa"/>
              <w:left w:w="85" w:type="dxa"/>
              <w:bottom w:w="85" w:type="dxa"/>
              <w:right w:w="85" w:type="dxa"/>
            </w:tcMar>
            <w:vAlign w:val="center"/>
          </w:tcPr>
          <w:p w14:paraId="28BA9680" w14:textId="77777777" w:rsidR="00EF2547" w:rsidRPr="00EF2547" w:rsidRDefault="00EF2547" w:rsidP="00F42F95">
            <w:pPr>
              <w:pStyle w:val="CDITable-TotalRowLeft"/>
              <w:rPr>
                <w:lang w:val="en-GB"/>
              </w:rPr>
            </w:pPr>
            <w:r w:rsidRPr="00EF2547">
              <w:rPr>
                <w:lang w:val="en-GB"/>
              </w:rPr>
              <w:t>Total</w:t>
            </w:r>
          </w:p>
        </w:tc>
        <w:tc>
          <w:tcPr>
            <w:tcW w:w="3345"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192C7748" w14:textId="77777777" w:rsidR="00EF2547" w:rsidRPr="00EF2547" w:rsidRDefault="00EF2547" w:rsidP="00F42F95">
            <w:pPr>
              <w:pStyle w:val="CDITable-TotalRowLeft"/>
              <w:rPr>
                <w:lang w:val="en-GB"/>
              </w:rPr>
            </w:pPr>
            <w:r w:rsidRPr="00EF2547">
              <w:rPr>
                <w:lang w:val="en-GB"/>
              </w:rPr>
              <w:t>—</w:t>
            </w:r>
          </w:p>
        </w:tc>
        <w:tc>
          <w:tcPr>
            <w:tcW w:w="964" w:type="dxa"/>
            <w:tcBorders>
              <w:left w:val="nil"/>
              <w:bottom w:val="single" w:sz="6" w:space="0" w:color="1E4496" w:themeColor="text2"/>
            </w:tcBorders>
            <w:shd w:val="clear" w:color="auto" w:fill="53C9F1" w:themeFill="background2"/>
            <w:tcMar>
              <w:top w:w="85" w:type="dxa"/>
              <w:left w:w="85" w:type="dxa"/>
              <w:bottom w:w="85" w:type="dxa"/>
              <w:right w:w="85" w:type="dxa"/>
            </w:tcMar>
            <w:vAlign w:val="center"/>
          </w:tcPr>
          <w:p w14:paraId="59E8C345" w14:textId="77777777" w:rsidR="00EF2547" w:rsidRPr="00EF2547" w:rsidRDefault="00EF2547" w:rsidP="00F42F95">
            <w:pPr>
              <w:pStyle w:val="CDITable-TotalRowCentre"/>
              <w:rPr>
                <w:lang w:val="en-GB"/>
              </w:rPr>
            </w:pPr>
            <w:r w:rsidRPr="00EF2547">
              <w:rPr>
                <w:lang w:val="en-GB"/>
              </w:rPr>
              <w:t>78 (50%)</w:t>
            </w:r>
          </w:p>
        </w:tc>
        <w:tc>
          <w:tcPr>
            <w:tcW w:w="963"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51981E29" w14:textId="77777777" w:rsidR="00EF2547" w:rsidRPr="00EF2547" w:rsidRDefault="00EF2547" w:rsidP="00F42F95">
            <w:pPr>
              <w:pStyle w:val="CDITable-TotalRowCentre"/>
              <w:rPr>
                <w:lang w:val="en-GB"/>
              </w:rPr>
            </w:pPr>
            <w:r w:rsidRPr="00EF2547">
              <w:rPr>
                <w:lang w:val="en-GB"/>
              </w:rPr>
              <w:t>49 (31%)</w:t>
            </w:r>
          </w:p>
        </w:tc>
        <w:tc>
          <w:tcPr>
            <w:tcW w:w="1077"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53C9DA8B" w14:textId="77777777" w:rsidR="00EF2547" w:rsidRPr="00EF2547" w:rsidRDefault="00EF2547" w:rsidP="00F42F95">
            <w:pPr>
              <w:pStyle w:val="CDITable-TotalRowCentre"/>
              <w:rPr>
                <w:lang w:val="en-GB"/>
              </w:rPr>
            </w:pPr>
            <w:r w:rsidRPr="00EF2547">
              <w:rPr>
                <w:lang w:val="en-GB"/>
              </w:rPr>
              <w:t>2 (1%)</w:t>
            </w:r>
          </w:p>
        </w:tc>
        <w:tc>
          <w:tcPr>
            <w:tcW w:w="1078"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01D1E390" w14:textId="77777777" w:rsidR="00EF2547" w:rsidRPr="00EF2547" w:rsidRDefault="00EF2547" w:rsidP="00F42F95">
            <w:pPr>
              <w:pStyle w:val="CDITable-TotalRowCentre"/>
              <w:rPr>
                <w:lang w:val="en-GB"/>
              </w:rPr>
            </w:pPr>
            <w:r w:rsidRPr="00EF2547">
              <w:rPr>
                <w:lang w:val="en-GB"/>
              </w:rPr>
              <w:t>27 (17%)</w:t>
            </w:r>
          </w:p>
        </w:tc>
        <w:tc>
          <w:tcPr>
            <w:tcW w:w="1077" w:type="dxa"/>
            <w:tcBorders>
              <w:bottom w:val="single" w:sz="6" w:space="0" w:color="1E4496" w:themeColor="text2"/>
              <w:right w:val="nil"/>
            </w:tcBorders>
            <w:shd w:val="clear" w:color="auto" w:fill="53C9F1" w:themeFill="background2"/>
            <w:tcMar>
              <w:top w:w="85" w:type="dxa"/>
              <w:left w:w="85" w:type="dxa"/>
              <w:bottom w:w="85" w:type="dxa"/>
              <w:right w:w="85" w:type="dxa"/>
            </w:tcMar>
            <w:vAlign w:val="center"/>
          </w:tcPr>
          <w:p w14:paraId="6C13AF5A" w14:textId="77777777" w:rsidR="00EF2547" w:rsidRPr="00EF2547" w:rsidRDefault="00EF2547" w:rsidP="00F42F95">
            <w:pPr>
              <w:pStyle w:val="CDITable-TotalRowCentre"/>
              <w:rPr>
                <w:lang w:val="en-GB"/>
              </w:rPr>
            </w:pPr>
            <w:r w:rsidRPr="00EF2547">
              <w:rPr>
                <w:lang w:val="en-GB"/>
              </w:rPr>
              <w:t>156</w:t>
            </w:r>
          </w:p>
        </w:tc>
      </w:tr>
    </w:tbl>
    <w:p w14:paraId="742893F1" w14:textId="77777777" w:rsidR="00EF2547" w:rsidRPr="00EF2547" w:rsidRDefault="00EF2547" w:rsidP="00EF2547">
      <w:pPr>
        <w:pStyle w:val="CDITable-FirstFootnote"/>
        <w:rPr>
          <w:lang w:val="en-GB"/>
        </w:rPr>
      </w:pPr>
      <w:r w:rsidRPr="00EF2547">
        <w:rPr>
          <w:lang w:val="en-GB"/>
        </w:rPr>
        <w:t>a</w:t>
      </w:r>
      <w:r w:rsidRPr="00EF2547">
        <w:rPr>
          <w:lang w:val="en-GB"/>
        </w:rPr>
        <w:tab/>
      </w:r>
      <w:proofErr w:type="spellStart"/>
      <w:r w:rsidRPr="00EF2547">
        <w:rPr>
          <w:lang w:val="en-GB"/>
        </w:rPr>
        <w:t>A</w:t>
      </w:r>
      <w:proofErr w:type="spellEnd"/>
      <w:r w:rsidRPr="00EF2547">
        <w:rPr>
          <w:lang w:val="en-GB"/>
        </w:rPr>
        <w:t xml:space="preserve"> further nine notifications were reported not treated, and for a further 23 notifications, it was unknown whether treatment was offered.</w:t>
      </w:r>
    </w:p>
    <w:p w14:paraId="53C06FEC" w14:textId="77777777" w:rsidR="00EF2547" w:rsidRPr="00EF2547" w:rsidRDefault="00EF2547" w:rsidP="00EF2547">
      <w:pPr>
        <w:pStyle w:val="CDITable-Footnote"/>
        <w:rPr>
          <w:lang w:val="en-GB"/>
        </w:rPr>
      </w:pPr>
      <w:r w:rsidRPr="00EF2547">
        <w:rPr>
          <w:lang w:val="en-GB"/>
        </w:rPr>
        <w:t>b</w:t>
      </w:r>
      <w:r w:rsidRPr="00EF2547">
        <w:rPr>
          <w:lang w:val="en-GB"/>
        </w:rPr>
        <w:tab/>
        <w:t>LAC pack: ceftriaxone 500 mg in 2 mL 1% lignocaine IM plus azithromycin 1 g oral (single observed dose).</w:t>
      </w:r>
    </w:p>
    <w:p w14:paraId="30D47479" w14:textId="53614729" w:rsidR="00F42F95" w:rsidRDefault="00EF2547" w:rsidP="00F42F95">
      <w:pPr>
        <w:pStyle w:val="CDITable-Footnote"/>
        <w:rPr>
          <w:lang w:val="en-GB"/>
        </w:rPr>
      </w:pPr>
      <w:r w:rsidRPr="00EF2547">
        <w:rPr>
          <w:lang w:val="en-GB"/>
        </w:rPr>
        <w:t>c</w:t>
      </w:r>
      <w:r w:rsidRPr="00EF2547">
        <w:rPr>
          <w:lang w:val="en-GB"/>
        </w:rPr>
        <w:tab/>
        <w:t>ZAP pack: amoxicillin 3 g plus probenecid 1 g plus azithromycin 1 g oral (single observed dose).</w:t>
      </w:r>
      <w:r w:rsidR="00F42F95">
        <w:rPr>
          <w:lang w:val="en-GB"/>
        </w:rPr>
        <w:br w:type="page"/>
      </w:r>
    </w:p>
    <w:p w14:paraId="10B8F14F" w14:textId="77777777" w:rsidR="00EF2547" w:rsidRPr="00EF2547" w:rsidRDefault="00EF2547" w:rsidP="00EF2547">
      <w:pPr>
        <w:pStyle w:val="Normal-morespacebefore"/>
        <w:rPr>
          <w:lang w:val="en-GB"/>
        </w:rPr>
      </w:pPr>
      <w:r w:rsidRPr="00EF2547">
        <w:rPr>
          <w:lang w:val="en-GB"/>
        </w:rPr>
        <w:t xml:space="preserve">Table 2 demonstrates the penicillinase-producing </w:t>
      </w:r>
      <w:r w:rsidRPr="00EF2547">
        <w:rPr>
          <w:i/>
          <w:iCs/>
          <w:lang w:val="en-GB"/>
        </w:rPr>
        <w:t>Neisseria gonorrhoeae</w:t>
      </w:r>
      <w:r w:rsidRPr="00EF2547">
        <w:rPr>
          <w:lang w:val="en-GB"/>
        </w:rPr>
        <w:t xml:space="preserve"> (PPNG) resistance profile of </w:t>
      </w:r>
      <w:r w:rsidRPr="00EF2547">
        <w:rPr>
          <w:i/>
          <w:iCs/>
          <w:lang w:val="en-GB"/>
        </w:rPr>
        <w:t>N. gonorrhoeae</w:t>
      </w:r>
      <w:r w:rsidRPr="00EF2547">
        <w:rPr>
          <w:lang w:val="en-GB"/>
        </w:rPr>
        <w:t xml:space="preserve">. The rate of PPNG detection was consistently above 5 % in Aboriginal and non-Aboriginal cases; among cases, PPNG was detected in 9% of Aboriginal males and 7% of Aboriginal females. Polymerase chain reaction (PCR) PPNG testing on non-cultured clinical samples is the mainstay of antibiotic resistance profiling in the Pilbara region due to the challenges of obtaining </w:t>
      </w:r>
      <w:r w:rsidRPr="00EF2547">
        <w:rPr>
          <w:i/>
          <w:iCs/>
          <w:lang w:val="en-GB"/>
        </w:rPr>
        <w:t>N. gonorrhoeae</w:t>
      </w:r>
      <w:r w:rsidRPr="00EF2547">
        <w:rPr>
          <w:lang w:val="en-GB"/>
        </w:rPr>
        <w:t xml:space="preserve"> cultures.</w:t>
      </w:r>
    </w:p>
    <w:p w14:paraId="4A8A27AD" w14:textId="578D157C" w:rsidR="00EF2547" w:rsidRPr="00EF2547" w:rsidRDefault="00EF2547" w:rsidP="00EF2547">
      <w:pPr>
        <w:pStyle w:val="CDITable-Title"/>
        <w:rPr>
          <w:lang w:val="en-GB"/>
        </w:rPr>
      </w:pPr>
      <w:r w:rsidRPr="00EF2547">
        <w:rPr>
          <w:lang w:val="en-GB"/>
        </w:rPr>
        <w:t xml:space="preserve">Table 2: Number of </w:t>
      </w:r>
      <w:r w:rsidRPr="00EF2547">
        <w:rPr>
          <w:i/>
          <w:iCs/>
          <w:lang w:val="en-GB"/>
        </w:rPr>
        <w:t>N. gonorrhoeae</w:t>
      </w:r>
      <w:r w:rsidRPr="00EF2547">
        <w:rPr>
          <w:lang w:val="en-GB"/>
        </w:rPr>
        <w:t xml:space="preserve"> notifications by penicillinase-producing </w:t>
      </w:r>
      <w:r w:rsidRPr="00EF2547">
        <w:rPr>
          <w:i/>
          <w:iCs/>
          <w:lang w:val="en-GB"/>
        </w:rPr>
        <w:t>Neisseria gonorrhoeae</w:t>
      </w:r>
      <w:r w:rsidRPr="00EF2547">
        <w:rPr>
          <w:lang w:val="en-GB"/>
        </w:rPr>
        <w:t xml:space="preserve"> (PPNG) status, sex and ethnicity, Pilbara, Western Australia, 1 July 2023 – 30</w:t>
      </w:r>
      <w:r>
        <w:rPr>
          <w:lang w:val="en-GB"/>
        </w:rPr>
        <w:t> </w:t>
      </w:r>
      <w:r w:rsidRPr="00EF2547">
        <w:rPr>
          <w:lang w:val="en-GB"/>
        </w:rPr>
        <w:t>June 2024</w:t>
      </w:r>
    </w:p>
    <w:tbl>
      <w:tblPr>
        <w:tblW w:w="0" w:type="auto"/>
        <w:tblLayout w:type="fixed"/>
        <w:tblCellMar>
          <w:left w:w="0" w:type="dxa"/>
          <w:right w:w="0" w:type="dxa"/>
        </w:tblCellMar>
        <w:tblLook w:val="0000" w:firstRow="0" w:lastRow="0" w:firstColumn="0" w:lastColumn="0" w:noHBand="0" w:noVBand="0"/>
        <w:tblCaption w:val="Table 2: Number of N. gonorrhoeae notifications by penicillinase-producing Neisseria gonorrhoeae (PPNG) status, sex and ethnicity, Pilbara, Western Australia, 1 July 2023 – 30 June 2024"/>
        <w:tblDescription w:val="Penicillinase-producing Neisseria gonorrhoeae (PPNG) resistance profile of N. gonorrhoea was 8% 15/188). For these infections, it is likely that amoxicillin (contained in ZAP packs) will be ineffective at treating the infection. The rate of PPNG detection, was consistently above 5 % in Aboriginal and non-Aboriginal cases; PPNG in Aboriginal males (9%) and in Aboriginal females (7%). "/>
      </w:tblPr>
      <w:tblGrid>
        <w:gridCol w:w="1134"/>
        <w:gridCol w:w="2211"/>
        <w:gridCol w:w="964"/>
        <w:gridCol w:w="1134"/>
        <w:gridCol w:w="1077"/>
        <w:gridCol w:w="1134"/>
        <w:gridCol w:w="1020"/>
        <w:gridCol w:w="964"/>
      </w:tblGrid>
      <w:tr w:rsidR="00EF2547" w:rsidRPr="00EF2547" w14:paraId="47A9988C" w14:textId="77777777" w:rsidTr="009B581E">
        <w:trPr>
          <w:trHeight w:val="60"/>
          <w:tblHeader/>
        </w:trPr>
        <w:tc>
          <w:tcPr>
            <w:tcW w:w="3345" w:type="dxa"/>
            <w:gridSpan w:val="2"/>
            <w:tcBorders>
              <w:top w:val="nil"/>
              <w:left w:val="nil"/>
              <w:bottom w:val="single" w:sz="6" w:space="0" w:color="FFFFFF" w:themeColor="background1"/>
            </w:tcBorders>
            <w:shd w:val="clear" w:color="auto" w:fill="1E4496" w:themeFill="text2"/>
            <w:tcMar>
              <w:top w:w="85" w:type="dxa"/>
              <w:left w:w="85" w:type="dxa"/>
              <w:bottom w:w="85" w:type="dxa"/>
              <w:right w:w="85" w:type="dxa"/>
            </w:tcMar>
            <w:vAlign w:val="bottom"/>
          </w:tcPr>
          <w:p w14:paraId="3120ECE4" w14:textId="77777777" w:rsidR="00EF2547" w:rsidRPr="00EF2547" w:rsidRDefault="00EF2547" w:rsidP="00F42F95">
            <w:pPr>
              <w:pStyle w:val="CDITable-HeaderRowLeft"/>
              <w:rPr>
                <w:lang w:val="en-GB"/>
              </w:rPr>
            </w:pPr>
            <w:r w:rsidRPr="00EF2547">
              <w:rPr>
                <w:lang w:val="en-GB"/>
              </w:rPr>
              <w:t>Demographics</w:t>
            </w:r>
          </w:p>
        </w:tc>
        <w:tc>
          <w:tcPr>
            <w:tcW w:w="2098" w:type="dxa"/>
            <w:gridSpan w:val="2"/>
            <w:tcBorders>
              <w:top w:val="nil"/>
              <w:bottom w:val="single" w:sz="6" w:space="0" w:color="FFFFFF" w:themeColor="background1"/>
            </w:tcBorders>
            <w:shd w:val="clear" w:color="auto" w:fill="1E4496" w:themeFill="text2"/>
            <w:tcMar>
              <w:top w:w="85" w:type="dxa"/>
              <w:left w:w="85" w:type="dxa"/>
              <w:bottom w:w="85" w:type="dxa"/>
              <w:right w:w="85" w:type="dxa"/>
            </w:tcMar>
            <w:vAlign w:val="bottom"/>
          </w:tcPr>
          <w:p w14:paraId="572CC6E3" w14:textId="77777777" w:rsidR="00EF2547" w:rsidRPr="00EF2547" w:rsidRDefault="00EF2547" w:rsidP="00F42F95">
            <w:pPr>
              <w:pStyle w:val="CDITable-HeaderRowCentre"/>
            </w:pPr>
            <w:r w:rsidRPr="00EF2547">
              <w:t>PPNG detected</w:t>
            </w:r>
          </w:p>
        </w:tc>
        <w:tc>
          <w:tcPr>
            <w:tcW w:w="1077" w:type="dxa"/>
            <w:vMerge w:val="restart"/>
            <w:tcBorders>
              <w:top w:val="nil"/>
            </w:tcBorders>
            <w:shd w:val="clear" w:color="auto" w:fill="1E4496" w:themeFill="text2"/>
            <w:tcMar>
              <w:top w:w="85" w:type="dxa"/>
              <w:left w:w="85" w:type="dxa"/>
              <w:bottom w:w="85" w:type="dxa"/>
              <w:right w:w="85" w:type="dxa"/>
            </w:tcMar>
            <w:vAlign w:val="bottom"/>
          </w:tcPr>
          <w:p w14:paraId="6BD6C70E" w14:textId="77777777" w:rsidR="00EF2547" w:rsidRPr="00EF2547" w:rsidRDefault="00EF2547" w:rsidP="00F42F95">
            <w:pPr>
              <w:pStyle w:val="CDITable-HeaderRowCentre"/>
            </w:pPr>
            <w:r w:rsidRPr="00EF2547">
              <w:t>PPNG not detected</w:t>
            </w:r>
          </w:p>
        </w:tc>
        <w:tc>
          <w:tcPr>
            <w:tcW w:w="1134" w:type="dxa"/>
            <w:vMerge w:val="restart"/>
            <w:tcBorders>
              <w:top w:val="nil"/>
            </w:tcBorders>
            <w:shd w:val="clear" w:color="auto" w:fill="1E4496" w:themeFill="text2"/>
            <w:tcMar>
              <w:top w:w="85" w:type="dxa"/>
              <w:left w:w="85" w:type="dxa"/>
              <w:bottom w:w="85" w:type="dxa"/>
              <w:right w:w="85" w:type="dxa"/>
            </w:tcMar>
            <w:vAlign w:val="bottom"/>
          </w:tcPr>
          <w:p w14:paraId="299F6710" w14:textId="77777777" w:rsidR="00EF2547" w:rsidRPr="00EF2547" w:rsidRDefault="00EF2547" w:rsidP="00F42F95">
            <w:pPr>
              <w:pStyle w:val="CDITable-HeaderRowCentre"/>
            </w:pPr>
            <w:r w:rsidRPr="00EF2547">
              <w:t>No culture results</w:t>
            </w:r>
          </w:p>
        </w:tc>
        <w:tc>
          <w:tcPr>
            <w:tcW w:w="1020" w:type="dxa"/>
            <w:vMerge w:val="restart"/>
            <w:tcBorders>
              <w:top w:val="nil"/>
            </w:tcBorders>
            <w:shd w:val="clear" w:color="auto" w:fill="1E4496" w:themeFill="text2"/>
            <w:tcMar>
              <w:top w:w="85" w:type="dxa"/>
              <w:left w:w="85" w:type="dxa"/>
              <w:bottom w:w="85" w:type="dxa"/>
              <w:right w:w="85" w:type="dxa"/>
            </w:tcMar>
            <w:vAlign w:val="bottom"/>
          </w:tcPr>
          <w:p w14:paraId="634197C5" w14:textId="77777777" w:rsidR="00EF2547" w:rsidRPr="00EF2547" w:rsidRDefault="00EF2547" w:rsidP="00F42F95">
            <w:pPr>
              <w:pStyle w:val="CDITable-HeaderRowCentre"/>
            </w:pPr>
            <w:r w:rsidRPr="00EF2547">
              <w:t>Unknown</w:t>
            </w:r>
          </w:p>
        </w:tc>
        <w:tc>
          <w:tcPr>
            <w:tcW w:w="964" w:type="dxa"/>
            <w:vMerge w:val="restart"/>
            <w:tcBorders>
              <w:top w:val="nil"/>
              <w:left w:val="nil"/>
              <w:right w:val="nil"/>
            </w:tcBorders>
            <w:shd w:val="clear" w:color="auto" w:fill="1E4496" w:themeFill="text2"/>
            <w:tcMar>
              <w:top w:w="85" w:type="dxa"/>
              <w:left w:w="85" w:type="dxa"/>
              <w:bottom w:w="85" w:type="dxa"/>
              <w:right w:w="85" w:type="dxa"/>
            </w:tcMar>
            <w:vAlign w:val="bottom"/>
          </w:tcPr>
          <w:p w14:paraId="66683AEE" w14:textId="77777777" w:rsidR="00EF2547" w:rsidRPr="00EF2547" w:rsidRDefault="00EF2547" w:rsidP="00F42F95">
            <w:pPr>
              <w:pStyle w:val="CDITable-HeaderRowCentre"/>
            </w:pPr>
            <w:r w:rsidRPr="00EF2547">
              <w:t>Total</w:t>
            </w:r>
          </w:p>
        </w:tc>
      </w:tr>
      <w:tr w:rsidR="00EF2547" w:rsidRPr="00EF2547" w14:paraId="5341D06D" w14:textId="77777777" w:rsidTr="009B581E">
        <w:trPr>
          <w:trHeight w:val="60"/>
          <w:tblHeader/>
        </w:trPr>
        <w:tc>
          <w:tcPr>
            <w:tcW w:w="1134" w:type="dxa"/>
            <w:tcBorders>
              <w:top w:val="single" w:sz="6" w:space="0" w:color="FFFFFF" w:themeColor="background1"/>
              <w:left w:val="nil"/>
            </w:tcBorders>
            <w:shd w:val="clear" w:color="auto" w:fill="1E4496" w:themeFill="text2"/>
            <w:tcMar>
              <w:top w:w="85" w:type="dxa"/>
              <w:left w:w="85" w:type="dxa"/>
              <w:bottom w:w="85" w:type="dxa"/>
              <w:right w:w="85" w:type="dxa"/>
            </w:tcMar>
            <w:vAlign w:val="bottom"/>
          </w:tcPr>
          <w:p w14:paraId="504E15C4" w14:textId="77777777" w:rsidR="00EF2547" w:rsidRPr="00EF2547" w:rsidRDefault="00EF2547" w:rsidP="00F42F95">
            <w:pPr>
              <w:pStyle w:val="CDITable-HeaderRowLeft"/>
              <w:rPr>
                <w:lang w:val="en-GB"/>
              </w:rPr>
            </w:pPr>
            <w:r w:rsidRPr="00EF2547">
              <w:rPr>
                <w:lang w:val="en-GB"/>
              </w:rPr>
              <w:t>Sex</w:t>
            </w:r>
          </w:p>
        </w:tc>
        <w:tc>
          <w:tcPr>
            <w:tcW w:w="2211" w:type="dxa"/>
            <w:tcBorders>
              <w:top w:val="single" w:sz="6" w:space="0" w:color="FFFFFF" w:themeColor="background1"/>
              <w:right w:val="single" w:sz="6" w:space="0" w:color="FFFFFF" w:themeColor="background1"/>
            </w:tcBorders>
            <w:shd w:val="clear" w:color="auto" w:fill="1E4496" w:themeFill="text2"/>
            <w:tcMar>
              <w:top w:w="85" w:type="dxa"/>
              <w:left w:w="85" w:type="dxa"/>
              <w:bottom w:w="85" w:type="dxa"/>
              <w:right w:w="85" w:type="dxa"/>
            </w:tcMar>
            <w:vAlign w:val="bottom"/>
          </w:tcPr>
          <w:p w14:paraId="5EA5D10D" w14:textId="77777777" w:rsidR="00EF2547" w:rsidRPr="00EF2547" w:rsidRDefault="00EF2547" w:rsidP="00F42F95">
            <w:pPr>
              <w:pStyle w:val="CDITable-HeaderRowLeft"/>
              <w:rPr>
                <w:lang w:val="en-GB"/>
              </w:rPr>
            </w:pPr>
            <w:r w:rsidRPr="00EF2547">
              <w:rPr>
                <w:lang w:val="en-GB"/>
              </w:rPr>
              <w:t>Ethnicity</w:t>
            </w:r>
          </w:p>
        </w:tc>
        <w:tc>
          <w:tcPr>
            <w:tcW w:w="964" w:type="dxa"/>
            <w:tcBorders>
              <w:top w:val="single" w:sz="6" w:space="0" w:color="FFFFFF" w:themeColor="background1"/>
              <w:left w:val="single" w:sz="6" w:space="0" w:color="FFFFFF" w:themeColor="background1"/>
            </w:tcBorders>
            <w:shd w:val="clear" w:color="auto" w:fill="1E4496" w:themeFill="text2"/>
            <w:tcMar>
              <w:top w:w="85" w:type="dxa"/>
              <w:left w:w="85" w:type="dxa"/>
              <w:bottom w:w="85" w:type="dxa"/>
              <w:right w:w="85" w:type="dxa"/>
            </w:tcMar>
            <w:vAlign w:val="bottom"/>
          </w:tcPr>
          <w:p w14:paraId="1A51B931" w14:textId="77777777" w:rsidR="00EF2547" w:rsidRPr="00EF2547" w:rsidRDefault="00EF2547" w:rsidP="00F42F95">
            <w:pPr>
              <w:pStyle w:val="CDITable-HeaderRowCentre"/>
            </w:pPr>
            <w:r w:rsidRPr="00EF2547">
              <w:t>n</w:t>
            </w:r>
          </w:p>
        </w:tc>
        <w:tc>
          <w:tcPr>
            <w:tcW w:w="1134" w:type="dxa"/>
            <w:tcBorders>
              <w:right w:val="single" w:sz="8" w:space="0" w:color="FFFFFF" w:themeColor="background1"/>
            </w:tcBorders>
            <w:shd w:val="clear" w:color="auto" w:fill="1E4496" w:themeFill="text2"/>
            <w:tcMar>
              <w:top w:w="85" w:type="dxa"/>
              <w:left w:w="85" w:type="dxa"/>
              <w:bottom w:w="85" w:type="dxa"/>
              <w:right w:w="85" w:type="dxa"/>
            </w:tcMar>
            <w:vAlign w:val="bottom"/>
          </w:tcPr>
          <w:p w14:paraId="4C3A3BA1" w14:textId="77777777" w:rsidR="00EF2547" w:rsidRPr="00EF2547" w:rsidRDefault="00EF2547" w:rsidP="00F42F95">
            <w:pPr>
              <w:pStyle w:val="CDITable-HeaderRowCentre"/>
            </w:pPr>
            <w:r w:rsidRPr="00EF2547">
              <w:t>Proportion</w:t>
            </w:r>
          </w:p>
        </w:tc>
        <w:tc>
          <w:tcPr>
            <w:tcW w:w="1077" w:type="dxa"/>
            <w:vMerge/>
            <w:tcBorders>
              <w:left w:val="single" w:sz="8" w:space="0" w:color="FFFFFF" w:themeColor="background1"/>
            </w:tcBorders>
            <w:tcMar>
              <w:top w:w="85" w:type="dxa"/>
              <w:bottom w:w="85" w:type="dxa"/>
            </w:tcMar>
          </w:tcPr>
          <w:p w14:paraId="710E7D7B" w14:textId="77777777" w:rsidR="00EF2547" w:rsidRPr="00EF2547" w:rsidRDefault="00EF2547" w:rsidP="00EF2547">
            <w:pPr>
              <w:pStyle w:val="CDITable-RowCentre"/>
            </w:pPr>
          </w:p>
        </w:tc>
        <w:tc>
          <w:tcPr>
            <w:tcW w:w="1134" w:type="dxa"/>
            <w:vMerge/>
            <w:tcBorders>
              <w:left w:val="nil"/>
            </w:tcBorders>
            <w:tcMar>
              <w:top w:w="85" w:type="dxa"/>
              <w:bottom w:w="85" w:type="dxa"/>
            </w:tcMar>
          </w:tcPr>
          <w:p w14:paraId="53F0CA66" w14:textId="77777777" w:rsidR="00EF2547" w:rsidRPr="00EF2547" w:rsidRDefault="00EF2547" w:rsidP="00EF2547">
            <w:pPr>
              <w:pStyle w:val="CDITable-RowCentre"/>
            </w:pPr>
          </w:p>
        </w:tc>
        <w:tc>
          <w:tcPr>
            <w:tcW w:w="1020" w:type="dxa"/>
            <w:vMerge/>
            <w:tcMar>
              <w:top w:w="85" w:type="dxa"/>
              <w:bottom w:w="85" w:type="dxa"/>
            </w:tcMar>
          </w:tcPr>
          <w:p w14:paraId="5791887D" w14:textId="77777777" w:rsidR="00EF2547" w:rsidRPr="00EF2547" w:rsidRDefault="00EF2547" w:rsidP="00EF2547">
            <w:pPr>
              <w:pStyle w:val="CDITable-RowCentre"/>
            </w:pPr>
          </w:p>
        </w:tc>
        <w:tc>
          <w:tcPr>
            <w:tcW w:w="964" w:type="dxa"/>
            <w:vMerge/>
            <w:tcBorders>
              <w:left w:val="nil"/>
              <w:right w:val="nil"/>
            </w:tcBorders>
            <w:tcMar>
              <w:top w:w="85" w:type="dxa"/>
              <w:bottom w:w="85" w:type="dxa"/>
            </w:tcMar>
          </w:tcPr>
          <w:p w14:paraId="052E10A9" w14:textId="77777777" w:rsidR="00EF2547" w:rsidRPr="00EF2547" w:rsidRDefault="00EF2547" w:rsidP="00EF2547">
            <w:pPr>
              <w:pStyle w:val="CDITable-RowCentre"/>
            </w:pPr>
          </w:p>
        </w:tc>
      </w:tr>
      <w:tr w:rsidR="00EF2547" w:rsidRPr="00EF2547" w14:paraId="7BA37C90" w14:textId="77777777" w:rsidTr="009B581E">
        <w:trPr>
          <w:trHeight w:val="60"/>
        </w:trPr>
        <w:tc>
          <w:tcPr>
            <w:tcW w:w="1134" w:type="dxa"/>
            <w:vMerge w:val="restart"/>
            <w:tcBorders>
              <w:left w:val="nil"/>
              <w:bottom w:val="single" w:sz="6" w:space="0" w:color="1E4496" w:themeColor="text2"/>
            </w:tcBorders>
            <w:tcMar>
              <w:top w:w="85" w:type="dxa"/>
              <w:left w:w="85" w:type="dxa"/>
              <w:bottom w:w="85" w:type="dxa"/>
              <w:right w:w="85" w:type="dxa"/>
            </w:tcMar>
            <w:vAlign w:val="center"/>
          </w:tcPr>
          <w:p w14:paraId="1EE5C5CF" w14:textId="77777777" w:rsidR="00EF2547" w:rsidRPr="00EF2547" w:rsidRDefault="00EF2547" w:rsidP="00F42F95">
            <w:pPr>
              <w:pStyle w:val="CDITable-RowLeft"/>
              <w:rPr>
                <w:lang w:val="en-GB"/>
              </w:rPr>
            </w:pPr>
            <w:r w:rsidRPr="00EF2547">
              <w:rPr>
                <w:lang w:val="en-GB"/>
              </w:rPr>
              <w:t>Female</w:t>
            </w:r>
          </w:p>
        </w:tc>
        <w:tc>
          <w:tcPr>
            <w:tcW w:w="2211" w:type="dxa"/>
            <w:tcBorders>
              <w:bottom w:val="single" w:sz="6" w:space="0" w:color="1E4496" w:themeColor="text2"/>
            </w:tcBorders>
            <w:tcMar>
              <w:top w:w="85" w:type="dxa"/>
              <w:left w:w="85" w:type="dxa"/>
              <w:bottom w:w="85" w:type="dxa"/>
              <w:right w:w="85" w:type="dxa"/>
            </w:tcMar>
            <w:vAlign w:val="center"/>
          </w:tcPr>
          <w:p w14:paraId="6FE2525D" w14:textId="77777777" w:rsidR="00EF2547" w:rsidRPr="009B581E" w:rsidRDefault="00EF2547" w:rsidP="00F42F95">
            <w:pPr>
              <w:pStyle w:val="CDITable-RowLeft"/>
              <w:rPr>
                <w:i/>
                <w:iCs/>
                <w:lang w:val="en-GB"/>
              </w:rPr>
            </w:pPr>
            <w:r w:rsidRPr="009B581E">
              <w:rPr>
                <w:i/>
                <w:iCs/>
                <w:lang w:val="en-GB"/>
              </w:rPr>
              <w:t>Any</w:t>
            </w:r>
          </w:p>
        </w:tc>
        <w:tc>
          <w:tcPr>
            <w:tcW w:w="964" w:type="dxa"/>
            <w:tcBorders>
              <w:bottom w:val="single" w:sz="6" w:space="0" w:color="1E4496" w:themeColor="text2"/>
            </w:tcBorders>
            <w:tcMar>
              <w:top w:w="85" w:type="dxa"/>
              <w:left w:w="85" w:type="dxa"/>
              <w:bottom w:w="85" w:type="dxa"/>
              <w:right w:w="85" w:type="dxa"/>
            </w:tcMar>
            <w:vAlign w:val="center"/>
          </w:tcPr>
          <w:p w14:paraId="587EB484" w14:textId="77777777" w:rsidR="00EF2547" w:rsidRPr="00EF2547" w:rsidRDefault="00EF2547" w:rsidP="00EF2547">
            <w:pPr>
              <w:pStyle w:val="CDITable-RowCentre"/>
              <w:rPr>
                <w:lang w:val="en-GB"/>
              </w:rPr>
            </w:pPr>
            <w:r w:rsidRPr="00EF2547">
              <w:rPr>
                <w:i/>
                <w:iCs/>
                <w:lang w:val="en-GB"/>
              </w:rPr>
              <w:t>6</w:t>
            </w:r>
          </w:p>
        </w:tc>
        <w:tc>
          <w:tcPr>
            <w:tcW w:w="1134" w:type="dxa"/>
            <w:tcBorders>
              <w:bottom w:val="single" w:sz="6" w:space="0" w:color="1E4496" w:themeColor="text2"/>
            </w:tcBorders>
            <w:tcMar>
              <w:top w:w="85" w:type="dxa"/>
              <w:left w:w="85" w:type="dxa"/>
              <w:bottom w:w="85" w:type="dxa"/>
              <w:right w:w="85" w:type="dxa"/>
            </w:tcMar>
            <w:vAlign w:val="center"/>
          </w:tcPr>
          <w:p w14:paraId="0FE01A2D" w14:textId="77777777" w:rsidR="00EF2547" w:rsidRPr="00EF2547" w:rsidRDefault="00EF2547" w:rsidP="00EF2547">
            <w:pPr>
              <w:pStyle w:val="CDITable-RowCentre"/>
              <w:rPr>
                <w:lang w:val="en-GB"/>
              </w:rPr>
            </w:pPr>
            <w:r w:rsidRPr="00EF2547">
              <w:rPr>
                <w:i/>
                <w:iCs/>
                <w:lang w:val="en-GB"/>
              </w:rPr>
              <w:t>7%</w:t>
            </w:r>
          </w:p>
        </w:tc>
        <w:tc>
          <w:tcPr>
            <w:tcW w:w="1077" w:type="dxa"/>
            <w:tcBorders>
              <w:bottom w:val="single" w:sz="6" w:space="0" w:color="1E4496" w:themeColor="text2"/>
            </w:tcBorders>
            <w:tcMar>
              <w:top w:w="85" w:type="dxa"/>
              <w:left w:w="85" w:type="dxa"/>
              <w:bottom w:w="85" w:type="dxa"/>
              <w:right w:w="85" w:type="dxa"/>
            </w:tcMar>
            <w:vAlign w:val="center"/>
          </w:tcPr>
          <w:p w14:paraId="2358EB3E" w14:textId="77777777" w:rsidR="00EF2547" w:rsidRPr="00EF2547" w:rsidRDefault="00EF2547" w:rsidP="00EF2547">
            <w:pPr>
              <w:pStyle w:val="CDITable-RowCentre"/>
              <w:rPr>
                <w:lang w:val="en-GB"/>
              </w:rPr>
            </w:pPr>
            <w:r w:rsidRPr="00EF2547">
              <w:rPr>
                <w:i/>
                <w:iCs/>
                <w:lang w:val="en-GB"/>
              </w:rPr>
              <w:t>74</w:t>
            </w:r>
          </w:p>
        </w:tc>
        <w:tc>
          <w:tcPr>
            <w:tcW w:w="1134" w:type="dxa"/>
            <w:tcBorders>
              <w:bottom w:val="single" w:sz="6" w:space="0" w:color="1E4496" w:themeColor="text2"/>
            </w:tcBorders>
            <w:tcMar>
              <w:top w:w="85" w:type="dxa"/>
              <w:left w:w="85" w:type="dxa"/>
              <w:bottom w:w="85" w:type="dxa"/>
              <w:right w:w="85" w:type="dxa"/>
            </w:tcMar>
            <w:vAlign w:val="center"/>
          </w:tcPr>
          <w:p w14:paraId="25457A86" w14:textId="77777777" w:rsidR="00EF2547" w:rsidRPr="00EF2547" w:rsidRDefault="00EF2547" w:rsidP="00EF2547">
            <w:pPr>
              <w:pStyle w:val="CDITable-RowCentre"/>
              <w:rPr>
                <w:lang w:val="en-GB"/>
              </w:rPr>
            </w:pPr>
            <w:r w:rsidRPr="00EF2547">
              <w:rPr>
                <w:i/>
                <w:iCs/>
                <w:lang w:val="en-GB"/>
              </w:rPr>
              <w:t>—</w:t>
            </w:r>
          </w:p>
        </w:tc>
        <w:tc>
          <w:tcPr>
            <w:tcW w:w="1020" w:type="dxa"/>
            <w:tcBorders>
              <w:bottom w:val="single" w:sz="6" w:space="0" w:color="1E4496" w:themeColor="text2"/>
            </w:tcBorders>
            <w:tcMar>
              <w:top w:w="85" w:type="dxa"/>
              <w:left w:w="85" w:type="dxa"/>
              <w:bottom w:w="85" w:type="dxa"/>
              <w:right w:w="85" w:type="dxa"/>
            </w:tcMar>
            <w:vAlign w:val="center"/>
          </w:tcPr>
          <w:p w14:paraId="757A27B7" w14:textId="77777777" w:rsidR="00EF2547" w:rsidRPr="00EF2547" w:rsidRDefault="00EF2547" w:rsidP="00EF2547">
            <w:pPr>
              <w:pStyle w:val="CDITable-RowCentre"/>
              <w:rPr>
                <w:lang w:val="en-GB"/>
              </w:rPr>
            </w:pPr>
            <w:r w:rsidRPr="00EF2547">
              <w:rPr>
                <w:i/>
                <w:iCs/>
                <w:lang w:val="en-GB"/>
              </w:rPr>
              <w:t>12</w:t>
            </w:r>
          </w:p>
        </w:tc>
        <w:tc>
          <w:tcPr>
            <w:tcW w:w="964" w:type="dxa"/>
            <w:tcBorders>
              <w:bottom w:val="single" w:sz="6" w:space="0" w:color="1E4496" w:themeColor="text2"/>
              <w:right w:val="nil"/>
            </w:tcBorders>
            <w:tcMar>
              <w:top w:w="85" w:type="dxa"/>
              <w:left w:w="85" w:type="dxa"/>
              <w:bottom w:w="85" w:type="dxa"/>
              <w:right w:w="85" w:type="dxa"/>
            </w:tcMar>
            <w:vAlign w:val="center"/>
          </w:tcPr>
          <w:p w14:paraId="6A528ACB" w14:textId="77777777" w:rsidR="00EF2547" w:rsidRPr="00EF2547" w:rsidRDefault="00EF2547" w:rsidP="00EF2547">
            <w:pPr>
              <w:pStyle w:val="CDITable-RowCentre"/>
              <w:rPr>
                <w:lang w:val="en-GB"/>
              </w:rPr>
            </w:pPr>
            <w:r w:rsidRPr="00EF2547">
              <w:rPr>
                <w:i/>
                <w:iCs/>
                <w:lang w:val="en-GB"/>
              </w:rPr>
              <w:t>92</w:t>
            </w:r>
          </w:p>
        </w:tc>
      </w:tr>
      <w:tr w:rsidR="00EF2547" w:rsidRPr="00EF2547" w14:paraId="7182CF3F" w14:textId="77777777" w:rsidTr="009B581E">
        <w:trPr>
          <w:trHeight w:val="60"/>
        </w:trPr>
        <w:tc>
          <w:tcPr>
            <w:tcW w:w="1134" w:type="dxa"/>
            <w:vMerge/>
            <w:tcBorders>
              <w:top w:val="single" w:sz="6" w:space="0" w:color="1E4496" w:themeColor="text2"/>
              <w:left w:val="nil"/>
              <w:bottom w:val="single" w:sz="6" w:space="0" w:color="1E4496" w:themeColor="text2"/>
            </w:tcBorders>
            <w:tcMar>
              <w:top w:w="85" w:type="dxa"/>
              <w:bottom w:w="85" w:type="dxa"/>
            </w:tcMar>
          </w:tcPr>
          <w:p w14:paraId="49EE92F4" w14:textId="77777777" w:rsidR="00EF2547" w:rsidRPr="00EF2547" w:rsidRDefault="00EF2547" w:rsidP="00F42F95">
            <w:pPr>
              <w:pStyle w:val="CDITable-RowLeft"/>
            </w:pPr>
          </w:p>
        </w:tc>
        <w:tc>
          <w:tcPr>
            <w:tcW w:w="221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088712E" w14:textId="768141D9" w:rsidR="00EF2547" w:rsidRPr="00EF2547" w:rsidRDefault="00EF2547" w:rsidP="00F42F95">
            <w:pPr>
              <w:pStyle w:val="CDITable-RowLeft"/>
              <w:rPr>
                <w:lang w:val="en-GB"/>
              </w:rPr>
            </w:pPr>
            <w:r w:rsidRPr="00EF2547">
              <w:rPr>
                <w:lang w:val="en-GB"/>
              </w:rPr>
              <w:t>Aboriginal and/or Torres</w:t>
            </w:r>
            <w:r w:rsidR="009B581E">
              <w:rPr>
                <w:lang w:val="en-GB"/>
              </w:rPr>
              <w:t> </w:t>
            </w:r>
            <w:r w:rsidRPr="00EF2547">
              <w:rPr>
                <w:lang w:val="en-GB"/>
              </w:rPr>
              <w:t>Strait Islander</w:t>
            </w:r>
          </w:p>
        </w:tc>
        <w:tc>
          <w:tcPr>
            <w:tcW w:w="96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D6AEA0B" w14:textId="77777777" w:rsidR="00EF2547" w:rsidRPr="00EF2547" w:rsidRDefault="00EF2547" w:rsidP="00EF2547">
            <w:pPr>
              <w:pStyle w:val="CDITable-RowCentre"/>
              <w:rPr>
                <w:lang w:val="en-GB"/>
              </w:rPr>
            </w:pPr>
            <w:r w:rsidRPr="00EF2547">
              <w:rPr>
                <w:lang w:val="en-GB"/>
              </w:rPr>
              <w:t>6</w:t>
            </w:r>
          </w:p>
        </w:tc>
        <w:tc>
          <w:tcPr>
            <w:tcW w:w="113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9A19D42" w14:textId="77777777" w:rsidR="00EF2547" w:rsidRPr="00EF2547" w:rsidRDefault="00EF2547" w:rsidP="00EF2547">
            <w:pPr>
              <w:pStyle w:val="CDITable-RowCentre"/>
              <w:rPr>
                <w:lang w:val="en-GB"/>
              </w:rPr>
            </w:pPr>
            <w:r w:rsidRPr="00EF2547">
              <w:rPr>
                <w:lang w:val="en-GB"/>
              </w:rPr>
              <w:t>8%</w:t>
            </w:r>
          </w:p>
        </w:tc>
        <w:tc>
          <w:tcPr>
            <w:tcW w:w="107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81AD129" w14:textId="77777777" w:rsidR="00EF2547" w:rsidRPr="00EF2547" w:rsidRDefault="00EF2547" w:rsidP="00EF2547">
            <w:pPr>
              <w:pStyle w:val="CDITable-RowCentre"/>
              <w:rPr>
                <w:lang w:val="en-GB"/>
              </w:rPr>
            </w:pPr>
            <w:r w:rsidRPr="00EF2547">
              <w:rPr>
                <w:lang w:val="en-GB"/>
              </w:rPr>
              <w:t>64</w:t>
            </w:r>
          </w:p>
        </w:tc>
        <w:tc>
          <w:tcPr>
            <w:tcW w:w="113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7D6BFC1" w14:textId="77777777" w:rsidR="00EF2547" w:rsidRPr="00EF2547" w:rsidRDefault="00EF2547" w:rsidP="00EF2547">
            <w:pPr>
              <w:pStyle w:val="CDITable-RowCentre"/>
              <w:rPr>
                <w:lang w:val="en-GB"/>
              </w:rPr>
            </w:pPr>
            <w:r w:rsidRPr="00EF2547">
              <w:rPr>
                <w:lang w:val="en-GB"/>
              </w:rPr>
              <w:t>—</w:t>
            </w:r>
          </w:p>
        </w:tc>
        <w:tc>
          <w:tcPr>
            <w:tcW w:w="102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48708E2" w14:textId="77777777" w:rsidR="00EF2547" w:rsidRPr="00EF2547" w:rsidRDefault="00EF2547" w:rsidP="00EF2547">
            <w:pPr>
              <w:pStyle w:val="CDITable-RowCentre"/>
              <w:rPr>
                <w:lang w:val="en-GB"/>
              </w:rPr>
            </w:pPr>
            <w:r w:rsidRPr="00EF2547">
              <w:rPr>
                <w:lang w:val="en-GB"/>
              </w:rPr>
              <w:t>9</w:t>
            </w:r>
          </w:p>
        </w:tc>
        <w:tc>
          <w:tcPr>
            <w:tcW w:w="964"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5B6CA1AA" w14:textId="77777777" w:rsidR="00EF2547" w:rsidRPr="00EF2547" w:rsidRDefault="00EF2547" w:rsidP="00EF2547">
            <w:pPr>
              <w:pStyle w:val="CDITable-RowCentre"/>
              <w:rPr>
                <w:lang w:val="en-GB"/>
              </w:rPr>
            </w:pPr>
            <w:r w:rsidRPr="00EF2547">
              <w:rPr>
                <w:lang w:val="en-GB"/>
              </w:rPr>
              <w:t>79</w:t>
            </w:r>
          </w:p>
        </w:tc>
      </w:tr>
      <w:tr w:rsidR="00EF2547" w:rsidRPr="00EF2547" w14:paraId="3BB7A6D3" w14:textId="77777777" w:rsidTr="009B581E">
        <w:trPr>
          <w:trHeight w:val="60"/>
        </w:trPr>
        <w:tc>
          <w:tcPr>
            <w:tcW w:w="1134" w:type="dxa"/>
            <w:vMerge/>
            <w:tcBorders>
              <w:top w:val="single" w:sz="6" w:space="0" w:color="1E4496" w:themeColor="text2"/>
              <w:left w:val="nil"/>
              <w:bottom w:val="single" w:sz="6" w:space="0" w:color="1E4496" w:themeColor="text2"/>
            </w:tcBorders>
            <w:tcMar>
              <w:top w:w="85" w:type="dxa"/>
              <w:bottom w:w="85" w:type="dxa"/>
            </w:tcMar>
          </w:tcPr>
          <w:p w14:paraId="42559195" w14:textId="77777777" w:rsidR="00EF2547" w:rsidRPr="00EF2547" w:rsidRDefault="00EF2547" w:rsidP="00F42F95">
            <w:pPr>
              <w:pStyle w:val="CDITable-RowLeft"/>
            </w:pPr>
          </w:p>
        </w:tc>
        <w:tc>
          <w:tcPr>
            <w:tcW w:w="221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7BED7F8" w14:textId="77777777" w:rsidR="00EF2547" w:rsidRPr="00EF2547" w:rsidRDefault="00EF2547" w:rsidP="00F42F95">
            <w:pPr>
              <w:pStyle w:val="CDITable-RowLeft"/>
              <w:rPr>
                <w:lang w:val="en-GB"/>
              </w:rPr>
            </w:pPr>
            <w:r w:rsidRPr="00EF2547">
              <w:rPr>
                <w:lang w:val="en-GB"/>
              </w:rPr>
              <w:t>Other</w:t>
            </w:r>
          </w:p>
        </w:tc>
        <w:tc>
          <w:tcPr>
            <w:tcW w:w="96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F7032F1" w14:textId="77777777" w:rsidR="00EF2547" w:rsidRPr="00EF2547" w:rsidRDefault="00EF2547" w:rsidP="00EF2547">
            <w:pPr>
              <w:pStyle w:val="CDITable-RowCentre"/>
              <w:rPr>
                <w:lang w:val="en-GB"/>
              </w:rPr>
            </w:pPr>
            <w:r w:rsidRPr="00EF2547">
              <w:rPr>
                <w:lang w:val="en-GB"/>
              </w:rPr>
              <w:t>—</w:t>
            </w:r>
          </w:p>
        </w:tc>
        <w:tc>
          <w:tcPr>
            <w:tcW w:w="113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E5F05F8" w14:textId="77777777" w:rsidR="00EF2547" w:rsidRPr="00EF2547" w:rsidRDefault="00EF2547" w:rsidP="00EF2547">
            <w:pPr>
              <w:pStyle w:val="CDITable-RowCentre"/>
              <w:rPr>
                <w:lang w:val="en-GB"/>
              </w:rPr>
            </w:pPr>
            <w:r w:rsidRPr="00EF2547">
              <w:rPr>
                <w:lang w:val="en-GB"/>
              </w:rPr>
              <w:t>—</w:t>
            </w:r>
          </w:p>
        </w:tc>
        <w:tc>
          <w:tcPr>
            <w:tcW w:w="107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E74BA56" w14:textId="77777777" w:rsidR="00EF2547" w:rsidRPr="00EF2547" w:rsidRDefault="00EF2547" w:rsidP="00EF2547">
            <w:pPr>
              <w:pStyle w:val="CDITable-RowCentre"/>
              <w:rPr>
                <w:lang w:val="en-GB"/>
              </w:rPr>
            </w:pPr>
            <w:r w:rsidRPr="00EF2547">
              <w:rPr>
                <w:lang w:val="en-GB"/>
              </w:rPr>
              <w:t>7</w:t>
            </w:r>
          </w:p>
        </w:tc>
        <w:tc>
          <w:tcPr>
            <w:tcW w:w="113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F1D3468" w14:textId="77777777" w:rsidR="00EF2547" w:rsidRPr="00EF2547" w:rsidRDefault="00EF2547" w:rsidP="00EF2547">
            <w:pPr>
              <w:pStyle w:val="CDITable-RowCentre"/>
              <w:rPr>
                <w:lang w:val="en-GB"/>
              </w:rPr>
            </w:pPr>
            <w:r w:rsidRPr="00EF2547">
              <w:rPr>
                <w:lang w:val="en-GB"/>
              </w:rPr>
              <w:t>—</w:t>
            </w:r>
          </w:p>
        </w:tc>
        <w:tc>
          <w:tcPr>
            <w:tcW w:w="102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E705858" w14:textId="77777777" w:rsidR="00EF2547" w:rsidRPr="00EF2547" w:rsidRDefault="00EF2547" w:rsidP="00EF2547">
            <w:pPr>
              <w:pStyle w:val="CDITable-RowCentre"/>
              <w:rPr>
                <w:lang w:val="en-GB"/>
              </w:rPr>
            </w:pPr>
            <w:r w:rsidRPr="00EF2547">
              <w:rPr>
                <w:lang w:val="en-GB"/>
              </w:rPr>
              <w:t>3</w:t>
            </w:r>
          </w:p>
        </w:tc>
        <w:tc>
          <w:tcPr>
            <w:tcW w:w="964"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06F9E44A" w14:textId="77777777" w:rsidR="00EF2547" w:rsidRPr="00EF2547" w:rsidRDefault="00EF2547" w:rsidP="00EF2547">
            <w:pPr>
              <w:pStyle w:val="CDITable-RowCentre"/>
              <w:rPr>
                <w:lang w:val="en-GB"/>
              </w:rPr>
            </w:pPr>
            <w:r w:rsidRPr="00EF2547">
              <w:rPr>
                <w:lang w:val="en-GB"/>
              </w:rPr>
              <w:t>10</w:t>
            </w:r>
          </w:p>
        </w:tc>
      </w:tr>
      <w:tr w:rsidR="00EF2547" w:rsidRPr="00EF2547" w14:paraId="1C535D41" w14:textId="77777777" w:rsidTr="009B581E">
        <w:trPr>
          <w:trHeight w:val="60"/>
        </w:trPr>
        <w:tc>
          <w:tcPr>
            <w:tcW w:w="1134" w:type="dxa"/>
            <w:vMerge/>
            <w:tcBorders>
              <w:top w:val="single" w:sz="6" w:space="0" w:color="1E4496" w:themeColor="text2"/>
              <w:left w:val="nil"/>
              <w:bottom w:val="single" w:sz="6" w:space="0" w:color="1E4496" w:themeColor="text2"/>
            </w:tcBorders>
            <w:tcMar>
              <w:top w:w="85" w:type="dxa"/>
              <w:bottom w:w="85" w:type="dxa"/>
            </w:tcMar>
          </w:tcPr>
          <w:p w14:paraId="0F87D27C" w14:textId="77777777" w:rsidR="00EF2547" w:rsidRPr="00EF2547" w:rsidRDefault="00EF2547" w:rsidP="00F42F95">
            <w:pPr>
              <w:pStyle w:val="CDITable-RowLeft"/>
            </w:pPr>
          </w:p>
        </w:tc>
        <w:tc>
          <w:tcPr>
            <w:tcW w:w="221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8A28CC0" w14:textId="77777777" w:rsidR="00EF2547" w:rsidRPr="00EF2547" w:rsidRDefault="00EF2547" w:rsidP="00F42F95">
            <w:pPr>
              <w:pStyle w:val="CDITable-RowLeft"/>
              <w:rPr>
                <w:lang w:val="en-GB"/>
              </w:rPr>
            </w:pPr>
            <w:r w:rsidRPr="00EF2547">
              <w:rPr>
                <w:lang w:val="en-GB"/>
              </w:rPr>
              <w:t>Unknown</w:t>
            </w:r>
          </w:p>
        </w:tc>
        <w:tc>
          <w:tcPr>
            <w:tcW w:w="96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EFE9A4F" w14:textId="77777777" w:rsidR="00EF2547" w:rsidRPr="00EF2547" w:rsidRDefault="00EF2547" w:rsidP="00EF2547">
            <w:pPr>
              <w:pStyle w:val="CDITable-RowCentre"/>
              <w:rPr>
                <w:lang w:val="en-GB"/>
              </w:rPr>
            </w:pPr>
            <w:r w:rsidRPr="00EF2547">
              <w:rPr>
                <w:lang w:val="en-GB"/>
              </w:rPr>
              <w:t>—</w:t>
            </w:r>
          </w:p>
        </w:tc>
        <w:tc>
          <w:tcPr>
            <w:tcW w:w="113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872AC81" w14:textId="77777777" w:rsidR="00EF2547" w:rsidRPr="00EF2547" w:rsidRDefault="00EF2547" w:rsidP="00EF2547">
            <w:pPr>
              <w:pStyle w:val="CDITable-RowCentre"/>
              <w:rPr>
                <w:lang w:val="en-GB"/>
              </w:rPr>
            </w:pPr>
            <w:r w:rsidRPr="00EF2547">
              <w:rPr>
                <w:lang w:val="en-GB"/>
              </w:rPr>
              <w:t>—</w:t>
            </w:r>
          </w:p>
        </w:tc>
        <w:tc>
          <w:tcPr>
            <w:tcW w:w="107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250A89A" w14:textId="77777777" w:rsidR="00EF2547" w:rsidRPr="00EF2547" w:rsidRDefault="00EF2547" w:rsidP="00EF2547">
            <w:pPr>
              <w:pStyle w:val="CDITable-RowCentre"/>
              <w:rPr>
                <w:lang w:val="en-GB"/>
              </w:rPr>
            </w:pPr>
            <w:r w:rsidRPr="00EF2547">
              <w:rPr>
                <w:lang w:val="en-GB"/>
              </w:rPr>
              <w:t>3</w:t>
            </w:r>
          </w:p>
        </w:tc>
        <w:tc>
          <w:tcPr>
            <w:tcW w:w="113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B6110B0" w14:textId="77777777" w:rsidR="00EF2547" w:rsidRPr="00EF2547" w:rsidRDefault="00EF2547" w:rsidP="00EF2547">
            <w:pPr>
              <w:pStyle w:val="CDITable-RowCentre"/>
              <w:rPr>
                <w:lang w:val="en-GB"/>
              </w:rPr>
            </w:pPr>
            <w:r w:rsidRPr="00EF2547">
              <w:rPr>
                <w:lang w:val="en-GB"/>
              </w:rPr>
              <w:t>—</w:t>
            </w:r>
          </w:p>
        </w:tc>
        <w:tc>
          <w:tcPr>
            <w:tcW w:w="102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5C9E369" w14:textId="77777777" w:rsidR="00EF2547" w:rsidRPr="00EF2547" w:rsidRDefault="00EF2547" w:rsidP="00EF2547">
            <w:pPr>
              <w:pStyle w:val="CDITable-RowCentre"/>
              <w:rPr>
                <w:lang w:val="en-GB"/>
              </w:rPr>
            </w:pPr>
            <w:r w:rsidRPr="00EF2547">
              <w:rPr>
                <w:lang w:val="en-GB"/>
              </w:rPr>
              <w:t>—</w:t>
            </w:r>
          </w:p>
        </w:tc>
        <w:tc>
          <w:tcPr>
            <w:tcW w:w="964"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5D262B2E" w14:textId="77777777" w:rsidR="00EF2547" w:rsidRPr="00EF2547" w:rsidRDefault="00EF2547" w:rsidP="00EF2547">
            <w:pPr>
              <w:pStyle w:val="CDITable-RowCentre"/>
              <w:rPr>
                <w:lang w:val="en-GB"/>
              </w:rPr>
            </w:pPr>
            <w:r w:rsidRPr="00EF2547">
              <w:rPr>
                <w:lang w:val="en-GB"/>
              </w:rPr>
              <w:t>3</w:t>
            </w:r>
          </w:p>
        </w:tc>
      </w:tr>
      <w:tr w:rsidR="00EF2547" w:rsidRPr="00EF2547" w14:paraId="06BE88A0" w14:textId="77777777" w:rsidTr="009B581E">
        <w:trPr>
          <w:trHeight w:val="60"/>
        </w:trPr>
        <w:tc>
          <w:tcPr>
            <w:tcW w:w="1134" w:type="dxa"/>
            <w:vMerge w:val="restart"/>
            <w:tcBorders>
              <w:top w:val="single" w:sz="6" w:space="0" w:color="1E4496" w:themeColor="text2"/>
              <w:left w:val="nil"/>
              <w:bottom w:val="single" w:sz="6" w:space="0" w:color="1E4496" w:themeColor="text2"/>
            </w:tcBorders>
            <w:tcMar>
              <w:top w:w="85" w:type="dxa"/>
              <w:left w:w="85" w:type="dxa"/>
              <w:bottom w:w="85" w:type="dxa"/>
              <w:right w:w="85" w:type="dxa"/>
            </w:tcMar>
            <w:vAlign w:val="center"/>
          </w:tcPr>
          <w:p w14:paraId="452D3C69" w14:textId="77777777" w:rsidR="00EF2547" w:rsidRPr="00EF2547" w:rsidRDefault="00EF2547" w:rsidP="00F42F95">
            <w:pPr>
              <w:pStyle w:val="CDITable-RowLeft"/>
              <w:rPr>
                <w:lang w:val="en-GB"/>
              </w:rPr>
            </w:pPr>
            <w:r w:rsidRPr="00EF2547">
              <w:rPr>
                <w:lang w:val="en-GB"/>
              </w:rPr>
              <w:t>Male</w:t>
            </w:r>
          </w:p>
        </w:tc>
        <w:tc>
          <w:tcPr>
            <w:tcW w:w="221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3737204" w14:textId="77777777" w:rsidR="00EF2547" w:rsidRPr="009B581E" w:rsidRDefault="00EF2547" w:rsidP="00F42F95">
            <w:pPr>
              <w:pStyle w:val="CDITable-RowLeft"/>
              <w:rPr>
                <w:i/>
                <w:iCs/>
                <w:lang w:val="en-GB"/>
              </w:rPr>
            </w:pPr>
            <w:r w:rsidRPr="009B581E">
              <w:rPr>
                <w:i/>
                <w:iCs/>
                <w:lang w:val="en-GB"/>
              </w:rPr>
              <w:t>Any</w:t>
            </w:r>
          </w:p>
        </w:tc>
        <w:tc>
          <w:tcPr>
            <w:tcW w:w="96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EE9F68B" w14:textId="77777777" w:rsidR="00EF2547" w:rsidRPr="00EF2547" w:rsidRDefault="00EF2547" w:rsidP="00EF2547">
            <w:pPr>
              <w:pStyle w:val="CDITable-RowCentre"/>
              <w:rPr>
                <w:lang w:val="en-GB"/>
              </w:rPr>
            </w:pPr>
            <w:r w:rsidRPr="00EF2547">
              <w:rPr>
                <w:i/>
                <w:iCs/>
                <w:lang w:val="en-GB"/>
              </w:rPr>
              <w:t>9</w:t>
            </w:r>
          </w:p>
        </w:tc>
        <w:tc>
          <w:tcPr>
            <w:tcW w:w="113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0A40C55" w14:textId="77777777" w:rsidR="00EF2547" w:rsidRPr="00EF2547" w:rsidRDefault="00EF2547" w:rsidP="00EF2547">
            <w:pPr>
              <w:pStyle w:val="CDITable-RowCentre"/>
              <w:rPr>
                <w:lang w:val="en-GB"/>
              </w:rPr>
            </w:pPr>
            <w:r w:rsidRPr="00EF2547">
              <w:rPr>
                <w:i/>
                <w:iCs/>
                <w:lang w:val="en-GB"/>
              </w:rPr>
              <w:t>9%</w:t>
            </w:r>
          </w:p>
        </w:tc>
        <w:tc>
          <w:tcPr>
            <w:tcW w:w="107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07A10EB" w14:textId="77777777" w:rsidR="00EF2547" w:rsidRPr="00EF2547" w:rsidRDefault="00EF2547" w:rsidP="00EF2547">
            <w:pPr>
              <w:pStyle w:val="CDITable-RowCentre"/>
              <w:rPr>
                <w:lang w:val="en-GB"/>
              </w:rPr>
            </w:pPr>
            <w:r w:rsidRPr="00EF2547">
              <w:rPr>
                <w:i/>
                <w:iCs/>
                <w:lang w:val="en-GB"/>
              </w:rPr>
              <w:t>63</w:t>
            </w:r>
          </w:p>
        </w:tc>
        <w:tc>
          <w:tcPr>
            <w:tcW w:w="113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5E7BA66" w14:textId="77777777" w:rsidR="00EF2547" w:rsidRPr="00EF2547" w:rsidRDefault="00EF2547" w:rsidP="00EF2547">
            <w:pPr>
              <w:pStyle w:val="CDITable-RowCentre"/>
              <w:rPr>
                <w:lang w:val="en-GB"/>
              </w:rPr>
            </w:pPr>
            <w:r w:rsidRPr="00EF2547">
              <w:rPr>
                <w:i/>
                <w:iCs/>
                <w:lang w:val="en-GB"/>
              </w:rPr>
              <w:t>1</w:t>
            </w:r>
          </w:p>
        </w:tc>
        <w:tc>
          <w:tcPr>
            <w:tcW w:w="102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5E6A948" w14:textId="77777777" w:rsidR="00EF2547" w:rsidRPr="00EF2547" w:rsidRDefault="00EF2547" w:rsidP="00EF2547">
            <w:pPr>
              <w:pStyle w:val="CDITable-RowCentre"/>
              <w:rPr>
                <w:lang w:val="en-GB"/>
              </w:rPr>
            </w:pPr>
            <w:r w:rsidRPr="00EF2547">
              <w:rPr>
                <w:i/>
                <w:iCs/>
                <w:lang w:val="en-GB"/>
              </w:rPr>
              <w:t>23</w:t>
            </w:r>
          </w:p>
        </w:tc>
        <w:tc>
          <w:tcPr>
            <w:tcW w:w="964"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4CF8FAE9" w14:textId="77777777" w:rsidR="00EF2547" w:rsidRPr="00EF2547" w:rsidRDefault="00EF2547" w:rsidP="00EF2547">
            <w:pPr>
              <w:pStyle w:val="CDITable-RowCentre"/>
              <w:rPr>
                <w:lang w:val="en-GB"/>
              </w:rPr>
            </w:pPr>
            <w:r w:rsidRPr="00EF2547">
              <w:rPr>
                <w:i/>
                <w:iCs/>
                <w:lang w:val="en-GB"/>
              </w:rPr>
              <w:t>96</w:t>
            </w:r>
          </w:p>
        </w:tc>
      </w:tr>
      <w:tr w:rsidR="00EF2547" w:rsidRPr="00EF2547" w14:paraId="2904AB46" w14:textId="77777777" w:rsidTr="009B581E">
        <w:trPr>
          <w:trHeight w:val="60"/>
        </w:trPr>
        <w:tc>
          <w:tcPr>
            <w:tcW w:w="1134" w:type="dxa"/>
            <w:vMerge/>
            <w:tcBorders>
              <w:top w:val="single" w:sz="6" w:space="0" w:color="1E4496" w:themeColor="text2"/>
              <w:left w:val="nil"/>
              <w:bottom w:val="single" w:sz="6" w:space="0" w:color="1E4496" w:themeColor="text2"/>
            </w:tcBorders>
            <w:tcMar>
              <w:top w:w="85" w:type="dxa"/>
              <w:bottom w:w="85" w:type="dxa"/>
            </w:tcMar>
          </w:tcPr>
          <w:p w14:paraId="568C1CA5" w14:textId="77777777" w:rsidR="00EF2547" w:rsidRPr="00EF2547" w:rsidRDefault="00EF2547" w:rsidP="00EF2547"/>
        </w:tc>
        <w:tc>
          <w:tcPr>
            <w:tcW w:w="221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833BA76" w14:textId="307E8B18" w:rsidR="00EF2547" w:rsidRPr="00EF2547" w:rsidRDefault="00EF2547" w:rsidP="00F42F95">
            <w:pPr>
              <w:pStyle w:val="CDITable-RowLeft"/>
              <w:rPr>
                <w:lang w:val="en-GB"/>
              </w:rPr>
            </w:pPr>
            <w:r w:rsidRPr="00EF2547">
              <w:rPr>
                <w:lang w:val="en-GB"/>
              </w:rPr>
              <w:t>Aboriginal and/or Torres</w:t>
            </w:r>
            <w:r w:rsidR="009B581E">
              <w:rPr>
                <w:lang w:val="en-GB"/>
              </w:rPr>
              <w:t> </w:t>
            </w:r>
            <w:r w:rsidRPr="00EF2547">
              <w:rPr>
                <w:lang w:val="en-GB"/>
              </w:rPr>
              <w:t>Strait Islander</w:t>
            </w:r>
          </w:p>
        </w:tc>
        <w:tc>
          <w:tcPr>
            <w:tcW w:w="96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3851682" w14:textId="77777777" w:rsidR="00EF2547" w:rsidRPr="00EF2547" w:rsidRDefault="00EF2547" w:rsidP="00EF2547">
            <w:pPr>
              <w:pStyle w:val="CDITable-RowCentre"/>
              <w:rPr>
                <w:lang w:val="en-GB"/>
              </w:rPr>
            </w:pPr>
            <w:r w:rsidRPr="00EF2547">
              <w:rPr>
                <w:lang w:val="en-GB"/>
              </w:rPr>
              <w:t>6</w:t>
            </w:r>
          </w:p>
        </w:tc>
        <w:tc>
          <w:tcPr>
            <w:tcW w:w="113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3BD6AAB" w14:textId="77777777" w:rsidR="00EF2547" w:rsidRPr="00EF2547" w:rsidRDefault="00EF2547" w:rsidP="00EF2547">
            <w:pPr>
              <w:pStyle w:val="CDITable-RowCentre"/>
              <w:rPr>
                <w:lang w:val="en-GB"/>
              </w:rPr>
            </w:pPr>
            <w:r w:rsidRPr="00EF2547">
              <w:rPr>
                <w:lang w:val="en-GB"/>
              </w:rPr>
              <w:t>8%</w:t>
            </w:r>
          </w:p>
        </w:tc>
        <w:tc>
          <w:tcPr>
            <w:tcW w:w="107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4B1FC1D" w14:textId="77777777" w:rsidR="00EF2547" w:rsidRPr="00EF2547" w:rsidRDefault="00EF2547" w:rsidP="00EF2547">
            <w:pPr>
              <w:pStyle w:val="CDITable-RowCentre"/>
              <w:rPr>
                <w:lang w:val="en-GB"/>
              </w:rPr>
            </w:pPr>
            <w:r w:rsidRPr="00EF2547">
              <w:rPr>
                <w:lang w:val="en-GB"/>
              </w:rPr>
              <w:t>49</w:t>
            </w:r>
          </w:p>
        </w:tc>
        <w:tc>
          <w:tcPr>
            <w:tcW w:w="113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B219DC8" w14:textId="77777777" w:rsidR="00EF2547" w:rsidRPr="00EF2547" w:rsidRDefault="00EF2547" w:rsidP="00EF2547">
            <w:pPr>
              <w:pStyle w:val="CDITable-RowCentre"/>
              <w:rPr>
                <w:lang w:val="en-GB"/>
              </w:rPr>
            </w:pPr>
            <w:r w:rsidRPr="00EF2547">
              <w:rPr>
                <w:lang w:val="en-GB"/>
              </w:rPr>
              <w:t>1</w:t>
            </w:r>
          </w:p>
        </w:tc>
        <w:tc>
          <w:tcPr>
            <w:tcW w:w="102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3AED2CE" w14:textId="77777777" w:rsidR="00EF2547" w:rsidRPr="00EF2547" w:rsidRDefault="00EF2547" w:rsidP="00EF2547">
            <w:pPr>
              <w:pStyle w:val="CDITable-RowCentre"/>
              <w:rPr>
                <w:lang w:val="en-GB"/>
              </w:rPr>
            </w:pPr>
            <w:r w:rsidRPr="00EF2547">
              <w:rPr>
                <w:lang w:val="en-GB"/>
              </w:rPr>
              <w:t>19</w:t>
            </w:r>
          </w:p>
        </w:tc>
        <w:tc>
          <w:tcPr>
            <w:tcW w:w="964"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34D9F7D0" w14:textId="77777777" w:rsidR="00EF2547" w:rsidRPr="00EF2547" w:rsidRDefault="00EF2547" w:rsidP="00EF2547">
            <w:pPr>
              <w:pStyle w:val="CDITable-RowCentre"/>
              <w:rPr>
                <w:lang w:val="en-GB"/>
              </w:rPr>
            </w:pPr>
            <w:r w:rsidRPr="00EF2547">
              <w:rPr>
                <w:lang w:val="en-GB"/>
              </w:rPr>
              <w:t>75</w:t>
            </w:r>
          </w:p>
        </w:tc>
      </w:tr>
      <w:tr w:rsidR="00EF2547" w:rsidRPr="00EF2547" w14:paraId="0A631813" w14:textId="77777777" w:rsidTr="009B581E">
        <w:trPr>
          <w:trHeight w:val="60"/>
        </w:trPr>
        <w:tc>
          <w:tcPr>
            <w:tcW w:w="1134" w:type="dxa"/>
            <w:vMerge/>
            <w:tcBorders>
              <w:top w:val="single" w:sz="6" w:space="0" w:color="1E4496" w:themeColor="text2"/>
              <w:left w:val="nil"/>
              <w:bottom w:val="single" w:sz="6" w:space="0" w:color="1E4496" w:themeColor="text2"/>
            </w:tcBorders>
            <w:tcMar>
              <w:top w:w="85" w:type="dxa"/>
              <w:bottom w:w="85" w:type="dxa"/>
            </w:tcMar>
          </w:tcPr>
          <w:p w14:paraId="332B6590" w14:textId="77777777" w:rsidR="00EF2547" w:rsidRPr="00EF2547" w:rsidRDefault="00EF2547" w:rsidP="00EF2547"/>
        </w:tc>
        <w:tc>
          <w:tcPr>
            <w:tcW w:w="221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2E40394" w14:textId="77777777" w:rsidR="00EF2547" w:rsidRPr="00EF2547" w:rsidRDefault="00EF2547" w:rsidP="00F42F95">
            <w:pPr>
              <w:pStyle w:val="CDITable-RowLeft"/>
              <w:rPr>
                <w:lang w:val="en-GB"/>
              </w:rPr>
            </w:pPr>
            <w:r w:rsidRPr="00EF2547">
              <w:rPr>
                <w:lang w:val="en-GB"/>
              </w:rPr>
              <w:t>Other</w:t>
            </w:r>
          </w:p>
        </w:tc>
        <w:tc>
          <w:tcPr>
            <w:tcW w:w="96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06A1C6F" w14:textId="77777777" w:rsidR="00EF2547" w:rsidRPr="00EF2547" w:rsidRDefault="00EF2547" w:rsidP="00EF2547">
            <w:pPr>
              <w:pStyle w:val="CDITable-RowCentre"/>
              <w:rPr>
                <w:lang w:val="en-GB"/>
              </w:rPr>
            </w:pPr>
            <w:r w:rsidRPr="00EF2547">
              <w:rPr>
                <w:lang w:val="en-GB"/>
              </w:rPr>
              <w:t>3</w:t>
            </w:r>
          </w:p>
        </w:tc>
        <w:tc>
          <w:tcPr>
            <w:tcW w:w="113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1D195BC" w14:textId="77777777" w:rsidR="00EF2547" w:rsidRPr="00EF2547" w:rsidRDefault="00EF2547" w:rsidP="00EF2547">
            <w:pPr>
              <w:pStyle w:val="CDITable-RowCentre"/>
              <w:rPr>
                <w:lang w:val="en-GB"/>
              </w:rPr>
            </w:pPr>
            <w:r w:rsidRPr="00EF2547">
              <w:rPr>
                <w:lang w:val="en-GB"/>
              </w:rPr>
              <w:t>19%</w:t>
            </w:r>
          </w:p>
        </w:tc>
        <w:tc>
          <w:tcPr>
            <w:tcW w:w="107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06A04BF" w14:textId="77777777" w:rsidR="00EF2547" w:rsidRPr="00EF2547" w:rsidRDefault="00EF2547" w:rsidP="00EF2547">
            <w:pPr>
              <w:pStyle w:val="CDITable-RowCentre"/>
              <w:rPr>
                <w:lang w:val="en-GB"/>
              </w:rPr>
            </w:pPr>
            <w:r w:rsidRPr="00EF2547">
              <w:rPr>
                <w:lang w:val="en-GB"/>
              </w:rPr>
              <w:t>11</w:t>
            </w:r>
          </w:p>
        </w:tc>
        <w:tc>
          <w:tcPr>
            <w:tcW w:w="113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E44D6BE" w14:textId="77777777" w:rsidR="00EF2547" w:rsidRPr="00EF2547" w:rsidRDefault="00EF2547" w:rsidP="00EF2547">
            <w:pPr>
              <w:pStyle w:val="CDITable-RowCentre"/>
              <w:rPr>
                <w:lang w:val="en-GB"/>
              </w:rPr>
            </w:pPr>
            <w:r w:rsidRPr="00EF2547">
              <w:rPr>
                <w:lang w:val="en-GB"/>
              </w:rPr>
              <w:t>—</w:t>
            </w:r>
          </w:p>
        </w:tc>
        <w:tc>
          <w:tcPr>
            <w:tcW w:w="102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1EF428B" w14:textId="77777777" w:rsidR="00EF2547" w:rsidRPr="00EF2547" w:rsidRDefault="00EF2547" w:rsidP="00EF2547">
            <w:pPr>
              <w:pStyle w:val="CDITable-RowCentre"/>
              <w:rPr>
                <w:lang w:val="en-GB"/>
              </w:rPr>
            </w:pPr>
            <w:r w:rsidRPr="00EF2547">
              <w:rPr>
                <w:lang w:val="en-GB"/>
              </w:rPr>
              <w:t>2</w:t>
            </w:r>
          </w:p>
        </w:tc>
        <w:tc>
          <w:tcPr>
            <w:tcW w:w="964" w:type="dxa"/>
            <w:tcBorders>
              <w:top w:val="single" w:sz="6" w:space="0" w:color="1E4496" w:themeColor="text2"/>
              <w:bottom w:val="single" w:sz="6" w:space="0" w:color="1E4496" w:themeColor="text2"/>
              <w:right w:val="nil"/>
            </w:tcBorders>
            <w:tcMar>
              <w:top w:w="85" w:type="dxa"/>
              <w:left w:w="85" w:type="dxa"/>
              <w:bottom w:w="85" w:type="dxa"/>
              <w:right w:w="85" w:type="dxa"/>
            </w:tcMar>
            <w:vAlign w:val="center"/>
          </w:tcPr>
          <w:p w14:paraId="42D8989A" w14:textId="77777777" w:rsidR="00EF2547" w:rsidRPr="00EF2547" w:rsidRDefault="00EF2547" w:rsidP="00EF2547">
            <w:pPr>
              <w:pStyle w:val="CDITable-RowCentre"/>
              <w:rPr>
                <w:lang w:val="en-GB"/>
              </w:rPr>
            </w:pPr>
            <w:r w:rsidRPr="00EF2547">
              <w:rPr>
                <w:lang w:val="en-GB"/>
              </w:rPr>
              <w:t>16</w:t>
            </w:r>
          </w:p>
        </w:tc>
      </w:tr>
      <w:tr w:rsidR="00EF2547" w:rsidRPr="00EF2547" w14:paraId="7CA6F777" w14:textId="77777777" w:rsidTr="009B581E">
        <w:trPr>
          <w:trHeight w:val="60"/>
        </w:trPr>
        <w:tc>
          <w:tcPr>
            <w:tcW w:w="1134" w:type="dxa"/>
            <w:vMerge/>
            <w:tcBorders>
              <w:top w:val="single" w:sz="6" w:space="0" w:color="1E4496" w:themeColor="text2"/>
              <w:left w:val="nil"/>
            </w:tcBorders>
            <w:tcMar>
              <w:top w:w="85" w:type="dxa"/>
              <w:bottom w:w="85" w:type="dxa"/>
            </w:tcMar>
          </w:tcPr>
          <w:p w14:paraId="169F595C" w14:textId="77777777" w:rsidR="00EF2547" w:rsidRPr="00EF2547" w:rsidRDefault="00EF2547" w:rsidP="00EF2547"/>
        </w:tc>
        <w:tc>
          <w:tcPr>
            <w:tcW w:w="2211" w:type="dxa"/>
            <w:tcBorders>
              <w:top w:val="single" w:sz="6" w:space="0" w:color="1E4496" w:themeColor="text2"/>
            </w:tcBorders>
            <w:tcMar>
              <w:top w:w="85" w:type="dxa"/>
              <w:left w:w="85" w:type="dxa"/>
              <w:bottom w:w="85" w:type="dxa"/>
              <w:right w:w="85" w:type="dxa"/>
            </w:tcMar>
            <w:vAlign w:val="center"/>
          </w:tcPr>
          <w:p w14:paraId="7A33EAB2" w14:textId="77777777" w:rsidR="00EF2547" w:rsidRPr="00EF2547" w:rsidRDefault="00EF2547" w:rsidP="00F42F95">
            <w:pPr>
              <w:pStyle w:val="CDITable-RowLeft"/>
              <w:rPr>
                <w:lang w:val="en-GB"/>
              </w:rPr>
            </w:pPr>
            <w:r w:rsidRPr="00EF2547">
              <w:rPr>
                <w:lang w:val="en-GB"/>
              </w:rPr>
              <w:t>Unknown</w:t>
            </w:r>
          </w:p>
        </w:tc>
        <w:tc>
          <w:tcPr>
            <w:tcW w:w="964" w:type="dxa"/>
            <w:tcBorders>
              <w:top w:val="single" w:sz="6" w:space="0" w:color="1E4496" w:themeColor="text2"/>
            </w:tcBorders>
            <w:tcMar>
              <w:top w:w="85" w:type="dxa"/>
              <w:left w:w="85" w:type="dxa"/>
              <w:bottom w:w="85" w:type="dxa"/>
              <w:right w:w="85" w:type="dxa"/>
            </w:tcMar>
            <w:vAlign w:val="center"/>
          </w:tcPr>
          <w:p w14:paraId="34BFAB6C" w14:textId="77777777" w:rsidR="00EF2547" w:rsidRPr="00EF2547" w:rsidRDefault="00EF2547" w:rsidP="00EF2547">
            <w:pPr>
              <w:pStyle w:val="CDITable-RowCentre"/>
              <w:rPr>
                <w:lang w:val="en-GB"/>
              </w:rPr>
            </w:pPr>
            <w:r w:rsidRPr="00EF2547">
              <w:rPr>
                <w:lang w:val="en-GB"/>
              </w:rPr>
              <w:t>—</w:t>
            </w:r>
          </w:p>
        </w:tc>
        <w:tc>
          <w:tcPr>
            <w:tcW w:w="1134" w:type="dxa"/>
            <w:tcBorders>
              <w:top w:val="single" w:sz="6" w:space="0" w:color="1E4496" w:themeColor="text2"/>
            </w:tcBorders>
            <w:tcMar>
              <w:top w:w="85" w:type="dxa"/>
              <w:left w:w="85" w:type="dxa"/>
              <w:bottom w:w="85" w:type="dxa"/>
              <w:right w:w="85" w:type="dxa"/>
            </w:tcMar>
            <w:vAlign w:val="center"/>
          </w:tcPr>
          <w:p w14:paraId="38201258" w14:textId="77777777" w:rsidR="00EF2547" w:rsidRPr="00EF2547" w:rsidRDefault="00EF2547" w:rsidP="00EF2547">
            <w:pPr>
              <w:pStyle w:val="CDITable-RowCentre"/>
              <w:rPr>
                <w:lang w:val="en-GB"/>
              </w:rPr>
            </w:pPr>
            <w:r w:rsidRPr="00EF2547">
              <w:rPr>
                <w:lang w:val="en-GB"/>
              </w:rPr>
              <w:t>—</w:t>
            </w:r>
          </w:p>
        </w:tc>
        <w:tc>
          <w:tcPr>
            <w:tcW w:w="1077" w:type="dxa"/>
            <w:tcBorders>
              <w:top w:val="single" w:sz="6" w:space="0" w:color="1E4496" w:themeColor="text2"/>
            </w:tcBorders>
            <w:tcMar>
              <w:top w:w="85" w:type="dxa"/>
              <w:left w:w="85" w:type="dxa"/>
              <w:bottom w:w="85" w:type="dxa"/>
              <w:right w:w="85" w:type="dxa"/>
            </w:tcMar>
            <w:vAlign w:val="center"/>
          </w:tcPr>
          <w:p w14:paraId="416C9814" w14:textId="77777777" w:rsidR="00EF2547" w:rsidRPr="00EF2547" w:rsidRDefault="00EF2547" w:rsidP="00EF2547">
            <w:pPr>
              <w:pStyle w:val="CDITable-RowCentre"/>
              <w:rPr>
                <w:lang w:val="en-GB"/>
              </w:rPr>
            </w:pPr>
            <w:r w:rsidRPr="00EF2547">
              <w:rPr>
                <w:lang w:val="en-GB"/>
              </w:rPr>
              <w:t>3</w:t>
            </w:r>
          </w:p>
        </w:tc>
        <w:tc>
          <w:tcPr>
            <w:tcW w:w="1134" w:type="dxa"/>
            <w:tcBorders>
              <w:top w:val="single" w:sz="6" w:space="0" w:color="1E4496" w:themeColor="text2"/>
            </w:tcBorders>
            <w:tcMar>
              <w:top w:w="85" w:type="dxa"/>
              <w:left w:w="85" w:type="dxa"/>
              <w:bottom w:w="85" w:type="dxa"/>
              <w:right w:w="85" w:type="dxa"/>
            </w:tcMar>
            <w:vAlign w:val="center"/>
          </w:tcPr>
          <w:p w14:paraId="7E13167F" w14:textId="77777777" w:rsidR="00EF2547" w:rsidRPr="00EF2547" w:rsidRDefault="00EF2547" w:rsidP="00EF2547">
            <w:pPr>
              <w:pStyle w:val="CDITable-RowCentre"/>
              <w:rPr>
                <w:lang w:val="en-GB"/>
              </w:rPr>
            </w:pPr>
            <w:r w:rsidRPr="00EF2547">
              <w:rPr>
                <w:lang w:val="en-GB"/>
              </w:rPr>
              <w:t>—</w:t>
            </w:r>
          </w:p>
        </w:tc>
        <w:tc>
          <w:tcPr>
            <w:tcW w:w="1020" w:type="dxa"/>
            <w:tcBorders>
              <w:top w:val="single" w:sz="6" w:space="0" w:color="1E4496" w:themeColor="text2"/>
            </w:tcBorders>
            <w:tcMar>
              <w:top w:w="85" w:type="dxa"/>
              <w:left w:w="85" w:type="dxa"/>
              <w:bottom w:w="85" w:type="dxa"/>
              <w:right w:w="85" w:type="dxa"/>
            </w:tcMar>
            <w:vAlign w:val="center"/>
          </w:tcPr>
          <w:p w14:paraId="3D53012B" w14:textId="77777777" w:rsidR="00EF2547" w:rsidRPr="00EF2547" w:rsidRDefault="00EF2547" w:rsidP="00EF2547">
            <w:pPr>
              <w:pStyle w:val="CDITable-RowCentre"/>
              <w:rPr>
                <w:lang w:val="en-GB"/>
              </w:rPr>
            </w:pPr>
            <w:r w:rsidRPr="00EF2547">
              <w:rPr>
                <w:lang w:val="en-GB"/>
              </w:rPr>
              <w:t>2</w:t>
            </w:r>
          </w:p>
        </w:tc>
        <w:tc>
          <w:tcPr>
            <w:tcW w:w="964" w:type="dxa"/>
            <w:tcBorders>
              <w:top w:val="single" w:sz="6" w:space="0" w:color="1E4496" w:themeColor="text2"/>
              <w:right w:val="nil"/>
            </w:tcBorders>
            <w:tcMar>
              <w:top w:w="85" w:type="dxa"/>
              <w:left w:w="85" w:type="dxa"/>
              <w:bottom w:w="85" w:type="dxa"/>
              <w:right w:w="85" w:type="dxa"/>
            </w:tcMar>
            <w:vAlign w:val="center"/>
          </w:tcPr>
          <w:p w14:paraId="3460B25A" w14:textId="77777777" w:rsidR="00EF2547" w:rsidRPr="00EF2547" w:rsidRDefault="00EF2547" w:rsidP="00EF2547">
            <w:pPr>
              <w:pStyle w:val="CDITable-RowCentre"/>
              <w:rPr>
                <w:lang w:val="en-GB"/>
              </w:rPr>
            </w:pPr>
            <w:r w:rsidRPr="00EF2547">
              <w:rPr>
                <w:lang w:val="en-GB"/>
              </w:rPr>
              <w:t>5</w:t>
            </w:r>
          </w:p>
        </w:tc>
      </w:tr>
      <w:tr w:rsidR="00EF2547" w:rsidRPr="00EF2547" w14:paraId="79C9F6F7" w14:textId="77777777" w:rsidTr="009B581E">
        <w:trPr>
          <w:trHeight w:val="60"/>
        </w:trPr>
        <w:tc>
          <w:tcPr>
            <w:tcW w:w="1134" w:type="dxa"/>
            <w:tcBorders>
              <w:left w:val="nil"/>
              <w:bottom w:val="single" w:sz="6" w:space="0" w:color="1E4496" w:themeColor="text2"/>
            </w:tcBorders>
            <w:shd w:val="clear" w:color="auto" w:fill="53C9F1" w:themeFill="background2"/>
            <w:tcMar>
              <w:top w:w="85" w:type="dxa"/>
              <w:left w:w="85" w:type="dxa"/>
              <w:bottom w:w="85" w:type="dxa"/>
              <w:right w:w="85" w:type="dxa"/>
            </w:tcMar>
            <w:vAlign w:val="center"/>
          </w:tcPr>
          <w:p w14:paraId="2C708917" w14:textId="77777777" w:rsidR="00EF2547" w:rsidRPr="00EF2547" w:rsidRDefault="00EF2547" w:rsidP="00F42F95">
            <w:pPr>
              <w:pStyle w:val="CDITable-TotalRowLeft"/>
              <w:rPr>
                <w:lang w:val="en-GB"/>
              </w:rPr>
            </w:pPr>
            <w:r w:rsidRPr="00EF2547">
              <w:rPr>
                <w:lang w:val="en-GB"/>
              </w:rPr>
              <w:t>Total</w:t>
            </w:r>
          </w:p>
        </w:tc>
        <w:tc>
          <w:tcPr>
            <w:tcW w:w="2211"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744810BE" w14:textId="77777777" w:rsidR="00EF2547" w:rsidRPr="00EF2547" w:rsidRDefault="00EF2547" w:rsidP="00F42F95">
            <w:pPr>
              <w:pStyle w:val="CDITable-TotalRowLeft"/>
              <w:rPr>
                <w:lang w:val="en-GB"/>
              </w:rPr>
            </w:pPr>
            <w:r w:rsidRPr="00EF2547">
              <w:rPr>
                <w:lang w:val="en-GB"/>
              </w:rPr>
              <w:t>—</w:t>
            </w:r>
          </w:p>
        </w:tc>
        <w:tc>
          <w:tcPr>
            <w:tcW w:w="964"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0BB73D9E" w14:textId="77777777" w:rsidR="00EF2547" w:rsidRPr="00EF2547" w:rsidRDefault="00EF2547" w:rsidP="00F42F95">
            <w:pPr>
              <w:pStyle w:val="CDITable-TotalRowCentre"/>
              <w:rPr>
                <w:lang w:val="en-GB"/>
              </w:rPr>
            </w:pPr>
            <w:r w:rsidRPr="00EF2547">
              <w:rPr>
                <w:lang w:val="en-GB"/>
              </w:rPr>
              <w:t>15</w:t>
            </w:r>
          </w:p>
        </w:tc>
        <w:tc>
          <w:tcPr>
            <w:tcW w:w="1134"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0FC37BCA" w14:textId="77777777" w:rsidR="00EF2547" w:rsidRPr="00EF2547" w:rsidRDefault="00EF2547" w:rsidP="00F42F95">
            <w:pPr>
              <w:pStyle w:val="CDITable-TotalRowCentre"/>
              <w:rPr>
                <w:lang w:val="en-GB"/>
              </w:rPr>
            </w:pPr>
            <w:r w:rsidRPr="00EF2547">
              <w:rPr>
                <w:lang w:val="en-GB"/>
              </w:rPr>
              <w:t>8%</w:t>
            </w:r>
          </w:p>
        </w:tc>
        <w:tc>
          <w:tcPr>
            <w:tcW w:w="1077"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5970C05C" w14:textId="77777777" w:rsidR="00EF2547" w:rsidRPr="00EF2547" w:rsidRDefault="00EF2547" w:rsidP="00F42F95">
            <w:pPr>
              <w:pStyle w:val="CDITable-TotalRowCentre"/>
              <w:rPr>
                <w:lang w:val="en-GB"/>
              </w:rPr>
            </w:pPr>
            <w:r w:rsidRPr="00EF2547">
              <w:rPr>
                <w:lang w:val="en-GB"/>
              </w:rPr>
              <w:t>137</w:t>
            </w:r>
          </w:p>
        </w:tc>
        <w:tc>
          <w:tcPr>
            <w:tcW w:w="1134"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55906A4E" w14:textId="77777777" w:rsidR="00EF2547" w:rsidRPr="00EF2547" w:rsidRDefault="00EF2547" w:rsidP="00F42F95">
            <w:pPr>
              <w:pStyle w:val="CDITable-TotalRowCentre"/>
              <w:rPr>
                <w:lang w:val="en-GB"/>
              </w:rPr>
            </w:pPr>
            <w:r w:rsidRPr="00EF2547">
              <w:rPr>
                <w:lang w:val="en-GB"/>
              </w:rPr>
              <w:t>1</w:t>
            </w:r>
          </w:p>
        </w:tc>
        <w:tc>
          <w:tcPr>
            <w:tcW w:w="1020"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204B06DB" w14:textId="77777777" w:rsidR="00EF2547" w:rsidRPr="00EF2547" w:rsidRDefault="00EF2547" w:rsidP="00F42F95">
            <w:pPr>
              <w:pStyle w:val="CDITable-TotalRowCentre"/>
              <w:rPr>
                <w:lang w:val="en-GB"/>
              </w:rPr>
            </w:pPr>
            <w:r w:rsidRPr="00EF2547">
              <w:rPr>
                <w:lang w:val="en-GB"/>
              </w:rPr>
              <w:t>35</w:t>
            </w:r>
          </w:p>
        </w:tc>
        <w:tc>
          <w:tcPr>
            <w:tcW w:w="964" w:type="dxa"/>
            <w:tcBorders>
              <w:bottom w:val="single" w:sz="6" w:space="0" w:color="1E4496" w:themeColor="text2"/>
              <w:right w:val="nil"/>
            </w:tcBorders>
            <w:shd w:val="clear" w:color="auto" w:fill="53C9F1" w:themeFill="background2"/>
            <w:tcMar>
              <w:top w:w="85" w:type="dxa"/>
              <w:left w:w="85" w:type="dxa"/>
              <w:bottom w:w="85" w:type="dxa"/>
              <w:right w:w="85" w:type="dxa"/>
            </w:tcMar>
            <w:vAlign w:val="center"/>
          </w:tcPr>
          <w:p w14:paraId="7952D533" w14:textId="77777777" w:rsidR="00EF2547" w:rsidRPr="00EF2547" w:rsidRDefault="00EF2547" w:rsidP="00F42F95">
            <w:pPr>
              <w:pStyle w:val="CDITable-TotalRowCentre"/>
              <w:rPr>
                <w:lang w:val="en-GB"/>
              </w:rPr>
            </w:pPr>
            <w:r w:rsidRPr="00EF2547">
              <w:rPr>
                <w:lang w:val="en-GB"/>
              </w:rPr>
              <w:t>188</w:t>
            </w:r>
          </w:p>
        </w:tc>
      </w:tr>
    </w:tbl>
    <w:p w14:paraId="3DDC4124" w14:textId="7C4452B7" w:rsidR="005075F0" w:rsidRDefault="00EF2547" w:rsidP="005075F0">
      <w:pPr>
        <w:pStyle w:val="Normal-morespacebefore"/>
        <w:rPr>
          <w:vertAlign w:val="superscript"/>
          <w:lang w:val="en-GB"/>
        </w:rPr>
      </w:pPr>
      <w:r w:rsidRPr="00EF2547">
        <w:rPr>
          <w:lang w:val="en-GB"/>
        </w:rPr>
        <w:t>Ciprofloxacin resistance (Table 3) was 11%, supporting the restriction on ciprofloxacin use to circumstances where rapid ciprofloxacin-resistance testing supports sensitivity, as per the Australian STI Management Guidelines for Use in Primary Care.</w:t>
      </w:r>
      <w:r w:rsidRPr="00EF2547">
        <w:rPr>
          <w:vertAlign w:val="superscript"/>
          <w:lang w:val="en-GB"/>
        </w:rPr>
        <w:t>8</w:t>
      </w:r>
      <w:r w:rsidR="005075F0">
        <w:rPr>
          <w:vertAlign w:val="superscript"/>
          <w:lang w:val="en-GB"/>
        </w:rPr>
        <w:br w:type="page"/>
      </w:r>
    </w:p>
    <w:p w14:paraId="729FAC6E" w14:textId="77777777" w:rsidR="00EF2547" w:rsidRPr="00EF2547" w:rsidRDefault="00EF2547" w:rsidP="00EF2547">
      <w:pPr>
        <w:pStyle w:val="CDITable-Title"/>
        <w:rPr>
          <w:lang w:val="en-GB"/>
        </w:rPr>
      </w:pPr>
      <w:r w:rsidRPr="00EF2547">
        <w:rPr>
          <w:lang w:val="en-GB"/>
        </w:rPr>
        <w:t xml:space="preserve">Table 3: Number of </w:t>
      </w:r>
      <w:r w:rsidRPr="00EF2547">
        <w:rPr>
          <w:i/>
          <w:iCs/>
          <w:lang w:val="en-GB"/>
        </w:rPr>
        <w:t>N. gonorrhoeae</w:t>
      </w:r>
      <w:r w:rsidRPr="00EF2547">
        <w:rPr>
          <w:lang w:val="en-GB"/>
        </w:rPr>
        <w:t xml:space="preserve"> notifications by ciprofloxacin resistance status, sex and ethnicity, Pilbara, Western Australia, 1 July 2023 – 30 June 2024</w:t>
      </w:r>
    </w:p>
    <w:tbl>
      <w:tblPr>
        <w:tblW w:w="9666" w:type="dxa"/>
        <w:tblLayout w:type="fixed"/>
        <w:tblCellMar>
          <w:left w:w="0" w:type="dxa"/>
          <w:right w:w="0" w:type="dxa"/>
        </w:tblCellMar>
        <w:tblLook w:val="0000" w:firstRow="0" w:lastRow="0" w:firstColumn="0" w:lastColumn="0" w:noHBand="0" w:noVBand="0"/>
        <w:tblCaption w:val="Table 3: Number of N. gonorrhoeae notifications by ciprofloxacin resistance status, sex and ethnicity, Pilbara, Western Australia, 1 July 2023 – 30 June 2024"/>
        <w:tblDescription w:val="Ciprofloxacin resistance was significant (above the &gt;5% threshold identified by the World Health Organisation) in notified cases with an overall rate of 11%. Forty-seven of the 96 males notified (49%) were reported to have presented with symptoms of either dysuria or discharge while 20 of the 92 females notified (22%) were reported to have been symptomatic."/>
      </w:tblPr>
      <w:tblGrid>
        <w:gridCol w:w="1020"/>
        <w:gridCol w:w="3345"/>
        <w:gridCol w:w="992"/>
        <w:gridCol w:w="964"/>
        <w:gridCol w:w="1021"/>
        <w:gridCol w:w="1417"/>
        <w:gridCol w:w="907"/>
      </w:tblGrid>
      <w:tr w:rsidR="00EF2547" w:rsidRPr="00EF2547" w14:paraId="21B74975" w14:textId="77777777" w:rsidTr="009B581E">
        <w:trPr>
          <w:trHeight w:val="60"/>
          <w:tblHeader/>
        </w:trPr>
        <w:tc>
          <w:tcPr>
            <w:tcW w:w="4365" w:type="dxa"/>
            <w:gridSpan w:val="2"/>
            <w:tcBorders>
              <w:bottom w:val="single" w:sz="6" w:space="0" w:color="FFFFFF" w:themeColor="background1"/>
            </w:tcBorders>
            <w:shd w:val="clear" w:color="auto" w:fill="1E4496" w:themeFill="text2"/>
            <w:tcMar>
              <w:top w:w="85" w:type="dxa"/>
              <w:left w:w="85" w:type="dxa"/>
              <w:bottom w:w="85" w:type="dxa"/>
              <w:right w:w="85" w:type="dxa"/>
            </w:tcMar>
            <w:vAlign w:val="bottom"/>
          </w:tcPr>
          <w:p w14:paraId="72A6EA99" w14:textId="77777777" w:rsidR="00EF2547" w:rsidRPr="00EF2547" w:rsidRDefault="00EF2547" w:rsidP="00F42F95">
            <w:pPr>
              <w:pStyle w:val="CDITable-HeaderRowLeft"/>
              <w:rPr>
                <w:lang w:val="en-GB"/>
              </w:rPr>
            </w:pPr>
            <w:r w:rsidRPr="00EF2547">
              <w:rPr>
                <w:lang w:val="en-GB"/>
              </w:rPr>
              <w:t>Demographics</w:t>
            </w:r>
          </w:p>
        </w:tc>
        <w:tc>
          <w:tcPr>
            <w:tcW w:w="5301" w:type="dxa"/>
            <w:gridSpan w:val="5"/>
            <w:tcBorders>
              <w:bottom w:val="single" w:sz="6" w:space="0" w:color="FFFFFF" w:themeColor="background1"/>
            </w:tcBorders>
            <w:shd w:val="clear" w:color="auto" w:fill="1E4496" w:themeFill="text2"/>
            <w:tcMar>
              <w:top w:w="85" w:type="dxa"/>
              <w:left w:w="85" w:type="dxa"/>
              <w:bottom w:w="85" w:type="dxa"/>
              <w:right w:w="85" w:type="dxa"/>
            </w:tcMar>
            <w:vAlign w:val="bottom"/>
          </w:tcPr>
          <w:p w14:paraId="0882EC7E" w14:textId="77777777" w:rsidR="00EF2547" w:rsidRPr="00EF2547" w:rsidRDefault="00EF2547" w:rsidP="00F42F95">
            <w:pPr>
              <w:pStyle w:val="CDITable-HeaderRowCentre"/>
            </w:pPr>
            <w:r w:rsidRPr="00EF2547">
              <w:t>Ciprofloxacin resistance status</w:t>
            </w:r>
          </w:p>
        </w:tc>
      </w:tr>
      <w:tr w:rsidR="00EF2547" w:rsidRPr="00EF2547" w14:paraId="44F2567B" w14:textId="77777777" w:rsidTr="009B581E">
        <w:trPr>
          <w:trHeight w:val="60"/>
          <w:tblHeader/>
        </w:trPr>
        <w:tc>
          <w:tcPr>
            <w:tcW w:w="1020" w:type="dxa"/>
            <w:tcBorders>
              <w:top w:val="single" w:sz="6" w:space="0" w:color="FFFFFF" w:themeColor="background1"/>
            </w:tcBorders>
            <w:shd w:val="solid" w:color="1E4496" w:fill="auto"/>
            <w:tcMar>
              <w:top w:w="85" w:type="dxa"/>
              <w:left w:w="85" w:type="dxa"/>
              <w:bottom w:w="85" w:type="dxa"/>
              <w:right w:w="85" w:type="dxa"/>
            </w:tcMar>
            <w:vAlign w:val="bottom"/>
          </w:tcPr>
          <w:p w14:paraId="0F89E360" w14:textId="77777777" w:rsidR="00EF2547" w:rsidRPr="00EF2547" w:rsidRDefault="00EF2547" w:rsidP="00F42F95">
            <w:pPr>
              <w:pStyle w:val="CDITable-HeaderRowLeft"/>
              <w:rPr>
                <w:lang w:val="en-GB"/>
              </w:rPr>
            </w:pPr>
            <w:r w:rsidRPr="00EF2547">
              <w:rPr>
                <w:lang w:val="en-GB"/>
              </w:rPr>
              <w:t>Sex</w:t>
            </w:r>
          </w:p>
        </w:tc>
        <w:tc>
          <w:tcPr>
            <w:tcW w:w="3345" w:type="dxa"/>
            <w:tcBorders>
              <w:top w:val="single" w:sz="6" w:space="0" w:color="FFFFFF" w:themeColor="background1"/>
              <w:right w:val="single" w:sz="6" w:space="0" w:color="FFFFFF" w:themeColor="background1"/>
            </w:tcBorders>
            <w:shd w:val="clear" w:color="auto" w:fill="1E4496" w:themeFill="text2"/>
            <w:tcMar>
              <w:top w:w="85" w:type="dxa"/>
              <w:left w:w="85" w:type="dxa"/>
              <w:bottom w:w="85" w:type="dxa"/>
              <w:right w:w="85" w:type="dxa"/>
            </w:tcMar>
            <w:vAlign w:val="bottom"/>
          </w:tcPr>
          <w:p w14:paraId="37E4937F" w14:textId="77777777" w:rsidR="00EF2547" w:rsidRPr="00EF2547" w:rsidRDefault="00EF2547" w:rsidP="00F42F95">
            <w:pPr>
              <w:pStyle w:val="CDITable-HeaderRowLeft"/>
              <w:rPr>
                <w:lang w:val="en-GB"/>
              </w:rPr>
            </w:pPr>
            <w:r w:rsidRPr="00EF2547">
              <w:rPr>
                <w:lang w:val="en-GB"/>
              </w:rPr>
              <w:t>Ethnicity</w:t>
            </w:r>
          </w:p>
        </w:tc>
        <w:tc>
          <w:tcPr>
            <w:tcW w:w="992" w:type="dxa"/>
            <w:tcBorders>
              <w:top w:val="single" w:sz="6" w:space="0" w:color="FFFFFF" w:themeColor="background1"/>
              <w:left w:val="single" w:sz="6" w:space="0" w:color="FFFFFF" w:themeColor="background1"/>
            </w:tcBorders>
            <w:shd w:val="clear" w:color="auto" w:fill="1E4496" w:themeFill="text2"/>
            <w:tcMar>
              <w:top w:w="85" w:type="dxa"/>
              <w:left w:w="85" w:type="dxa"/>
              <w:bottom w:w="85" w:type="dxa"/>
              <w:right w:w="85" w:type="dxa"/>
            </w:tcMar>
            <w:vAlign w:val="bottom"/>
          </w:tcPr>
          <w:p w14:paraId="56FB3CC3" w14:textId="77777777" w:rsidR="00EF2547" w:rsidRPr="00EF2547" w:rsidRDefault="00EF2547" w:rsidP="00F42F95">
            <w:pPr>
              <w:pStyle w:val="CDITable-HeaderRowCentre"/>
            </w:pPr>
            <w:r w:rsidRPr="00EF2547">
              <w:t>Detected</w:t>
            </w:r>
          </w:p>
        </w:tc>
        <w:tc>
          <w:tcPr>
            <w:tcW w:w="964" w:type="dxa"/>
            <w:tcBorders>
              <w:top w:val="single" w:sz="6" w:space="0" w:color="FFFFFF" w:themeColor="background1"/>
            </w:tcBorders>
            <w:shd w:val="clear" w:color="auto" w:fill="1E4496" w:themeFill="text2"/>
            <w:tcMar>
              <w:top w:w="85" w:type="dxa"/>
              <w:left w:w="85" w:type="dxa"/>
              <w:bottom w:w="85" w:type="dxa"/>
              <w:right w:w="85" w:type="dxa"/>
            </w:tcMar>
            <w:vAlign w:val="bottom"/>
          </w:tcPr>
          <w:p w14:paraId="7F56E592" w14:textId="77777777" w:rsidR="00EF2547" w:rsidRPr="00EF2547" w:rsidRDefault="00EF2547" w:rsidP="00F42F95">
            <w:pPr>
              <w:pStyle w:val="CDITable-HeaderRowCentre"/>
            </w:pPr>
            <w:r w:rsidRPr="00EF2547">
              <w:t>Not detected</w:t>
            </w:r>
          </w:p>
        </w:tc>
        <w:tc>
          <w:tcPr>
            <w:tcW w:w="1021" w:type="dxa"/>
            <w:tcBorders>
              <w:top w:val="single" w:sz="6" w:space="0" w:color="FFFFFF" w:themeColor="background1"/>
            </w:tcBorders>
            <w:shd w:val="clear" w:color="auto" w:fill="1E4496" w:themeFill="text2"/>
            <w:tcMar>
              <w:top w:w="85" w:type="dxa"/>
              <w:left w:w="85" w:type="dxa"/>
              <w:bottom w:w="85" w:type="dxa"/>
              <w:right w:w="85" w:type="dxa"/>
            </w:tcMar>
            <w:vAlign w:val="bottom"/>
          </w:tcPr>
          <w:p w14:paraId="43B1FEFC" w14:textId="77777777" w:rsidR="00EF2547" w:rsidRPr="00EF2547" w:rsidRDefault="00EF2547" w:rsidP="00F42F95">
            <w:pPr>
              <w:pStyle w:val="CDITable-HeaderRowCentre"/>
            </w:pPr>
            <w:r w:rsidRPr="00EF2547">
              <w:t>Unknown</w:t>
            </w:r>
          </w:p>
        </w:tc>
        <w:tc>
          <w:tcPr>
            <w:tcW w:w="1417" w:type="dxa"/>
            <w:tcBorders>
              <w:top w:val="single" w:sz="6" w:space="0" w:color="FFFFFF" w:themeColor="background1"/>
            </w:tcBorders>
            <w:shd w:val="clear" w:color="auto" w:fill="1E4496" w:themeFill="text2"/>
            <w:tcMar>
              <w:top w:w="85" w:type="dxa"/>
              <w:left w:w="85" w:type="dxa"/>
              <w:bottom w:w="85" w:type="dxa"/>
              <w:right w:w="85" w:type="dxa"/>
            </w:tcMar>
            <w:vAlign w:val="bottom"/>
          </w:tcPr>
          <w:p w14:paraId="1E8FE796" w14:textId="77777777" w:rsidR="00EF2547" w:rsidRPr="00EF2547" w:rsidRDefault="00EF2547" w:rsidP="00F42F95">
            <w:pPr>
              <w:pStyle w:val="CDITable-HeaderRowCentre"/>
            </w:pPr>
            <w:r w:rsidRPr="00EF2547">
              <w:t>Indeterminate</w:t>
            </w:r>
          </w:p>
        </w:tc>
        <w:tc>
          <w:tcPr>
            <w:tcW w:w="907" w:type="dxa"/>
            <w:tcBorders>
              <w:top w:val="single" w:sz="6" w:space="0" w:color="FFFFFF" w:themeColor="background1"/>
            </w:tcBorders>
            <w:shd w:val="clear" w:color="auto" w:fill="1E4496" w:themeFill="text2"/>
            <w:tcMar>
              <w:top w:w="85" w:type="dxa"/>
              <w:left w:w="85" w:type="dxa"/>
              <w:bottom w:w="85" w:type="dxa"/>
              <w:right w:w="85" w:type="dxa"/>
            </w:tcMar>
            <w:vAlign w:val="bottom"/>
          </w:tcPr>
          <w:p w14:paraId="11B41766" w14:textId="77777777" w:rsidR="00EF2547" w:rsidRPr="00EF2547" w:rsidRDefault="00EF2547" w:rsidP="00F42F95">
            <w:pPr>
              <w:pStyle w:val="CDITable-HeaderRowCentre"/>
            </w:pPr>
            <w:r w:rsidRPr="00EF2547">
              <w:t>Total</w:t>
            </w:r>
          </w:p>
        </w:tc>
      </w:tr>
      <w:tr w:rsidR="00EF2547" w:rsidRPr="00EF2547" w14:paraId="5581FFEF" w14:textId="77777777" w:rsidTr="009B581E">
        <w:trPr>
          <w:trHeight w:val="60"/>
        </w:trPr>
        <w:tc>
          <w:tcPr>
            <w:tcW w:w="1020" w:type="dxa"/>
            <w:vMerge w:val="restart"/>
            <w:tcBorders>
              <w:bottom w:val="single" w:sz="6" w:space="0" w:color="1E4496" w:themeColor="text2"/>
            </w:tcBorders>
            <w:tcMar>
              <w:top w:w="85" w:type="dxa"/>
              <w:left w:w="85" w:type="dxa"/>
              <w:bottom w:w="85" w:type="dxa"/>
              <w:right w:w="85" w:type="dxa"/>
            </w:tcMar>
            <w:vAlign w:val="center"/>
          </w:tcPr>
          <w:p w14:paraId="1FEC8FE4" w14:textId="77777777" w:rsidR="00EF2547" w:rsidRPr="00EF2547" w:rsidRDefault="00EF2547" w:rsidP="00F42F95">
            <w:pPr>
              <w:pStyle w:val="CDITable-RowLeft"/>
              <w:rPr>
                <w:lang w:val="en-GB"/>
              </w:rPr>
            </w:pPr>
            <w:r w:rsidRPr="00EF2547">
              <w:rPr>
                <w:lang w:val="en-GB"/>
              </w:rPr>
              <w:t>Female</w:t>
            </w:r>
          </w:p>
        </w:tc>
        <w:tc>
          <w:tcPr>
            <w:tcW w:w="3345" w:type="dxa"/>
            <w:tcBorders>
              <w:bottom w:val="single" w:sz="6" w:space="0" w:color="1E4496" w:themeColor="text2"/>
            </w:tcBorders>
            <w:tcMar>
              <w:top w:w="85" w:type="dxa"/>
              <w:left w:w="85" w:type="dxa"/>
              <w:bottom w:w="85" w:type="dxa"/>
              <w:right w:w="85" w:type="dxa"/>
            </w:tcMar>
            <w:vAlign w:val="center"/>
          </w:tcPr>
          <w:p w14:paraId="5158E42F" w14:textId="77777777" w:rsidR="00EF2547" w:rsidRPr="00EF2547" w:rsidRDefault="00EF2547" w:rsidP="00F42F95">
            <w:pPr>
              <w:pStyle w:val="CDITable-RowLeft"/>
              <w:rPr>
                <w:lang w:val="en-GB"/>
              </w:rPr>
            </w:pPr>
            <w:r w:rsidRPr="00EF2547">
              <w:rPr>
                <w:i/>
                <w:iCs/>
                <w:lang w:val="en-GB"/>
              </w:rPr>
              <w:t>Any</w:t>
            </w:r>
          </w:p>
        </w:tc>
        <w:tc>
          <w:tcPr>
            <w:tcW w:w="992" w:type="dxa"/>
            <w:tcBorders>
              <w:bottom w:val="single" w:sz="6" w:space="0" w:color="1E4496" w:themeColor="text2"/>
            </w:tcBorders>
            <w:tcMar>
              <w:top w:w="85" w:type="dxa"/>
              <w:left w:w="85" w:type="dxa"/>
              <w:bottom w:w="85" w:type="dxa"/>
              <w:right w:w="85" w:type="dxa"/>
            </w:tcMar>
            <w:vAlign w:val="center"/>
          </w:tcPr>
          <w:p w14:paraId="5A36CE6B" w14:textId="77777777" w:rsidR="00EF2547" w:rsidRPr="00EF2547" w:rsidRDefault="00EF2547" w:rsidP="00EF2547">
            <w:pPr>
              <w:pStyle w:val="CDITable-RowCentre"/>
              <w:rPr>
                <w:lang w:val="en-GB"/>
              </w:rPr>
            </w:pPr>
            <w:r w:rsidRPr="00EF2547">
              <w:rPr>
                <w:i/>
                <w:iCs/>
                <w:lang w:val="en-GB"/>
              </w:rPr>
              <w:t>7 (8%)</w:t>
            </w:r>
          </w:p>
        </w:tc>
        <w:tc>
          <w:tcPr>
            <w:tcW w:w="964" w:type="dxa"/>
            <w:tcBorders>
              <w:bottom w:val="single" w:sz="6" w:space="0" w:color="1E4496" w:themeColor="text2"/>
            </w:tcBorders>
            <w:tcMar>
              <w:top w:w="85" w:type="dxa"/>
              <w:left w:w="85" w:type="dxa"/>
              <w:bottom w:w="85" w:type="dxa"/>
              <w:right w:w="85" w:type="dxa"/>
            </w:tcMar>
            <w:vAlign w:val="center"/>
          </w:tcPr>
          <w:p w14:paraId="0399B591" w14:textId="77777777" w:rsidR="00EF2547" w:rsidRPr="00EF2547" w:rsidRDefault="00EF2547" w:rsidP="00EF2547">
            <w:pPr>
              <w:pStyle w:val="CDITable-RowCentre"/>
              <w:rPr>
                <w:lang w:val="en-GB"/>
              </w:rPr>
            </w:pPr>
            <w:r w:rsidRPr="00EF2547">
              <w:rPr>
                <w:i/>
                <w:iCs/>
                <w:lang w:val="en-GB"/>
              </w:rPr>
              <w:t>58</w:t>
            </w:r>
          </w:p>
        </w:tc>
        <w:tc>
          <w:tcPr>
            <w:tcW w:w="1021" w:type="dxa"/>
            <w:tcBorders>
              <w:bottom w:val="single" w:sz="6" w:space="0" w:color="1E4496" w:themeColor="text2"/>
            </w:tcBorders>
            <w:tcMar>
              <w:top w:w="85" w:type="dxa"/>
              <w:left w:w="85" w:type="dxa"/>
              <w:bottom w:w="85" w:type="dxa"/>
              <w:right w:w="85" w:type="dxa"/>
            </w:tcMar>
            <w:vAlign w:val="center"/>
          </w:tcPr>
          <w:p w14:paraId="3AD73539" w14:textId="77777777" w:rsidR="00EF2547" w:rsidRPr="00EF2547" w:rsidRDefault="00EF2547" w:rsidP="00EF2547">
            <w:pPr>
              <w:pStyle w:val="CDITable-RowCentre"/>
              <w:rPr>
                <w:lang w:val="en-GB"/>
              </w:rPr>
            </w:pPr>
            <w:r w:rsidRPr="00EF2547">
              <w:rPr>
                <w:i/>
                <w:iCs/>
                <w:lang w:val="en-GB"/>
              </w:rPr>
              <w:t>26</w:t>
            </w:r>
          </w:p>
        </w:tc>
        <w:tc>
          <w:tcPr>
            <w:tcW w:w="1417" w:type="dxa"/>
            <w:tcBorders>
              <w:bottom w:val="single" w:sz="6" w:space="0" w:color="1E4496" w:themeColor="text2"/>
            </w:tcBorders>
            <w:tcMar>
              <w:top w:w="85" w:type="dxa"/>
              <w:left w:w="85" w:type="dxa"/>
              <w:bottom w:w="85" w:type="dxa"/>
              <w:right w:w="85" w:type="dxa"/>
            </w:tcMar>
            <w:vAlign w:val="center"/>
          </w:tcPr>
          <w:p w14:paraId="6D21925D" w14:textId="77777777" w:rsidR="00EF2547" w:rsidRPr="00EF2547" w:rsidRDefault="00EF2547" w:rsidP="00EF2547">
            <w:pPr>
              <w:pStyle w:val="CDITable-RowCentre"/>
              <w:rPr>
                <w:lang w:val="en-GB"/>
              </w:rPr>
            </w:pPr>
            <w:r w:rsidRPr="00EF2547">
              <w:rPr>
                <w:i/>
                <w:iCs/>
                <w:lang w:val="en-GB"/>
              </w:rPr>
              <w:t>1</w:t>
            </w:r>
          </w:p>
        </w:tc>
        <w:tc>
          <w:tcPr>
            <w:tcW w:w="907" w:type="dxa"/>
            <w:tcBorders>
              <w:bottom w:val="single" w:sz="6" w:space="0" w:color="1E4496" w:themeColor="text2"/>
            </w:tcBorders>
            <w:tcMar>
              <w:top w:w="85" w:type="dxa"/>
              <w:left w:w="85" w:type="dxa"/>
              <w:bottom w:w="85" w:type="dxa"/>
              <w:right w:w="85" w:type="dxa"/>
            </w:tcMar>
            <w:vAlign w:val="center"/>
          </w:tcPr>
          <w:p w14:paraId="3BF8DEA4" w14:textId="77777777" w:rsidR="00EF2547" w:rsidRPr="00EF2547" w:rsidRDefault="00EF2547" w:rsidP="00EF2547">
            <w:pPr>
              <w:pStyle w:val="CDITable-RowCentre"/>
              <w:rPr>
                <w:lang w:val="en-GB"/>
              </w:rPr>
            </w:pPr>
            <w:r w:rsidRPr="00EF2547">
              <w:rPr>
                <w:i/>
                <w:iCs/>
                <w:lang w:val="en-GB"/>
              </w:rPr>
              <w:t>92</w:t>
            </w:r>
          </w:p>
        </w:tc>
      </w:tr>
      <w:tr w:rsidR="00EF2547" w:rsidRPr="00EF2547" w14:paraId="347B2230" w14:textId="77777777" w:rsidTr="009B581E">
        <w:trPr>
          <w:trHeight w:val="60"/>
        </w:trPr>
        <w:tc>
          <w:tcPr>
            <w:tcW w:w="1020" w:type="dxa"/>
            <w:vMerge/>
            <w:tcBorders>
              <w:bottom w:val="single" w:sz="6" w:space="0" w:color="1E4496" w:themeColor="text2"/>
            </w:tcBorders>
            <w:tcMar>
              <w:top w:w="85" w:type="dxa"/>
              <w:bottom w:w="85" w:type="dxa"/>
            </w:tcMar>
          </w:tcPr>
          <w:p w14:paraId="7744632A" w14:textId="77777777" w:rsidR="00EF2547" w:rsidRPr="00EF2547" w:rsidRDefault="00EF2547" w:rsidP="00F42F95">
            <w:pPr>
              <w:pStyle w:val="CDITable-RowLeft"/>
            </w:pPr>
          </w:p>
        </w:tc>
        <w:tc>
          <w:tcPr>
            <w:tcW w:w="3345"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59D3F51" w14:textId="77777777" w:rsidR="00EF2547" w:rsidRPr="00EF2547" w:rsidRDefault="00EF2547" w:rsidP="00F42F95">
            <w:pPr>
              <w:pStyle w:val="CDITable-RowLeft"/>
              <w:rPr>
                <w:lang w:val="en-GB"/>
              </w:rPr>
            </w:pPr>
            <w:r w:rsidRPr="00EF2547">
              <w:rPr>
                <w:lang w:val="en-GB"/>
              </w:rPr>
              <w:t>Aboriginal and/or Torres Strait Islander</w:t>
            </w:r>
          </w:p>
        </w:tc>
        <w:tc>
          <w:tcPr>
            <w:tcW w:w="992"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C92C00C" w14:textId="77777777" w:rsidR="00EF2547" w:rsidRPr="00EF2547" w:rsidRDefault="00EF2547" w:rsidP="00EF2547">
            <w:pPr>
              <w:pStyle w:val="CDITable-RowCentre"/>
              <w:rPr>
                <w:lang w:val="en-GB"/>
              </w:rPr>
            </w:pPr>
            <w:r w:rsidRPr="00EF2547">
              <w:rPr>
                <w:lang w:val="en-GB"/>
              </w:rPr>
              <w:t>6</w:t>
            </w:r>
          </w:p>
        </w:tc>
        <w:tc>
          <w:tcPr>
            <w:tcW w:w="96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4DE59FC" w14:textId="77777777" w:rsidR="00EF2547" w:rsidRPr="00EF2547" w:rsidRDefault="00EF2547" w:rsidP="00EF2547">
            <w:pPr>
              <w:pStyle w:val="CDITable-RowCentre"/>
              <w:rPr>
                <w:lang w:val="en-GB"/>
              </w:rPr>
            </w:pPr>
            <w:r w:rsidRPr="00EF2547">
              <w:rPr>
                <w:lang w:val="en-GB"/>
              </w:rPr>
              <w:t>52</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12EF947" w14:textId="77777777" w:rsidR="00EF2547" w:rsidRPr="00EF2547" w:rsidRDefault="00EF2547" w:rsidP="00EF2547">
            <w:pPr>
              <w:pStyle w:val="CDITable-RowCentre"/>
              <w:rPr>
                <w:lang w:val="en-GB"/>
              </w:rPr>
            </w:pPr>
            <w:r w:rsidRPr="00EF2547">
              <w:rPr>
                <w:lang w:val="en-GB"/>
              </w:rPr>
              <w:t>20</w:t>
            </w:r>
          </w:p>
        </w:tc>
        <w:tc>
          <w:tcPr>
            <w:tcW w:w="141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21E05BE" w14:textId="77777777" w:rsidR="00EF2547" w:rsidRPr="00EF2547" w:rsidRDefault="00EF2547" w:rsidP="00EF2547">
            <w:pPr>
              <w:pStyle w:val="CDITable-RowCentre"/>
              <w:rPr>
                <w:lang w:val="en-GB"/>
              </w:rPr>
            </w:pPr>
            <w:r w:rsidRPr="00EF2547">
              <w:rPr>
                <w:lang w:val="en-GB"/>
              </w:rPr>
              <w:t>1</w:t>
            </w:r>
          </w:p>
        </w:tc>
        <w:tc>
          <w:tcPr>
            <w:tcW w:w="90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4CF018C" w14:textId="77777777" w:rsidR="00EF2547" w:rsidRPr="00EF2547" w:rsidRDefault="00EF2547" w:rsidP="00EF2547">
            <w:pPr>
              <w:pStyle w:val="CDITable-RowCentre"/>
              <w:rPr>
                <w:lang w:val="en-GB"/>
              </w:rPr>
            </w:pPr>
            <w:r w:rsidRPr="00EF2547">
              <w:rPr>
                <w:lang w:val="en-GB"/>
              </w:rPr>
              <w:t>79</w:t>
            </w:r>
          </w:p>
        </w:tc>
      </w:tr>
      <w:tr w:rsidR="00EF2547" w:rsidRPr="00EF2547" w14:paraId="335DC3A9" w14:textId="77777777" w:rsidTr="009B581E">
        <w:trPr>
          <w:trHeight w:val="60"/>
        </w:trPr>
        <w:tc>
          <w:tcPr>
            <w:tcW w:w="1020" w:type="dxa"/>
            <w:vMerge/>
            <w:tcBorders>
              <w:bottom w:val="single" w:sz="6" w:space="0" w:color="1E4496" w:themeColor="text2"/>
            </w:tcBorders>
            <w:tcMar>
              <w:top w:w="85" w:type="dxa"/>
              <w:bottom w:w="85" w:type="dxa"/>
            </w:tcMar>
          </w:tcPr>
          <w:p w14:paraId="72DB6C78" w14:textId="77777777" w:rsidR="00EF2547" w:rsidRPr="00EF2547" w:rsidRDefault="00EF2547" w:rsidP="00F42F95">
            <w:pPr>
              <w:pStyle w:val="CDITable-RowLeft"/>
            </w:pPr>
          </w:p>
        </w:tc>
        <w:tc>
          <w:tcPr>
            <w:tcW w:w="3345"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6DD1A0C" w14:textId="77777777" w:rsidR="00EF2547" w:rsidRPr="00EF2547" w:rsidRDefault="00EF2547" w:rsidP="00F42F95">
            <w:pPr>
              <w:pStyle w:val="CDITable-RowLeft"/>
              <w:rPr>
                <w:lang w:val="en-GB"/>
              </w:rPr>
            </w:pPr>
            <w:r w:rsidRPr="00EF2547">
              <w:rPr>
                <w:lang w:val="en-GB"/>
              </w:rPr>
              <w:t>Other</w:t>
            </w:r>
          </w:p>
        </w:tc>
        <w:tc>
          <w:tcPr>
            <w:tcW w:w="992"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B3D3246" w14:textId="77777777" w:rsidR="00EF2547" w:rsidRPr="00EF2547" w:rsidRDefault="00EF2547" w:rsidP="00EF2547">
            <w:pPr>
              <w:pStyle w:val="CDITable-RowCentre"/>
              <w:rPr>
                <w:lang w:val="en-GB"/>
              </w:rPr>
            </w:pPr>
            <w:r w:rsidRPr="00EF2547">
              <w:rPr>
                <w:lang w:val="en-GB"/>
              </w:rPr>
              <w:t>1</w:t>
            </w:r>
          </w:p>
        </w:tc>
        <w:tc>
          <w:tcPr>
            <w:tcW w:w="96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5BE8133" w14:textId="77777777" w:rsidR="00EF2547" w:rsidRPr="00EF2547" w:rsidRDefault="00EF2547" w:rsidP="00EF2547">
            <w:pPr>
              <w:pStyle w:val="CDITable-RowCentre"/>
              <w:rPr>
                <w:lang w:val="en-GB"/>
              </w:rPr>
            </w:pPr>
            <w:r w:rsidRPr="00EF2547">
              <w:rPr>
                <w:lang w:val="en-GB"/>
              </w:rPr>
              <w:t>5</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86F25DD" w14:textId="77777777" w:rsidR="00EF2547" w:rsidRPr="00EF2547" w:rsidRDefault="00EF2547" w:rsidP="00EF2547">
            <w:pPr>
              <w:pStyle w:val="CDITable-RowCentre"/>
              <w:rPr>
                <w:lang w:val="en-GB"/>
              </w:rPr>
            </w:pPr>
            <w:r w:rsidRPr="00EF2547">
              <w:rPr>
                <w:lang w:val="en-GB"/>
              </w:rPr>
              <w:t>4</w:t>
            </w:r>
          </w:p>
        </w:tc>
        <w:tc>
          <w:tcPr>
            <w:tcW w:w="141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B0C9328" w14:textId="77777777" w:rsidR="00EF2547" w:rsidRPr="00EF2547" w:rsidRDefault="00EF2547" w:rsidP="00EF2547">
            <w:pPr>
              <w:pStyle w:val="CDITable-RowCentre"/>
              <w:rPr>
                <w:lang w:val="en-GB"/>
              </w:rPr>
            </w:pPr>
            <w:r w:rsidRPr="00EF2547">
              <w:rPr>
                <w:lang w:val="en-GB"/>
              </w:rPr>
              <w:t>—</w:t>
            </w:r>
          </w:p>
        </w:tc>
        <w:tc>
          <w:tcPr>
            <w:tcW w:w="90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C7659C0" w14:textId="77777777" w:rsidR="00EF2547" w:rsidRPr="00EF2547" w:rsidRDefault="00EF2547" w:rsidP="00EF2547">
            <w:pPr>
              <w:pStyle w:val="CDITable-RowCentre"/>
              <w:rPr>
                <w:lang w:val="en-GB"/>
              </w:rPr>
            </w:pPr>
            <w:r w:rsidRPr="00EF2547">
              <w:rPr>
                <w:lang w:val="en-GB"/>
              </w:rPr>
              <w:t>10</w:t>
            </w:r>
          </w:p>
        </w:tc>
      </w:tr>
      <w:tr w:rsidR="00EF2547" w:rsidRPr="00EF2547" w14:paraId="73ABF29B" w14:textId="77777777" w:rsidTr="009B581E">
        <w:trPr>
          <w:trHeight w:val="60"/>
        </w:trPr>
        <w:tc>
          <w:tcPr>
            <w:tcW w:w="1020" w:type="dxa"/>
            <w:vMerge/>
            <w:tcBorders>
              <w:bottom w:val="single" w:sz="6" w:space="0" w:color="1E4496" w:themeColor="text2"/>
            </w:tcBorders>
            <w:tcMar>
              <w:top w:w="85" w:type="dxa"/>
              <w:bottom w:w="85" w:type="dxa"/>
            </w:tcMar>
          </w:tcPr>
          <w:p w14:paraId="2F280AFA" w14:textId="77777777" w:rsidR="00EF2547" w:rsidRPr="00EF2547" w:rsidRDefault="00EF2547" w:rsidP="00F42F95">
            <w:pPr>
              <w:pStyle w:val="CDITable-RowLeft"/>
            </w:pPr>
          </w:p>
        </w:tc>
        <w:tc>
          <w:tcPr>
            <w:tcW w:w="3345"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E39F7D5" w14:textId="77777777" w:rsidR="00EF2547" w:rsidRPr="00EF2547" w:rsidRDefault="00EF2547" w:rsidP="00F42F95">
            <w:pPr>
              <w:pStyle w:val="CDITable-RowLeft"/>
              <w:rPr>
                <w:lang w:val="en-GB"/>
              </w:rPr>
            </w:pPr>
            <w:r w:rsidRPr="00EF2547">
              <w:rPr>
                <w:lang w:val="en-GB"/>
              </w:rPr>
              <w:t>Unknown</w:t>
            </w:r>
          </w:p>
        </w:tc>
        <w:tc>
          <w:tcPr>
            <w:tcW w:w="992"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0E56626" w14:textId="77777777" w:rsidR="00EF2547" w:rsidRPr="00EF2547" w:rsidRDefault="00EF2547" w:rsidP="00EF2547">
            <w:pPr>
              <w:pStyle w:val="CDITable-RowCentre"/>
              <w:rPr>
                <w:lang w:val="en-GB"/>
              </w:rPr>
            </w:pPr>
            <w:r w:rsidRPr="00EF2547">
              <w:rPr>
                <w:lang w:val="en-GB"/>
              </w:rPr>
              <w:t>—</w:t>
            </w:r>
          </w:p>
        </w:tc>
        <w:tc>
          <w:tcPr>
            <w:tcW w:w="96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B8C6305" w14:textId="77777777" w:rsidR="00EF2547" w:rsidRPr="00EF2547" w:rsidRDefault="00EF2547" w:rsidP="00EF2547">
            <w:pPr>
              <w:pStyle w:val="CDITable-RowCentre"/>
              <w:rPr>
                <w:lang w:val="en-GB"/>
              </w:rPr>
            </w:pPr>
            <w:r w:rsidRPr="00EF2547">
              <w:rPr>
                <w:lang w:val="en-GB"/>
              </w:rPr>
              <w:t>1</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3BF9EE4" w14:textId="77777777" w:rsidR="00EF2547" w:rsidRPr="00EF2547" w:rsidRDefault="00EF2547" w:rsidP="00EF2547">
            <w:pPr>
              <w:pStyle w:val="CDITable-RowCentre"/>
              <w:rPr>
                <w:lang w:val="en-GB"/>
              </w:rPr>
            </w:pPr>
            <w:r w:rsidRPr="00EF2547">
              <w:rPr>
                <w:lang w:val="en-GB"/>
              </w:rPr>
              <w:t>2</w:t>
            </w:r>
          </w:p>
        </w:tc>
        <w:tc>
          <w:tcPr>
            <w:tcW w:w="141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93F81BE" w14:textId="77777777" w:rsidR="00EF2547" w:rsidRPr="00EF2547" w:rsidRDefault="00EF2547" w:rsidP="00EF2547">
            <w:pPr>
              <w:pStyle w:val="CDITable-RowCentre"/>
              <w:rPr>
                <w:lang w:val="en-GB"/>
              </w:rPr>
            </w:pPr>
            <w:r w:rsidRPr="00EF2547">
              <w:rPr>
                <w:lang w:val="en-GB"/>
              </w:rPr>
              <w:t>—</w:t>
            </w:r>
          </w:p>
        </w:tc>
        <w:tc>
          <w:tcPr>
            <w:tcW w:w="90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4614BF7" w14:textId="77777777" w:rsidR="00EF2547" w:rsidRPr="00EF2547" w:rsidRDefault="00EF2547" w:rsidP="00EF2547">
            <w:pPr>
              <w:pStyle w:val="CDITable-RowCentre"/>
              <w:rPr>
                <w:lang w:val="en-GB"/>
              </w:rPr>
            </w:pPr>
            <w:r w:rsidRPr="00EF2547">
              <w:rPr>
                <w:lang w:val="en-GB"/>
              </w:rPr>
              <w:t>3</w:t>
            </w:r>
          </w:p>
        </w:tc>
      </w:tr>
      <w:tr w:rsidR="00EF2547" w:rsidRPr="00EF2547" w14:paraId="2D1B9DA4" w14:textId="77777777" w:rsidTr="009B581E">
        <w:trPr>
          <w:trHeight w:val="60"/>
        </w:trPr>
        <w:tc>
          <w:tcPr>
            <w:tcW w:w="1020" w:type="dxa"/>
            <w:vMerge w:val="restart"/>
            <w:tcBorders>
              <w:top w:val="single" w:sz="6" w:space="0" w:color="1E4496" w:themeColor="text2"/>
            </w:tcBorders>
            <w:tcMar>
              <w:top w:w="85" w:type="dxa"/>
              <w:left w:w="85" w:type="dxa"/>
              <w:bottom w:w="85" w:type="dxa"/>
              <w:right w:w="85" w:type="dxa"/>
            </w:tcMar>
            <w:vAlign w:val="center"/>
          </w:tcPr>
          <w:p w14:paraId="26872723" w14:textId="77777777" w:rsidR="00EF2547" w:rsidRPr="00EF2547" w:rsidRDefault="00EF2547" w:rsidP="00F42F95">
            <w:pPr>
              <w:pStyle w:val="CDITable-RowLeft"/>
              <w:rPr>
                <w:lang w:val="en-GB"/>
              </w:rPr>
            </w:pPr>
            <w:r w:rsidRPr="00EF2547">
              <w:rPr>
                <w:lang w:val="en-GB"/>
              </w:rPr>
              <w:t>Male</w:t>
            </w:r>
          </w:p>
        </w:tc>
        <w:tc>
          <w:tcPr>
            <w:tcW w:w="3345"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9F522E3" w14:textId="77777777" w:rsidR="00EF2547" w:rsidRPr="00EF2547" w:rsidRDefault="00EF2547" w:rsidP="00F42F95">
            <w:pPr>
              <w:pStyle w:val="CDITable-RowLeft"/>
              <w:rPr>
                <w:lang w:val="en-GB"/>
              </w:rPr>
            </w:pPr>
            <w:r w:rsidRPr="00EF2547">
              <w:rPr>
                <w:i/>
                <w:iCs/>
                <w:lang w:val="en-GB"/>
              </w:rPr>
              <w:t>Any</w:t>
            </w:r>
          </w:p>
        </w:tc>
        <w:tc>
          <w:tcPr>
            <w:tcW w:w="992"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C4828A5" w14:textId="77777777" w:rsidR="00EF2547" w:rsidRPr="00EF2547" w:rsidRDefault="00EF2547" w:rsidP="00EF2547">
            <w:pPr>
              <w:pStyle w:val="CDITable-RowCentre"/>
              <w:rPr>
                <w:lang w:val="en-GB"/>
              </w:rPr>
            </w:pPr>
            <w:r w:rsidRPr="00EF2547">
              <w:rPr>
                <w:i/>
                <w:iCs/>
                <w:lang w:val="en-GB"/>
              </w:rPr>
              <w:t>13 (14%)</w:t>
            </w:r>
          </w:p>
        </w:tc>
        <w:tc>
          <w:tcPr>
            <w:tcW w:w="96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74C150A" w14:textId="77777777" w:rsidR="00EF2547" w:rsidRPr="00EF2547" w:rsidRDefault="00EF2547" w:rsidP="00EF2547">
            <w:pPr>
              <w:pStyle w:val="CDITable-RowCentre"/>
              <w:rPr>
                <w:lang w:val="en-GB"/>
              </w:rPr>
            </w:pPr>
            <w:r w:rsidRPr="00EF2547">
              <w:rPr>
                <w:i/>
                <w:iCs/>
                <w:lang w:val="en-GB"/>
              </w:rPr>
              <w:t>56</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CCFE4F7" w14:textId="77777777" w:rsidR="00EF2547" w:rsidRPr="00EF2547" w:rsidRDefault="00EF2547" w:rsidP="00EF2547">
            <w:pPr>
              <w:pStyle w:val="CDITable-RowCentre"/>
              <w:rPr>
                <w:lang w:val="en-GB"/>
              </w:rPr>
            </w:pPr>
            <w:r w:rsidRPr="00EF2547">
              <w:rPr>
                <w:i/>
                <w:iCs/>
                <w:lang w:val="en-GB"/>
              </w:rPr>
              <w:t>27</w:t>
            </w:r>
          </w:p>
        </w:tc>
        <w:tc>
          <w:tcPr>
            <w:tcW w:w="141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E8FCABF" w14:textId="77777777" w:rsidR="00EF2547" w:rsidRPr="00EF2547" w:rsidRDefault="00EF2547" w:rsidP="00EF2547">
            <w:pPr>
              <w:pStyle w:val="CDITable-RowCentre"/>
              <w:rPr>
                <w:lang w:val="en-GB"/>
              </w:rPr>
            </w:pPr>
            <w:r w:rsidRPr="00EF2547">
              <w:rPr>
                <w:i/>
                <w:iCs/>
                <w:lang w:val="en-GB"/>
              </w:rPr>
              <w:t>—</w:t>
            </w:r>
          </w:p>
        </w:tc>
        <w:tc>
          <w:tcPr>
            <w:tcW w:w="90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D61D454" w14:textId="77777777" w:rsidR="00EF2547" w:rsidRPr="00EF2547" w:rsidRDefault="00EF2547" w:rsidP="00EF2547">
            <w:pPr>
              <w:pStyle w:val="CDITable-RowCentre"/>
              <w:rPr>
                <w:lang w:val="en-GB"/>
              </w:rPr>
            </w:pPr>
            <w:r w:rsidRPr="00EF2547">
              <w:rPr>
                <w:i/>
                <w:iCs/>
                <w:lang w:val="en-GB"/>
              </w:rPr>
              <w:t>96</w:t>
            </w:r>
          </w:p>
        </w:tc>
      </w:tr>
      <w:tr w:rsidR="00EF2547" w:rsidRPr="00EF2547" w14:paraId="7BD18578" w14:textId="77777777" w:rsidTr="009B581E">
        <w:trPr>
          <w:trHeight w:val="60"/>
        </w:trPr>
        <w:tc>
          <w:tcPr>
            <w:tcW w:w="1020" w:type="dxa"/>
            <w:vMerge/>
            <w:tcMar>
              <w:top w:w="85" w:type="dxa"/>
              <w:bottom w:w="85" w:type="dxa"/>
            </w:tcMar>
          </w:tcPr>
          <w:p w14:paraId="177B71A0" w14:textId="77777777" w:rsidR="00EF2547" w:rsidRPr="00EF2547" w:rsidRDefault="00EF2547" w:rsidP="00F42F95">
            <w:pPr>
              <w:pStyle w:val="CDITable-RowLeft"/>
            </w:pPr>
          </w:p>
        </w:tc>
        <w:tc>
          <w:tcPr>
            <w:tcW w:w="3345"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5C2C0D1" w14:textId="77777777" w:rsidR="00EF2547" w:rsidRPr="00EF2547" w:rsidRDefault="00EF2547" w:rsidP="00F42F95">
            <w:pPr>
              <w:pStyle w:val="CDITable-RowLeft"/>
              <w:rPr>
                <w:lang w:val="en-GB"/>
              </w:rPr>
            </w:pPr>
            <w:r w:rsidRPr="00EF2547">
              <w:rPr>
                <w:lang w:val="en-GB"/>
              </w:rPr>
              <w:t>Aboriginal and/or Torres Strait Islander</w:t>
            </w:r>
          </w:p>
        </w:tc>
        <w:tc>
          <w:tcPr>
            <w:tcW w:w="992"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B6C0CE2" w14:textId="77777777" w:rsidR="00EF2547" w:rsidRPr="00EF2547" w:rsidRDefault="00EF2547" w:rsidP="00EF2547">
            <w:pPr>
              <w:pStyle w:val="CDITable-RowCentre"/>
              <w:rPr>
                <w:lang w:val="en-GB"/>
              </w:rPr>
            </w:pPr>
            <w:r w:rsidRPr="00EF2547">
              <w:rPr>
                <w:lang w:val="en-GB"/>
              </w:rPr>
              <w:t>7</w:t>
            </w:r>
          </w:p>
        </w:tc>
        <w:tc>
          <w:tcPr>
            <w:tcW w:w="96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B3716CB" w14:textId="77777777" w:rsidR="00EF2547" w:rsidRPr="00EF2547" w:rsidRDefault="00EF2547" w:rsidP="00EF2547">
            <w:pPr>
              <w:pStyle w:val="CDITable-RowCentre"/>
              <w:rPr>
                <w:lang w:val="en-GB"/>
              </w:rPr>
            </w:pPr>
            <w:r w:rsidRPr="00EF2547">
              <w:rPr>
                <w:lang w:val="en-GB"/>
              </w:rPr>
              <w:t>47</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B72114F" w14:textId="77777777" w:rsidR="00EF2547" w:rsidRPr="00EF2547" w:rsidRDefault="00EF2547" w:rsidP="00EF2547">
            <w:pPr>
              <w:pStyle w:val="CDITable-RowCentre"/>
              <w:rPr>
                <w:lang w:val="en-GB"/>
              </w:rPr>
            </w:pPr>
            <w:r w:rsidRPr="00EF2547">
              <w:rPr>
                <w:lang w:val="en-GB"/>
              </w:rPr>
              <w:t>21</w:t>
            </w:r>
          </w:p>
        </w:tc>
        <w:tc>
          <w:tcPr>
            <w:tcW w:w="141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20ED9F1" w14:textId="77777777" w:rsidR="00EF2547" w:rsidRPr="00EF2547" w:rsidRDefault="00EF2547" w:rsidP="00EF2547">
            <w:pPr>
              <w:pStyle w:val="CDITable-RowCentre"/>
              <w:rPr>
                <w:lang w:val="en-GB"/>
              </w:rPr>
            </w:pPr>
            <w:r w:rsidRPr="00EF2547">
              <w:rPr>
                <w:lang w:val="en-GB"/>
              </w:rPr>
              <w:t>—</w:t>
            </w:r>
          </w:p>
        </w:tc>
        <w:tc>
          <w:tcPr>
            <w:tcW w:w="90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ECBCF03" w14:textId="77777777" w:rsidR="00EF2547" w:rsidRPr="00EF2547" w:rsidRDefault="00EF2547" w:rsidP="00EF2547">
            <w:pPr>
              <w:pStyle w:val="CDITable-RowCentre"/>
              <w:rPr>
                <w:lang w:val="en-GB"/>
              </w:rPr>
            </w:pPr>
            <w:r w:rsidRPr="00EF2547">
              <w:rPr>
                <w:lang w:val="en-GB"/>
              </w:rPr>
              <w:t>75</w:t>
            </w:r>
          </w:p>
        </w:tc>
      </w:tr>
      <w:tr w:rsidR="00EF2547" w:rsidRPr="00EF2547" w14:paraId="6AA1C658" w14:textId="77777777" w:rsidTr="009B581E">
        <w:trPr>
          <w:trHeight w:val="60"/>
        </w:trPr>
        <w:tc>
          <w:tcPr>
            <w:tcW w:w="1020" w:type="dxa"/>
            <w:vMerge/>
            <w:tcMar>
              <w:top w:w="85" w:type="dxa"/>
              <w:bottom w:w="85" w:type="dxa"/>
            </w:tcMar>
          </w:tcPr>
          <w:p w14:paraId="2FFA5590" w14:textId="77777777" w:rsidR="00EF2547" w:rsidRPr="00EF2547" w:rsidRDefault="00EF2547" w:rsidP="00F42F95">
            <w:pPr>
              <w:pStyle w:val="CDITable-RowLeft"/>
            </w:pPr>
          </w:p>
        </w:tc>
        <w:tc>
          <w:tcPr>
            <w:tcW w:w="3345"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1B150A7" w14:textId="77777777" w:rsidR="00EF2547" w:rsidRPr="00EF2547" w:rsidRDefault="00EF2547" w:rsidP="00F42F95">
            <w:pPr>
              <w:pStyle w:val="CDITable-RowLeft"/>
              <w:rPr>
                <w:lang w:val="en-GB"/>
              </w:rPr>
            </w:pPr>
            <w:r w:rsidRPr="00EF2547">
              <w:rPr>
                <w:lang w:val="en-GB"/>
              </w:rPr>
              <w:t>Other</w:t>
            </w:r>
          </w:p>
        </w:tc>
        <w:tc>
          <w:tcPr>
            <w:tcW w:w="992"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A6FDA40" w14:textId="77777777" w:rsidR="00EF2547" w:rsidRPr="00EF2547" w:rsidRDefault="00EF2547" w:rsidP="00EF2547">
            <w:pPr>
              <w:pStyle w:val="CDITable-RowCentre"/>
              <w:rPr>
                <w:lang w:val="en-GB"/>
              </w:rPr>
            </w:pPr>
            <w:r w:rsidRPr="00EF2547">
              <w:rPr>
                <w:lang w:val="en-GB"/>
              </w:rPr>
              <w:t>6</w:t>
            </w:r>
          </w:p>
        </w:tc>
        <w:tc>
          <w:tcPr>
            <w:tcW w:w="964"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014C34F" w14:textId="77777777" w:rsidR="00EF2547" w:rsidRPr="00EF2547" w:rsidRDefault="00EF2547" w:rsidP="00EF2547">
            <w:pPr>
              <w:pStyle w:val="CDITable-RowCentre"/>
              <w:rPr>
                <w:lang w:val="en-GB"/>
              </w:rPr>
            </w:pPr>
            <w:r w:rsidRPr="00EF2547">
              <w:rPr>
                <w:lang w:val="en-GB"/>
              </w:rPr>
              <w:t>7</w:t>
            </w:r>
          </w:p>
        </w:tc>
        <w:tc>
          <w:tcPr>
            <w:tcW w:w="102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795837E" w14:textId="77777777" w:rsidR="00EF2547" w:rsidRPr="00EF2547" w:rsidRDefault="00EF2547" w:rsidP="00EF2547">
            <w:pPr>
              <w:pStyle w:val="CDITable-RowCentre"/>
              <w:rPr>
                <w:lang w:val="en-GB"/>
              </w:rPr>
            </w:pPr>
            <w:r w:rsidRPr="00EF2547">
              <w:rPr>
                <w:lang w:val="en-GB"/>
              </w:rPr>
              <w:t>3</w:t>
            </w:r>
          </w:p>
        </w:tc>
        <w:tc>
          <w:tcPr>
            <w:tcW w:w="141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DE251CA" w14:textId="77777777" w:rsidR="00EF2547" w:rsidRPr="00EF2547" w:rsidRDefault="00EF2547" w:rsidP="00EF2547">
            <w:pPr>
              <w:pStyle w:val="CDITable-RowCentre"/>
              <w:rPr>
                <w:lang w:val="en-GB"/>
              </w:rPr>
            </w:pPr>
            <w:r w:rsidRPr="00EF2547">
              <w:rPr>
                <w:lang w:val="en-GB"/>
              </w:rPr>
              <w:t>—</w:t>
            </w:r>
          </w:p>
        </w:tc>
        <w:tc>
          <w:tcPr>
            <w:tcW w:w="907"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E688421" w14:textId="77777777" w:rsidR="00EF2547" w:rsidRPr="00EF2547" w:rsidRDefault="00EF2547" w:rsidP="00EF2547">
            <w:pPr>
              <w:pStyle w:val="CDITable-RowCentre"/>
              <w:rPr>
                <w:lang w:val="en-GB"/>
              </w:rPr>
            </w:pPr>
            <w:r w:rsidRPr="00EF2547">
              <w:rPr>
                <w:lang w:val="en-GB"/>
              </w:rPr>
              <w:t>16</w:t>
            </w:r>
          </w:p>
        </w:tc>
      </w:tr>
      <w:tr w:rsidR="00EF2547" w:rsidRPr="00EF2547" w14:paraId="227E01A5" w14:textId="77777777" w:rsidTr="009B581E">
        <w:trPr>
          <w:trHeight w:val="60"/>
        </w:trPr>
        <w:tc>
          <w:tcPr>
            <w:tcW w:w="1020" w:type="dxa"/>
            <w:vMerge/>
            <w:tcMar>
              <w:top w:w="85" w:type="dxa"/>
              <w:bottom w:w="85" w:type="dxa"/>
            </w:tcMar>
          </w:tcPr>
          <w:p w14:paraId="5B430E6F" w14:textId="77777777" w:rsidR="00EF2547" w:rsidRPr="00EF2547" w:rsidRDefault="00EF2547" w:rsidP="00F42F95">
            <w:pPr>
              <w:pStyle w:val="CDITable-RowLeft"/>
            </w:pPr>
          </w:p>
        </w:tc>
        <w:tc>
          <w:tcPr>
            <w:tcW w:w="3345" w:type="dxa"/>
            <w:tcBorders>
              <w:top w:val="single" w:sz="6" w:space="0" w:color="1E4496" w:themeColor="text2"/>
            </w:tcBorders>
            <w:tcMar>
              <w:top w:w="85" w:type="dxa"/>
              <w:left w:w="85" w:type="dxa"/>
              <w:bottom w:w="85" w:type="dxa"/>
              <w:right w:w="85" w:type="dxa"/>
            </w:tcMar>
            <w:vAlign w:val="center"/>
          </w:tcPr>
          <w:p w14:paraId="368DAAD1" w14:textId="77777777" w:rsidR="00EF2547" w:rsidRPr="00EF2547" w:rsidRDefault="00EF2547" w:rsidP="00F42F95">
            <w:pPr>
              <w:pStyle w:val="CDITable-RowLeft"/>
              <w:rPr>
                <w:lang w:val="en-GB"/>
              </w:rPr>
            </w:pPr>
            <w:r w:rsidRPr="00EF2547">
              <w:rPr>
                <w:lang w:val="en-GB"/>
              </w:rPr>
              <w:t>Unknown</w:t>
            </w:r>
          </w:p>
        </w:tc>
        <w:tc>
          <w:tcPr>
            <w:tcW w:w="992" w:type="dxa"/>
            <w:tcBorders>
              <w:top w:val="single" w:sz="6" w:space="0" w:color="1E4496" w:themeColor="text2"/>
            </w:tcBorders>
            <w:tcMar>
              <w:top w:w="85" w:type="dxa"/>
              <w:left w:w="85" w:type="dxa"/>
              <w:bottom w:w="85" w:type="dxa"/>
              <w:right w:w="85" w:type="dxa"/>
            </w:tcMar>
            <w:vAlign w:val="center"/>
          </w:tcPr>
          <w:p w14:paraId="73DEDC61" w14:textId="77777777" w:rsidR="00EF2547" w:rsidRPr="00EF2547" w:rsidRDefault="00EF2547" w:rsidP="00EF2547">
            <w:pPr>
              <w:pStyle w:val="CDITable-RowCentre"/>
              <w:rPr>
                <w:lang w:val="en-GB"/>
              </w:rPr>
            </w:pPr>
            <w:r w:rsidRPr="00EF2547">
              <w:rPr>
                <w:lang w:val="en-GB"/>
              </w:rPr>
              <w:t>—</w:t>
            </w:r>
          </w:p>
        </w:tc>
        <w:tc>
          <w:tcPr>
            <w:tcW w:w="964" w:type="dxa"/>
            <w:tcBorders>
              <w:top w:val="single" w:sz="6" w:space="0" w:color="1E4496" w:themeColor="text2"/>
            </w:tcBorders>
            <w:tcMar>
              <w:top w:w="85" w:type="dxa"/>
              <w:left w:w="85" w:type="dxa"/>
              <w:bottom w:w="85" w:type="dxa"/>
              <w:right w:w="85" w:type="dxa"/>
            </w:tcMar>
            <w:vAlign w:val="center"/>
          </w:tcPr>
          <w:p w14:paraId="47B967E1" w14:textId="77777777" w:rsidR="00EF2547" w:rsidRPr="00EF2547" w:rsidRDefault="00EF2547" w:rsidP="00EF2547">
            <w:pPr>
              <w:pStyle w:val="CDITable-RowCentre"/>
              <w:rPr>
                <w:lang w:val="en-GB"/>
              </w:rPr>
            </w:pPr>
            <w:r w:rsidRPr="00EF2547">
              <w:rPr>
                <w:lang w:val="en-GB"/>
              </w:rPr>
              <w:t>2</w:t>
            </w:r>
          </w:p>
        </w:tc>
        <w:tc>
          <w:tcPr>
            <w:tcW w:w="1021" w:type="dxa"/>
            <w:tcBorders>
              <w:top w:val="single" w:sz="6" w:space="0" w:color="1E4496" w:themeColor="text2"/>
            </w:tcBorders>
            <w:tcMar>
              <w:top w:w="85" w:type="dxa"/>
              <w:left w:w="85" w:type="dxa"/>
              <w:bottom w:w="85" w:type="dxa"/>
              <w:right w:w="85" w:type="dxa"/>
            </w:tcMar>
            <w:vAlign w:val="center"/>
          </w:tcPr>
          <w:p w14:paraId="2ED2F948" w14:textId="77777777" w:rsidR="00EF2547" w:rsidRPr="00EF2547" w:rsidRDefault="00EF2547" w:rsidP="00EF2547">
            <w:pPr>
              <w:pStyle w:val="CDITable-RowCentre"/>
              <w:rPr>
                <w:lang w:val="en-GB"/>
              </w:rPr>
            </w:pPr>
            <w:r w:rsidRPr="00EF2547">
              <w:rPr>
                <w:lang w:val="en-GB"/>
              </w:rPr>
              <w:t>3</w:t>
            </w:r>
          </w:p>
        </w:tc>
        <w:tc>
          <w:tcPr>
            <w:tcW w:w="1417" w:type="dxa"/>
            <w:tcBorders>
              <w:top w:val="single" w:sz="6" w:space="0" w:color="1E4496" w:themeColor="text2"/>
            </w:tcBorders>
            <w:tcMar>
              <w:top w:w="85" w:type="dxa"/>
              <w:left w:w="85" w:type="dxa"/>
              <w:bottom w:w="85" w:type="dxa"/>
              <w:right w:w="85" w:type="dxa"/>
            </w:tcMar>
            <w:vAlign w:val="center"/>
          </w:tcPr>
          <w:p w14:paraId="6EB21120" w14:textId="77777777" w:rsidR="00EF2547" w:rsidRPr="00EF2547" w:rsidRDefault="00EF2547" w:rsidP="00EF2547">
            <w:pPr>
              <w:pStyle w:val="CDITable-RowCentre"/>
              <w:rPr>
                <w:lang w:val="en-GB"/>
              </w:rPr>
            </w:pPr>
            <w:r w:rsidRPr="00EF2547">
              <w:rPr>
                <w:lang w:val="en-GB"/>
              </w:rPr>
              <w:t>—</w:t>
            </w:r>
          </w:p>
        </w:tc>
        <w:tc>
          <w:tcPr>
            <w:tcW w:w="907" w:type="dxa"/>
            <w:tcBorders>
              <w:top w:val="single" w:sz="6" w:space="0" w:color="1E4496" w:themeColor="text2"/>
            </w:tcBorders>
            <w:tcMar>
              <w:top w:w="85" w:type="dxa"/>
              <w:left w:w="85" w:type="dxa"/>
              <w:bottom w:w="85" w:type="dxa"/>
              <w:right w:w="85" w:type="dxa"/>
            </w:tcMar>
            <w:vAlign w:val="center"/>
          </w:tcPr>
          <w:p w14:paraId="4047EDE3" w14:textId="77777777" w:rsidR="00EF2547" w:rsidRPr="00EF2547" w:rsidRDefault="00EF2547" w:rsidP="00EF2547">
            <w:pPr>
              <w:pStyle w:val="CDITable-RowCentre"/>
              <w:rPr>
                <w:lang w:val="en-GB"/>
              </w:rPr>
            </w:pPr>
            <w:r w:rsidRPr="00EF2547">
              <w:rPr>
                <w:lang w:val="en-GB"/>
              </w:rPr>
              <w:t>5</w:t>
            </w:r>
          </w:p>
        </w:tc>
      </w:tr>
      <w:tr w:rsidR="00EF2547" w:rsidRPr="00EF2547" w14:paraId="761EFC94" w14:textId="77777777" w:rsidTr="009B581E">
        <w:trPr>
          <w:trHeight w:val="60"/>
        </w:trPr>
        <w:tc>
          <w:tcPr>
            <w:tcW w:w="1020"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5711EB29" w14:textId="77777777" w:rsidR="00EF2547" w:rsidRPr="00EF2547" w:rsidRDefault="00EF2547" w:rsidP="00F42F95">
            <w:pPr>
              <w:pStyle w:val="CDITable-TotalRowLeft"/>
              <w:rPr>
                <w:lang w:val="en-GB"/>
              </w:rPr>
            </w:pPr>
            <w:r w:rsidRPr="00EF2547">
              <w:rPr>
                <w:lang w:val="en-GB"/>
              </w:rPr>
              <w:t>Total</w:t>
            </w:r>
          </w:p>
        </w:tc>
        <w:tc>
          <w:tcPr>
            <w:tcW w:w="3345"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65776407" w14:textId="77777777" w:rsidR="00EF2547" w:rsidRPr="00EF2547" w:rsidRDefault="00EF2547" w:rsidP="00F42F95">
            <w:pPr>
              <w:pStyle w:val="CDITable-TotalRowLeft"/>
              <w:rPr>
                <w:lang w:val="en-GB"/>
              </w:rPr>
            </w:pPr>
            <w:r w:rsidRPr="00EF2547">
              <w:rPr>
                <w:lang w:val="en-GB"/>
              </w:rPr>
              <w:t>—</w:t>
            </w:r>
          </w:p>
        </w:tc>
        <w:tc>
          <w:tcPr>
            <w:tcW w:w="992"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30453C1B" w14:textId="77777777" w:rsidR="00EF2547" w:rsidRPr="00EF2547" w:rsidRDefault="00EF2547" w:rsidP="00F42F95">
            <w:pPr>
              <w:pStyle w:val="CDITable-TotalRowCentre"/>
              <w:rPr>
                <w:lang w:val="en-GB"/>
              </w:rPr>
            </w:pPr>
            <w:r w:rsidRPr="00EF2547">
              <w:rPr>
                <w:lang w:val="en-GB"/>
              </w:rPr>
              <w:t>20 (11%)</w:t>
            </w:r>
          </w:p>
        </w:tc>
        <w:tc>
          <w:tcPr>
            <w:tcW w:w="964"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6B1FB04C" w14:textId="77777777" w:rsidR="00EF2547" w:rsidRPr="00EF2547" w:rsidRDefault="00EF2547" w:rsidP="00F42F95">
            <w:pPr>
              <w:pStyle w:val="CDITable-TotalRowCentre"/>
              <w:rPr>
                <w:lang w:val="en-GB"/>
              </w:rPr>
            </w:pPr>
            <w:r w:rsidRPr="00EF2547">
              <w:rPr>
                <w:lang w:val="en-GB"/>
              </w:rPr>
              <w:t>114</w:t>
            </w:r>
          </w:p>
        </w:tc>
        <w:tc>
          <w:tcPr>
            <w:tcW w:w="1021"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39BB414E" w14:textId="77777777" w:rsidR="00EF2547" w:rsidRPr="00EF2547" w:rsidRDefault="00EF2547" w:rsidP="00F42F95">
            <w:pPr>
              <w:pStyle w:val="CDITable-TotalRowCentre"/>
              <w:rPr>
                <w:lang w:val="en-GB"/>
              </w:rPr>
            </w:pPr>
            <w:r w:rsidRPr="00EF2547">
              <w:rPr>
                <w:lang w:val="en-GB"/>
              </w:rPr>
              <w:t>53</w:t>
            </w:r>
          </w:p>
        </w:tc>
        <w:tc>
          <w:tcPr>
            <w:tcW w:w="1417"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5FC5242D" w14:textId="77777777" w:rsidR="00EF2547" w:rsidRPr="00EF2547" w:rsidRDefault="00EF2547" w:rsidP="00F42F95">
            <w:pPr>
              <w:pStyle w:val="CDITable-TotalRowCentre"/>
              <w:rPr>
                <w:lang w:val="en-GB"/>
              </w:rPr>
            </w:pPr>
            <w:r w:rsidRPr="00EF2547">
              <w:rPr>
                <w:lang w:val="en-GB"/>
              </w:rPr>
              <w:t>1</w:t>
            </w:r>
          </w:p>
        </w:tc>
        <w:tc>
          <w:tcPr>
            <w:tcW w:w="907"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2909C032" w14:textId="77777777" w:rsidR="00EF2547" w:rsidRPr="00EF2547" w:rsidRDefault="00EF2547" w:rsidP="00F42F95">
            <w:pPr>
              <w:pStyle w:val="CDITable-TotalRowCentre"/>
              <w:rPr>
                <w:lang w:val="en-GB"/>
              </w:rPr>
            </w:pPr>
            <w:r w:rsidRPr="00EF2547">
              <w:rPr>
                <w:lang w:val="en-GB"/>
              </w:rPr>
              <w:t>188</w:t>
            </w:r>
          </w:p>
        </w:tc>
      </w:tr>
    </w:tbl>
    <w:p w14:paraId="2ABB6AA0" w14:textId="77777777" w:rsidR="00EF2547" w:rsidRPr="00EF2547" w:rsidRDefault="00EF2547" w:rsidP="00EF2547">
      <w:pPr>
        <w:pStyle w:val="Normal-morespacebefore"/>
        <w:rPr>
          <w:lang w:val="en-GB"/>
        </w:rPr>
      </w:pPr>
      <w:r w:rsidRPr="00EF2547">
        <w:rPr>
          <w:lang w:val="en-GB"/>
        </w:rPr>
        <w:t xml:space="preserve">Off the 96 males notified, 47 (49%) were reported to have presented with symptoms of either dysuria or discharge, while 22% of females notified (20/92) were reported to have been symptomatic. This difference in symptoms at presentation was statistically significant (Fisher’s Exact Test: </w:t>
      </w:r>
      <w:r w:rsidRPr="00EF2547">
        <w:rPr>
          <w:i/>
          <w:iCs/>
          <w:lang w:val="en-GB"/>
        </w:rPr>
        <w:t>p</w:t>
      </w:r>
      <w:r w:rsidRPr="00EF2547">
        <w:rPr>
          <w:lang w:val="en-GB"/>
        </w:rPr>
        <w:t xml:space="preserve"> = 0.0012).</w:t>
      </w:r>
    </w:p>
    <w:p w14:paraId="72F655F6" w14:textId="77777777" w:rsidR="00EF2547" w:rsidRPr="00EF2547" w:rsidRDefault="00EF2547" w:rsidP="00EF2547">
      <w:pPr>
        <w:rPr>
          <w:lang w:val="en-GB"/>
        </w:rPr>
      </w:pPr>
      <w:r w:rsidRPr="00EF2547">
        <w:rPr>
          <w:lang w:val="en-GB"/>
        </w:rPr>
        <w:t xml:space="preserve">Time to treatment of </w:t>
      </w:r>
      <w:r w:rsidRPr="00EF2547">
        <w:rPr>
          <w:i/>
          <w:iCs/>
          <w:lang w:val="en-GB"/>
        </w:rPr>
        <w:t>N. gonorrhoeae</w:t>
      </w:r>
      <w:r w:rsidRPr="00EF2547">
        <w:rPr>
          <w:lang w:val="en-GB"/>
        </w:rPr>
        <w:t xml:space="preserve"> in days was 9.7 days in Aboriginal people (6.4 days in Aboriginal males versus 12.7 days in Aboriginal females), as compared to 2.9 days in non-Aboriginal persons. The proportion receiving effective (guideline-compliant) treatment did not differ between Aboriginal and non-Aboriginal people (</w:t>
      </w:r>
      <w:r w:rsidRPr="00EF2547">
        <w:rPr>
          <w:i/>
          <w:iCs/>
          <w:lang w:val="en-GB"/>
        </w:rPr>
        <w:t>p</w:t>
      </w:r>
      <w:r w:rsidRPr="00EF2547">
        <w:rPr>
          <w:lang w:val="en-GB"/>
        </w:rPr>
        <w:t xml:space="preserve"> = 1.00; comparison of effective vs non-effective treatment among Aboriginal vs non-Aboriginal groups). </w:t>
      </w:r>
    </w:p>
    <w:p w14:paraId="4C7BB10F" w14:textId="04B78A8A" w:rsidR="00AC46DC" w:rsidRPr="00BE73E6" w:rsidRDefault="00EF2547" w:rsidP="00AC46DC">
      <w:pPr>
        <w:rPr>
          <w:lang w:val="en-GB"/>
        </w:rPr>
      </w:pPr>
      <w:r w:rsidRPr="00EF2547">
        <w:rPr>
          <w:lang w:val="en-GB"/>
        </w:rPr>
        <w:t xml:space="preserve">Among 27 notifications reported by the WA Country Health Service, 33% (9/27) were followed up with </w:t>
      </w:r>
      <w:proofErr w:type="gramStart"/>
      <w:r w:rsidRPr="00EF2547">
        <w:rPr>
          <w:lang w:val="en-GB"/>
        </w:rPr>
        <w:t>re testing</w:t>
      </w:r>
      <w:proofErr w:type="gramEnd"/>
      <w:r w:rsidRPr="00EF2547">
        <w:rPr>
          <w:lang w:val="en-GB"/>
        </w:rPr>
        <w:t xml:space="preserve"> at either 1–2 weeks or 3 months; follow up could not be ascertained for notifications from other providers due to unavailable clinical notes.</w:t>
      </w:r>
    </w:p>
    <w:p w14:paraId="4044708E" w14:textId="77777777" w:rsidR="006E0B0E" w:rsidRDefault="008017B6" w:rsidP="008017B6">
      <w:pPr>
        <w:pStyle w:val="Heading1"/>
      </w:pPr>
      <w:bookmarkStart w:id="23" w:name="_Toc234421157"/>
      <w:bookmarkStart w:id="24" w:name="_Toc195519590"/>
      <w:bookmarkStart w:id="25" w:name="_Toc195522359"/>
      <w:r>
        <w:t>Discussion</w:t>
      </w:r>
      <w:bookmarkEnd w:id="23"/>
    </w:p>
    <w:p w14:paraId="562C9B8C" w14:textId="77777777" w:rsidR="005075F0" w:rsidRPr="005075F0" w:rsidRDefault="005075F0" w:rsidP="005075F0">
      <w:pPr>
        <w:pStyle w:val="Normal-Opening"/>
        <w:rPr>
          <w:lang w:val="en-GB"/>
        </w:rPr>
      </w:pPr>
      <w:r w:rsidRPr="005075F0">
        <w:rPr>
          <w:lang w:val="en-GB"/>
        </w:rPr>
        <w:t>Due to historically low gonococcal antimicrobial resistance rates, the Pilbara region of Western Australia was one of the last regions in Australia to have penicillin-based oral treatment guidelines for symptomatic gonorrhoea: amoxicillin, probenecid and azithromycin.</w:t>
      </w:r>
      <w:r w:rsidRPr="005075F0">
        <w:rPr>
          <w:vertAlign w:val="superscript"/>
          <w:lang w:val="en-GB"/>
        </w:rPr>
        <w:t>17</w:t>
      </w:r>
      <w:r w:rsidRPr="005075F0">
        <w:rPr>
          <w:lang w:val="en-GB"/>
        </w:rPr>
        <w:t xml:space="preserve"> However, the 2023 Western Australian Gonococcal Surveillance Program (WAGSP) Neisseria gonorrhoeae Antimicrobial Susceptibility Report reported penicillin resistance in 9% of isolates that underwent PCR assay to detect penicillinase-producing </w:t>
      </w:r>
      <w:r w:rsidRPr="005075F0">
        <w:rPr>
          <w:i/>
          <w:iCs/>
          <w:lang w:val="en-GB"/>
        </w:rPr>
        <w:t>Neisseria gonorrhoeae</w:t>
      </w:r>
      <w:r w:rsidRPr="005075F0">
        <w:rPr>
          <w:lang w:val="en-GB"/>
        </w:rPr>
        <w:t xml:space="preserve"> (PPNG); 35% of cultured Pilbara specimens (n = 7/20) were reported as either PPNG or demonstrating chromosomally mediated resistance to penicillin.</w:t>
      </w:r>
      <w:r w:rsidRPr="005075F0">
        <w:rPr>
          <w:vertAlign w:val="superscript"/>
          <w:lang w:val="en-GB"/>
        </w:rPr>
        <w:t>17</w:t>
      </w:r>
      <w:r w:rsidRPr="005075F0">
        <w:rPr>
          <w:lang w:val="en-GB"/>
        </w:rPr>
        <w:t xml:space="preserve"> The World Health Organization recommends that a first line empirical therapy should effect cure in at least 95% of gonorrhoea cases; therefore, with the detections of penicillin resistance, the Pilbara no longer meets this requirement for treatment of gonorrhoea with penicillin-based antibiotic regimes such as ZAP packs.</w:t>
      </w:r>
      <w:r w:rsidRPr="005075F0">
        <w:rPr>
          <w:vertAlign w:val="superscript"/>
          <w:lang w:val="en-GB"/>
        </w:rPr>
        <w:t>18</w:t>
      </w:r>
      <w:r w:rsidRPr="005075F0">
        <w:rPr>
          <w:lang w:val="en-GB"/>
        </w:rPr>
        <w:t xml:space="preserve"> </w:t>
      </w:r>
    </w:p>
    <w:p w14:paraId="085823A1" w14:textId="77777777" w:rsidR="005075F0" w:rsidRPr="005075F0" w:rsidRDefault="005075F0" w:rsidP="005075F0">
      <w:pPr>
        <w:rPr>
          <w:lang w:val="en-GB"/>
        </w:rPr>
      </w:pPr>
      <w:r w:rsidRPr="005075F0">
        <w:rPr>
          <w:lang w:val="en-GB"/>
        </w:rPr>
        <w:t>The majority of Pilbara gonorrhoea notification treatments received (81%) were consistent with the current [pre-October 2024] WA treatment guidelines in the Silver Book and WA Structured Administration and Supply Arrangements.</w:t>
      </w:r>
      <w:r w:rsidRPr="005075F0">
        <w:rPr>
          <w:vertAlign w:val="superscript"/>
          <w:lang w:val="en-GB"/>
        </w:rPr>
        <w:t>4,19</w:t>
      </w:r>
      <w:r w:rsidRPr="005075F0">
        <w:rPr>
          <w:lang w:val="en-GB"/>
        </w:rPr>
        <w:t xml:space="preserve"> Given the PPNG detections within the Pilbara (and unmeasured chromosomal penicillin resistance), approximately 31% of notifications treated with a ZAP pack were theoretically at risk of ineffective treatment, rather than confirmed failures on an individual basis. Half of the gonorrhoea notifications reviewed in this audit indicated that a LAC pack (ceftriaxone 500 mg in 2 mL 1% lignocaine intramuscularly and azithromycin 1 g oral, given together as a single treatment) was provided as treatment. The substantial use of LAC packs suggests strongly that local Pilbara clinicians were already changing practice in response to resistance profiles before the changes to the formal guidelines in October 2024.</w:t>
      </w:r>
      <w:r w:rsidRPr="005075F0">
        <w:rPr>
          <w:vertAlign w:val="superscript"/>
          <w:lang w:val="en-GB"/>
        </w:rPr>
        <w:t xml:space="preserve">4,19 </w:t>
      </w:r>
      <w:r w:rsidRPr="005075F0">
        <w:rPr>
          <w:lang w:val="en-GB"/>
        </w:rPr>
        <w:t xml:space="preserve">Ciprofloxacin resistance was detected (11%), but there were no reports of the use of ciprofloxacin when ‘other medications’ reported for treatment were reviewed, despite its inclusion in the Australian STI management guidelines for use in primary care. </w:t>
      </w:r>
    </w:p>
    <w:p w14:paraId="385B7BD4" w14:textId="77777777" w:rsidR="005075F0" w:rsidRPr="005075F0" w:rsidRDefault="005075F0" w:rsidP="005075F0">
      <w:pPr>
        <w:rPr>
          <w:lang w:val="en-GB"/>
        </w:rPr>
      </w:pPr>
      <w:r w:rsidRPr="005075F0">
        <w:rPr>
          <w:lang w:val="en-GB"/>
        </w:rPr>
        <w:t xml:space="preserve">There was no significant difference, by Fisher’s Exact Test, in the proportions of Aboriginal people vs. non-Aboriginal people receiving effective (guideline compliant) treatment. However, there was a significant difference in time to treatment for Aboriginal people vs. non-Aboriginal people. This highlights the need to provide effective empirical treatment, particularly for Aboriginal people who are symptomatic at the first presentation, to reduce the likelihood of ongoing transmission due to delayed treatment. </w:t>
      </w:r>
    </w:p>
    <w:p w14:paraId="28AA5187" w14:textId="77777777" w:rsidR="005075F0" w:rsidRPr="005075F0" w:rsidRDefault="005075F0" w:rsidP="005075F0">
      <w:pPr>
        <w:rPr>
          <w:lang w:val="en-GB"/>
        </w:rPr>
      </w:pPr>
      <w:r w:rsidRPr="005075F0">
        <w:rPr>
          <w:lang w:val="en-GB"/>
        </w:rPr>
        <w:t>Finally given the low numbers of notifications within the WA Country Heath Service that had follow-up (33%) and re-testing, resistant organisms and reinfections may not be detected effectively. Improving the rate of test of cure, and test for reinfection, would improve the likelihood of detecting treatment failure and detecting resistance.</w:t>
      </w:r>
    </w:p>
    <w:p w14:paraId="290675E5" w14:textId="75C305A1" w:rsidR="005075F0" w:rsidRPr="005075F0" w:rsidRDefault="005075F0" w:rsidP="005075F0">
      <w:pPr>
        <w:pStyle w:val="Heading2"/>
        <w:rPr>
          <w:lang w:val="en-GB"/>
        </w:rPr>
      </w:pPr>
      <w:bookmarkStart w:id="26" w:name="_Toc234421158"/>
      <w:r w:rsidRPr="005075F0">
        <w:rPr>
          <w:lang w:val="en-GB"/>
        </w:rPr>
        <w:t>Limitations</w:t>
      </w:r>
      <w:bookmarkEnd w:id="26"/>
    </w:p>
    <w:p w14:paraId="77E5A176" w14:textId="77777777" w:rsidR="005075F0" w:rsidRPr="005075F0" w:rsidRDefault="005075F0" w:rsidP="005075F0">
      <w:pPr>
        <w:rPr>
          <w:lang w:val="en-GB"/>
        </w:rPr>
      </w:pPr>
      <w:r w:rsidRPr="005075F0">
        <w:rPr>
          <w:lang w:val="en-GB"/>
        </w:rPr>
        <w:t xml:space="preserve">Pilbara region acquired </w:t>
      </w:r>
      <w:r w:rsidRPr="005075F0">
        <w:rPr>
          <w:i/>
          <w:iCs/>
          <w:lang w:val="en-GB"/>
        </w:rPr>
        <w:t>N. gonorrhoeae</w:t>
      </w:r>
      <w:r w:rsidRPr="005075F0">
        <w:rPr>
          <w:lang w:val="en-GB"/>
        </w:rPr>
        <w:t xml:space="preserve"> infections in temporary residents will likely be underreported in this audit, as the notifications are grouped by permanent address, and the Pilbara has a large number of fly-in-fly-out temporary workers who do not have a Pilbara permanent address and therefore are not included within the dataset reviewed for this audit. </w:t>
      </w:r>
    </w:p>
    <w:p w14:paraId="3F7032D0" w14:textId="77777777" w:rsidR="005075F0" w:rsidRPr="005075F0" w:rsidRDefault="005075F0" w:rsidP="005075F0">
      <w:pPr>
        <w:rPr>
          <w:lang w:val="en-GB"/>
        </w:rPr>
      </w:pPr>
      <w:r w:rsidRPr="005075F0">
        <w:rPr>
          <w:lang w:val="en-GB"/>
        </w:rPr>
        <w:t xml:space="preserve">As molecular PPNG PCR testing does not detect chromosomally mediated resistance to penicillin, the latter type of resistance to penicillin-based </w:t>
      </w:r>
      <w:r w:rsidRPr="005075F0">
        <w:rPr>
          <w:i/>
          <w:iCs/>
          <w:lang w:val="en-GB"/>
        </w:rPr>
        <w:t>N. gonorrhoeae</w:t>
      </w:r>
      <w:r w:rsidRPr="005075F0">
        <w:rPr>
          <w:lang w:val="en-GB"/>
        </w:rPr>
        <w:t xml:space="preserve"> treatment may be underestimated in this audit.</w:t>
      </w:r>
    </w:p>
    <w:p w14:paraId="1C9EC4D7" w14:textId="53B7BBFA" w:rsidR="0001020A" w:rsidRDefault="005075F0" w:rsidP="00830AEA">
      <w:r w:rsidRPr="005075F0">
        <w:rPr>
          <w:lang w:val="en-GB"/>
        </w:rPr>
        <w:t xml:space="preserve">A limitation of extracting the data from the WANIDD was the lack of complete data available in the database. Only 88% of notifications had a completed Disease Notification Form and 82% had a completed Enhanced Surveillance Form. This increased the difficulty of getting full and accurate data to complete the audit and to assess for appropriateness of clinical management. </w:t>
      </w:r>
    </w:p>
    <w:p w14:paraId="11F22A00" w14:textId="4AB34ECB" w:rsidR="00FE2847" w:rsidRDefault="008017B6" w:rsidP="008017B6">
      <w:pPr>
        <w:pStyle w:val="Heading1"/>
      </w:pPr>
      <w:bookmarkStart w:id="27" w:name="_Toc234421159"/>
      <w:bookmarkEnd w:id="24"/>
      <w:bookmarkEnd w:id="25"/>
      <w:r>
        <w:t>Conclusion</w:t>
      </w:r>
      <w:r w:rsidR="005075F0">
        <w:t>s</w:t>
      </w:r>
      <w:bookmarkEnd w:id="27"/>
    </w:p>
    <w:p w14:paraId="788D98D0" w14:textId="4F2EEE4A" w:rsidR="005075F0" w:rsidRPr="005075F0" w:rsidRDefault="005075F0" w:rsidP="005075F0">
      <w:pPr>
        <w:pStyle w:val="Normal-Opening"/>
        <w:rPr>
          <w:lang w:val="en-GB"/>
        </w:rPr>
      </w:pPr>
      <w:r w:rsidRPr="005075F0">
        <w:rPr>
          <w:lang w:val="en-GB"/>
        </w:rPr>
        <w:t>The change to the Pilbara regional Gonococcal treatment guidelines on 24 October 2024, to ensure empirical treatment of symptomatic patients with likely uncomplicated urogenital gonorrhoea ± chlamydia with a ‘LAC pack’, comprising azithromycin 1 g oral and ceftriaxone 500</w:t>
      </w:r>
      <w:r>
        <w:rPr>
          <w:lang w:val="en-GB"/>
        </w:rPr>
        <w:t> </w:t>
      </w:r>
      <w:r w:rsidRPr="005075F0">
        <w:rPr>
          <w:lang w:val="en-GB"/>
        </w:rPr>
        <w:t xml:space="preserve">mg with 2 ml lidocaine 1% injection, is justified considering the resistance profile demonstrated in this audit. Most of the treatment reported complied with the current treatment guidelines up to October 2024, including effective treatment in Aboriginal people. However, the updated Pilbara October 2024 treatment guidelines should be promoted and implemented, due to the significant likelihood of penicillin resistant </w:t>
      </w:r>
      <w:r w:rsidRPr="005075F0">
        <w:rPr>
          <w:i/>
          <w:iCs/>
          <w:lang w:val="en-GB"/>
        </w:rPr>
        <w:t>N. gonorrhoeae</w:t>
      </w:r>
      <w:r w:rsidRPr="005075F0">
        <w:rPr>
          <w:lang w:val="en-GB"/>
        </w:rPr>
        <w:t xml:space="preserve"> among Pilbara region residents. Education to notifiers to undertake review and retesting at 1–2 weeks, and to test for reinfection at 3 months, needs to be reinforced to increase the likelihood of detection of challenging resistance, such as imported ceftriaxone resistance.</w:t>
      </w:r>
    </w:p>
    <w:p w14:paraId="07A6D8AB" w14:textId="77777777" w:rsidR="00F216F0" w:rsidRDefault="00F216F0" w:rsidP="005075F0">
      <w:pPr>
        <w:pStyle w:val="Heading1"/>
        <w:pageBreakBefore w:val="0"/>
      </w:pPr>
      <w:bookmarkStart w:id="28" w:name="_Toc195530510"/>
      <w:bookmarkStart w:id="29" w:name="_Toc234421160"/>
      <w:bookmarkStart w:id="30" w:name="_Toc195530508"/>
      <w:r>
        <w:t>Acknowledgments</w:t>
      </w:r>
      <w:bookmarkEnd w:id="28"/>
      <w:bookmarkEnd w:id="29"/>
    </w:p>
    <w:p w14:paraId="26D2CDB2" w14:textId="41361285" w:rsidR="00F216F0" w:rsidRPr="005075F0" w:rsidRDefault="005075F0" w:rsidP="005075F0">
      <w:pPr>
        <w:pStyle w:val="Normal-Opening"/>
        <w:rPr>
          <w:lang w:val="en-GB"/>
        </w:rPr>
      </w:pPr>
      <w:r w:rsidRPr="005075F0">
        <w:rPr>
          <w:lang w:val="en-GB"/>
        </w:rPr>
        <w:t>Jan Marie Grantham, Anne D’ Cruz D’ Mello, Annie Bailey and Arjun Rajkhowa.</w:t>
      </w:r>
    </w:p>
    <w:p w14:paraId="0029FAA3" w14:textId="77777777" w:rsidR="008A0736" w:rsidRDefault="008A0736" w:rsidP="008A0736">
      <w:pPr>
        <w:pStyle w:val="Heading1"/>
      </w:pPr>
      <w:bookmarkStart w:id="31" w:name="_Toc234421161"/>
      <w:r>
        <w:t>Author details</w:t>
      </w:r>
      <w:bookmarkEnd w:id="30"/>
      <w:bookmarkEnd w:id="31"/>
    </w:p>
    <w:p w14:paraId="0B200225" w14:textId="77777777" w:rsidR="005075F0" w:rsidRPr="005075F0" w:rsidRDefault="005075F0" w:rsidP="005075F0">
      <w:pPr>
        <w:pStyle w:val="Normal-Opening"/>
        <w:rPr>
          <w:lang w:val="en-GB"/>
        </w:rPr>
      </w:pPr>
      <w:r w:rsidRPr="005075F0">
        <w:rPr>
          <w:lang w:val="en-GB"/>
        </w:rPr>
        <w:t>Dr Simon Slota-Kan,</w:t>
      </w:r>
      <w:r w:rsidRPr="005075F0">
        <w:rPr>
          <w:vertAlign w:val="superscript"/>
          <w:lang w:val="en-GB"/>
        </w:rPr>
        <w:t>1</w:t>
      </w:r>
    </w:p>
    <w:p w14:paraId="65FF037B" w14:textId="77777777" w:rsidR="005075F0" w:rsidRPr="005075F0" w:rsidRDefault="005075F0" w:rsidP="005075F0">
      <w:r w:rsidRPr="005075F0">
        <w:t>Pauline Glasson,</w:t>
      </w:r>
      <w:r w:rsidRPr="005075F0">
        <w:rPr>
          <w:vertAlign w:val="superscript"/>
        </w:rPr>
        <w:t>2</w:t>
      </w:r>
    </w:p>
    <w:p w14:paraId="03356ED0" w14:textId="77777777" w:rsidR="005075F0" w:rsidRPr="005075F0" w:rsidRDefault="005075F0" w:rsidP="005075F0">
      <w:r w:rsidRPr="005075F0">
        <w:t>Katherine Black</w:t>
      </w:r>
      <w:r w:rsidRPr="005075F0">
        <w:rPr>
          <w:vertAlign w:val="superscript"/>
        </w:rPr>
        <w:t>3</w:t>
      </w:r>
    </w:p>
    <w:p w14:paraId="33E8CEF8" w14:textId="77777777" w:rsidR="005075F0" w:rsidRPr="005075F0" w:rsidRDefault="005075F0" w:rsidP="005075F0">
      <w:pPr>
        <w:pStyle w:val="CDINumberedList1L1"/>
        <w:ind w:left="397" w:hanging="397"/>
        <w:rPr>
          <w:lang w:val="en-GB"/>
        </w:rPr>
      </w:pPr>
      <w:r w:rsidRPr="005075F0">
        <w:rPr>
          <w:lang w:val="en-GB"/>
        </w:rPr>
        <w:t>WA Country Health Service, Pilbara Public Health Unit, South Hedland, Western Australia</w:t>
      </w:r>
    </w:p>
    <w:p w14:paraId="0558DCC9" w14:textId="77777777" w:rsidR="005075F0" w:rsidRPr="005075F0" w:rsidRDefault="005075F0" w:rsidP="005075F0">
      <w:pPr>
        <w:pStyle w:val="CDINumberedList1L1"/>
        <w:ind w:left="397" w:hanging="397"/>
        <w:rPr>
          <w:lang w:val="en-GB"/>
        </w:rPr>
      </w:pPr>
      <w:r w:rsidRPr="005075F0">
        <w:rPr>
          <w:lang w:val="en-GB"/>
        </w:rPr>
        <w:t xml:space="preserve">WA Country Health Service, Pilbara Public Health Unit, </w:t>
      </w:r>
      <w:proofErr w:type="spellStart"/>
      <w:r w:rsidRPr="005075F0">
        <w:rPr>
          <w:lang w:val="en-GB"/>
        </w:rPr>
        <w:t>Roebourne</w:t>
      </w:r>
      <w:proofErr w:type="spellEnd"/>
      <w:r w:rsidRPr="005075F0">
        <w:rPr>
          <w:lang w:val="en-GB"/>
        </w:rPr>
        <w:t>, Western Australia</w:t>
      </w:r>
    </w:p>
    <w:p w14:paraId="3D1AC996" w14:textId="77777777" w:rsidR="005075F0" w:rsidRPr="005075F0" w:rsidRDefault="005075F0" w:rsidP="005075F0">
      <w:pPr>
        <w:pStyle w:val="CDINumberedList1L1"/>
        <w:ind w:left="397" w:hanging="397"/>
        <w:rPr>
          <w:lang w:val="en-GB"/>
        </w:rPr>
      </w:pPr>
      <w:r w:rsidRPr="005075F0">
        <w:rPr>
          <w:lang w:val="en-GB"/>
        </w:rPr>
        <w:t>WA Country Health Service, Pilbara Public Health Unit, Karratha, Western Australia</w:t>
      </w:r>
    </w:p>
    <w:p w14:paraId="1ECE8345" w14:textId="77777777" w:rsidR="00423436" w:rsidRDefault="00423436" w:rsidP="00423436">
      <w:pPr>
        <w:pStyle w:val="CDICorrespondingauthor"/>
      </w:pPr>
      <w:r>
        <w:t>Corresponding author</w:t>
      </w:r>
    </w:p>
    <w:p w14:paraId="455AD12D" w14:textId="77777777" w:rsidR="005075F0" w:rsidRPr="005075F0" w:rsidRDefault="005075F0" w:rsidP="005075F0">
      <w:pPr>
        <w:rPr>
          <w:lang w:val="en-GB"/>
        </w:rPr>
      </w:pPr>
      <w:r w:rsidRPr="005075F0">
        <w:rPr>
          <w:lang w:val="en-GB"/>
        </w:rPr>
        <w:t>Pauline Glasson</w:t>
      </w:r>
    </w:p>
    <w:p w14:paraId="48178B1B" w14:textId="49A31638" w:rsidR="005075F0" w:rsidRPr="005075F0" w:rsidRDefault="005075F0" w:rsidP="005075F0">
      <w:pPr>
        <w:rPr>
          <w:lang w:val="en-GB"/>
        </w:rPr>
      </w:pPr>
      <w:r w:rsidRPr="005075F0">
        <w:rPr>
          <w:lang w:val="en-GB"/>
        </w:rPr>
        <w:t>WA Country Health Service, Pilbara Public Health Unit, Pilbara Regional Office, Hedland Health Campus, 2-36 Colebatch Way, South Hedland, WA 6722</w:t>
      </w:r>
    </w:p>
    <w:p w14:paraId="4A4069E4" w14:textId="77777777" w:rsidR="005075F0" w:rsidRPr="005075F0" w:rsidRDefault="005075F0" w:rsidP="005075F0">
      <w:pPr>
        <w:rPr>
          <w:lang w:val="en-GB"/>
        </w:rPr>
      </w:pPr>
      <w:r w:rsidRPr="005075F0">
        <w:rPr>
          <w:lang w:val="en-GB"/>
        </w:rPr>
        <w:t>Telephone: +61 8 9174 1660</w:t>
      </w:r>
    </w:p>
    <w:p w14:paraId="738EB253" w14:textId="5F8FA5BD" w:rsidR="008A0736" w:rsidRPr="005075F0" w:rsidRDefault="005075F0" w:rsidP="00423436">
      <w:pPr>
        <w:rPr>
          <w:lang w:val="en-GB"/>
        </w:rPr>
      </w:pPr>
      <w:r w:rsidRPr="005075F0">
        <w:rPr>
          <w:lang w:val="en-GB"/>
        </w:rPr>
        <w:t xml:space="preserve">Email: </w:t>
      </w:r>
      <w:hyperlink r:id="rId18" w:history="1">
        <w:r w:rsidRPr="005075F0">
          <w:rPr>
            <w:rStyle w:val="Hyperlink"/>
            <w:lang w:val="en-GB"/>
          </w:rPr>
          <w:t>Pauline.Glasson@health.wa.gov.au</w:t>
        </w:r>
      </w:hyperlink>
    </w:p>
    <w:p w14:paraId="445C0633" w14:textId="77777777" w:rsidR="008A0736" w:rsidRDefault="008A0736" w:rsidP="00122ADA">
      <w:pPr>
        <w:pStyle w:val="Heading1"/>
      </w:pPr>
      <w:bookmarkStart w:id="32" w:name="_Toc195530511"/>
      <w:bookmarkStart w:id="33" w:name="_Toc234421162"/>
      <w:r>
        <w:t>References</w:t>
      </w:r>
      <w:bookmarkEnd w:id="32"/>
      <w:bookmarkEnd w:id="33"/>
    </w:p>
    <w:p w14:paraId="09379516" w14:textId="77777777" w:rsidR="005075F0" w:rsidRDefault="005075F0" w:rsidP="005075F0">
      <w:pPr>
        <w:pStyle w:val="CDINumberedList1L1"/>
        <w:numPr>
          <w:ilvl w:val="0"/>
          <w:numId w:val="10"/>
        </w:numPr>
        <w:ind w:left="397" w:hanging="397"/>
      </w:pPr>
      <w:r>
        <w:t xml:space="preserve">King J, McManus H, Kwon JA, Gray R, McGregor S. </w:t>
      </w:r>
      <w:r w:rsidRPr="005075F0">
        <w:rPr>
          <w:i/>
          <w:iCs/>
        </w:rPr>
        <w:t>HIV, viral hepatitis and sexually transmissible infections in Australia: Annual surveillance report 2024</w:t>
      </w:r>
      <w:r>
        <w:t xml:space="preserve">. Sydney: University of New South Wales, The Kirby Institute; 2024. Available from: </w:t>
      </w:r>
      <w:hyperlink r:id="rId19" w:history="1">
        <w:r>
          <w:rPr>
            <w:rStyle w:val="Hyperlink"/>
          </w:rPr>
          <w:t>https://www.kirby.unsw.edu.au/research/reports/asr2024</w:t>
        </w:r>
      </w:hyperlink>
      <w:r>
        <w:t>.</w:t>
      </w:r>
    </w:p>
    <w:p w14:paraId="345F2A6F" w14:textId="77777777" w:rsidR="005075F0" w:rsidRDefault="005075F0" w:rsidP="005075F0">
      <w:pPr>
        <w:pStyle w:val="CDINumberedList1L1"/>
        <w:ind w:left="397" w:hanging="397"/>
      </w:pPr>
      <w:proofErr w:type="spellStart"/>
      <w:r>
        <w:t>Naruka</w:t>
      </w:r>
      <w:proofErr w:type="spellEnd"/>
      <w:r>
        <w:t xml:space="preserve"> E, King J, Miller A, Thomas JR, Monaghan R, McGregor S. </w:t>
      </w:r>
      <w:r w:rsidRPr="005075F0">
        <w:rPr>
          <w:i/>
          <w:iCs/>
        </w:rPr>
        <w:t>Blood borne viral and sexually transmissible infections in Aboriginal and Torres Strait Islander peoples: Annual surveillance report 2024</w:t>
      </w:r>
      <w:r>
        <w:t xml:space="preserve">. Sydney: University of New South Wales, The Kirby Institute; 2024. Available from: </w:t>
      </w:r>
      <w:hyperlink r:id="rId20" w:history="1">
        <w:r>
          <w:rPr>
            <w:rStyle w:val="Hyperlink"/>
          </w:rPr>
          <w:t>https://www.kirby.unsw.edu.au/research/reports/Blood-borne-viral-and-sexually-transmissible-infections-in-Aboriginal-and-Torres-Strait-Islander-peoples-Annual-surveillance-report-2024</w:t>
        </w:r>
      </w:hyperlink>
      <w:r>
        <w:t>.</w:t>
      </w:r>
    </w:p>
    <w:p w14:paraId="41EBBC11" w14:textId="0CB99E5C" w:rsidR="005075F0" w:rsidRDefault="005075F0" w:rsidP="005075F0">
      <w:pPr>
        <w:pStyle w:val="CDINumberedList1L1"/>
        <w:ind w:left="397" w:hanging="397"/>
      </w:pPr>
      <w:r>
        <w:t xml:space="preserve">Australian Bureau of Statistics. Pilbara (Mining and Pastoral). 2021 Census All persons </w:t>
      </w:r>
      <w:proofErr w:type="spellStart"/>
      <w:r>
        <w:t>QuickStats</w:t>
      </w:r>
      <w:proofErr w:type="spellEnd"/>
      <w:r>
        <w:t xml:space="preserve">. [Webpage.] Canberra: Australian Bureau of Statistics; 2021. [Accessed on 3 September 2025.] Available from: </w:t>
      </w:r>
      <w:hyperlink r:id="rId21" w:history="1">
        <w:r>
          <w:rPr>
            <w:rStyle w:val="Hyperlink"/>
          </w:rPr>
          <w:t>https://www.abs.gov.au/census/find-census-data/quickstats/2021/SED54403</w:t>
        </w:r>
      </w:hyperlink>
      <w:r>
        <w:t>.</w:t>
      </w:r>
    </w:p>
    <w:p w14:paraId="0B9AA68E" w14:textId="77777777" w:rsidR="005075F0" w:rsidRDefault="005075F0" w:rsidP="005075F0">
      <w:pPr>
        <w:pStyle w:val="CDINumberedList1L1"/>
        <w:ind w:left="397" w:hanging="397"/>
      </w:pPr>
      <w:r>
        <w:t xml:space="preserve">State Government of Western Australia Department of Health (WA Health). </w:t>
      </w:r>
      <w:r w:rsidRPr="005075F0">
        <w:rPr>
          <w:i/>
          <w:iCs/>
        </w:rPr>
        <w:t xml:space="preserve">WA STI and BBV guidelines </w:t>
      </w:r>
      <w:r>
        <w:t xml:space="preserve">(Silver book). [Webpage.] Perth: WA Health; 29 October 2025. Available from: </w:t>
      </w:r>
      <w:hyperlink r:id="rId22" w:history="1">
        <w:r>
          <w:rPr>
            <w:rStyle w:val="Hyperlink"/>
          </w:rPr>
          <w:t>https://www.health.wa.gov.au/WA-STI-and-BBV-guidelines</w:t>
        </w:r>
      </w:hyperlink>
      <w:r>
        <w:t>.</w:t>
      </w:r>
    </w:p>
    <w:p w14:paraId="46F448E9" w14:textId="77777777" w:rsidR="005075F0" w:rsidRDefault="005075F0" w:rsidP="005075F0">
      <w:pPr>
        <w:pStyle w:val="CDINumberedList1L1"/>
        <w:ind w:left="397" w:hanging="397"/>
      </w:pPr>
      <w:r>
        <w:t xml:space="preserve">Barbee LA, St Cyr SB. Management of </w:t>
      </w:r>
      <w:r w:rsidRPr="005075F0">
        <w:rPr>
          <w:i/>
          <w:iCs/>
        </w:rPr>
        <w:t>Neisseria gonorrhoeae</w:t>
      </w:r>
      <w:r>
        <w:t xml:space="preserve"> in the United States: summary of evidence from the development of the 2020 </w:t>
      </w:r>
      <w:proofErr w:type="spellStart"/>
      <w:r>
        <w:t>gonorrhea</w:t>
      </w:r>
      <w:proofErr w:type="spellEnd"/>
      <w:r>
        <w:t xml:space="preserve"> treatment recommendations and the 2021 Centers for Disease Control and Prevention sexually transmitted infection treatment guidelines. </w:t>
      </w:r>
      <w:r w:rsidRPr="005075F0">
        <w:rPr>
          <w:i/>
          <w:iCs/>
        </w:rPr>
        <w:t>Clin Infect Dis</w:t>
      </w:r>
      <w:r>
        <w:t>. 2022;74(Suppl_2</w:t>
      </w:r>
      <w:proofErr w:type="gramStart"/>
      <w:r>
        <w:t>):S</w:t>
      </w:r>
      <w:proofErr w:type="gramEnd"/>
      <w:r>
        <w:t xml:space="preserve">95–111. doi: </w:t>
      </w:r>
      <w:hyperlink r:id="rId23" w:history="1">
        <w:r>
          <w:rPr>
            <w:rStyle w:val="Hyperlink"/>
          </w:rPr>
          <w:t>https://doi.org/10.1093/cid/ciac043</w:t>
        </w:r>
      </w:hyperlink>
      <w:r>
        <w:t>.</w:t>
      </w:r>
    </w:p>
    <w:p w14:paraId="249DFCBF" w14:textId="77777777" w:rsidR="005075F0" w:rsidRDefault="005075F0" w:rsidP="005075F0">
      <w:pPr>
        <w:pStyle w:val="CDINumberedList1L1"/>
        <w:ind w:left="397" w:hanging="397"/>
      </w:pPr>
      <w:r>
        <w:t xml:space="preserve">Dowell D, Tian LH, Stover JA, Donnelly JA, Martins S, </w:t>
      </w:r>
      <w:proofErr w:type="spellStart"/>
      <w:r>
        <w:t>Erbelding</w:t>
      </w:r>
      <w:proofErr w:type="spellEnd"/>
      <w:r>
        <w:t xml:space="preserve"> EJ et al. Changes in fluoroquinolone use for </w:t>
      </w:r>
      <w:proofErr w:type="spellStart"/>
      <w:r>
        <w:t>gonorrhea</w:t>
      </w:r>
      <w:proofErr w:type="spellEnd"/>
      <w:r>
        <w:t xml:space="preserve"> following publication of revised treatment guidelines. </w:t>
      </w:r>
      <w:r w:rsidRPr="005075F0">
        <w:rPr>
          <w:i/>
          <w:iCs/>
        </w:rPr>
        <w:t>Am J Public Health</w:t>
      </w:r>
      <w:r>
        <w:t xml:space="preserve">. 2012;102(1):148–55. doi: </w:t>
      </w:r>
      <w:hyperlink r:id="rId24" w:history="1">
        <w:r>
          <w:rPr>
            <w:rStyle w:val="Hyperlink"/>
          </w:rPr>
          <w:t>https://doi.org/10.2105/AJPH.2011.300283</w:t>
        </w:r>
      </w:hyperlink>
      <w:r>
        <w:t>.</w:t>
      </w:r>
    </w:p>
    <w:p w14:paraId="5BF5E6A7" w14:textId="77777777" w:rsidR="005075F0" w:rsidRDefault="005075F0" w:rsidP="005075F0">
      <w:pPr>
        <w:pStyle w:val="CDINumberedList1L1"/>
        <w:ind w:left="397" w:hanging="397"/>
      </w:pPr>
      <w:r>
        <w:t xml:space="preserve">Hook III EW, Kirkcaldy RD. A brief history of evolving diagnostics and therapy for </w:t>
      </w:r>
      <w:proofErr w:type="spellStart"/>
      <w:r>
        <w:t>gonorrhea</w:t>
      </w:r>
      <w:proofErr w:type="spellEnd"/>
      <w:r>
        <w:t xml:space="preserve">: lessons learned. </w:t>
      </w:r>
      <w:r w:rsidRPr="005075F0">
        <w:rPr>
          <w:i/>
          <w:iCs/>
        </w:rPr>
        <w:t>Clin Infect Dis</w:t>
      </w:r>
      <w:r>
        <w:t xml:space="preserve">. 2018;67(8):1294–9. doi: </w:t>
      </w:r>
      <w:hyperlink r:id="rId25" w:history="1">
        <w:r>
          <w:rPr>
            <w:rStyle w:val="Hyperlink"/>
          </w:rPr>
          <w:t>https://doi.org/10.1093/cid/ciy271</w:t>
        </w:r>
      </w:hyperlink>
      <w:r>
        <w:t>.</w:t>
      </w:r>
    </w:p>
    <w:p w14:paraId="039E8883" w14:textId="77777777" w:rsidR="005075F0" w:rsidRDefault="005075F0" w:rsidP="005075F0">
      <w:pPr>
        <w:pStyle w:val="CDINumberedList1L1"/>
        <w:ind w:left="397" w:hanging="397"/>
      </w:pPr>
      <w:r>
        <w:t xml:space="preserve">Ong JJ, Bourne C, Dean JA, Ryder N, Cornelisse VJ, Murray S et al. Australian sexually transmitted infection (STI) management guidelines for use in primary care 2022 update. </w:t>
      </w:r>
      <w:r w:rsidRPr="005075F0">
        <w:rPr>
          <w:i/>
          <w:iCs/>
        </w:rPr>
        <w:t>Sex Health</w:t>
      </w:r>
      <w:r>
        <w:t xml:space="preserve">. 2022;20(1):1–8. doi: </w:t>
      </w:r>
      <w:hyperlink r:id="rId26" w:history="1">
        <w:r>
          <w:rPr>
            <w:rStyle w:val="Hyperlink"/>
          </w:rPr>
          <w:t>https://doi.org/10.1071/SH22134</w:t>
        </w:r>
      </w:hyperlink>
      <w:r>
        <w:t>.</w:t>
      </w:r>
    </w:p>
    <w:p w14:paraId="73E7B605" w14:textId="4AB36D93" w:rsidR="005075F0" w:rsidRDefault="005075F0" w:rsidP="005075F0">
      <w:pPr>
        <w:pStyle w:val="CDINumberedList1L1"/>
        <w:ind w:left="397" w:hanging="397"/>
      </w:pPr>
      <w:r>
        <w:t xml:space="preserve">Xiu L, Zhang L, Peng J. Surge in ceftriaxone-resistant </w:t>
      </w:r>
      <w:r w:rsidRPr="005075F0">
        <w:rPr>
          <w:i/>
          <w:iCs/>
        </w:rPr>
        <w:t>Neisseria gonorrhoeae</w:t>
      </w:r>
      <w:r>
        <w:t xml:space="preserve"> FC428-like strains, Asia-Pacific region, 2015−2022. </w:t>
      </w:r>
      <w:r w:rsidRPr="005075F0">
        <w:rPr>
          <w:i/>
          <w:iCs/>
        </w:rPr>
        <w:t>Emerg Infect Dis</w:t>
      </w:r>
      <w:r>
        <w:t>. 2024;30(8):1683–6. doi: </w:t>
      </w:r>
      <w:hyperlink r:id="rId27" w:history="1">
        <w:r>
          <w:rPr>
            <w:rStyle w:val="Hyperlink"/>
          </w:rPr>
          <w:t>https://doi.org/10.3201/eid3008.240139</w:t>
        </w:r>
      </w:hyperlink>
      <w:r>
        <w:t>.</w:t>
      </w:r>
    </w:p>
    <w:p w14:paraId="1B3ED302" w14:textId="77777777" w:rsidR="005075F0" w:rsidRDefault="005075F0" w:rsidP="005075F0">
      <w:pPr>
        <w:pStyle w:val="CDINumberedList1L1"/>
        <w:ind w:left="397" w:hanging="397"/>
      </w:pPr>
      <w:r>
        <w:t xml:space="preserve">Northern Territory Government Department of Health (NT Health), Northern Territory Centre for Disease Control (NT CDC). </w:t>
      </w:r>
      <w:r w:rsidRPr="005075F0">
        <w:rPr>
          <w:i/>
          <w:iCs/>
        </w:rPr>
        <w:t>Penicillinase-producing Neisseria gonorrhoeae (PPNG) and treatment recommendations for gonorrhoea</w:t>
      </w:r>
      <w:r>
        <w:t xml:space="preserve">. Darwin: NT Health; 1 October 2024. Available from: </w:t>
      </w:r>
      <w:hyperlink r:id="rId28" w:history="1">
        <w:r>
          <w:rPr>
            <w:rStyle w:val="Hyperlink"/>
          </w:rPr>
          <w:t>https://health.nt.gov.au/health-alerts/2022-health-alert-documents/gonorrhoea-health-alert-241001.pdf</w:t>
        </w:r>
      </w:hyperlink>
      <w:r>
        <w:t>.</w:t>
      </w:r>
    </w:p>
    <w:p w14:paraId="5431AA80" w14:textId="77777777" w:rsidR="005075F0" w:rsidRDefault="005075F0" w:rsidP="005075F0">
      <w:pPr>
        <w:pStyle w:val="CDINumberedList1L1"/>
        <w:ind w:left="397" w:hanging="397"/>
      </w:pPr>
      <w:r>
        <w:t xml:space="preserve">NT Health, NT CDC. Public Health Alert: Extensively drug-resistant (XDR) gonorrhoea detected. Darwin: NT Health; 5 June 2025. Available from: </w:t>
      </w:r>
      <w:hyperlink r:id="rId29" w:history="1">
        <w:r>
          <w:rPr>
            <w:rStyle w:val="Hyperlink"/>
          </w:rPr>
          <w:t>https://health.nt.gov.au/health-alerts/2022-health-alert-documents/gonorrhoea-health-alert-250605.pdf</w:t>
        </w:r>
      </w:hyperlink>
      <w:r>
        <w:t>.</w:t>
      </w:r>
    </w:p>
    <w:p w14:paraId="1066C1E0" w14:textId="77777777" w:rsidR="005075F0" w:rsidRDefault="005075F0" w:rsidP="005075F0">
      <w:pPr>
        <w:pStyle w:val="CDINumberedList1L1"/>
        <w:ind w:left="397" w:hanging="397"/>
      </w:pPr>
      <w:r>
        <w:t xml:space="preserve">Willie B, Sweeney EL, Badman SG, Chatfield M, Vallely AJ, Kelly-Hanku A et al. The prevalence of antimicrobial resistant </w:t>
      </w:r>
      <w:r w:rsidRPr="005075F0">
        <w:rPr>
          <w:i/>
          <w:iCs/>
        </w:rPr>
        <w:t>Neisseria gonorrhoeae</w:t>
      </w:r>
      <w:r>
        <w:t xml:space="preserve"> in Papua New Guinea: a systematic review and meta-analysis. </w:t>
      </w:r>
      <w:r w:rsidRPr="005075F0">
        <w:rPr>
          <w:i/>
          <w:iCs/>
        </w:rPr>
        <w:t>Int J Environ Res Public Health</w:t>
      </w:r>
      <w:r>
        <w:t xml:space="preserve">. 2022;19(3):1520–31. doi: </w:t>
      </w:r>
      <w:hyperlink r:id="rId30" w:history="1">
        <w:r>
          <w:rPr>
            <w:rStyle w:val="Hyperlink"/>
          </w:rPr>
          <w:t>https://doi.org/10.3390/ijerph19031520</w:t>
        </w:r>
      </w:hyperlink>
      <w:r>
        <w:t>.</w:t>
      </w:r>
    </w:p>
    <w:p w14:paraId="51286BE4" w14:textId="131A49E0" w:rsidR="005075F0" w:rsidRDefault="005075F0" w:rsidP="005075F0">
      <w:pPr>
        <w:pStyle w:val="CDINumberedList1L1"/>
        <w:ind w:left="397" w:hanging="397"/>
      </w:pPr>
      <w:r>
        <w:t xml:space="preserve">Padrotta J, Marmor A, Pingault N, Pourmarzi D. Gonococcal infections and risk factors for reinfection: a descriptive and case-case analysis of notifications in the Australian Capital Territory, 2017–2022. </w:t>
      </w:r>
      <w:r w:rsidRPr="005075F0">
        <w:rPr>
          <w:i/>
          <w:iCs/>
        </w:rPr>
        <w:t>Commun Dis Intell (2018)</w:t>
      </w:r>
      <w:r>
        <w:t>. 2024;48. doi: </w:t>
      </w:r>
      <w:hyperlink r:id="rId31" w:history="1">
        <w:r>
          <w:rPr>
            <w:rStyle w:val="Hyperlink"/>
          </w:rPr>
          <w:t>https://doi.org/10.33321/cdi.2024.48.51</w:t>
        </w:r>
      </w:hyperlink>
      <w:r>
        <w:t>.</w:t>
      </w:r>
    </w:p>
    <w:p w14:paraId="16BFE88A" w14:textId="77777777" w:rsidR="005075F0" w:rsidRDefault="005075F0" w:rsidP="005075F0">
      <w:pPr>
        <w:pStyle w:val="CDINumberedList1L1"/>
        <w:ind w:left="397" w:hanging="397"/>
      </w:pPr>
      <w:r>
        <w:t xml:space="preserve">WA Health Communicable Disease Control Directorate. </w:t>
      </w:r>
      <w:r w:rsidRPr="005075F0">
        <w:rPr>
          <w:i/>
          <w:iCs/>
        </w:rPr>
        <w:t>Surveillance case definitions for notifiable infectious diseases and related conditions in Western Australia: September 2023</w:t>
      </w:r>
      <w:r>
        <w:t xml:space="preserve">. Perth: WA Health; 2023. Available from: </w:t>
      </w:r>
      <w:hyperlink r:id="rId32" w:history="1">
        <w:r>
          <w:rPr>
            <w:rStyle w:val="Hyperlink"/>
          </w:rPr>
          <w:t>https://www.health.wa.gov.au/Articles/N_R/Notification-of-infectious-diseases-and-related-conditions</w:t>
        </w:r>
      </w:hyperlink>
      <w:r>
        <w:t>.</w:t>
      </w:r>
    </w:p>
    <w:p w14:paraId="5B48C063" w14:textId="77777777" w:rsidR="005075F0" w:rsidRDefault="005075F0" w:rsidP="005075F0">
      <w:pPr>
        <w:pStyle w:val="CDINumberedList1L1"/>
        <w:ind w:left="397" w:hanging="397"/>
      </w:pPr>
      <w:r>
        <w:t xml:space="preserve">Australian Commission on Safety and Quality in Health Care (ACSQHC). </w:t>
      </w:r>
      <w:r w:rsidRPr="005075F0">
        <w:rPr>
          <w:i/>
          <w:iCs/>
        </w:rPr>
        <w:t>National Safety and Quality Health Service Standards: Second edition – 2021</w:t>
      </w:r>
      <w:r>
        <w:t xml:space="preserve">. Sydney: ACSQHC; May 2021. Available from: </w:t>
      </w:r>
      <w:hyperlink r:id="rId33" w:history="1">
        <w:r>
          <w:rPr>
            <w:rStyle w:val="Hyperlink"/>
          </w:rPr>
          <w:t>https://www.safetyandquality.gov.au/resources/national-safety-and-quality-health-service-standards-second-edition</w:t>
        </w:r>
      </w:hyperlink>
      <w:r>
        <w:t>.</w:t>
      </w:r>
    </w:p>
    <w:p w14:paraId="11097008" w14:textId="77777777" w:rsidR="005075F0" w:rsidRDefault="005075F0" w:rsidP="005075F0">
      <w:pPr>
        <w:pStyle w:val="CDINumberedList1L1"/>
        <w:ind w:left="397" w:hanging="397"/>
      </w:pPr>
      <w:r>
        <w:t xml:space="preserve">WA Health. Notifiable Infectious Disease Dashboard. [Webpage.] Perth: WA Health; 2025. [Accessed on 3 September 2025.] Available from: </w:t>
      </w:r>
      <w:hyperlink r:id="rId34" w:history="1">
        <w:r>
          <w:rPr>
            <w:rStyle w:val="Hyperlink"/>
          </w:rPr>
          <w:t>https://www.health.wa.gov.au/Articles/N_R/Notifiable-infectious-disease-dashboard</w:t>
        </w:r>
      </w:hyperlink>
      <w:r>
        <w:t>.</w:t>
      </w:r>
    </w:p>
    <w:p w14:paraId="321BA31F" w14:textId="77777777" w:rsidR="005075F0" w:rsidRDefault="005075F0" w:rsidP="005075F0">
      <w:pPr>
        <w:pStyle w:val="CDINumberedList1L1"/>
        <w:ind w:left="397" w:hanging="397"/>
      </w:pPr>
      <w:r>
        <w:t xml:space="preserve">Western Australian Gonococcal Surveillance Program (WAGSP) </w:t>
      </w:r>
      <w:r w:rsidRPr="005075F0">
        <w:rPr>
          <w:i/>
          <w:iCs/>
        </w:rPr>
        <w:t>Neisseria gonorrhoeae</w:t>
      </w:r>
      <w:r>
        <w:t xml:space="preserve"> Antimicrobial Susceptibility Report 2023. [Published report.] Perth: WAGSP; 2024. Not available online.</w:t>
      </w:r>
    </w:p>
    <w:p w14:paraId="694DA949" w14:textId="77777777" w:rsidR="005075F0" w:rsidRDefault="005075F0" w:rsidP="005075F0">
      <w:pPr>
        <w:pStyle w:val="CDINumberedList1L1"/>
        <w:ind w:left="397" w:hanging="397"/>
      </w:pPr>
      <w:r>
        <w:t xml:space="preserve">World Health Organization (WHO). </w:t>
      </w:r>
      <w:r w:rsidRPr="005075F0">
        <w:rPr>
          <w:i/>
          <w:iCs/>
        </w:rPr>
        <w:t>Global action plan to control the spread and impact of antimicrobial resistance in Neisseria gonorrhoeae</w:t>
      </w:r>
      <w:r>
        <w:t xml:space="preserve">. Geneva: WHO; 4 May 2012. Available from: </w:t>
      </w:r>
      <w:hyperlink r:id="rId35" w:history="1">
        <w:r>
          <w:rPr>
            <w:rStyle w:val="Hyperlink"/>
          </w:rPr>
          <w:t>https://www.who.int/publications/i/item/9789241503501</w:t>
        </w:r>
      </w:hyperlink>
      <w:r>
        <w:t>.</w:t>
      </w:r>
    </w:p>
    <w:p w14:paraId="1966A9AC" w14:textId="63644B3B" w:rsidR="0058264F" w:rsidRPr="001E3ECB" w:rsidRDefault="005075F0" w:rsidP="005075F0">
      <w:pPr>
        <w:pStyle w:val="CDINumberedList1L1"/>
        <w:ind w:left="397" w:hanging="397"/>
      </w:pPr>
      <w:r>
        <w:t xml:space="preserve">Robertson DA. </w:t>
      </w:r>
      <w:r w:rsidRPr="005075F0">
        <w:rPr>
          <w:i/>
          <w:iCs/>
        </w:rPr>
        <w:t>Structured Administration and Supply Arrangements: Treatment of Sexually Transmitted Infection by Registered Nurses</w:t>
      </w:r>
      <w:r>
        <w:t xml:space="preserve">. Perth: WA Health; 2 December 2025. Available from: </w:t>
      </w:r>
      <w:hyperlink r:id="rId36" w:history="1">
        <w:r>
          <w:rPr>
            <w:rStyle w:val="Hyperlink"/>
          </w:rPr>
          <w:t>https://www.health.wa.gov.au/~/media/Corp/Documents/Health-for/Medicines-and-Poisons/PDF/SASA-006-Treatment-of-Sexually-Transmissible-Infection-by-Registered-Nurses.pdf</w:t>
        </w:r>
      </w:hyperlink>
      <w:r>
        <w:t>.</w:t>
      </w:r>
    </w:p>
    <w:sectPr w:rsidR="0058264F" w:rsidRPr="001E3ECB" w:rsidSect="001E3ECB">
      <w:headerReference w:type="even" r:id="rId37"/>
      <w:footerReference w:type="even" r:id="rId38"/>
      <w:footerReference w:type="default" r:id="rId39"/>
      <w:headerReference w:type="first" r:id="rId40"/>
      <w:footerReference w:type="first" r:id="rId41"/>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6CA34" w14:textId="77777777" w:rsidR="006611A0" w:rsidRDefault="006611A0" w:rsidP="00E54DBA">
      <w:r>
        <w:separator/>
      </w:r>
    </w:p>
    <w:p w14:paraId="05680875" w14:textId="77777777" w:rsidR="006611A0" w:rsidRDefault="006611A0"/>
    <w:p w14:paraId="031922A3" w14:textId="77777777" w:rsidR="006611A0" w:rsidRDefault="006611A0" w:rsidP="008714B0"/>
  </w:endnote>
  <w:endnote w:type="continuationSeparator" w:id="0">
    <w:p w14:paraId="5273A9EB" w14:textId="77777777" w:rsidR="006611A0" w:rsidRDefault="006611A0" w:rsidP="00E54DBA">
      <w:r>
        <w:continuationSeparator/>
      </w:r>
    </w:p>
    <w:p w14:paraId="3A4A7ADB" w14:textId="77777777" w:rsidR="006611A0" w:rsidRDefault="006611A0"/>
    <w:p w14:paraId="5657FF45" w14:textId="77777777" w:rsidR="006611A0" w:rsidRDefault="006611A0"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3BBDB" w14:textId="77777777" w:rsidR="00B87589" w:rsidRDefault="00271616">
    <w:r>
      <w:rPr>
        <w:noProof/>
        <w14:ligatures w14:val="none"/>
      </w:rPr>
      <mc:AlternateContent>
        <mc:Choice Requires="wps">
          <w:drawing>
            <wp:anchor distT="0" distB="0" distL="0" distR="0" simplePos="0" relativeHeight="251667456" behindDoc="0" locked="0" layoutInCell="1" allowOverlap="1" wp14:anchorId="77D0CF78" wp14:editId="6DA7AAE2">
              <wp:simplePos x="635" y="635"/>
              <wp:positionH relativeFrom="page">
                <wp:align>center</wp:align>
              </wp:positionH>
              <wp:positionV relativeFrom="page">
                <wp:align>bottom</wp:align>
              </wp:positionV>
              <wp:extent cx="551815" cy="518795"/>
              <wp:effectExtent l="0" t="0" r="635" b="0"/>
              <wp:wrapNone/>
              <wp:docPr id="18445740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6784D270"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D0CF78"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6784D270"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310D" w14:textId="04676717"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C43BDC">
        <w:t>2026</w:t>
      </w:r>
    </w:fldSimple>
    <w:r w:rsidR="009B78A9">
      <w:t>;</w:t>
    </w:r>
    <w:fldSimple w:instr=" DOCPROPERTY  Vol  \* MERGEFORMAT ">
      <w:r w:rsidR="00C43BDC">
        <w:t>50</w:t>
      </w:r>
    </w:fldSimple>
    <w:r w:rsidR="00385655" w:rsidRPr="001D0612">
      <w:t xml:space="preserve"> </w:t>
    </w:r>
    <w:r w:rsidR="00385655" w:rsidRPr="00B85B74">
      <w:t>•</w:t>
    </w:r>
    <w:r w:rsidR="00385655">
      <w:t xml:space="preserve"> </w:t>
    </w:r>
    <w:fldSimple w:instr=" DOCPROPERTY  DOI  \* MERGEFORMAT ">
      <w:r w:rsidR="00C43BDC">
        <w:t>doi.org/10.33321/cdi.2026.50.049</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C43BDC">
        <w:t>21.07.2026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7B28" w14:textId="77777777" w:rsidR="00B87589" w:rsidRDefault="00271616">
    <w:r>
      <w:rPr>
        <w:noProof/>
        <w14:ligatures w14:val="none"/>
      </w:rPr>
      <mc:AlternateContent>
        <mc:Choice Requires="wps">
          <w:drawing>
            <wp:anchor distT="0" distB="0" distL="0" distR="0" simplePos="0" relativeHeight="251666432" behindDoc="0" locked="0" layoutInCell="1" allowOverlap="1" wp14:anchorId="59D007ED" wp14:editId="5067EAE1">
              <wp:simplePos x="635" y="635"/>
              <wp:positionH relativeFrom="page">
                <wp:align>center</wp:align>
              </wp:positionH>
              <wp:positionV relativeFrom="page">
                <wp:align>bottom</wp:align>
              </wp:positionV>
              <wp:extent cx="551815" cy="518795"/>
              <wp:effectExtent l="0" t="0" r="635" b="0"/>
              <wp:wrapNone/>
              <wp:docPr id="9427397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329A94B5"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D007ED"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329A94B5"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381F8" w14:textId="77777777" w:rsidR="006611A0" w:rsidRPr="00B91FB5" w:rsidRDefault="006611A0" w:rsidP="00B91FB5">
      <w:pPr>
        <w:spacing w:line="240" w:lineRule="auto"/>
        <w:rPr>
          <w:sz w:val="18"/>
          <w:szCs w:val="18"/>
        </w:rPr>
      </w:pPr>
      <w:r w:rsidRPr="00B91FB5">
        <w:rPr>
          <w:sz w:val="18"/>
          <w:szCs w:val="18"/>
        </w:rPr>
        <w:separator/>
      </w:r>
    </w:p>
  </w:footnote>
  <w:footnote w:type="continuationSeparator" w:id="0">
    <w:p w14:paraId="0789CDAE" w14:textId="77777777" w:rsidR="006611A0" w:rsidRDefault="006611A0" w:rsidP="00E54DBA">
      <w:r>
        <w:continuationSeparator/>
      </w:r>
    </w:p>
  </w:footnote>
  <w:footnote w:type="continuationNotice" w:id="1">
    <w:p w14:paraId="5268C8EA" w14:textId="77777777" w:rsidR="006611A0" w:rsidRPr="00224EFF" w:rsidRDefault="006611A0"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8781" w14:textId="77777777" w:rsidR="00B87589" w:rsidRDefault="00271616">
    <w:pPr>
      <w:pStyle w:val="Header"/>
    </w:pPr>
    <w:r>
      <w:rPr>
        <w:noProof/>
        <w14:ligatures w14:val="none"/>
      </w:rPr>
      <mc:AlternateContent>
        <mc:Choice Requires="wps">
          <w:drawing>
            <wp:anchor distT="0" distB="0" distL="0" distR="0" simplePos="0" relativeHeight="251664384" behindDoc="0" locked="0" layoutInCell="1" allowOverlap="1" wp14:anchorId="17D8A147" wp14:editId="3BD03A82">
              <wp:simplePos x="635" y="635"/>
              <wp:positionH relativeFrom="page">
                <wp:align>center</wp:align>
              </wp:positionH>
              <wp:positionV relativeFrom="page">
                <wp:align>top</wp:align>
              </wp:positionV>
              <wp:extent cx="551815" cy="518795"/>
              <wp:effectExtent l="0" t="0" r="635" b="14605"/>
              <wp:wrapNone/>
              <wp:docPr id="4654446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5374382A"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D8A147"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5374382A"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EFAFC" w14:textId="77777777" w:rsidR="00B87589" w:rsidRDefault="00271616">
    <w:pPr>
      <w:pStyle w:val="Header"/>
    </w:pPr>
    <w:r>
      <w:rPr>
        <w:noProof/>
        <w14:ligatures w14:val="none"/>
      </w:rPr>
      <mc:AlternateContent>
        <mc:Choice Requires="wps">
          <w:drawing>
            <wp:anchor distT="0" distB="0" distL="0" distR="0" simplePos="0" relativeHeight="251663360" behindDoc="0" locked="0" layoutInCell="1" allowOverlap="1" wp14:anchorId="7389ABCF" wp14:editId="731460BD">
              <wp:simplePos x="635" y="635"/>
              <wp:positionH relativeFrom="page">
                <wp:align>center</wp:align>
              </wp:positionH>
              <wp:positionV relativeFrom="page">
                <wp:align>top</wp:align>
              </wp:positionV>
              <wp:extent cx="551815" cy="518795"/>
              <wp:effectExtent l="0" t="0" r="635" b="14605"/>
              <wp:wrapNone/>
              <wp:docPr id="16966496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612C72BA"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89ABCF"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612C72BA"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91D4FAA4"/>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1762532128">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BDC"/>
    <w:rsid w:val="00000B5B"/>
    <w:rsid w:val="00001611"/>
    <w:rsid w:val="00002B8D"/>
    <w:rsid w:val="000073ED"/>
    <w:rsid w:val="0001020A"/>
    <w:rsid w:val="000104A8"/>
    <w:rsid w:val="0001246E"/>
    <w:rsid w:val="000124B1"/>
    <w:rsid w:val="00013B65"/>
    <w:rsid w:val="000147ED"/>
    <w:rsid w:val="00014B0F"/>
    <w:rsid w:val="00015416"/>
    <w:rsid w:val="0001562E"/>
    <w:rsid w:val="00016FE6"/>
    <w:rsid w:val="0002314E"/>
    <w:rsid w:val="0002642D"/>
    <w:rsid w:val="000264AB"/>
    <w:rsid w:val="00026D55"/>
    <w:rsid w:val="000306B9"/>
    <w:rsid w:val="00031064"/>
    <w:rsid w:val="00031692"/>
    <w:rsid w:val="00032531"/>
    <w:rsid w:val="000325A0"/>
    <w:rsid w:val="00032BCB"/>
    <w:rsid w:val="00034DCB"/>
    <w:rsid w:val="00040B99"/>
    <w:rsid w:val="000420DA"/>
    <w:rsid w:val="00043B80"/>
    <w:rsid w:val="00045035"/>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0E8"/>
    <w:rsid w:val="00081655"/>
    <w:rsid w:val="00084BAB"/>
    <w:rsid w:val="000864E0"/>
    <w:rsid w:val="00087301"/>
    <w:rsid w:val="000879D8"/>
    <w:rsid w:val="00087CC4"/>
    <w:rsid w:val="00090F9D"/>
    <w:rsid w:val="000969B3"/>
    <w:rsid w:val="000A26CA"/>
    <w:rsid w:val="000A5F42"/>
    <w:rsid w:val="000A782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232"/>
    <w:rsid w:val="0010368E"/>
    <w:rsid w:val="00110B7D"/>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643"/>
    <w:rsid w:val="001C1BD1"/>
    <w:rsid w:val="001C2B4B"/>
    <w:rsid w:val="001C2C3A"/>
    <w:rsid w:val="001C5BB1"/>
    <w:rsid w:val="001C5F09"/>
    <w:rsid w:val="001C70B2"/>
    <w:rsid w:val="001C7CE1"/>
    <w:rsid w:val="001D0612"/>
    <w:rsid w:val="001D37C7"/>
    <w:rsid w:val="001D5B20"/>
    <w:rsid w:val="001D6888"/>
    <w:rsid w:val="001D74F4"/>
    <w:rsid w:val="001E3ECB"/>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8EA"/>
    <w:rsid w:val="00236A5F"/>
    <w:rsid w:val="00242659"/>
    <w:rsid w:val="002428F7"/>
    <w:rsid w:val="00242A9E"/>
    <w:rsid w:val="0024315F"/>
    <w:rsid w:val="00245439"/>
    <w:rsid w:val="0024631C"/>
    <w:rsid w:val="00252C9A"/>
    <w:rsid w:val="00254E56"/>
    <w:rsid w:val="00256309"/>
    <w:rsid w:val="002571C9"/>
    <w:rsid w:val="00257484"/>
    <w:rsid w:val="002577C6"/>
    <w:rsid w:val="00260636"/>
    <w:rsid w:val="00262EA6"/>
    <w:rsid w:val="00264B29"/>
    <w:rsid w:val="00271616"/>
    <w:rsid w:val="00271AFA"/>
    <w:rsid w:val="00272A9B"/>
    <w:rsid w:val="00275C5C"/>
    <w:rsid w:val="00275C78"/>
    <w:rsid w:val="00275F5D"/>
    <w:rsid w:val="00280594"/>
    <w:rsid w:val="00281EE3"/>
    <w:rsid w:val="00282B56"/>
    <w:rsid w:val="0028429F"/>
    <w:rsid w:val="00284E4A"/>
    <w:rsid w:val="00290E04"/>
    <w:rsid w:val="002A3799"/>
    <w:rsid w:val="002A3BCC"/>
    <w:rsid w:val="002A4516"/>
    <w:rsid w:val="002A569F"/>
    <w:rsid w:val="002A5B2C"/>
    <w:rsid w:val="002A7066"/>
    <w:rsid w:val="002B001E"/>
    <w:rsid w:val="002B09B7"/>
    <w:rsid w:val="002B3482"/>
    <w:rsid w:val="002B3A40"/>
    <w:rsid w:val="002B493C"/>
    <w:rsid w:val="002B75A9"/>
    <w:rsid w:val="002B7779"/>
    <w:rsid w:val="002C21B0"/>
    <w:rsid w:val="002C3003"/>
    <w:rsid w:val="002C4CD7"/>
    <w:rsid w:val="002C5D55"/>
    <w:rsid w:val="002D74C3"/>
    <w:rsid w:val="002E12D6"/>
    <w:rsid w:val="002E2FB3"/>
    <w:rsid w:val="002E5438"/>
    <w:rsid w:val="002F327B"/>
    <w:rsid w:val="00301626"/>
    <w:rsid w:val="003052F5"/>
    <w:rsid w:val="003059EC"/>
    <w:rsid w:val="00316727"/>
    <w:rsid w:val="00316CCD"/>
    <w:rsid w:val="003230B3"/>
    <w:rsid w:val="00324F7E"/>
    <w:rsid w:val="0032526F"/>
    <w:rsid w:val="00325841"/>
    <w:rsid w:val="003316F4"/>
    <w:rsid w:val="003323BC"/>
    <w:rsid w:val="00336729"/>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86CED"/>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6268"/>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47E97"/>
    <w:rsid w:val="00452C2E"/>
    <w:rsid w:val="004568FC"/>
    <w:rsid w:val="00461653"/>
    <w:rsid w:val="00464A58"/>
    <w:rsid w:val="00464E0D"/>
    <w:rsid w:val="00470721"/>
    <w:rsid w:val="00470C19"/>
    <w:rsid w:val="00471494"/>
    <w:rsid w:val="00472B68"/>
    <w:rsid w:val="00473D2D"/>
    <w:rsid w:val="00481503"/>
    <w:rsid w:val="00484919"/>
    <w:rsid w:val="004914F7"/>
    <w:rsid w:val="00491C26"/>
    <w:rsid w:val="00492014"/>
    <w:rsid w:val="004973B4"/>
    <w:rsid w:val="004A19B8"/>
    <w:rsid w:val="004A2125"/>
    <w:rsid w:val="004A2E24"/>
    <w:rsid w:val="004A38F6"/>
    <w:rsid w:val="004B0C95"/>
    <w:rsid w:val="004B0E96"/>
    <w:rsid w:val="004B1266"/>
    <w:rsid w:val="004B4EB6"/>
    <w:rsid w:val="004B4F34"/>
    <w:rsid w:val="004C04D3"/>
    <w:rsid w:val="004C083C"/>
    <w:rsid w:val="004C2636"/>
    <w:rsid w:val="004C3BDE"/>
    <w:rsid w:val="004C62AA"/>
    <w:rsid w:val="004C67C6"/>
    <w:rsid w:val="004D1D6A"/>
    <w:rsid w:val="004D29DE"/>
    <w:rsid w:val="004E1094"/>
    <w:rsid w:val="004E2E81"/>
    <w:rsid w:val="004E5103"/>
    <w:rsid w:val="004E5D74"/>
    <w:rsid w:val="004F5434"/>
    <w:rsid w:val="004F55C9"/>
    <w:rsid w:val="005002F9"/>
    <w:rsid w:val="00505184"/>
    <w:rsid w:val="0050662A"/>
    <w:rsid w:val="005075F0"/>
    <w:rsid w:val="00510EAC"/>
    <w:rsid w:val="005138AF"/>
    <w:rsid w:val="00514F40"/>
    <w:rsid w:val="005226F2"/>
    <w:rsid w:val="00526875"/>
    <w:rsid w:val="0052708C"/>
    <w:rsid w:val="00532189"/>
    <w:rsid w:val="005354D9"/>
    <w:rsid w:val="00536DD8"/>
    <w:rsid w:val="00542A57"/>
    <w:rsid w:val="00543294"/>
    <w:rsid w:val="00545068"/>
    <w:rsid w:val="0054635D"/>
    <w:rsid w:val="00555EB5"/>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14C5"/>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219D"/>
    <w:rsid w:val="00656427"/>
    <w:rsid w:val="00656FDA"/>
    <w:rsid w:val="00660255"/>
    <w:rsid w:val="006611A0"/>
    <w:rsid w:val="00661FE1"/>
    <w:rsid w:val="00662078"/>
    <w:rsid w:val="0066362A"/>
    <w:rsid w:val="00663EA5"/>
    <w:rsid w:val="00666D94"/>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40F"/>
    <w:rsid w:val="006F5FEC"/>
    <w:rsid w:val="00700338"/>
    <w:rsid w:val="0070113C"/>
    <w:rsid w:val="00702D05"/>
    <w:rsid w:val="00703009"/>
    <w:rsid w:val="00704CA9"/>
    <w:rsid w:val="0071048D"/>
    <w:rsid w:val="00710F86"/>
    <w:rsid w:val="007111A8"/>
    <w:rsid w:val="007114BA"/>
    <w:rsid w:val="00714CD2"/>
    <w:rsid w:val="0071536A"/>
    <w:rsid w:val="007179BE"/>
    <w:rsid w:val="00723B5F"/>
    <w:rsid w:val="00725C33"/>
    <w:rsid w:val="00726C6A"/>
    <w:rsid w:val="00731BC3"/>
    <w:rsid w:val="00731FF7"/>
    <w:rsid w:val="00733216"/>
    <w:rsid w:val="00734159"/>
    <w:rsid w:val="007401FD"/>
    <w:rsid w:val="00741192"/>
    <w:rsid w:val="007430BF"/>
    <w:rsid w:val="007439DE"/>
    <w:rsid w:val="00743A33"/>
    <w:rsid w:val="00743DF3"/>
    <w:rsid w:val="00745AE2"/>
    <w:rsid w:val="00746080"/>
    <w:rsid w:val="0075144A"/>
    <w:rsid w:val="00760A97"/>
    <w:rsid w:val="0076543B"/>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377"/>
    <w:rsid w:val="00796FC4"/>
    <w:rsid w:val="007A159E"/>
    <w:rsid w:val="007A2D74"/>
    <w:rsid w:val="007A33B9"/>
    <w:rsid w:val="007A35A0"/>
    <w:rsid w:val="007A39B4"/>
    <w:rsid w:val="007A4B9B"/>
    <w:rsid w:val="007A5234"/>
    <w:rsid w:val="007A764D"/>
    <w:rsid w:val="007B119B"/>
    <w:rsid w:val="007B537E"/>
    <w:rsid w:val="007B7854"/>
    <w:rsid w:val="007C1CF5"/>
    <w:rsid w:val="007C457F"/>
    <w:rsid w:val="007C482B"/>
    <w:rsid w:val="007C56A1"/>
    <w:rsid w:val="007C6454"/>
    <w:rsid w:val="007D5B5D"/>
    <w:rsid w:val="007D6F3B"/>
    <w:rsid w:val="007E01E0"/>
    <w:rsid w:val="007E0C24"/>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6B90"/>
    <w:rsid w:val="00817799"/>
    <w:rsid w:val="00821796"/>
    <w:rsid w:val="00822F5F"/>
    <w:rsid w:val="00823A5D"/>
    <w:rsid w:val="00824FD3"/>
    <w:rsid w:val="00826082"/>
    <w:rsid w:val="008261E4"/>
    <w:rsid w:val="00826589"/>
    <w:rsid w:val="00830070"/>
    <w:rsid w:val="00830AEA"/>
    <w:rsid w:val="00830F91"/>
    <w:rsid w:val="00834BCC"/>
    <w:rsid w:val="008355D9"/>
    <w:rsid w:val="00836451"/>
    <w:rsid w:val="00842801"/>
    <w:rsid w:val="00845F68"/>
    <w:rsid w:val="00850D54"/>
    <w:rsid w:val="00852E2B"/>
    <w:rsid w:val="00854079"/>
    <w:rsid w:val="00856EC6"/>
    <w:rsid w:val="00856FF3"/>
    <w:rsid w:val="0086228F"/>
    <w:rsid w:val="00862C50"/>
    <w:rsid w:val="00863F8D"/>
    <w:rsid w:val="008673F6"/>
    <w:rsid w:val="00867976"/>
    <w:rsid w:val="008714B0"/>
    <w:rsid w:val="00872A7F"/>
    <w:rsid w:val="0087374B"/>
    <w:rsid w:val="00876331"/>
    <w:rsid w:val="008766FF"/>
    <w:rsid w:val="00877B90"/>
    <w:rsid w:val="00880726"/>
    <w:rsid w:val="008863B2"/>
    <w:rsid w:val="0089025E"/>
    <w:rsid w:val="00895527"/>
    <w:rsid w:val="00897881"/>
    <w:rsid w:val="008A0736"/>
    <w:rsid w:val="008A3532"/>
    <w:rsid w:val="008A3544"/>
    <w:rsid w:val="008A4460"/>
    <w:rsid w:val="008B48B8"/>
    <w:rsid w:val="008B5348"/>
    <w:rsid w:val="008B58F8"/>
    <w:rsid w:val="008B5BAA"/>
    <w:rsid w:val="008B62FF"/>
    <w:rsid w:val="008B70C2"/>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68"/>
    <w:rsid w:val="00991B09"/>
    <w:rsid w:val="0099319C"/>
    <w:rsid w:val="00993CB2"/>
    <w:rsid w:val="0099796D"/>
    <w:rsid w:val="009A0251"/>
    <w:rsid w:val="009A218B"/>
    <w:rsid w:val="009A5166"/>
    <w:rsid w:val="009A76F8"/>
    <w:rsid w:val="009B2B11"/>
    <w:rsid w:val="009B2B83"/>
    <w:rsid w:val="009B581E"/>
    <w:rsid w:val="009B720F"/>
    <w:rsid w:val="009B78A9"/>
    <w:rsid w:val="009C31B2"/>
    <w:rsid w:val="009C49F8"/>
    <w:rsid w:val="009D0F93"/>
    <w:rsid w:val="009D56E7"/>
    <w:rsid w:val="009D77CC"/>
    <w:rsid w:val="009D797A"/>
    <w:rsid w:val="009E07CF"/>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37B04"/>
    <w:rsid w:val="00A40894"/>
    <w:rsid w:val="00A41BBE"/>
    <w:rsid w:val="00A443E3"/>
    <w:rsid w:val="00A45BDD"/>
    <w:rsid w:val="00A46060"/>
    <w:rsid w:val="00A46A0A"/>
    <w:rsid w:val="00A51E0E"/>
    <w:rsid w:val="00A53F60"/>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5D6"/>
    <w:rsid w:val="00A95A81"/>
    <w:rsid w:val="00AA075C"/>
    <w:rsid w:val="00AA3329"/>
    <w:rsid w:val="00AA35E6"/>
    <w:rsid w:val="00AA50B6"/>
    <w:rsid w:val="00AA78FF"/>
    <w:rsid w:val="00AB1606"/>
    <w:rsid w:val="00AB3472"/>
    <w:rsid w:val="00AB3C13"/>
    <w:rsid w:val="00AB7613"/>
    <w:rsid w:val="00AC0F07"/>
    <w:rsid w:val="00AC0F5D"/>
    <w:rsid w:val="00AC27EF"/>
    <w:rsid w:val="00AC3843"/>
    <w:rsid w:val="00AC3AD3"/>
    <w:rsid w:val="00AC4595"/>
    <w:rsid w:val="00AC46DC"/>
    <w:rsid w:val="00AC659C"/>
    <w:rsid w:val="00AC66D9"/>
    <w:rsid w:val="00AC69D8"/>
    <w:rsid w:val="00AC7CD7"/>
    <w:rsid w:val="00AD0762"/>
    <w:rsid w:val="00AD3C9E"/>
    <w:rsid w:val="00AE0209"/>
    <w:rsid w:val="00AE3DCF"/>
    <w:rsid w:val="00AE4452"/>
    <w:rsid w:val="00AE6604"/>
    <w:rsid w:val="00AE7C38"/>
    <w:rsid w:val="00AF1538"/>
    <w:rsid w:val="00AF1FAC"/>
    <w:rsid w:val="00AF2679"/>
    <w:rsid w:val="00AF2814"/>
    <w:rsid w:val="00AF5008"/>
    <w:rsid w:val="00AF6920"/>
    <w:rsid w:val="00B01F99"/>
    <w:rsid w:val="00B02B37"/>
    <w:rsid w:val="00B05276"/>
    <w:rsid w:val="00B0666B"/>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589B"/>
    <w:rsid w:val="00BB6F53"/>
    <w:rsid w:val="00BC086C"/>
    <w:rsid w:val="00BC0BD3"/>
    <w:rsid w:val="00BC4B9A"/>
    <w:rsid w:val="00BC4EAA"/>
    <w:rsid w:val="00BC5BA6"/>
    <w:rsid w:val="00BD0107"/>
    <w:rsid w:val="00BD2220"/>
    <w:rsid w:val="00BD22AE"/>
    <w:rsid w:val="00BD4DBE"/>
    <w:rsid w:val="00BE0C33"/>
    <w:rsid w:val="00BE0FE9"/>
    <w:rsid w:val="00BE262C"/>
    <w:rsid w:val="00BE479F"/>
    <w:rsid w:val="00BE4C25"/>
    <w:rsid w:val="00BE6C3D"/>
    <w:rsid w:val="00BE73E6"/>
    <w:rsid w:val="00BF1476"/>
    <w:rsid w:val="00BF42FE"/>
    <w:rsid w:val="00C02B29"/>
    <w:rsid w:val="00C06DA4"/>
    <w:rsid w:val="00C07606"/>
    <w:rsid w:val="00C12542"/>
    <w:rsid w:val="00C130EE"/>
    <w:rsid w:val="00C230DA"/>
    <w:rsid w:val="00C245C5"/>
    <w:rsid w:val="00C24725"/>
    <w:rsid w:val="00C30BA9"/>
    <w:rsid w:val="00C32396"/>
    <w:rsid w:val="00C32715"/>
    <w:rsid w:val="00C3541E"/>
    <w:rsid w:val="00C36A8F"/>
    <w:rsid w:val="00C401C8"/>
    <w:rsid w:val="00C42834"/>
    <w:rsid w:val="00C42FFA"/>
    <w:rsid w:val="00C43021"/>
    <w:rsid w:val="00C43BDC"/>
    <w:rsid w:val="00C47780"/>
    <w:rsid w:val="00C47C8C"/>
    <w:rsid w:val="00C47CC2"/>
    <w:rsid w:val="00C507D8"/>
    <w:rsid w:val="00C51F5A"/>
    <w:rsid w:val="00C526D3"/>
    <w:rsid w:val="00C57018"/>
    <w:rsid w:val="00C62EAC"/>
    <w:rsid w:val="00C63F9F"/>
    <w:rsid w:val="00C6558E"/>
    <w:rsid w:val="00C66F97"/>
    <w:rsid w:val="00C722FD"/>
    <w:rsid w:val="00C735E0"/>
    <w:rsid w:val="00C7723C"/>
    <w:rsid w:val="00C81439"/>
    <w:rsid w:val="00C82027"/>
    <w:rsid w:val="00C838F5"/>
    <w:rsid w:val="00C841C0"/>
    <w:rsid w:val="00C91F37"/>
    <w:rsid w:val="00C94309"/>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26FF6"/>
    <w:rsid w:val="00D32A59"/>
    <w:rsid w:val="00D33918"/>
    <w:rsid w:val="00D34AAF"/>
    <w:rsid w:val="00D36033"/>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E60"/>
    <w:rsid w:val="00D6407A"/>
    <w:rsid w:val="00D64A19"/>
    <w:rsid w:val="00D666A7"/>
    <w:rsid w:val="00D7189B"/>
    <w:rsid w:val="00D7327C"/>
    <w:rsid w:val="00D74140"/>
    <w:rsid w:val="00D74EC3"/>
    <w:rsid w:val="00D80045"/>
    <w:rsid w:val="00D8087F"/>
    <w:rsid w:val="00D842AC"/>
    <w:rsid w:val="00D84FBE"/>
    <w:rsid w:val="00D93AD4"/>
    <w:rsid w:val="00DA2E9E"/>
    <w:rsid w:val="00DA6D25"/>
    <w:rsid w:val="00DA6E56"/>
    <w:rsid w:val="00DA78DD"/>
    <w:rsid w:val="00DB0DF2"/>
    <w:rsid w:val="00DB1C65"/>
    <w:rsid w:val="00DC0C4C"/>
    <w:rsid w:val="00DC127D"/>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14F"/>
    <w:rsid w:val="00E363D2"/>
    <w:rsid w:val="00E41455"/>
    <w:rsid w:val="00E42AD2"/>
    <w:rsid w:val="00E50856"/>
    <w:rsid w:val="00E538CC"/>
    <w:rsid w:val="00E54BBD"/>
    <w:rsid w:val="00E54DBA"/>
    <w:rsid w:val="00E57DB7"/>
    <w:rsid w:val="00E61A68"/>
    <w:rsid w:val="00E61FEF"/>
    <w:rsid w:val="00E62A74"/>
    <w:rsid w:val="00E62A9E"/>
    <w:rsid w:val="00E63D7C"/>
    <w:rsid w:val="00E640D5"/>
    <w:rsid w:val="00E64C4F"/>
    <w:rsid w:val="00E66E2E"/>
    <w:rsid w:val="00E67691"/>
    <w:rsid w:val="00E6790C"/>
    <w:rsid w:val="00E714F6"/>
    <w:rsid w:val="00E734F1"/>
    <w:rsid w:val="00E80F90"/>
    <w:rsid w:val="00E8436D"/>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55D"/>
    <w:rsid w:val="00EE18FF"/>
    <w:rsid w:val="00EE1D64"/>
    <w:rsid w:val="00EE3E29"/>
    <w:rsid w:val="00EE489F"/>
    <w:rsid w:val="00EE558A"/>
    <w:rsid w:val="00EF082D"/>
    <w:rsid w:val="00EF2547"/>
    <w:rsid w:val="00EF55AE"/>
    <w:rsid w:val="00F04552"/>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2F95"/>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A4A4C"/>
    <w:rsid w:val="00FB17AB"/>
    <w:rsid w:val="00FB48CF"/>
    <w:rsid w:val="00FC002E"/>
    <w:rsid w:val="00FC4C23"/>
    <w:rsid w:val="00FC6204"/>
    <w:rsid w:val="00FC642E"/>
    <w:rsid w:val="00FD2E5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1008F"/>
  <w15:docId w15:val="{FCB6D68D-C228-4DD0-B4EA-B31782EE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5F0"/>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C43BDC"/>
    <w:pPr>
      <w:spacing w:before="400"/>
    </w:pPr>
    <w:rPr>
      <w:rFonts w:asciiTheme="majorHAnsi" w:hAnsiTheme="majorHAnsi" w:cs="Arial"/>
      <w:b/>
      <w:bCs/>
      <w:sz w:val="54"/>
      <w:szCs w:val="54"/>
    </w:rPr>
  </w:style>
  <w:style w:type="character" w:customStyle="1" w:styleId="TitleChar">
    <w:name w:val="Title Char"/>
    <w:basedOn w:val="DefaultParagraphFont"/>
    <w:link w:val="Title"/>
    <w:uiPriority w:val="10"/>
    <w:rsid w:val="00C43BDC"/>
    <w:rPr>
      <w:rFonts w:asciiTheme="majorHAnsi" w:hAnsiTheme="majorHAnsi" w:cs="Arial"/>
      <w:b/>
      <w:bCs/>
      <w:sz w:val="54"/>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A37B04"/>
    <w:pPr>
      <w:spacing w:before="240"/>
    </w:pPr>
    <w:rPr>
      <w:rFonts w:asciiTheme="majorHAnsi" w:hAnsiTheme="majorHAnsi"/>
      <w:sz w:val="28"/>
    </w:rPr>
  </w:style>
  <w:style w:type="character" w:customStyle="1" w:styleId="SubtitleChar">
    <w:name w:val="Subtitle Char"/>
    <w:basedOn w:val="DefaultParagraphFont"/>
    <w:link w:val="Subtitle"/>
    <w:uiPriority w:val="11"/>
    <w:rsid w:val="00A37B04"/>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7179BE"/>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C735E0"/>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7179BE"/>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ind w:left="397" w:hanging="397"/>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BE479F"/>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BE479F"/>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7179BE"/>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resources/communicable-diseases-intelligence/cdi-editorial-advisory-board-biographies" TargetMode="External"/><Relationship Id="rId18" Type="http://schemas.openxmlformats.org/officeDocument/2006/relationships/hyperlink" Target="mailto:Pauline.Glasson@health.wa.gov.au" TargetMode="External"/><Relationship Id="rId26" Type="http://schemas.openxmlformats.org/officeDocument/2006/relationships/hyperlink" Target="https://doi.org/10.1071/SH22134" TargetMode="External"/><Relationship Id="rId39" Type="http://schemas.openxmlformats.org/officeDocument/2006/relationships/footer" Target="footer2.xml"/><Relationship Id="rId21" Type="http://schemas.openxmlformats.org/officeDocument/2006/relationships/hyperlink" Target="https://www.abs.gov.au/census/find-census-data/quickstats/2021/SED54403" TargetMode="External"/><Relationship Id="rId34" Type="http://schemas.openxmlformats.org/officeDocument/2006/relationships/hyperlink" Target="https://www.health.wa.gov.au/Articles/N_R/Notifiable-infectious-disease-dashboard"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dc.gov.au/cdi" TargetMode="External"/><Relationship Id="rId20" Type="http://schemas.openxmlformats.org/officeDocument/2006/relationships/hyperlink" Target="https://www.kirby.unsw.edu.au/research/reports/Blood-borne-viral-and-sexually-transmissible-infections-in-Aboriginal-and-Torres-Strait-Islander-peoples-Annual-surveillance-report-2024" TargetMode="External"/><Relationship Id="rId29" Type="http://schemas.openxmlformats.org/officeDocument/2006/relationships/hyperlink" Target="https://health.nt.gov.au/health-alerts/2022-health-alert-documents/gonorrhoea-health-alert-250605.pdf"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nc-nd/4.0/legalcode" TargetMode="External"/><Relationship Id="rId24" Type="http://schemas.openxmlformats.org/officeDocument/2006/relationships/hyperlink" Target="https://doi.org/10.2105/AJPH.2011.300283" TargetMode="External"/><Relationship Id="rId32" Type="http://schemas.openxmlformats.org/officeDocument/2006/relationships/hyperlink" Target="https://www.health.wa.gov.au/Articles/N_R/Notification-of-infectious-diseases-and-related-conditions"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cdi.editor@cdc.gov.au" TargetMode="External"/><Relationship Id="rId23" Type="http://schemas.openxmlformats.org/officeDocument/2006/relationships/hyperlink" Target="https://doi.org/10.1093/cid/ciac043" TargetMode="External"/><Relationship Id="rId28" Type="http://schemas.openxmlformats.org/officeDocument/2006/relationships/hyperlink" Target="https://health.nt.gov.au/health-alerts/2022-health-alert-documents/gonorrhoea-health-alert-241001.pdf" TargetMode="External"/><Relationship Id="rId36" Type="http://schemas.openxmlformats.org/officeDocument/2006/relationships/hyperlink" Target="https://www.health.wa.gov.au/~/media/Corp/Documents/Health-for/Medicines-and-Poisons/PDF/SASA-006-Treatment-of-Sexually-Transmissible-Infection-by-Registered-Nurses.pdf" TargetMode="External"/><Relationship Id="rId10" Type="http://schemas.openxmlformats.org/officeDocument/2006/relationships/hyperlink" Target="https://www.cdc.gov.au/cdi" TargetMode="External"/><Relationship Id="rId19" Type="http://schemas.openxmlformats.org/officeDocument/2006/relationships/hyperlink" Target="https://www.kirby.unsw.edu.au/research/reports/asr2024" TargetMode="External"/><Relationship Id="rId31" Type="http://schemas.openxmlformats.org/officeDocument/2006/relationships/hyperlink" Target="https://doi.org/10.33321/cdi.2024.48.51"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cdc.gov.au/resources/communicable-diseases-intelligence/guidelines-cdi-authors" TargetMode="External"/><Relationship Id="rId22" Type="http://schemas.openxmlformats.org/officeDocument/2006/relationships/hyperlink" Target="https://www.health.wa.gov.au/WA-STI-and-BBV-guidelines" TargetMode="External"/><Relationship Id="rId27" Type="http://schemas.openxmlformats.org/officeDocument/2006/relationships/hyperlink" Target="https://doi.org/10.3201/eid3008.240139" TargetMode="External"/><Relationship Id="rId30" Type="http://schemas.openxmlformats.org/officeDocument/2006/relationships/hyperlink" Target="https://doi.org/10.3390/ijerph19031520" TargetMode="External"/><Relationship Id="rId35" Type="http://schemas.openxmlformats.org/officeDocument/2006/relationships/hyperlink" Target="https://www.who.int/publications/i/item/9789241503501"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cdi.editor@cdc.gov.au" TargetMode="External"/><Relationship Id="rId17" Type="http://schemas.openxmlformats.org/officeDocument/2006/relationships/hyperlink" Target="mailto:cdi.editor@cdc.gov.au" TargetMode="External"/><Relationship Id="rId25" Type="http://schemas.openxmlformats.org/officeDocument/2006/relationships/hyperlink" Target="https://doi.org/10.1093/cid/ciy271" TargetMode="External"/><Relationship Id="rId33" Type="http://schemas.openxmlformats.org/officeDocument/2006/relationships/hyperlink" Target="https://www.safetyandquality.gov.au/resources/national-safety-and-quality-health-service-standards-second-edition"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long-report-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CDI-long-report-template-2026.dotx</Template>
  <TotalTime>8</TotalTime>
  <Pages>17</Pages>
  <Words>4944</Words>
  <Characters>27688</Characters>
  <Application>Microsoft Office Word</Application>
  <DocSecurity>0</DocSecurity>
  <Lines>791</Lines>
  <Paragraphs>553</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Communicable Diseases Intelligence - Neisseria gonorrhoeae notifications, resistance and management in the Pilbara Region, Western Australia, July 2023 – June 2024</vt:lpstr>
      <vt:lpstr>Contents</vt:lpstr>
      <vt:lpstr>Abstract</vt:lpstr>
      <vt:lpstr>    Background</vt:lpstr>
      <vt:lpstr>    Design</vt:lpstr>
      <vt:lpstr>    Setting</vt:lpstr>
      <vt:lpstr>    Main outcome measures</vt:lpstr>
      <vt:lpstr>    Results</vt:lpstr>
      <vt:lpstr>    Conclusions</vt:lpstr>
      <vt:lpstr>Introduction</vt:lpstr>
      <vt:lpstr>Methods</vt:lpstr>
      <vt:lpstr>    Ethics approval statement</vt:lpstr>
      <vt:lpstr>Results</vt:lpstr>
      <vt:lpstr>Discussion</vt:lpstr>
      <vt:lpstr>Conclusion</vt:lpstr>
      <vt:lpstr>Acknowledgments</vt:lpstr>
      <vt:lpstr>Author details</vt:lpstr>
      <vt:lpstr>    Corresponding author</vt:lpstr>
      <vt:lpstr>References</vt:lpstr>
      <vt:lpstr>Appendix A</vt:lpstr>
    </vt:vector>
  </TitlesOfParts>
  <Company/>
  <LinksUpToDate>false</LinksUpToDate>
  <CharactersWithSpaces>32079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Neisseria gonorrhoeae notifications, resistance and management in the Pilbara Region, Western Australia, July 2023 – June 2024</dc:title>
  <dc:subject>This article describes Neisseria gonorrhoea notifications for Pilbara health region residents between 01 July 2023 to 30 June 2024, including resistance profiles and the proportion of remote Pilbara notifications of gonorrhoea tested and managed according to Western Australian and national clinical guidelines. The majority (81%) of notifications reported N. gonorrhoea treatment consistent with guidelines, with a significant proportion of notifications (8%) indicated likely penicillin resistance due to the detection of Penicillinase-producing N. gonorrhoea.</dc:subject>
  <dc:creator>Simon Slota-Kan;Pauline Glasson;Katherine Black</dc:creator>
  <cp:keywords>Neisseria gonorrhoeae; gonococcal infection; notifications; management; treatment; antimicrobial resistance; Pilbara; Western Australia</cp:keywords>
  <dc:description>© 2026 Commonwealth of Australia as represented by the Australian Centre for Disease Control. This publication is licenced under a CC BY-NC-ND licence.</dc:description>
  <cp:revision>5</cp:revision>
  <cp:lastPrinted>2024-03-07T01:06:00Z</cp:lastPrinted>
  <dcterms:created xsi:type="dcterms:W3CDTF">2026-07-08T06:45:00Z</dcterms:created>
  <dcterms:modified xsi:type="dcterms:W3CDTF">2026-07-16T01:47:00Z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21.07.2026</vt:lpwstr>
  </property>
  <property fmtid="{D5CDD505-2E9C-101B-9397-08002B2CF9AE}" pid="5" name="DOI">
    <vt:lpwstr>doi.org/10.33321/cdi.2026.50.049</vt:lpwstr>
  </property>
  <property fmtid="{D5CDD505-2E9C-101B-9397-08002B2CF9AE}" pid="6" name="ClassificationContentMarkingHeaderShapeIds">
    <vt:lpwstr>6520d1bd,1bbe1eff,6affb1e4</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3831110b,6df1f75b,3cfbd6bf</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2025-11-21T03:40:04Z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3d130504-3f00-4302-9cfc-b9df9a1005dc</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