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C4D5" w14:textId="273A9EC3"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8F1F8C">
          <w:t>2026</w:t>
        </w:r>
      </w:fldSimple>
      <w:r w:rsidR="00D22CC8" w:rsidRPr="00B85B74">
        <w:t xml:space="preserve"> • Volume </w:t>
      </w:r>
      <w:fldSimple w:instr=" DOCPROPERTY  Vol  \* MERGEFORMAT ">
        <w:r w:rsidR="008F1F8C">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8F1F8C">
          <w:t>21.07.2026</w:t>
        </w:r>
      </w:fldSimple>
      <w:r w:rsidR="00700338">
        <w:t xml:space="preserve"> </w:t>
      </w:r>
      <w:r w:rsidR="00700338" w:rsidRPr="00B85B74">
        <w:t xml:space="preserve">• </w:t>
      </w:r>
      <w:fldSimple w:instr=" DOCPROPERTY  DOI  \* MERGEFORMAT ">
        <w:r w:rsidR="008F1F8C">
          <w:t>doi.org/10.33321/cdi.2026.50.047</w:t>
        </w:r>
      </w:fldSimple>
    </w:p>
    <w:p w14:paraId="6167C4EB" w14:textId="13C898F4" w:rsidR="006B16A5" w:rsidRPr="00142578" w:rsidRDefault="008F1F8C" w:rsidP="00CE2CC7">
      <w:pPr>
        <w:pStyle w:val="Title"/>
      </w:pPr>
      <w:r w:rsidRPr="008F1F8C">
        <w:t>Enhanced surveillance for hepatitis B and C: insights into clinical care after diagnosis</w:t>
      </w:r>
    </w:p>
    <w:p w14:paraId="64FA4548" w14:textId="185D31B2" w:rsidR="00013B65" w:rsidRDefault="008F1F8C" w:rsidP="00BB3320">
      <w:pPr>
        <w:pStyle w:val="Subtitle"/>
      </w:pPr>
      <w:r w:rsidRPr="008F1F8C">
        <w:t>Jennifer H MacLachlan, Nicole R Romero, Nasra Higgins, Amelia Savage, Irene Guan, Mielle Abbott, Nicole L Allard, Benjamin C Cowie</w:t>
      </w:r>
      <w:r w:rsidR="00013B65">
        <w:br w:type="page"/>
      </w:r>
    </w:p>
    <w:p w14:paraId="7040DA28"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8F1F8C">
          <w:t>2026</w:t>
        </w:r>
      </w:fldSimple>
      <w:r w:rsidRPr="0089025E">
        <w:t xml:space="preserve"> Commonwealth of Australia as represented by the </w:t>
      </w:r>
      <w:r w:rsidR="00C722FD">
        <w:t>Australian Centre for Disease Control</w:t>
      </w:r>
    </w:p>
    <w:p w14:paraId="02FE2C2B" w14:textId="77777777" w:rsidR="00B52457" w:rsidRPr="0089025E" w:rsidRDefault="00B52457" w:rsidP="00087CC4">
      <w:pPr>
        <w:pStyle w:val="CDICopyright"/>
      </w:pPr>
      <w:r w:rsidRPr="0089025E">
        <w:t>ISSN: 2209-6051 Online</w:t>
      </w:r>
    </w:p>
    <w:p w14:paraId="6BF11601" w14:textId="77777777" w:rsidR="00B52457" w:rsidRDefault="00B52457" w:rsidP="00087CC4">
      <w:pPr>
        <w:pStyle w:val="CDICopyright"/>
      </w:pPr>
      <w:r w:rsidRPr="0089025E">
        <w:t>This journal is indexed by Index Medicus and Medline.</w:t>
      </w:r>
    </w:p>
    <w:p w14:paraId="1AE620E6" w14:textId="77777777" w:rsidR="00B52457" w:rsidRPr="007F2B27" w:rsidRDefault="00B52457" w:rsidP="00CC3648">
      <w:pPr>
        <w:pStyle w:val="CDICopyrightHeading"/>
      </w:pPr>
      <w:r w:rsidRPr="007F2B27">
        <w:t>Creative Commons Licence</w:t>
      </w:r>
    </w:p>
    <w:p w14:paraId="0988DDC4"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2B0633F" w14:textId="77777777" w:rsidR="00B52457" w:rsidRPr="007F2B27" w:rsidRDefault="00B52457" w:rsidP="00CC3648">
      <w:pPr>
        <w:pStyle w:val="CDICopyrightHeading"/>
      </w:pPr>
      <w:r w:rsidRPr="007F2B27">
        <w:t>Restrictions</w:t>
      </w:r>
    </w:p>
    <w:p w14:paraId="23DC46D3"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495C572"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10C49A7B"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61672205" w14:textId="77777777" w:rsidR="00B52457" w:rsidRPr="00E9313B" w:rsidRDefault="00B52457" w:rsidP="00E9313B">
      <w:pPr>
        <w:pStyle w:val="CDICopyrightBullets"/>
      </w:pPr>
      <w:r w:rsidRPr="00E9313B">
        <w:t xml:space="preserve">any photographs and images; </w:t>
      </w:r>
    </w:p>
    <w:p w14:paraId="4C9102A4" w14:textId="77777777" w:rsidR="00B52457" w:rsidRPr="00E9313B" w:rsidRDefault="00B52457" w:rsidP="00E9313B">
      <w:pPr>
        <w:pStyle w:val="CDICopyrightBullets"/>
      </w:pPr>
      <w:r w:rsidRPr="00E9313B">
        <w:t>any signatures; and</w:t>
      </w:r>
    </w:p>
    <w:p w14:paraId="721F2BD6" w14:textId="77777777" w:rsidR="00B52457" w:rsidRPr="003C23C9" w:rsidRDefault="00B52457" w:rsidP="00E9313B">
      <w:pPr>
        <w:pStyle w:val="CDICopyrightBullets"/>
      </w:pPr>
      <w:r w:rsidRPr="00E9313B">
        <w:t>any</w:t>
      </w:r>
      <w:r w:rsidRPr="003C23C9">
        <w:t xml:space="preserve"> material belonging to third parties.</w:t>
      </w:r>
    </w:p>
    <w:p w14:paraId="30E19DEA" w14:textId="77777777" w:rsidR="00B52457" w:rsidRPr="00CC3648" w:rsidRDefault="00B52457" w:rsidP="00CC3648">
      <w:pPr>
        <w:pStyle w:val="CDICopyrightHeading"/>
      </w:pPr>
      <w:r w:rsidRPr="00CC3648">
        <w:t>Disclaimer</w:t>
      </w:r>
    </w:p>
    <w:p w14:paraId="5A73E682"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2B5EF487" w14:textId="77777777" w:rsidR="00B52457" w:rsidRPr="007F2B27" w:rsidRDefault="00B52457" w:rsidP="00CC3648">
      <w:pPr>
        <w:pStyle w:val="CDICopyrightHeading"/>
      </w:pPr>
      <w:r w:rsidRPr="007F2B27">
        <w:t>Enquiries</w:t>
      </w:r>
    </w:p>
    <w:p w14:paraId="74D796B6"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0DBDC2C0" w14:textId="77777777" w:rsidR="00B52457" w:rsidRPr="00A65DFA" w:rsidRDefault="00B52457" w:rsidP="00B52457">
      <w:pPr>
        <w:pStyle w:val="CDIAbout"/>
      </w:pPr>
      <w:bookmarkStart w:id="1" w:name="_Toc190257376"/>
      <w:r>
        <w:t xml:space="preserve">About </w:t>
      </w:r>
      <w:bookmarkEnd w:id="1"/>
      <w:r w:rsidR="0022524E">
        <w:t>CDI</w:t>
      </w:r>
    </w:p>
    <w:p w14:paraId="43E4F254"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41314B4B"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1B2260BA"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10E5894E"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50D11E9F"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019096D4"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2F6E70F" w14:textId="77777777" w:rsidR="00B52457" w:rsidRPr="00B87589" w:rsidRDefault="00B52457" w:rsidP="00B87589">
      <w:pPr>
        <w:pStyle w:val="CDIAbouttext"/>
        <w:rPr>
          <w:b/>
          <w:bCs/>
        </w:rPr>
      </w:pPr>
      <w:r w:rsidRPr="00B87589">
        <w:rPr>
          <w:b/>
          <w:bCs/>
        </w:rPr>
        <w:t>Contact us</w:t>
      </w:r>
    </w:p>
    <w:p w14:paraId="750AEC16" w14:textId="77777777" w:rsidR="00B52457" w:rsidRPr="00087CC4" w:rsidRDefault="00B52457" w:rsidP="00360B3A">
      <w:pPr>
        <w:pStyle w:val="CDIAbouttextLess"/>
      </w:pPr>
      <w:r w:rsidRPr="009572C6">
        <w:t>Communicable Diseases Intelligence</w:t>
      </w:r>
      <w:r w:rsidRPr="00087CC4">
        <w:t xml:space="preserve"> (CDI)</w:t>
      </w:r>
    </w:p>
    <w:p w14:paraId="3F0FF1D4" w14:textId="77777777" w:rsidR="00B52457" w:rsidRPr="00087CC4" w:rsidRDefault="009572C6" w:rsidP="00360B3A">
      <w:pPr>
        <w:pStyle w:val="CDIAbouttextLess"/>
      </w:pPr>
      <w:r>
        <w:t>Australian Centre for Disease Control</w:t>
      </w:r>
    </w:p>
    <w:p w14:paraId="61BD2E8D" w14:textId="70A7BAF6" w:rsidR="00B52457" w:rsidRPr="0089025E" w:rsidRDefault="007B67B4" w:rsidP="00360B3A">
      <w:pPr>
        <w:pStyle w:val="CDIAbouttextLess"/>
      </w:pPr>
      <w:r>
        <w:t>G</w:t>
      </w:r>
      <w:r w:rsidR="00B52457" w:rsidRPr="00087CC4">
        <w:t xml:space="preserve">PO Box </w:t>
      </w:r>
      <w:r w:rsidR="0010368E">
        <w:t>79</w:t>
      </w:r>
      <w:r w:rsidR="004E5D74">
        <w:t>5</w:t>
      </w:r>
      <w:r w:rsidR="00B52457" w:rsidRPr="00087CC4">
        <w:t>, C</w:t>
      </w:r>
      <w:r w:rsidR="004E5D74">
        <w:t>anberra</w:t>
      </w:r>
      <w:r w:rsidR="00B52457" w:rsidRPr="0089025E">
        <w:t xml:space="preserve"> ACT 2601</w:t>
      </w:r>
      <w:r w:rsidR="004E5D74">
        <w:t>, Australia</w:t>
      </w:r>
    </w:p>
    <w:p w14:paraId="31AFBD93"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3E088EE3"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695E762D"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4414367"/>
      <w:bookmarkStart w:id="7" w:name="_Toc195530496"/>
      <w:r>
        <w:t>Contents</w:t>
      </w:r>
      <w:bookmarkEnd w:id="2"/>
      <w:bookmarkEnd w:id="3"/>
      <w:bookmarkEnd w:id="4"/>
      <w:bookmarkEnd w:id="5"/>
      <w:bookmarkEnd w:id="6"/>
    </w:p>
    <w:p w14:paraId="308CCF0F" w14:textId="47575FEB" w:rsidR="00864FDA" w:rsidRPr="002D6A64" w:rsidRDefault="005A4E9D" w:rsidP="00864FDA">
      <w:pPr>
        <w:pStyle w:val="TOC1"/>
        <w:spacing w:before="360"/>
        <w:rPr>
          <w:noProof/>
          <w:lang w:eastAsia="en-AU"/>
        </w:rPr>
      </w:pPr>
      <w:r>
        <w:fldChar w:fldCharType="begin"/>
      </w:r>
      <w:r>
        <w:instrText xml:space="preserve"> TOC \o "1-1" \h \z \t "Heading 2,2,Heading 2 - no space before,2,Heading 2 - less space before,2,Heading 2 - new page,2" </w:instrText>
      </w:r>
      <w:r>
        <w:fldChar w:fldCharType="separate"/>
      </w:r>
      <w:hyperlink w:anchor="_Toc234414368" w:history="1">
        <w:r w:rsidR="00864FDA" w:rsidRPr="00EC57EA">
          <w:rPr>
            <w:rStyle w:val="Hyperlink"/>
            <w:noProof/>
          </w:rPr>
          <w:t>Abstract</w:t>
        </w:r>
        <w:r w:rsidR="00864FDA">
          <w:rPr>
            <w:noProof/>
            <w:webHidden/>
          </w:rPr>
          <w:tab/>
        </w:r>
        <w:r w:rsidR="00864FDA">
          <w:rPr>
            <w:noProof/>
            <w:webHidden/>
          </w:rPr>
          <w:fldChar w:fldCharType="begin"/>
        </w:r>
        <w:r w:rsidR="00864FDA">
          <w:rPr>
            <w:noProof/>
            <w:webHidden/>
          </w:rPr>
          <w:instrText xml:space="preserve"> PAGEREF _Toc234414368 \h </w:instrText>
        </w:r>
        <w:r w:rsidR="00864FDA">
          <w:rPr>
            <w:noProof/>
            <w:webHidden/>
          </w:rPr>
        </w:r>
        <w:r w:rsidR="00864FDA">
          <w:rPr>
            <w:noProof/>
            <w:webHidden/>
          </w:rPr>
          <w:fldChar w:fldCharType="separate"/>
        </w:r>
        <w:r w:rsidR="00180102">
          <w:rPr>
            <w:noProof/>
            <w:webHidden/>
          </w:rPr>
          <w:t>4</w:t>
        </w:r>
        <w:r w:rsidR="00864FDA">
          <w:rPr>
            <w:noProof/>
            <w:webHidden/>
          </w:rPr>
          <w:fldChar w:fldCharType="end"/>
        </w:r>
      </w:hyperlink>
    </w:p>
    <w:p w14:paraId="24F0349D" w14:textId="05BC170D" w:rsidR="00864FDA" w:rsidRPr="002D6A64" w:rsidRDefault="00864FDA">
      <w:pPr>
        <w:pStyle w:val="TOC2"/>
        <w:tabs>
          <w:tab w:val="right" w:leader="dot" w:pos="9629"/>
        </w:tabs>
        <w:rPr>
          <w:noProof/>
          <w:lang w:eastAsia="en-AU"/>
        </w:rPr>
      </w:pPr>
      <w:hyperlink w:anchor="_Toc234414369" w:history="1">
        <w:r w:rsidRPr="00EC57EA">
          <w:rPr>
            <w:rStyle w:val="Hyperlink"/>
            <w:noProof/>
            <w:lang w:val="en-GB"/>
          </w:rPr>
          <w:t>Background</w:t>
        </w:r>
        <w:r>
          <w:rPr>
            <w:noProof/>
            <w:webHidden/>
          </w:rPr>
          <w:tab/>
        </w:r>
        <w:r>
          <w:rPr>
            <w:noProof/>
            <w:webHidden/>
          </w:rPr>
          <w:fldChar w:fldCharType="begin"/>
        </w:r>
        <w:r>
          <w:rPr>
            <w:noProof/>
            <w:webHidden/>
          </w:rPr>
          <w:instrText xml:space="preserve"> PAGEREF _Toc234414369 \h </w:instrText>
        </w:r>
        <w:r>
          <w:rPr>
            <w:noProof/>
            <w:webHidden/>
          </w:rPr>
        </w:r>
        <w:r>
          <w:rPr>
            <w:noProof/>
            <w:webHidden/>
          </w:rPr>
          <w:fldChar w:fldCharType="separate"/>
        </w:r>
        <w:r w:rsidR="00180102">
          <w:rPr>
            <w:noProof/>
            <w:webHidden/>
          </w:rPr>
          <w:t>4</w:t>
        </w:r>
        <w:r>
          <w:rPr>
            <w:noProof/>
            <w:webHidden/>
          </w:rPr>
          <w:fldChar w:fldCharType="end"/>
        </w:r>
      </w:hyperlink>
    </w:p>
    <w:p w14:paraId="2E1F2D6C" w14:textId="1FEAF346" w:rsidR="00864FDA" w:rsidRPr="002D6A64" w:rsidRDefault="00864FDA">
      <w:pPr>
        <w:pStyle w:val="TOC2"/>
        <w:tabs>
          <w:tab w:val="right" w:leader="dot" w:pos="9629"/>
        </w:tabs>
        <w:rPr>
          <w:noProof/>
          <w:lang w:eastAsia="en-AU"/>
        </w:rPr>
      </w:pPr>
      <w:hyperlink w:anchor="_Toc234414370" w:history="1">
        <w:r w:rsidRPr="00EC57EA">
          <w:rPr>
            <w:rStyle w:val="Hyperlink"/>
            <w:noProof/>
            <w:lang w:val="en-GB"/>
          </w:rPr>
          <w:t>Methods</w:t>
        </w:r>
        <w:r>
          <w:rPr>
            <w:noProof/>
            <w:webHidden/>
          </w:rPr>
          <w:tab/>
        </w:r>
        <w:r>
          <w:rPr>
            <w:noProof/>
            <w:webHidden/>
          </w:rPr>
          <w:fldChar w:fldCharType="begin"/>
        </w:r>
        <w:r>
          <w:rPr>
            <w:noProof/>
            <w:webHidden/>
          </w:rPr>
          <w:instrText xml:space="preserve"> PAGEREF _Toc234414370 \h </w:instrText>
        </w:r>
        <w:r>
          <w:rPr>
            <w:noProof/>
            <w:webHidden/>
          </w:rPr>
        </w:r>
        <w:r>
          <w:rPr>
            <w:noProof/>
            <w:webHidden/>
          </w:rPr>
          <w:fldChar w:fldCharType="separate"/>
        </w:r>
        <w:r w:rsidR="00180102">
          <w:rPr>
            <w:noProof/>
            <w:webHidden/>
          </w:rPr>
          <w:t>4</w:t>
        </w:r>
        <w:r>
          <w:rPr>
            <w:noProof/>
            <w:webHidden/>
          </w:rPr>
          <w:fldChar w:fldCharType="end"/>
        </w:r>
      </w:hyperlink>
    </w:p>
    <w:p w14:paraId="7D1E5F86" w14:textId="39396750" w:rsidR="00864FDA" w:rsidRPr="002D6A64" w:rsidRDefault="00864FDA">
      <w:pPr>
        <w:pStyle w:val="TOC2"/>
        <w:tabs>
          <w:tab w:val="right" w:leader="dot" w:pos="9629"/>
        </w:tabs>
        <w:rPr>
          <w:noProof/>
          <w:lang w:eastAsia="en-AU"/>
        </w:rPr>
      </w:pPr>
      <w:hyperlink w:anchor="_Toc234414371" w:history="1">
        <w:r w:rsidRPr="00EC57EA">
          <w:rPr>
            <w:rStyle w:val="Hyperlink"/>
            <w:noProof/>
            <w:lang w:val="en-GB"/>
          </w:rPr>
          <w:t>Results</w:t>
        </w:r>
        <w:r>
          <w:rPr>
            <w:noProof/>
            <w:webHidden/>
          </w:rPr>
          <w:tab/>
        </w:r>
        <w:r>
          <w:rPr>
            <w:noProof/>
            <w:webHidden/>
          </w:rPr>
          <w:fldChar w:fldCharType="begin"/>
        </w:r>
        <w:r>
          <w:rPr>
            <w:noProof/>
            <w:webHidden/>
          </w:rPr>
          <w:instrText xml:space="preserve"> PAGEREF _Toc234414371 \h </w:instrText>
        </w:r>
        <w:r>
          <w:rPr>
            <w:noProof/>
            <w:webHidden/>
          </w:rPr>
        </w:r>
        <w:r>
          <w:rPr>
            <w:noProof/>
            <w:webHidden/>
          </w:rPr>
          <w:fldChar w:fldCharType="separate"/>
        </w:r>
        <w:r w:rsidR="00180102">
          <w:rPr>
            <w:noProof/>
            <w:webHidden/>
          </w:rPr>
          <w:t>4</w:t>
        </w:r>
        <w:r>
          <w:rPr>
            <w:noProof/>
            <w:webHidden/>
          </w:rPr>
          <w:fldChar w:fldCharType="end"/>
        </w:r>
      </w:hyperlink>
    </w:p>
    <w:p w14:paraId="114388F9" w14:textId="47A0B46C" w:rsidR="00864FDA" w:rsidRPr="002D6A64" w:rsidRDefault="00864FDA">
      <w:pPr>
        <w:pStyle w:val="TOC2"/>
        <w:tabs>
          <w:tab w:val="right" w:leader="dot" w:pos="9629"/>
        </w:tabs>
        <w:rPr>
          <w:noProof/>
          <w:lang w:eastAsia="en-AU"/>
        </w:rPr>
      </w:pPr>
      <w:hyperlink w:anchor="_Toc234414372" w:history="1">
        <w:r w:rsidRPr="00EC57EA">
          <w:rPr>
            <w:rStyle w:val="Hyperlink"/>
            <w:noProof/>
            <w:lang w:val="en-GB"/>
          </w:rPr>
          <w:t>Discussion</w:t>
        </w:r>
        <w:r>
          <w:rPr>
            <w:noProof/>
            <w:webHidden/>
          </w:rPr>
          <w:tab/>
        </w:r>
        <w:r>
          <w:rPr>
            <w:noProof/>
            <w:webHidden/>
          </w:rPr>
          <w:fldChar w:fldCharType="begin"/>
        </w:r>
        <w:r>
          <w:rPr>
            <w:noProof/>
            <w:webHidden/>
          </w:rPr>
          <w:instrText xml:space="preserve"> PAGEREF _Toc234414372 \h </w:instrText>
        </w:r>
        <w:r>
          <w:rPr>
            <w:noProof/>
            <w:webHidden/>
          </w:rPr>
        </w:r>
        <w:r>
          <w:rPr>
            <w:noProof/>
            <w:webHidden/>
          </w:rPr>
          <w:fldChar w:fldCharType="separate"/>
        </w:r>
        <w:r w:rsidR="00180102">
          <w:rPr>
            <w:noProof/>
            <w:webHidden/>
          </w:rPr>
          <w:t>4</w:t>
        </w:r>
        <w:r>
          <w:rPr>
            <w:noProof/>
            <w:webHidden/>
          </w:rPr>
          <w:fldChar w:fldCharType="end"/>
        </w:r>
      </w:hyperlink>
    </w:p>
    <w:p w14:paraId="66EA8482" w14:textId="72707EA8" w:rsidR="00864FDA" w:rsidRPr="002D6A64" w:rsidRDefault="00864FDA">
      <w:pPr>
        <w:pStyle w:val="TOC1"/>
        <w:rPr>
          <w:noProof/>
          <w:lang w:eastAsia="en-AU"/>
        </w:rPr>
      </w:pPr>
      <w:hyperlink w:anchor="_Toc234414373" w:history="1">
        <w:r w:rsidRPr="00EC57EA">
          <w:rPr>
            <w:rStyle w:val="Hyperlink"/>
            <w:noProof/>
          </w:rPr>
          <w:t>Introduction</w:t>
        </w:r>
        <w:r>
          <w:rPr>
            <w:noProof/>
            <w:webHidden/>
          </w:rPr>
          <w:tab/>
        </w:r>
        <w:r>
          <w:rPr>
            <w:noProof/>
            <w:webHidden/>
          </w:rPr>
          <w:fldChar w:fldCharType="begin"/>
        </w:r>
        <w:r>
          <w:rPr>
            <w:noProof/>
            <w:webHidden/>
          </w:rPr>
          <w:instrText xml:space="preserve"> PAGEREF _Toc234414373 \h </w:instrText>
        </w:r>
        <w:r>
          <w:rPr>
            <w:noProof/>
            <w:webHidden/>
          </w:rPr>
        </w:r>
        <w:r>
          <w:rPr>
            <w:noProof/>
            <w:webHidden/>
          </w:rPr>
          <w:fldChar w:fldCharType="separate"/>
        </w:r>
        <w:r w:rsidR="00180102">
          <w:rPr>
            <w:noProof/>
            <w:webHidden/>
          </w:rPr>
          <w:t>5</w:t>
        </w:r>
        <w:r>
          <w:rPr>
            <w:noProof/>
            <w:webHidden/>
          </w:rPr>
          <w:fldChar w:fldCharType="end"/>
        </w:r>
      </w:hyperlink>
    </w:p>
    <w:p w14:paraId="4DEA5714" w14:textId="0B711CC1" w:rsidR="00864FDA" w:rsidRPr="002D6A64" w:rsidRDefault="00864FDA">
      <w:pPr>
        <w:pStyle w:val="TOC1"/>
        <w:rPr>
          <w:noProof/>
          <w:lang w:eastAsia="en-AU"/>
        </w:rPr>
      </w:pPr>
      <w:hyperlink w:anchor="_Toc234414374" w:history="1">
        <w:r w:rsidRPr="00EC57EA">
          <w:rPr>
            <w:rStyle w:val="Hyperlink"/>
            <w:noProof/>
            <w:lang w:val="en-GB"/>
          </w:rPr>
          <w:t>Methods</w:t>
        </w:r>
        <w:r>
          <w:rPr>
            <w:noProof/>
            <w:webHidden/>
          </w:rPr>
          <w:tab/>
        </w:r>
        <w:r>
          <w:rPr>
            <w:noProof/>
            <w:webHidden/>
          </w:rPr>
          <w:fldChar w:fldCharType="begin"/>
        </w:r>
        <w:r>
          <w:rPr>
            <w:noProof/>
            <w:webHidden/>
          </w:rPr>
          <w:instrText xml:space="preserve"> PAGEREF _Toc234414374 \h </w:instrText>
        </w:r>
        <w:r>
          <w:rPr>
            <w:noProof/>
            <w:webHidden/>
          </w:rPr>
        </w:r>
        <w:r>
          <w:rPr>
            <w:noProof/>
            <w:webHidden/>
          </w:rPr>
          <w:fldChar w:fldCharType="separate"/>
        </w:r>
        <w:r w:rsidR="00180102">
          <w:rPr>
            <w:noProof/>
            <w:webHidden/>
          </w:rPr>
          <w:t>6</w:t>
        </w:r>
        <w:r>
          <w:rPr>
            <w:noProof/>
            <w:webHidden/>
          </w:rPr>
          <w:fldChar w:fldCharType="end"/>
        </w:r>
      </w:hyperlink>
    </w:p>
    <w:p w14:paraId="321B6AAA" w14:textId="0A373BEF" w:rsidR="00864FDA" w:rsidRPr="002D6A64" w:rsidRDefault="00864FDA">
      <w:pPr>
        <w:pStyle w:val="TOC1"/>
        <w:rPr>
          <w:noProof/>
          <w:lang w:eastAsia="en-AU"/>
        </w:rPr>
      </w:pPr>
      <w:hyperlink w:anchor="_Toc234414375" w:history="1">
        <w:r w:rsidRPr="00EC57EA">
          <w:rPr>
            <w:rStyle w:val="Hyperlink"/>
            <w:noProof/>
          </w:rPr>
          <w:t>Results</w:t>
        </w:r>
        <w:r>
          <w:rPr>
            <w:noProof/>
            <w:webHidden/>
          </w:rPr>
          <w:tab/>
        </w:r>
        <w:r>
          <w:rPr>
            <w:noProof/>
            <w:webHidden/>
          </w:rPr>
          <w:fldChar w:fldCharType="begin"/>
        </w:r>
        <w:r>
          <w:rPr>
            <w:noProof/>
            <w:webHidden/>
          </w:rPr>
          <w:instrText xml:space="preserve"> PAGEREF _Toc234414375 \h </w:instrText>
        </w:r>
        <w:r>
          <w:rPr>
            <w:noProof/>
            <w:webHidden/>
          </w:rPr>
        </w:r>
        <w:r>
          <w:rPr>
            <w:noProof/>
            <w:webHidden/>
          </w:rPr>
          <w:fldChar w:fldCharType="separate"/>
        </w:r>
        <w:r w:rsidR="00180102">
          <w:rPr>
            <w:noProof/>
            <w:webHidden/>
          </w:rPr>
          <w:t>7</w:t>
        </w:r>
        <w:r>
          <w:rPr>
            <w:noProof/>
            <w:webHidden/>
          </w:rPr>
          <w:fldChar w:fldCharType="end"/>
        </w:r>
      </w:hyperlink>
    </w:p>
    <w:p w14:paraId="60D7D1C6" w14:textId="00847F6A" w:rsidR="00864FDA" w:rsidRPr="002D6A64" w:rsidRDefault="00864FDA">
      <w:pPr>
        <w:pStyle w:val="TOC2"/>
        <w:tabs>
          <w:tab w:val="right" w:leader="dot" w:pos="9629"/>
        </w:tabs>
        <w:rPr>
          <w:noProof/>
          <w:lang w:eastAsia="en-AU"/>
        </w:rPr>
      </w:pPr>
      <w:hyperlink w:anchor="_Toc234414376" w:history="1">
        <w:r w:rsidRPr="00EC57EA">
          <w:rPr>
            <w:rStyle w:val="Hyperlink"/>
            <w:noProof/>
            <w:lang w:val="en-GB"/>
          </w:rPr>
          <w:t>Summary and demographics</w:t>
        </w:r>
        <w:r>
          <w:rPr>
            <w:noProof/>
            <w:webHidden/>
          </w:rPr>
          <w:tab/>
        </w:r>
        <w:r>
          <w:rPr>
            <w:noProof/>
            <w:webHidden/>
          </w:rPr>
          <w:fldChar w:fldCharType="begin"/>
        </w:r>
        <w:r>
          <w:rPr>
            <w:noProof/>
            <w:webHidden/>
          </w:rPr>
          <w:instrText xml:space="preserve"> PAGEREF _Toc234414376 \h </w:instrText>
        </w:r>
        <w:r>
          <w:rPr>
            <w:noProof/>
            <w:webHidden/>
          </w:rPr>
        </w:r>
        <w:r>
          <w:rPr>
            <w:noProof/>
            <w:webHidden/>
          </w:rPr>
          <w:fldChar w:fldCharType="separate"/>
        </w:r>
        <w:r w:rsidR="00180102">
          <w:rPr>
            <w:noProof/>
            <w:webHidden/>
          </w:rPr>
          <w:t>7</w:t>
        </w:r>
        <w:r>
          <w:rPr>
            <w:noProof/>
            <w:webHidden/>
          </w:rPr>
          <w:fldChar w:fldCharType="end"/>
        </w:r>
      </w:hyperlink>
    </w:p>
    <w:p w14:paraId="529786D9" w14:textId="2F3AF92D" w:rsidR="00864FDA" w:rsidRPr="002D6A64" w:rsidRDefault="00864FDA">
      <w:pPr>
        <w:pStyle w:val="TOC2"/>
        <w:tabs>
          <w:tab w:val="right" w:leader="dot" w:pos="9629"/>
        </w:tabs>
        <w:rPr>
          <w:noProof/>
          <w:lang w:eastAsia="en-AU"/>
        </w:rPr>
      </w:pPr>
      <w:hyperlink w:anchor="_Toc234414377" w:history="1">
        <w:r w:rsidRPr="00EC57EA">
          <w:rPr>
            <w:rStyle w:val="Hyperlink"/>
            <w:noProof/>
            <w:lang w:val="en-GB"/>
          </w:rPr>
          <w:t>Cascade of care completeness</w:t>
        </w:r>
        <w:r>
          <w:rPr>
            <w:noProof/>
            <w:webHidden/>
          </w:rPr>
          <w:tab/>
        </w:r>
        <w:r>
          <w:rPr>
            <w:noProof/>
            <w:webHidden/>
          </w:rPr>
          <w:fldChar w:fldCharType="begin"/>
        </w:r>
        <w:r>
          <w:rPr>
            <w:noProof/>
            <w:webHidden/>
          </w:rPr>
          <w:instrText xml:space="preserve"> PAGEREF _Toc234414377 \h </w:instrText>
        </w:r>
        <w:r>
          <w:rPr>
            <w:noProof/>
            <w:webHidden/>
          </w:rPr>
        </w:r>
        <w:r>
          <w:rPr>
            <w:noProof/>
            <w:webHidden/>
          </w:rPr>
          <w:fldChar w:fldCharType="separate"/>
        </w:r>
        <w:r w:rsidR="00180102">
          <w:rPr>
            <w:noProof/>
            <w:webHidden/>
          </w:rPr>
          <w:t>7</w:t>
        </w:r>
        <w:r>
          <w:rPr>
            <w:noProof/>
            <w:webHidden/>
          </w:rPr>
          <w:fldChar w:fldCharType="end"/>
        </w:r>
      </w:hyperlink>
    </w:p>
    <w:p w14:paraId="1A1D1E95" w14:textId="3DD3D3E8" w:rsidR="00864FDA" w:rsidRPr="002D6A64" w:rsidRDefault="00864FDA">
      <w:pPr>
        <w:pStyle w:val="TOC2"/>
        <w:tabs>
          <w:tab w:val="right" w:leader="dot" w:pos="9629"/>
        </w:tabs>
        <w:rPr>
          <w:noProof/>
          <w:lang w:eastAsia="en-AU"/>
        </w:rPr>
      </w:pPr>
      <w:hyperlink w:anchor="_Toc234414378" w:history="1">
        <w:r w:rsidRPr="00EC57EA">
          <w:rPr>
            <w:rStyle w:val="Hyperlink"/>
            <w:noProof/>
          </w:rPr>
          <w:t>Reported care provision</w:t>
        </w:r>
        <w:r>
          <w:rPr>
            <w:noProof/>
            <w:webHidden/>
          </w:rPr>
          <w:tab/>
        </w:r>
        <w:r>
          <w:rPr>
            <w:noProof/>
            <w:webHidden/>
          </w:rPr>
          <w:fldChar w:fldCharType="begin"/>
        </w:r>
        <w:r>
          <w:rPr>
            <w:noProof/>
            <w:webHidden/>
          </w:rPr>
          <w:instrText xml:space="preserve"> PAGEREF _Toc234414378 \h </w:instrText>
        </w:r>
        <w:r>
          <w:rPr>
            <w:noProof/>
            <w:webHidden/>
          </w:rPr>
        </w:r>
        <w:r>
          <w:rPr>
            <w:noProof/>
            <w:webHidden/>
          </w:rPr>
          <w:fldChar w:fldCharType="separate"/>
        </w:r>
        <w:r w:rsidR="00180102">
          <w:rPr>
            <w:noProof/>
            <w:webHidden/>
          </w:rPr>
          <w:t>11</w:t>
        </w:r>
        <w:r>
          <w:rPr>
            <w:noProof/>
            <w:webHidden/>
          </w:rPr>
          <w:fldChar w:fldCharType="end"/>
        </w:r>
      </w:hyperlink>
    </w:p>
    <w:p w14:paraId="6A2AF53F" w14:textId="667F583A" w:rsidR="00864FDA" w:rsidRPr="002D6A64" w:rsidRDefault="00864FDA">
      <w:pPr>
        <w:pStyle w:val="TOC2"/>
        <w:tabs>
          <w:tab w:val="right" w:leader="dot" w:pos="9629"/>
        </w:tabs>
        <w:rPr>
          <w:noProof/>
          <w:lang w:eastAsia="en-AU"/>
        </w:rPr>
      </w:pPr>
      <w:hyperlink w:anchor="_Toc234414379" w:history="1">
        <w:r w:rsidRPr="00EC57EA">
          <w:rPr>
            <w:rStyle w:val="Hyperlink"/>
            <w:noProof/>
            <w:lang w:val="en-GB"/>
          </w:rPr>
          <w:t>Variations in reported care provision</w:t>
        </w:r>
        <w:r>
          <w:rPr>
            <w:noProof/>
            <w:webHidden/>
          </w:rPr>
          <w:tab/>
        </w:r>
        <w:r>
          <w:rPr>
            <w:noProof/>
            <w:webHidden/>
          </w:rPr>
          <w:fldChar w:fldCharType="begin"/>
        </w:r>
        <w:r>
          <w:rPr>
            <w:noProof/>
            <w:webHidden/>
          </w:rPr>
          <w:instrText xml:space="preserve"> PAGEREF _Toc234414379 \h </w:instrText>
        </w:r>
        <w:r>
          <w:rPr>
            <w:noProof/>
            <w:webHidden/>
          </w:rPr>
        </w:r>
        <w:r>
          <w:rPr>
            <w:noProof/>
            <w:webHidden/>
          </w:rPr>
          <w:fldChar w:fldCharType="separate"/>
        </w:r>
        <w:r w:rsidR="00180102">
          <w:rPr>
            <w:noProof/>
            <w:webHidden/>
          </w:rPr>
          <w:t>12</w:t>
        </w:r>
        <w:r>
          <w:rPr>
            <w:noProof/>
            <w:webHidden/>
          </w:rPr>
          <w:fldChar w:fldCharType="end"/>
        </w:r>
      </w:hyperlink>
    </w:p>
    <w:p w14:paraId="0D0F57CB" w14:textId="4D756AA9" w:rsidR="00864FDA" w:rsidRPr="002D6A64" w:rsidRDefault="00864FDA">
      <w:pPr>
        <w:pStyle w:val="TOC1"/>
        <w:rPr>
          <w:noProof/>
          <w:lang w:eastAsia="en-AU"/>
        </w:rPr>
      </w:pPr>
      <w:hyperlink w:anchor="_Toc234414380" w:history="1">
        <w:r w:rsidRPr="00EC57EA">
          <w:rPr>
            <w:rStyle w:val="Hyperlink"/>
            <w:noProof/>
          </w:rPr>
          <w:t>Discussion</w:t>
        </w:r>
        <w:r>
          <w:rPr>
            <w:noProof/>
            <w:webHidden/>
          </w:rPr>
          <w:tab/>
        </w:r>
        <w:r>
          <w:rPr>
            <w:noProof/>
            <w:webHidden/>
          </w:rPr>
          <w:fldChar w:fldCharType="begin"/>
        </w:r>
        <w:r>
          <w:rPr>
            <w:noProof/>
            <w:webHidden/>
          </w:rPr>
          <w:instrText xml:space="preserve"> PAGEREF _Toc234414380 \h </w:instrText>
        </w:r>
        <w:r>
          <w:rPr>
            <w:noProof/>
            <w:webHidden/>
          </w:rPr>
        </w:r>
        <w:r>
          <w:rPr>
            <w:noProof/>
            <w:webHidden/>
          </w:rPr>
          <w:fldChar w:fldCharType="separate"/>
        </w:r>
        <w:r w:rsidR="00180102">
          <w:rPr>
            <w:noProof/>
            <w:webHidden/>
          </w:rPr>
          <w:t>14</w:t>
        </w:r>
        <w:r>
          <w:rPr>
            <w:noProof/>
            <w:webHidden/>
          </w:rPr>
          <w:fldChar w:fldCharType="end"/>
        </w:r>
      </w:hyperlink>
    </w:p>
    <w:p w14:paraId="20A7BB6C" w14:textId="38DDC4ED" w:rsidR="00864FDA" w:rsidRPr="002D6A64" w:rsidRDefault="00864FDA">
      <w:pPr>
        <w:pStyle w:val="TOC1"/>
        <w:rPr>
          <w:noProof/>
          <w:lang w:eastAsia="en-AU"/>
        </w:rPr>
      </w:pPr>
      <w:hyperlink w:anchor="_Toc234414381" w:history="1">
        <w:r w:rsidRPr="00EC57EA">
          <w:rPr>
            <w:rStyle w:val="Hyperlink"/>
            <w:noProof/>
          </w:rPr>
          <w:t>Acknowledgments</w:t>
        </w:r>
        <w:r>
          <w:rPr>
            <w:noProof/>
            <w:webHidden/>
          </w:rPr>
          <w:tab/>
        </w:r>
        <w:r>
          <w:rPr>
            <w:noProof/>
            <w:webHidden/>
          </w:rPr>
          <w:fldChar w:fldCharType="begin"/>
        </w:r>
        <w:r>
          <w:rPr>
            <w:noProof/>
            <w:webHidden/>
          </w:rPr>
          <w:instrText xml:space="preserve"> PAGEREF _Toc234414381 \h </w:instrText>
        </w:r>
        <w:r>
          <w:rPr>
            <w:noProof/>
            <w:webHidden/>
          </w:rPr>
        </w:r>
        <w:r>
          <w:rPr>
            <w:noProof/>
            <w:webHidden/>
          </w:rPr>
          <w:fldChar w:fldCharType="separate"/>
        </w:r>
        <w:r w:rsidR="00180102">
          <w:rPr>
            <w:noProof/>
            <w:webHidden/>
          </w:rPr>
          <w:t>16</w:t>
        </w:r>
        <w:r>
          <w:rPr>
            <w:noProof/>
            <w:webHidden/>
          </w:rPr>
          <w:fldChar w:fldCharType="end"/>
        </w:r>
      </w:hyperlink>
    </w:p>
    <w:p w14:paraId="5DCDEC4F" w14:textId="458E93EB" w:rsidR="00864FDA" w:rsidRPr="002D6A64" w:rsidRDefault="00864FDA">
      <w:pPr>
        <w:pStyle w:val="TOC2"/>
        <w:tabs>
          <w:tab w:val="right" w:leader="dot" w:pos="9629"/>
        </w:tabs>
        <w:rPr>
          <w:noProof/>
          <w:lang w:eastAsia="en-AU"/>
        </w:rPr>
      </w:pPr>
      <w:hyperlink w:anchor="_Toc234414382" w:history="1">
        <w:r w:rsidRPr="00EC57EA">
          <w:rPr>
            <w:rStyle w:val="Hyperlink"/>
            <w:noProof/>
            <w:lang w:val="en-GB"/>
          </w:rPr>
          <w:t>Funding</w:t>
        </w:r>
        <w:r>
          <w:rPr>
            <w:noProof/>
            <w:webHidden/>
          </w:rPr>
          <w:tab/>
        </w:r>
        <w:r>
          <w:rPr>
            <w:noProof/>
            <w:webHidden/>
          </w:rPr>
          <w:fldChar w:fldCharType="begin"/>
        </w:r>
        <w:r>
          <w:rPr>
            <w:noProof/>
            <w:webHidden/>
          </w:rPr>
          <w:instrText xml:space="preserve"> PAGEREF _Toc234414382 \h </w:instrText>
        </w:r>
        <w:r>
          <w:rPr>
            <w:noProof/>
            <w:webHidden/>
          </w:rPr>
        </w:r>
        <w:r>
          <w:rPr>
            <w:noProof/>
            <w:webHidden/>
          </w:rPr>
          <w:fldChar w:fldCharType="separate"/>
        </w:r>
        <w:r w:rsidR="00180102">
          <w:rPr>
            <w:noProof/>
            <w:webHidden/>
          </w:rPr>
          <w:t>16</w:t>
        </w:r>
        <w:r>
          <w:rPr>
            <w:noProof/>
            <w:webHidden/>
          </w:rPr>
          <w:fldChar w:fldCharType="end"/>
        </w:r>
      </w:hyperlink>
    </w:p>
    <w:p w14:paraId="3FEF76E1" w14:textId="2CB44855" w:rsidR="00864FDA" w:rsidRPr="002D6A64" w:rsidRDefault="00864FDA">
      <w:pPr>
        <w:pStyle w:val="TOC2"/>
        <w:tabs>
          <w:tab w:val="right" w:leader="dot" w:pos="9629"/>
        </w:tabs>
        <w:rPr>
          <w:noProof/>
          <w:lang w:eastAsia="en-AU"/>
        </w:rPr>
      </w:pPr>
      <w:hyperlink w:anchor="_Toc234414383" w:history="1">
        <w:r w:rsidRPr="00EC57EA">
          <w:rPr>
            <w:rStyle w:val="Hyperlink"/>
            <w:noProof/>
            <w:lang w:val="en-GB"/>
          </w:rPr>
          <w:t>Competing interests</w:t>
        </w:r>
        <w:r>
          <w:rPr>
            <w:noProof/>
            <w:webHidden/>
          </w:rPr>
          <w:tab/>
        </w:r>
        <w:r>
          <w:rPr>
            <w:noProof/>
            <w:webHidden/>
          </w:rPr>
          <w:fldChar w:fldCharType="begin"/>
        </w:r>
        <w:r>
          <w:rPr>
            <w:noProof/>
            <w:webHidden/>
          </w:rPr>
          <w:instrText xml:space="preserve"> PAGEREF _Toc234414383 \h </w:instrText>
        </w:r>
        <w:r>
          <w:rPr>
            <w:noProof/>
            <w:webHidden/>
          </w:rPr>
        </w:r>
        <w:r>
          <w:rPr>
            <w:noProof/>
            <w:webHidden/>
          </w:rPr>
          <w:fldChar w:fldCharType="separate"/>
        </w:r>
        <w:r w:rsidR="00180102">
          <w:rPr>
            <w:noProof/>
            <w:webHidden/>
          </w:rPr>
          <w:t>16</w:t>
        </w:r>
        <w:r>
          <w:rPr>
            <w:noProof/>
            <w:webHidden/>
          </w:rPr>
          <w:fldChar w:fldCharType="end"/>
        </w:r>
      </w:hyperlink>
    </w:p>
    <w:p w14:paraId="60B069F5" w14:textId="26253BCA" w:rsidR="00864FDA" w:rsidRPr="002D6A64" w:rsidRDefault="00864FDA">
      <w:pPr>
        <w:pStyle w:val="TOC2"/>
        <w:tabs>
          <w:tab w:val="right" w:leader="dot" w:pos="9629"/>
        </w:tabs>
        <w:rPr>
          <w:noProof/>
          <w:lang w:eastAsia="en-AU"/>
        </w:rPr>
      </w:pPr>
      <w:hyperlink w:anchor="_Toc234414384" w:history="1">
        <w:r w:rsidRPr="00EC57EA">
          <w:rPr>
            <w:rStyle w:val="Hyperlink"/>
            <w:noProof/>
            <w:lang w:val="en-GB"/>
          </w:rPr>
          <w:t>Ethical statement</w:t>
        </w:r>
        <w:r>
          <w:rPr>
            <w:noProof/>
            <w:webHidden/>
          </w:rPr>
          <w:tab/>
        </w:r>
        <w:r>
          <w:rPr>
            <w:noProof/>
            <w:webHidden/>
          </w:rPr>
          <w:fldChar w:fldCharType="begin"/>
        </w:r>
        <w:r>
          <w:rPr>
            <w:noProof/>
            <w:webHidden/>
          </w:rPr>
          <w:instrText xml:space="preserve"> PAGEREF _Toc234414384 \h </w:instrText>
        </w:r>
        <w:r>
          <w:rPr>
            <w:noProof/>
            <w:webHidden/>
          </w:rPr>
        </w:r>
        <w:r>
          <w:rPr>
            <w:noProof/>
            <w:webHidden/>
          </w:rPr>
          <w:fldChar w:fldCharType="separate"/>
        </w:r>
        <w:r w:rsidR="00180102">
          <w:rPr>
            <w:noProof/>
            <w:webHidden/>
          </w:rPr>
          <w:t>16</w:t>
        </w:r>
        <w:r>
          <w:rPr>
            <w:noProof/>
            <w:webHidden/>
          </w:rPr>
          <w:fldChar w:fldCharType="end"/>
        </w:r>
      </w:hyperlink>
    </w:p>
    <w:p w14:paraId="6ADDBC22" w14:textId="54A857F0" w:rsidR="00864FDA" w:rsidRPr="002D6A64" w:rsidRDefault="00864FDA">
      <w:pPr>
        <w:pStyle w:val="TOC1"/>
        <w:rPr>
          <w:noProof/>
          <w:lang w:eastAsia="en-AU"/>
        </w:rPr>
      </w:pPr>
      <w:hyperlink w:anchor="_Toc234414385" w:history="1">
        <w:r w:rsidRPr="00EC57EA">
          <w:rPr>
            <w:rStyle w:val="Hyperlink"/>
            <w:noProof/>
          </w:rPr>
          <w:t>Author details</w:t>
        </w:r>
        <w:r>
          <w:rPr>
            <w:noProof/>
            <w:webHidden/>
          </w:rPr>
          <w:tab/>
        </w:r>
        <w:r>
          <w:rPr>
            <w:noProof/>
            <w:webHidden/>
          </w:rPr>
          <w:fldChar w:fldCharType="begin"/>
        </w:r>
        <w:r>
          <w:rPr>
            <w:noProof/>
            <w:webHidden/>
          </w:rPr>
          <w:instrText xml:space="preserve"> PAGEREF _Toc234414385 \h </w:instrText>
        </w:r>
        <w:r>
          <w:rPr>
            <w:noProof/>
            <w:webHidden/>
          </w:rPr>
        </w:r>
        <w:r>
          <w:rPr>
            <w:noProof/>
            <w:webHidden/>
          </w:rPr>
          <w:fldChar w:fldCharType="separate"/>
        </w:r>
        <w:r w:rsidR="00180102">
          <w:rPr>
            <w:noProof/>
            <w:webHidden/>
          </w:rPr>
          <w:t>17</w:t>
        </w:r>
        <w:r>
          <w:rPr>
            <w:noProof/>
            <w:webHidden/>
          </w:rPr>
          <w:fldChar w:fldCharType="end"/>
        </w:r>
      </w:hyperlink>
    </w:p>
    <w:p w14:paraId="57876647" w14:textId="67B7F1DD" w:rsidR="00864FDA" w:rsidRPr="002D6A64" w:rsidRDefault="00864FDA">
      <w:pPr>
        <w:pStyle w:val="TOC1"/>
        <w:rPr>
          <w:noProof/>
          <w:lang w:eastAsia="en-AU"/>
        </w:rPr>
      </w:pPr>
      <w:hyperlink w:anchor="_Toc234414386" w:history="1">
        <w:r w:rsidRPr="00EC57EA">
          <w:rPr>
            <w:rStyle w:val="Hyperlink"/>
            <w:noProof/>
          </w:rPr>
          <w:t>References</w:t>
        </w:r>
        <w:r>
          <w:rPr>
            <w:noProof/>
            <w:webHidden/>
          </w:rPr>
          <w:tab/>
        </w:r>
        <w:r>
          <w:rPr>
            <w:noProof/>
            <w:webHidden/>
          </w:rPr>
          <w:fldChar w:fldCharType="begin"/>
        </w:r>
        <w:r>
          <w:rPr>
            <w:noProof/>
            <w:webHidden/>
          </w:rPr>
          <w:instrText xml:space="preserve"> PAGEREF _Toc234414386 \h </w:instrText>
        </w:r>
        <w:r>
          <w:rPr>
            <w:noProof/>
            <w:webHidden/>
          </w:rPr>
        </w:r>
        <w:r>
          <w:rPr>
            <w:noProof/>
            <w:webHidden/>
          </w:rPr>
          <w:fldChar w:fldCharType="separate"/>
        </w:r>
        <w:r w:rsidR="00180102">
          <w:rPr>
            <w:noProof/>
            <w:webHidden/>
          </w:rPr>
          <w:t>18</w:t>
        </w:r>
        <w:r>
          <w:rPr>
            <w:noProof/>
            <w:webHidden/>
          </w:rPr>
          <w:fldChar w:fldCharType="end"/>
        </w:r>
      </w:hyperlink>
    </w:p>
    <w:p w14:paraId="713F106D" w14:textId="006B8A70" w:rsidR="00F216F0" w:rsidRPr="00F216F0" w:rsidRDefault="005A4E9D" w:rsidP="00F216F0">
      <w:r>
        <w:rPr>
          <w:rFonts w:eastAsiaTheme="minorHAnsi" w:cstheme="minorHAnsi"/>
          <w:szCs w:val="24"/>
          <w:lang w:eastAsia="en-US"/>
        </w:rPr>
        <w:fldChar w:fldCharType="end"/>
      </w:r>
    </w:p>
    <w:p w14:paraId="6B0308EB" w14:textId="77777777" w:rsidR="00F25C00" w:rsidRDefault="0098426C" w:rsidP="00A24E95">
      <w:pPr>
        <w:pStyle w:val="Heading1"/>
      </w:pPr>
      <w:bookmarkStart w:id="8" w:name="_Toc195530498"/>
      <w:bookmarkStart w:id="9" w:name="_Toc234414368"/>
      <w:bookmarkEnd w:id="7"/>
      <w:r>
        <w:t>Abstract</w:t>
      </w:r>
      <w:bookmarkEnd w:id="8"/>
      <w:bookmarkEnd w:id="9"/>
    </w:p>
    <w:p w14:paraId="352E262C" w14:textId="77777777" w:rsidR="006E1CCC" w:rsidRPr="006E1CCC" w:rsidRDefault="006E1CCC" w:rsidP="006E1CCC">
      <w:pPr>
        <w:pStyle w:val="Heading2"/>
        <w:rPr>
          <w:lang w:val="en-GB"/>
        </w:rPr>
      </w:pPr>
      <w:bookmarkStart w:id="10" w:name="_Toc234414369"/>
      <w:r w:rsidRPr="006E1CCC">
        <w:rPr>
          <w:lang w:val="en-GB"/>
        </w:rPr>
        <w:t>Background</w:t>
      </w:r>
      <w:bookmarkEnd w:id="10"/>
    </w:p>
    <w:p w14:paraId="467B3868" w14:textId="4AA5539C" w:rsidR="006E1CCC" w:rsidRPr="006E1CCC" w:rsidRDefault="006E1CCC" w:rsidP="006E1CCC">
      <w:pPr>
        <w:rPr>
          <w:lang w:val="en-GB"/>
        </w:rPr>
      </w:pPr>
      <w:r w:rsidRPr="006E1CCC">
        <w:rPr>
          <w:lang w:val="en-GB"/>
        </w:rPr>
        <w:t>There are known gaps in care uptake for hepatitis B virus (HBV) and hepatitis C virus (HCV) infection, and public health surveillance represents an opportunity to support health service engagement for cases; however, specific data are lacking regarding follow-up after diagnosis. We</w:t>
      </w:r>
      <w:r>
        <w:rPr>
          <w:lang w:val="en-GB"/>
        </w:rPr>
        <w:t> </w:t>
      </w:r>
      <w:r w:rsidRPr="006E1CCC">
        <w:rPr>
          <w:lang w:val="en-GB"/>
        </w:rPr>
        <w:t>assessed outcomes of a Victorian initiative to enhance data availability and to support linkage to care.</w:t>
      </w:r>
    </w:p>
    <w:p w14:paraId="002FC022" w14:textId="77777777" w:rsidR="006E1CCC" w:rsidRPr="006E1CCC" w:rsidRDefault="006E1CCC" w:rsidP="006E1CCC">
      <w:pPr>
        <w:pStyle w:val="Heading2"/>
        <w:rPr>
          <w:lang w:val="en-GB"/>
        </w:rPr>
      </w:pPr>
      <w:bookmarkStart w:id="11" w:name="_Toc234414370"/>
      <w:r w:rsidRPr="006E1CCC">
        <w:rPr>
          <w:lang w:val="en-GB"/>
        </w:rPr>
        <w:t>Methods</w:t>
      </w:r>
      <w:bookmarkEnd w:id="11"/>
    </w:p>
    <w:p w14:paraId="42EA7D5E" w14:textId="77777777" w:rsidR="006E1CCC" w:rsidRPr="006E1CCC" w:rsidRDefault="006E1CCC" w:rsidP="006E1CCC">
      <w:pPr>
        <w:rPr>
          <w:lang w:val="en-GB"/>
        </w:rPr>
      </w:pPr>
      <w:r w:rsidRPr="006E1CCC">
        <w:rPr>
          <w:lang w:val="en-GB"/>
        </w:rPr>
        <w:t>Notified cases of HBV and HCV within Victoria during 2023–2024 were analysed to determine post-diagnosis follow-up, including variation by demographics and setting, and reported reasons for lack of linkage to care.</w:t>
      </w:r>
    </w:p>
    <w:p w14:paraId="38D84EA6" w14:textId="77777777" w:rsidR="006E1CCC" w:rsidRPr="006E1CCC" w:rsidRDefault="006E1CCC" w:rsidP="006E1CCC">
      <w:pPr>
        <w:pStyle w:val="Heading2"/>
        <w:rPr>
          <w:lang w:val="en-GB"/>
        </w:rPr>
      </w:pPr>
      <w:bookmarkStart w:id="12" w:name="_Toc234414371"/>
      <w:r w:rsidRPr="006E1CCC">
        <w:rPr>
          <w:lang w:val="en-GB"/>
        </w:rPr>
        <w:t>Results</w:t>
      </w:r>
      <w:bookmarkEnd w:id="12"/>
    </w:p>
    <w:p w14:paraId="5D4E13D0" w14:textId="77777777" w:rsidR="006E1CCC" w:rsidRPr="006E1CCC" w:rsidRDefault="006E1CCC" w:rsidP="006E1CCC">
      <w:pPr>
        <w:rPr>
          <w:lang w:val="en-GB"/>
        </w:rPr>
      </w:pPr>
      <w:r w:rsidRPr="006E1CCC">
        <w:rPr>
          <w:lang w:val="en-GB"/>
        </w:rPr>
        <w:t xml:space="preserve">Information was available for two-thirds of cases. For HBV, 37.7% reported current treatment or management, while 53.6% reported referral or assessment in progress; for HCV, these proportions were 33.3% and 54.7%. Reasons for gaps included loss to follow-up, cost barriers, and misapplication of HBV treatment criteria. </w:t>
      </w:r>
    </w:p>
    <w:p w14:paraId="175B06C7" w14:textId="77777777" w:rsidR="006E1CCC" w:rsidRPr="006E1CCC" w:rsidRDefault="006E1CCC" w:rsidP="006E1CCC">
      <w:pPr>
        <w:pStyle w:val="Heading2"/>
        <w:rPr>
          <w:lang w:val="en-GB"/>
        </w:rPr>
      </w:pPr>
      <w:bookmarkStart w:id="13" w:name="_Toc234414372"/>
      <w:r w:rsidRPr="006E1CCC">
        <w:rPr>
          <w:lang w:val="en-GB"/>
        </w:rPr>
        <w:t>Discussion</w:t>
      </w:r>
      <w:bookmarkEnd w:id="13"/>
    </w:p>
    <w:p w14:paraId="1A1FCF92" w14:textId="77777777" w:rsidR="006E1CCC" w:rsidRPr="006E1CCC" w:rsidRDefault="006E1CCC" w:rsidP="006E1CCC">
      <w:pPr>
        <w:pStyle w:val="Normal-morespaceafter"/>
        <w:rPr>
          <w:lang w:val="en-GB"/>
        </w:rPr>
      </w:pPr>
      <w:r w:rsidRPr="006E1CCC">
        <w:rPr>
          <w:lang w:val="en-GB"/>
        </w:rPr>
        <w:t xml:space="preserve">Cascade of care information can be effectively collected via public health surveillance, and these systems represent an opportunity to support prioritisation of public health follow-up. </w:t>
      </w:r>
    </w:p>
    <w:p w14:paraId="2EC2C095" w14:textId="322D5EA9" w:rsidR="00B73144" w:rsidRDefault="00B73144" w:rsidP="00E61A68">
      <w:pPr>
        <w:pStyle w:val="CDIBoxText"/>
        <w:rPr>
          <w:lang w:val="en-GB"/>
        </w:rPr>
      </w:pPr>
      <w:r w:rsidRPr="00E61A68">
        <w:t>Keywords</w:t>
      </w:r>
      <w:r w:rsidR="00BF1476">
        <w:t xml:space="preserve">: </w:t>
      </w:r>
      <w:r w:rsidR="006E1CCC" w:rsidRPr="006E1CCC">
        <w:t>hepatitis B; hepatitis C; linkage to care; surveillance; antiviral treatment</w:t>
      </w:r>
    </w:p>
    <w:p w14:paraId="0062CF7A" w14:textId="77777777" w:rsidR="0037146D" w:rsidRDefault="00B73144" w:rsidP="00B73144">
      <w:pPr>
        <w:pStyle w:val="Heading1"/>
      </w:pPr>
      <w:bookmarkStart w:id="14" w:name="_Toc195530501"/>
      <w:bookmarkStart w:id="15" w:name="_Toc234414373"/>
      <w:r>
        <w:t>Introduction</w:t>
      </w:r>
      <w:bookmarkEnd w:id="14"/>
      <w:bookmarkEnd w:id="15"/>
    </w:p>
    <w:p w14:paraId="4B618225" w14:textId="77777777" w:rsidR="00A91EEC" w:rsidRPr="00A91EEC" w:rsidRDefault="00A91EEC" w:rsidP="00A91EEC">
      <w:pPr>
        <w:pStyle w:val="Normal-Opening"/>
        <w:rPr>
          <w:lang w:val="en-GB"/>
        </w:rPr>
      </w:pPr>
      <w:r w:rsidRPr="00A91EEC">
        <w:rPr>
          <w:lang w:val="en-GB"/>
        </w:rPr>
        <w:t>Chronic hepatitis B virus (HBV) and hepatitis C virus (HCV) infection cause a substantial ongoing burden of disease in Australia, resulting in an estimated 1,000 deaths per year due to advanced liver disease and liver cancer.</w:t>
      </w:r>
      <w:r w:rsidRPr="00A91EEC">
        <w:rPr>
          <w:vertAlign w:val="superscript"/>
          <w:lang w:val="en-GB"/>
        </w:rPr>
        <w:t>1,2</w:t>
      </w:r>
      <w:r w:rsidRPr="00A91EEC">
        <w:rPr>
          <w:lang w:val="en-GB"/>
        </w:rPr>
        <w:t xml:space="preserve"> These outcomes can be largely avoided by the timely delivery of guideline-based care, including follow-up testing and monitoring after diagnosis and antiviral treatment where indicated.</w:t>
      </w:r>
      <w:r w:rsidRPr="00A91EEC">
        <w:rPr>
          <w:vertAlign w:val="superscript"/>
          <w:lang w:val="en-GB"/>
        </w:rPr>
        <w:t>3,4</w:t>
      </w:r>
      <w:r w:rsidRPr="00A91EEC">
        <w:rPr>
          <w:lang w:val="en-GB"/>
        </w:rPr>
        <w:t xml:space="preserve"> However, there are identified gaps in care,</w:t>
      </w:r>
      <w:r w:rsidRPr="00A91EEC">
        <w:rPr>
          <w:vertAlign w:val="superscript"/>
          <w:lang w:val="en-GB"/>
        </w:rPr>
        <w:t>2,5</w:t>
      </w:r>
      <w:r w:rsidRPr="00A91EEC">
        <w:rPr>
          <w:lang w:val="en-GB"/>
        </w:rPr>
        <w:t xml:space="preserve"> and improved uptake is needed to reduce avoidable morbidity and mortality.</w:t>
      </w:r>
      <w:r w:rsidRPr="00A91EEC">
        <w:rPr>
          <w:vertAlign w:val="superscript"/>
          <w:lang w:val="en-GB"/>
        </w:rPr>
        <w:t>1,2,6,7</w:t>
      </w:r>
      <w:r w:rsidRPr="00A91EEC">
        <w:rPr>
          <w:lang w:val="en-GB"/>
        </w:rPr>
        <w:t xml:space="preserve"> </w:t>
      </w:r>
    </w:p>
    <w:p w14:paraId="76CAAF76" w14:textId="77777777" w:rsidR="00A91EEC" w:rsidRPr="00A91EEC" w:rsidRDefault="00A91EEC" w:rsidP="00A91EEC">
      <w:pPr>
        <w:rPr>
          <w:lang w:val="en-GB"/>
        </w:rPr>
      </w:pPr>
      <w:r w:rsidRPr="00A91EEC">
        <w:rPr>
          <w:lang w:val="en-GB"/>
        </w:rPr>
        <w:t>HBV and HCV infection are notifiable conditions in all Australian states and territories.</w:t>
      </w:r>
      <w:r w:rsidRPr="00A91EEC">
        <w:rPr>
          <w:vertAlign w:val="superscript"/>
          <w:lang w:val="en-GB"/>
        </w:rPr>
        <w:t>8</w:t>
      </w:r>
      <w:r w:rsidRPr="00A91EEC">
        <w:rPr>
          <w:lang w:val="en-GB"/>
        </w:rPr>
        <w:t xml:space="preserve"> Victorian public health units play a role in both data collection for newly diagnosed cases, and increasingly are actively supporting primary care providers (who provide the majority of testing and diagnosis for these conditions)</w:t>
      </w:r>
      <w:r w:rsidRPr="00A91EEC">
        <w:rPr>
          <w:vertAlign w:val="superscript"/>
          <w:lang w:val="en-GB"/>
        </w:rPr>
        <w:t>9,10</w:t>
      </w:r>
      <w:r w:rsidRPr="00A91EEC">
        <w:rPr>
          <w:lang w:val="en-GB"/>
        </w:rPr>
        <w:t xml:space="preserve"> to facilitate management of diagnosed individuals.</w:t>
      </w:r>
      <w:r w:rsidRPr="00A91EEC">
        <w:rPr>
          <w:vertAlign w:val="superscript"/>
          <w:lang w:val="en-GB"/>
        </w:rPr>
        <w:t>11,12</w:t>
      </w:r>
      <w:r w:rsidRPr="00A91EEC">
        <w:rPr>
          <w:lang w:val="en-GB"/>
        </w:rPr>
        <w:t xml:space="preserve"> Improved and enhanced data collection would support public health actions and would identify gaps in care, especially among individuals from marginalised populations who have a greater risk of not being reached by health care services. </w:t>
      </w:r>
    </w:p>
    <w:p w14:paraId="58BA42E4" w14:textId="77777777" w:rsidR="00A91EEC" w:rsidRPr="00A91EEC" w:rsidRDefault="00A91EEC" w:rsidP="00A91EEC">
      <w:pPr>
        <w:rPr>
          <w:lang w:val="en-GB"/>
        </w:rPr>
      </w:pPr>
      <w:r w:rsidRPr="00A91EEC">
        <w:rPr>
          <w:lang w:val="en-GB"/>
        </w:rPr>
        <w:t>In the state of Victoria, newly acquired cases have been routinely subject to enhanced surveillance, while historically more limited data were available for unspecified (usually chronic) cases. Initial work to improve the surveillance system has been successful in improving completeness of key variables such as country of birth and injecting drug use history.</w:t>
      </w:r>
      <w:r w:rsidRPr="00A91EEC">
        <w:rPr>
          <w:vertAlign w:val="superscript"/>
          <w:lang w:val="en-GB"/>
        </w:rPr>
        <w:t>13</w:t>
      </w:r>
      <w:r w:rsidRPr="00A91EEC">
        <w:rPr>
          <w:lang w:val="en-GB"/>
        </w:rPr>
        <w:t xml:space="preserve"> Further enhanced surveillance, which includes the collection of additional data regarding follow-up care such as polymerase chain reaction (PCR) testing and treatment prescription, has also been trialled and has been shown to facilitate care engagement for HCV.</w:t>
      </w:r>
      <w:r w:rsidRPr="00A91EEC">
        <w:rPr>
          <w:vertAlign w:val="superscript"/>
          <w:lang w:val="en-GB"/>
        </w:rPr>
        <w:t>11</w:t>
      </w:r>
      <w:r w:rsidRPr="00A91EEC">
        <w:rPr>
          <w:lang w:val="en-GB"/>
        </w:rPr>
        <w:t xml:space="preserve"> Following this work, new fields for HBV and HCV care engagement have been added to existing routine case data collection mechanisms</w:t>
      </w:r>
      <w:r w:rsidRPr="00A91EEC">
        <w:rPr>
          <w:vertAlign w:val="superscript"/>
          <w:lang w:val="en-GB"/>
        </w:rPr>
        <w:t>14,15</w:t>
      </w:r>
      <w:r w:rsidRPr="00A91EEC">
        <w:rPr>
          <w:lang w:val="en-GB"/>
        </w:rPr>
        <w:t xml:space="preserve"> and paired with work in local public health units to develop response protocols to increase support for diagnosing clinicians. </w:t>
      </w:r>
    </w:p>
    <w:p w14:paraId="69BE2966" w14:textId="147B74BB" w:rsidR="00AC46DC" w:rsidRPr="00AC46DC" w:rsidRDefault="00A91EEC" w:rsidP="00AC46DC">
      <w:r w:rsidRPr="00A91EEC">
        <w:rPr>
          <w:lang w:val="en-GB"/>
        </w:rPr>
        <w:t>This paper assesses completeness of these new enhanced data collection fields; addresses the reported care provision for newly diagnosed HBV and HCV in Victoria (including variation by population group and barriers to care); and explores the utility of this system to support enhanced engagement in care.</w:t>
      </w:r>
    </w:p>
    <w:p w14:paraId="3F472318" w14:textId="77777777" w:rsidR="00A24E95" w:rsidRDefault="00B73144" w:rsidP="00B73144">
      <w:pPr>
        <w:pStyle w:val="Heading1"/>
        <w:rPr>
          <w:lang w:val="en-GB"/>
        </w:rPr>
      </w:pPr>
      <w:bookmarkStart w:id="16" w:name="_Toc195530502"/>
      <w:bookmarkStart w:id="17" w:name="_Toc234414374"/>
      <w:r>
        <w:rPr>
          <w:lang w:val="en-GB"/>
        </w:rPr>
        <w:t>Methods</w:t>
      </w:r>
      <w:bookmarkEnd w:id="16"/>
      <w:bookmarkEnd w:id="17"/>
    </w:p>
    <w:p w14:paraId="6E307101" w14:textId="77777777" w:rsidR="00A91EEC" w:rsidRPr="00A91EEC" w:rsidRDefault="00A91EEC" w:rsidP="00A91EEC">
      <w:pPr>
        <w:pStyle w:val="Normal-Opening"/>
        <w:rPr>
          <w:lang w:val="en-GB"/>
        </w:rPr>
      </w:pPr>
      <w:r w:rsidRPr="00A91EEC">
        <w:rPr>
          <w:lang w:val="en-GB"/>
        </w:rPr>
        <w:t>We analysed all newly diagnosed cases of unspecified HBV and HCV infection notified to the Victorian Government Department of Health from 1 January 2023 to 31 December 2024, after the three new fields for HBV and HCV care engagement were added to the existing case report form. Data were extracted in August 2025, to allow sufficient time for ascertaining clinical follow-up. ‘Unspecified’ cases are those acquired more than 24 months prior to diagnosis or of unspecified period of infection, in accordance with national case definitions,</w:t>
      </w:r>
      <w:r w:rsidRPr="00A91EEC">
        <w:rPr>
          <w:vertAlign w:val="superscript"/>
          <w:lang w:val="en-GB"/>
        </w:rPr>
        <w:t>8</w:t>
      </w:r>
      <w:r w:rsidRPr="00A91EEC">
        <w:rPr>
          <w:lang w:val="en-GB"/>
        </w:rPr>
        <w:t xml:space="preserve"> and represent </w:t>
      </w:r>
      <w:proofErr w:type="gramStart"/>
      <w:r w:rsidRPr="00A91EEC">
        <w:rPr>
          <w:lang w:val="en-GB"/>
        </w:rPr>
        <w:t>the vast majority of</w:t>
      </w:r>
      <w:proofErr w:type="gramEnd"/>
      <w:r w:rsidRPr="00A91EEC">
        <w:rPr>
          <w:lang w:val="en-GB"/>
        </w:rPr>
        <w:t xml:space="preserve"> cases of both HBV and HCV. A case is notifiable </w:t>
      </w:r>
      <w:proofErr w:type="gramStart"/>
      <w:r w:rsidRPr="00A91EEC">
        <w:rPr>
          <w:lang w:val="en-GB"/>
        </w:rPr>
        <w:t>on the basis of</w:t>
      </w:r>
      <w:proofErr w:type="gramEnd"/>
      <w:r w:rsidRPr="00A91EEC">
        <w:rPr>
          <w:lang w:val="en-GB"/>
        </w:rPr>
        <w:t xml:space="preserve"> laboratory evidence for infection with HBV or HCV, based on either diagnostic serology or follow-up PCR testing. The notification represents the first report of the case in Victoria, usually at the time of diagnosis but also including those previously diagnosed outside Victoria. </w:t>
      </w:r>
    </w:p>
    <w:p w14:paraId="536C137F" w14:textId="77777777" w:rsidR="00A91EEC" w:rsidRPr="00A91EEC" w:rsidRDefault="00A91EEC" w:rsidP="002D6A64">
      <w:pPr>
        <w:pStyle w:val="Normallessspace"/>
        <w:rPr>
          <w:lang w:val="en-GB"/>
        </w:rPr>
      </w:pPr>
      <w:r w:rsidRPr="00A91EEC">
        <w:rPr>
          <w:lang w:val="en-GB"/>
        </w:rPr>
        <w:t xml:space="preserve">Information regarding case characteristics and care provision is ascertained directly from the diagnosing clinician by staff at Victoria’s Local Public Health Units (LPHUs). Optimally this is collected for all unspecified cases; however, capacity varies by LPHU, and prioritisation may be applied based on factors such as risk of onward transmission (for example, diagnosis during pregnancy). Follow-up incorporates a time delay to allow for the care provision to occur prior to contact. </w:t>
      </w:r>
    </w:p>
    <w:p w14:paraId="7434CAC5" w14:textId="77777777" w:rsidR="00A91EEC" w:rsidRPr="00A91EEC" w:rsidRDefault="00A91EEC" w:rsidP="002D6A64">
      <w:pPr>
        <w:pStyle w:val="Normallessspace"/>
        <w:rPr>
          <w:lang w:val="en-GB"/>
        </w:rPr>
      </w:pPr>
      <w:r w:rsidRPr="00A91EEC">
        <w:rPr>
          <w:lang w:val="en-GB"/>
        </w:rPr>
        <w:t>Summary demographics (proportion according to sex, and median and interquartile range (IQR) of age at time of notification) were generated. Data were extracted for the new care provision variables, which assess whether the case has had follow-up PCR testing; the result of this test (positive or negative); whether the case had been offered treatment by the diagnosing clinician; and if not, why (both pre-specified options and free text parsed for key responses). The data collection forms used are available from the Victorian Government Department of Health for hepatitis B and hepatitis C.</w:t>
      </w:r>
      <w:r w:rsidRPr="00A91EEC">
        <w:rPr>
          <w:vertAlign w:val="superscript"/>
          <w:lang w:val="en-GB"/>
        </w:rPr>
        <w:t>14,15</w:t>
      </w:r>
      <w:r w:rsidRPr="00A91EEC">
        <w:rPr>
          <w:lang w:val="en-GB"/>
        </w:rPr>
        <w:t xml:space="preserve"> </w:t>
      </w:r>
    </w:p>
    <w:p w14:paraId="2853ED64" w14:textId="77777777" w:rsidR="00A91EEC" w:rsidRPr="00A91EEC" w:rsidRDefault="00A91EEC" w:rsidP="002D6A64">
      <w:pPr>
        <w:pStyle w:val="Normallessspace"/>
        <w:rPr>
          <w:lang w:val="en-GB"/>
        </w:rPr>
      </w:pPr>
      <w:r w:rsidRPr="00A91EEC">
        <w:rPr>
          <w:lang w:val="en-GB"/>
        </w:rPr>
        <w:t xml:space="preserve">We calculated the proportion of cases where any care provision information was collected. Of those with information complete, the proportion of cases where PCR testing was provided, and the proportion where treatment was offered by the diagnosing clinician, were assessed. Of those not offered treatment by the diagnosing clinician, the proportion of people with each reason was identified. This analysis was conducted for all HBV cases, and for HCV cases that did not have a negative PCR test reported (who would not require treatment). For hepatitis B, offering treatment, assessing clinical need, and monitoring are grouped; these all represent acceptable management pathways (as most cases do not require treatment). </w:t>
      </w:r>
    </w:p>
    <w:p w14:paraId="36C6D8B1" w14:textId="77777777" w:rsidR="00A91EEC" w:rsidRPr="00A91EEC" w:rsidRDefault="00A91EEC" w:rsidP="002D6A64">
      <w:pPr>
        <w:pStyle w:val="Normallessspace"/>
        <w:rPr>
          <w:lang w:val="en-GB"/>
        </w:rPr>
      </w:pPr>
      <w:r w:rsidRPr="00A91EEC">
        <w:rPr>
          <w:lang w:val="en-GB"/>
        </w:rPr>
        <w:t xml:space="preserve">The proportion of cases where cascade of care information was available, and reported care provision among those with complete data, was assessed according to the case’s region of residence (metropolitan/non-metropolitan); age group; sex; and year. Notifier information was analysed to identify the diagnostic setting (e.g. primary care, hospital, correctional facility), and data were analysed within these categories where case numbers were able to be reported (5 or more cases </w:t>
      </w:r>
      <w:proofErr w:type="gramStart"/>
      <w:r w:rsidRPr="00A91EEC">
        <w:rPr>
          <w:lang w:val="en-GB"/>
        </w:rPr>
        <w:t>in a given</w:t>
      </w:r>
      <w:proofErr w:type="gramEnd"/>
      <w:r w:rsidRPr="00A91EEC">
        <w:rPr>
          <w:lang w:val="en-GB"/>
        </w:rPr>
        <w:t xml:space="preserve"> category). Significance testing for comparison of these proportions was generated using the chi-squared test. </w:t>
      </w:r>
    </w:p>
    <w:p w14:paraId="0573BD18" w14:textId="77777777" w:rsidR="00A91EEC" w:rsidRPr="00A91EEC" w:rsidRDefault="00A91EEC" w:rsidP="002D6A64">
      <w:pPr>
        <w:pStyle w:val="Normallessspace"/>
        <w:rPr>
          <w:lang w:val="en-GB"/>
        </w:rPr>
      </w:pPr>
      <w:r w:rsidRPr="00A91EEC">
        <w:rPr>
          <w:lang w:val="en-GB"/>
        </w:rPr>
        <w:t xml:space="preserve">Additional demographic factors (country of birth, Indigenous status, and injecting drug use) are only collected for a subset of cases, and limited completeness prevented assessment of cascade of care information according to these factors. </w:t>
      </w:r>
    </w:p>
    <w:p w14:paraId="4429FD70" w14:textId="77777777" w:rsidR="00A91EEC" w:rsidRPr="00A91EEC" w:rsidRDefault="00A91EEC" w:rsidP="002D6A64">
      <w:pPr>
        <w:pStyle w:val="Normallessspace"/>
        <w:rPr>
          <w:lang w:val="en-GB"/>
        </w:rPr>
      </w:pPr>
      <w:r w:rsidRPr="00A91EEC">
        <w:rPr>
          <w:lang w:val="en-GB"/>
        </w:rPr>
        <w:t>Analysis and data management were conducted in Microsoft Excel and Stata Standard Edition version 18.0 (</w:t>
      </w:r>
      <w:proofErr w:type="spellStart"/>
      <w:r w:rsidRPr="00A91EEC">
        <w:rPr>
          <w:lang w:val="en-GB"/>
        </w:rPr>
        <w:t>STATAcorp</w:t>
      </w:r>
      <w:proofErr w:type="spellEnd"/>
      <w:r w:rsidRPr="00A91EEC">
        <w:rPr>
          <w:lang w:val="en-GB"/>
        </w:rPr>
        <w:t xml:space="preserve"> Texas US). </w:t>
      </w:r>
    </w:p>
    <w:p w14:paraId="3248DE28" w14:textId="77777777" w:rsidR="008A0736" w:rsidRDefault="000073ED" w:rsidP="005A4E9D">
      <w:pPr>
        <w:pStyle w:val="Heading1"/>
      </w:pPr>
      <w:bookmarkStart w:id="18" w:name="_Toc195530503"/>
      <w:bookmarkStart w:id="19" w:name="_Toc234414375"/>
      <w:r>
        <w:t>Results</w:t>
      </w:r>
      <w:bookmarkEnd w:id="18"/>
      <w:bookmarkEnd w:id="19"/>
    </w:p>
    <w:p w14:paraId="5497D707" w14:textId="4F4A2A4B" w:rsidR="00A91EEC" w:rsidRPr="00A91EEC" w:rsidRDefault="00A91EEC" w:rsidP="00A91EEC">
      <w:pPr>
        <w:pStyle w:val="Heading2"/>
        <w:rPr>
          <w:lang w:val="en-GB"/>
        </w:rPr>
      </w:pPr>
      <w:bookmarkStart w:id="20" w:name="_Toc234414376"/>
      <w:r w:rsidRPr="00A91EEC">
        <w:rPr>
          <w:lang w:val="en-GB"/>
        </w:rPr>
        <w:t>Summary and demographics</w:t>
      </w:r>
      <w:bookmarkEnd w:id="20"/>
    </w:p>
    <w:p w14:paraId="60211576" w14:textId="77777777" w:rsidR="00A91EEC" w:rsidRPr="00A91EEC" w:rsidRDefault="00A91EEC" w:rsidP="00A91EEC">
      <w:pPr>
        <w:rPr>
          <w:lang w:val="en-GB"/>
        </w:rPr>
      </w:pPr>
      <w:r w:rsidRPr="00A91EEC">
        <w:rPr>
          <w:lang w:val="en-GB"/>
        </w:rPr>
        <w:t>During the period 1 January 2023 to 31 December 2024, there were 2,823 cases of unspecified HBV and 2,426 cases of unspecified HCV notified. There were more male cases for both HBV (53.9%) and HCV (66.0%). Median age was 41 (IQR: 32–54) years for HBV and 46 (IQR: 35–57) years for HCV (Table 1).</w:t>
      </w:r>
    </w:p>
    <w:p w14:paraId="70413B9D" w14:textId="77777777" w:rsidR="00A91EEC" w:rsidRPr="00A91EEC" w:rsidRDefault="00A91EEC" w:rsidP="00A91EEC">
      <w:pPr>
        <w:rPr>
          <w:lang w:val="en-GB"/>
        </w:rPr>
      </w:pPr>
      <w:proofErr w:type="gramStart"/>
      <w:r w:rsidRPr="00A91EEC">
        <w:rPr>
          <w:lang w:val="en-GB"/>
        </w:rPr>
        <w:t>The majority of</w:t>
      </w:r>
      <w:proofErr w:type="gramEnd"/>
      <w:r w:rsidRPr="00A91EEC">
        <w:rPr>
          <w:lang w:val="en-GB"/>
        </w:rPr>
        <w:t xml:space="preserve"> cases were diagnosed by clinicians in primary care settings (general practice and community health), for both HBV (59.7% of cases) and HCV (57.4%, Table 1). Hospitals were a more common setting for HCV (15.6%) than HBV (8.1%), as were correctional facilities (8.8% for HCV, 1.0% for HBV), while immigration was more common for HBV (23.1%) than HCV (4.2%).</w:t>
      </w:r>
    </w:p>
    <w:p w14:paraId="1198D785" w14:textId="77777777" w:rsidR="00A91EEC" w:rsidRPr="00A91EEC" w:rsidRDefault="00A91EEC" w:rsidP="00A91EEC">
      <w:pPr>
        <w:rPr>
          <w:lang w:val="en-GB"/>
        </w:rPr>
      </w:pPr>
      <w:r w:rsidRPr="00A91EEC">
        <w:rPr>
          <w:lang w:val="en-GB"/>
        </w:rPr>
        <w:t xml:space="preserve">The 1,686 HBV cases from primary care were notified by 1,049 individual clinicians, with </w:t>
      </w:r>
      <w:proofErr w:type="gramStart"/>
      <w:r w:rsidRPr="00A91EEC">
        <w:rPr>
          <w:lang w:val="en-GB"/>
        </w:rPr>
        <w:t>the majority of</w:t>
      </w:r>
      <w:proofErr w:type="gramEnd"/>
      <w:r w:rsidRPr="00A91EEC">
        <w:rPr>
          <w:lang w:val="en-GB"/>
        </w:rPr>
        <w:t xml:space="preserve"> those clinicians (774, 73.8%) notifying only one case. For HCV, 1,392 cases were notified by 1,120 clinicians, and 970 (86.6%) notified only one case. The highest number of cases notified by a single clinician was 20 for HBV and 25 for HCV. </w:t>
      </w:r>
    </w:p>
    <w:p w14:paraId="2F90C8EF" w14:textId="77777777" w:rsidR="00A91EEC" w:rsidRPr="00A91EEC" w:rsidRDefault="00A91EEC" w:rsidP="00A91EEC">
      <w:pPr>
        <w:pStyle w:val="Heading2"/>
        <w:rPr>
          <w:lang w:val="en-GB"/>
        </w:rPr>
      </w:pPr>
      <w:bookmarkStart w:id="21" w:name="_Toc234414377"/>
      <w:r w:rsidRPr="00A91EEC">
        <w:rPr>
          <w:lang w:val="en-GB"/>
        </w:rPr>
        <w:t>Cascade of care completeness</w:t>
      </w:r>
      <w:bookmarkEnd w:id="21"/>
    </w:p>
    <w:p w14:paraId="60793477" w14:textId="77777777" w:rsidR="00A91EEC" w:rsidRPr="00A91EEC" w:rsidRDefault="00A91EEC" w:rsidP="00A91EEC">
      <w:pPr>
        <w:rPr>
          <w:lang w:val="en-GB"/>
        </w:rPr>
      </w:pPr>
      <w:r w:rsidRPr="00A91EEC">
        <w:rPr>
          <w:lang w:val="en-GB"/>
        </w:rPr>
        <w:t xml:space="preserve">Cascade of care information (either PCR testing status, treatment status or both) was available for two thirds of cases for both HBV (1,888 cases; 66.9%) and HCV (1,581 cases; 65.2%). For most cases, information was available for both PCR testing and treatment status (Tables 2 and 3). </w:t>
      </w:r>
    </w:p>
    <w:p w14:paraId="78159A34" w14:textId="77777777" w:rsidR="00A91EEC" w:rsidRDefault="00A91EEC" w:rsidP="00A91EEC">
      <w:pPr>
        <w:rPr>
          <w:lang w:val="en-GB"/>
        </w:rPr>
        <w:sectPr w:rsidR="00A91EEC" w:rsidSect="001E3ECB">
          <w:headerReference w:type="even" r:id="rId18"/>
          <w:footerReference w:type="even" r:id="rId19"/>
          <w:footerReference w:type="default" r:id="rId20"/>
          <w:headerReference w:type="first" r:id="rId21"/>
          <w:footerReference w:type="first" r:id="rId22"/>
          <w:footnotePr>
            <w:numFmt w:val="lowerRoman"/>
          </w:footnotePr>
          <w:pgSz w:w="11907" w:h="16840" w:code="9"/>
          <w:pgMar w:top="1134" w:right="1134" w:bottom="1134" w:left="1134" w:header="709" w:footer="567" w:gutter="0"/>
          <w:cols w:space="708"/>
          <w:docGrid w:linePitch="360"/>
        </w:sectPr>
      </w:pPr>
      <w:r w:rsidRPr="00A91EEC">
        <w:rPr>
          <w:lang w:val="en-GB"/>
        </w:rPr>
        <w:t xml:space="preserve">There was some variation in completeness by sex, by age group, and by diagnostic setting; however, in all groups more than half of cases had some cascade of care information complete (Table 1). The largest variation was according to region of residence, with completeness considerably higher in non-metropolitan than in metropolitan areas for both HBV (87.2% compared to 64.4%) and HCV (90.5% compared to 56.7%). </w:t>
      </w:r>
    </w:p>
    <w:p w14:paraId="0D1B446B" w14:textId="77777777" w:rsidR="00A91EEC" w:rsidRPr="00A91EEC" w:rsidRDefault="00A91EEC" w:rsidP="00A91EEC">
      <w:pPr>
        <w:pStyle w:val="CDITable-Title"/>
        <w:spacing w:before="0"/>
        <w:rPr>
          <w:lang w:val="en-GB"/>
        </w:rPr>
      </w:pPr>
      <w:r w:rsidRPr="00A91EEC">
        <w:rPr>
          <w:lang w:val="en-GB"/>
        </w:rPr>
        <w:t xml:space="preserve">Table 1: Summary and demographics for unspecified hepatitis B (HBV) and hepatitis C (HCV) cases in Victoria, </w:t>
      </w:r>
      <w:proofErr w:type="spellStart"/>
      <w:proofErr w:type="gramStart"/>
      <w:r w:rsidRPr="00A91EEC">
        <w:rPr>
          <w:lang w:val="en-GB"/>
        </w:rPr>
        <w:t>Australia,</w:t>
      </w:r>
      <w:r w:rsidRPr="00A91EEC">
        <w:rPr>
          <w:vertAlign w:val="superscript"/>
          <w:lang w:val="en-GB"/>
        </w:rPr>
        <w:t>a</w:t>
      </w:r>
      <w:proofErr w:type="spellEnd"/>
      <w:proofErr w:type="gramEnd"/>
      <w:r w:rsidRPr="00A91EEC">
        <w:rPr>
          <w:lang w:val="en-GB"/>
        </w:rPr>
        <w:t xml:space="preserve"> 2023–2024</w:t>
      </w:r>
    </w:p>
    <w:tbl>
      <w:tblPr>
        <w:tblW w:w="0" w:type="auto"/>
        <w:tblLayout w:type="fixed"/>
        <w:tblCellMar>
          <w:left w:w="0" w:type="dxa"/>
          <w:right w:w="0" w:type="dxa"/>
        </w:tblCellMar>
        <w:tblLook w:val="0000" w:firstRow="0" w:lastRow="0" w:firstColumn="0" w:lastColumn="0" w:noHBand="0" w:noVBand="0"/>
        <w:tblCaption w:val="Table 1: Summary and demographics for unspecified hepatitis B (HBV) and hepatitis C (HCV) cases in Victoria, Australia,a 2023–2024"/>
        <w:tblDescription w:val="Table 1 shows the distribution of hepatitis B and C cases analysed in this manuscript, and the completeness of cascade of care information, according to year of notification, age group, sex, region of residence and diagnostic setting."/>
      </w:tblPr>
      <w:tblGrid>
        <w:gridCol w:w="2041"/>
        <w:gridCol w:w="3231"/>
        <w:gridCol w:w="1134"/>
        <w:gridCol w:w="1134"/>
        <w:gridCol w:w="1134"/>
        <w:gridCol w:w="1134"/>
        <w:gridCol w:w="1134"/>
        <w:gridCol w:w="1134"/>
        <w:gridCol w:w="1133"/>
        <w:gridCol w:w="1134"/>
      </w:tblGrid>
      <w:tr w:rsidR="00C32376" w:rsidRPr="00C32376" w14:paraId="551E42CE" w14:textId="77777777" w:rsidTr="00C32376">
        <w:trPr>
          <w:trHeight w:val="60"/>
          <w:tblHeader/>
        </w:trPr>
        <w:tc>
          <w:tcPr>
            <w:tcW w:w="2041" w:type="dxa"/>
            <w:vMerge w:val="restart"/>
            <w:tcBorders>
              <w:top w:val="nil"/>
              <w:left w:val="nil"/>
              <w:bottom w:val="single" w:sz="6" w:space="0" w:color="FFFFFF" w:themeColor="background1"/>
            </w:tcBorders>
            <w:shd w:val="clear" w:color="auto" w:fill="1E4496" w:themeFill="text2"/>
            <w:tcMar>
              <w:top w:w="51" w:type="dxa"/>
              <w:left w:w="85" w:type="dxa"/>
              <w:bottom w:w="51" w:type="dxa"/>
              <w:right w:w="85" w:type="dxa"/>
            </w:tcMar>
            <w:vAlign w:val="bottom"/>
          </w:tcPr>
          <w:p w14:paraId="1E03347D" w14:textId="77777777" w:rsidR="00C32376" w:rsidRPr="00D00ACC" w:rsidRDefault="00C32376" w:rsidP="00D00ACC">
            <w:pPr>
              <w:pStyle w:val="CDITable-HeaderRowLeft"/>
            </w:pPr>
            <w:r w:rsidRPr="00D00ACC">
              <w:t>Classification</w:t>
            </w:r>
          </w:p>
        </w:tc>
        <w:tc>
          <w:tcPr>
            <w:tcW w:w="3231" w:type="dxa"/>
            <w:vMerge w:val="restart"/>
            <w:tcBorders>
              <w:top w:val="nil"/>
              <w:bottom w:val="single" w:sz="6" w:space="0" w:color="FFFFFF" w:themeColor="background1"/>
            </w:tcBorders>
            <w:shd w:val="clear" w:color="auto" w:fill="1E4496" w:themeFill="text2"/>
            <w:tcMar>
              <w:top w:w="51" w:type="dxa"/>
              <w:left w:w="85" w:type="dxa"/>
              <w:bottom w:w="51" w:type="dxa"/>
              <w:right w:w="85" w:type="dxa"/>
            </w:tcMar>
            <w:vAlign w:val="bottom"/>
          </w:tcPr>
          <w:p w14:paraId="7C01592D" w14:textId="77777777" w:rsidR="00C32376" w:rsidRPr="00C32376" w:rsidRDefault="00C32376" w:rsidP="00C32376">
            <w:pPr>
              <w:pStyle w:val="CDITable-HeaderRowLeft"/>
              <w:rPr>
                <w:lang w:val="en-GB"/>
              </w:rPr>
            </w:pPr>
            <w:r w:rsidRPr="00C32376">
              <w:rPr>
                <w:lang w:val="en-GB"/>
              </w:rPr>
              <w:t>Category</w:t>
            </w:r>
          </w:p>
        </w:tc>
        <w:tc>
          <w:tcPr>
            <w:tcW w:w="4536" w:type="dxa"/>
            <w:gridSpan w:val="4"/>
            <w:tcBorders>
              <w:top w:val="nil"/>
              <w:bottom w:val="single" w:sz="6" w:space="0" w:color="FFFFFF" w:themeColor="background1"/>
            </w:tcBorders>
            <w:shd w:val="clear" w:color="auto" w:fill="1E4496" w:themeFill="text2"/>
            <w:tcMar>
              <w:top w:w="51" w:type="dxa"/>
              <w:left w:w="85" w:type="dxa"/>
              <w:bottom w:w="51" w:type="dxa"/>
              <w:right w:w="85" w:type="dxa"/>
            </w:tcMar>
            <w:vAlign w:val="bottom"/>
          </w:tcPr>
          <w:p w14:paraId="5AC71546" w14:textId="77777777" w:rsidR="00C32376" w:rsidRPr="00C32376" w:rsidRDefault="00C32376" w:rsidP="00C32376">
            <w:pPr>
              <w:pStyle w:val="CDITable-HeaderRowCentre"/>
            </w:pPr>
            <w:r w:rsidRPr="00C32376">
              <w:t>HBV (N = 2,823)</w:t>
            </w:r>
          </w:p>
        </w:tc>
        <w:tc>
          <w:tcPr>
            <w:tcW w:w="4535" w:type="dxa"/>
            <w:gridSpan w:val="4"/>
            <w:tcBorders>
              <w:top w:val="nil"/>
              <w:bottom w:val="single" w:sz="6" w:space="0" w:color="FFFFFF" w:themeColor="background1"/>
            </w:tcBorders>
            <w:shd w:val="clear" w:color="auto" w:fill="1E4496" w:themeFill="text2"/>
            <w:tcMar>
              <w:top w:w="51" w:type="dxa"/>
              <w:left w:w="85" w:type="dxa"/>
              <w:bottom w:w="51" w:type="dxa"/>
              <w:right w:w="85" w:type="dxa"/>
            </w:tcMar>
            <w:vAlign w:val="bottom"/>
          </w:tcPr>
          <w:p w14:paraId="2287F712" w14:textId="77777777" w:rsidR="00C32376" w:rsidRPr="00C32376" w:rsidRDefault="00C32376" w:rsidP="00C32376">
            <w:pPr>
              <w:pStyle w:val="CDITable-HeaderRowCentre"/>
            </w:pPr>
            <w:r w:rsidRPr="00C32376">
              <w:t>HCV (N = 2,426)</w:t>
            </w:r>
          </w:p>
        </w:tc>
      </w:tr>
      <w:tr w:rsidR="00C32376" w:rsidRPr="00C32376" w14:paraId="16BDE9ED" w14:textId="77777777" w:rsidTr="00C32376">
        <w:trPr>
          <w:trHeight w:val="60"/>
          <w:tblHeader/>
        </w:trPr>
        <w:tc>
          <w:tcPr>
            <w:tcW w:w="2041" w:type="dxa"/>
            <w:vMerge/>
            <w:tcBorders>
              <w:top w:val="single" w:sz="6" w:space="0" w:color="FFFFFF" w:themeColor="background1"/>
              <w:left w:val="nil"/>
            </w:tcBorders>
            <w:shd w:val="clear" w:color="auto" w:fill="1E4496" w:themeFill="text2"/>
            <w:tcMar>
              <w:top w:w="51" w:type="dxa"/>
              <w:bottom w:w="51" w:type="dxa"/>
            </w:tcMar>
          </w:tcPr>
          <w:p w14:paraId="04F5CDCE" w14:textId="77777777" w:rsidR="00C32376" w:rsidRPr="00C32376" w:rsidRDefault="00C32376" w:rsidP="00C32376">
            <w:pPr>
              <w:pStyle w:val="CDITable-RowCentre"/>
            </w:pPr>
          </w:p>
        </w:tc>
        <w:tc>
          <w:tcPr>
            <w:tcW w:w="3231" w:type="dxa"/>
            <w:vMerge/>
            <w:tcBorders>
              <w:top w:val="single" w:sz="6" w:space="0" w:color="FFFFFF" w:themeColor="background1"/>
            </w:tcBorders>
            <w:shd w:val="clear" w:color="auto" w:fill="1E4496" w:themeFill="text2"/>
            <w:tcMar>
              <w:top w:w="51" w:type="dxa"/>
              <w:bottom w:w="51" w:type="dxa"/>
            </w:tcMar>
          </w:tcPr>
          <w:p w14:paraId="64E4F9B4" w14:textId="77777777" w:rsidR="00C32376" w:rsidRPr="00C32376" w:rsidRDefault="00C32376" w:rsidP="00C32376">
            <w:pPr>
              <w:pStyle w:val="CDITable-RowCentre"/>
            </w:pPr>
          </w:p>
        </w:tc>
        <w:tc>
          <w:tcPr>
            <w:tcW w:w="1134" w:type="dxa"/>
            <w:tcBorders>
              <w:top w:val="single" w:sz="6" w:space="0" w:color="FFFFFF" w:themeColor="background1"/>
            </w:tcBorders>
            <w:shd w:val="clear" w:color="auto" w:fill="1E4496" w:themeFill="text2"/>
            <w:tcMar>
              <w:top w:w="51" w:type="dxa"/>
              <w:left w:w="85" w:type="dxa"/>
              <w:bottom w:w="51" w:type="dxa"/>
              <w:right w:w="85" w:type="dxa"/>
            </w:tcMar>
            <w:vAlign w:val="bottom"/>
          </w:tcPr>
          <w:p w14:paraId="3F4C4C20" w14:textId="77777777" w:rsidR="00C32376" w:rsidRPr="00C32376" w:rsidRDefault="00C32376" w:rsidP="00C32376">
            <w:pPr>
              <w:pStyle w:val="CDITable-HeaderRowCentre"/>
            </w:pPr>
            <w:r w:rsidRPr="00C32376">
              <w:t>Number</w:t>
            </w:r>
          </w:p>
        </w:tc>
        <w:tc>
          <w:tcPr>
            <w:tcW w:w="1134" w:type="dxa"/>
            <w:tcBorders>
              <w:top w:val="single" w:sz="6" w:space="0" w:color="FFFFFF" w:themeColor="background1"/>
            </w:tcBorders>
            <w:shd w:val="clear" w:color="auto" w:fill="1E4496" w:themeFill="text2"/>
            <w:tcMar>
              <w:top w:w="51" w:type="dxa"/>
              <w:left w:w="85" w:type="dxa"/>
              <w:bottom w:w="51" w:type="dxa"/>
              <w:right w:w="85" w:type="dxa"/>
            </w:tcMar>
            <w:vAlign w:val="bottom"/>
          </w:tcPr>
          <w:p w14:paraId="6D114A61" w14:textId="77777777" w:rsidR="00C32376" w:rsidRPr="00C32376" w:rsidRDefault="00C32376" w:rsidP="00C32376">
            <w:pPr>
              <w:pStyle w:val="CDITable-HeaderRowCentre"/>
            </w:pPr>
            <w:r w:rsidRPr="00C32376">
              <w:t>% of HBV cases</w:t>
            </w:r>
          </w:p>
        </w:tc>
        <w:tc>
          <w:tcPr>
            <w:tcW w:w="1134" w:type="dxa"/>
            <w:tcBorders>
              <w:top w:val="single" w:sz="6" w:space="0" w:color="FFFFFF" w:themeColor="background1"/>
            </w:tcBorders>
            <w:shd w:val="clear" w:color="auto" w:fill="1E4496" w:themeFill="text2"/>
            <w:tcMar>
              <w:top w:w="51" w:type="dxa"/>
              <w:left w:w="85" w:type="dxa"/>
              <w:bottom w:w="51" w:type="dxa"/>
              <w:right w:w="85" w:type="dxa"/>
            </w:tcMar>
            <w:vAlign w:val="bottom"/>
          </w:tcPr>
          <w:p w14:paraId="4B5F5483" w14:textId="77777777" w:rsidR="00C32376" w:rsidRPr="00C32376" w:rsidRDefault="00C32376" w:rsidP="00C32376">
            <w:pPr>
              <w:pStyle w:val="CDITable-HeaderRowCentre"/>
            </w:pPr>
            <w:r w:rsidRPr="00C32376">
              <w:t>Number with any cascade of care data</w:t>
            </w:r>
          </w:p>
        </w:tc>
        <w:tc>
          <w:tcPr>
            <w:tcW w:w="1134" w:type="dxa"/>
            <w:tcBorders>
              <w:top w:val="single" w:sz="6" w:space="0" w:color="FFFFFF" w:themeColor="background1"/>
              <w:right w:val="single" w:sz="6" w:space="0" w:color="FFFFFF" w:themeColor="background1"/>
            </w:tcBorders>
            <w:shd w:val="clear" w:color="auto" w:fill="1E4496" w:themeFill="text2"/>
            <w:tcMar>
              <w:top w:w="51" w:type="dxa"/>
              <w:left w:w="85" w:type="dxa"/>
              <w:bottom w:w="51" w:type="dxa"/>
              <w:right w:w="85" w:type="dxa"/>
            </w:tcMar>
            <w:vAlign w:val="bottom"/>
          </w:tcPr>
          <w:p w14:paraId="233A0760" w14:textId="25C333AD" w:rsidR="00C32376" w:rsidRPr="00C32376" w:rsidRDefault="00C32376" w:rsidP="00C32376">
            <w:pPr>
              <w:pStyle w:val="CDITable-HeaderRowCentre"/>
            </w:pPr>
            <w:r w:rsidRPr="00C32376">
              <w:t>% of all</w:t>
            </w:r>
            <w:r>
              <w:t> </w:t>
            </w:r>
            <w:r w:rsidRPr="00C32376">
              <w:t>HBV cases in category</w:t>
            </w:r>
          </w:p>
        </w:tc>
        <w:tc>
          <w:tcPr>
            <w:tcW w:w="1134" w:type="dxa"/>
            <w:tcBorders>
              <w:top w:val="single" w:sz="6" w:space="0" w:color="FFFFFF" w:themeColor="background1"/>
              <w:left w:val="single" w:sz="6" w:space="0" w:color="FFFFFF" w:themeColor="background1"/>
            </w:tcBorders>
            <w:shd w:val="clear" w:color="auto" w:fill="1E4496" w:themeFill="text2"/>
            <w:tcMar>
              <w:top w:w="51" w:type="dxa"/>
              <w:left w:w="85" w:type="dxa"/>
              <w:bottom w:w="51" w:type="dxa"/>
              <w:right w:w="85" w:type="dxa"/>
            </w:tcMar>
            <w:vAlign w:val="bottom"/>
          </w:tcPr>
          <w:p w14:paraId="0439A2EE" w14:textId="77777777" w:rsidR="00C32376" w:rsidRPr="00C32376" w:rsidRDefault="00C32376" w:rsidP="00C32376">
            <w:pPr>
              <w:pStyle w:val="CDITable-HeaderRowCentre"/>
            </w:pPr>
            <w:r w:rsidRPr="00C32376">
              <w:t>Number</w:t>
            </w:r>
          </w:p>
        </w:tc>
        <w:tc>
          <w:tcPr>
            <w:tcW w:w="1134" w:type="dxa"/>
            <w:tcBorders>
              <w:top w:val="single" w:sz="6" w:space="0" w:color="FFFFFF" w:themeColor="background1"/>
            </w:tcBorders>
            <w:shd w:val="clear" w:color="auto" w:fill="1E4496" w:themeFill="text2"/>
            <w:tcMar>
              <w:top w:w="51" w:type="dxa"/>
              <w:left w:w="85" w:type="dxa"/>
              <w:bottom w:w="51" w:type="dxa"/>
              <w:right w:w="85" w:type="dxa"/>
            </w:tcMar>
            <w:vAlign w:val="bottom"/>
          </w:tcPr>
          <w:p w14:paraId="322C28A7" w14:textId="77777777" w:rsidR="00C32376" w:rsidRPr="00C32376" w:rsidRDefault="00C32376" w:rsidP="00C32376">
            <w:pPr>
              <w:pStyle w:val="CDITable-HeaderRowCentre"/>
            </w:pPr>
            <w:r w:rsidRPr="00C32376">
              <w:t>% of HCV cases</w:t>
            </w:r>
          </w:p>
        </w:tc>
        <w:tc>
          <w:tcPr>
            <w:tcW w:w="1133" w:type="dxa"/>
            <w:tcBorders>
              <w:top w:val="single" w:sz="6" w:space="0" w:color="FFFFFF" w:themeColor="background1"/>
            </w:tcBorders>
            <w:shd w:val="clear" w:color="auto" w:fill="1E4496" w:themeFill="text2"/>
            <w:tcMar>
              <w:top w:w="51" w:type="dxa"/>
              <w:left w:w="85" w:type="dxa"/>
              <w:bottom w:w="51" w:type="dxa"/>
              <w:right w:w="85" w:type="dxa"/>
            </w:tcMar>
            <w:vAlign w:val="bottom"/>
          </w:tcPr>
          <w:p w14:paraId="63205E3D" w14:textId="77777777" w:rsidR="00C32376" w:rsidRPr="00C32376" w:rsidRDefault="00C32376" w:rsidP="00C32376">
            <w:pPr>
              <w:pStyle w:val="CDITable-HeaderRowCentre"/>
            </w:pPr>
            <w:r w:rsidRPr="00C32376">
              <w:t>Number with any cascade of care data</w:t>
            </w:r>
          </w:p>
        </w:tc>
        <w:tc>
          <w:tcPr>
            <w:tcW w:w="1134" w:type="dxa"/>
            <w:tcBorders>
              <w:top w:val="single" w:sz="6" w:space="0" w:color="FFFFFF" w:themeColor="background1"/>
              <w:right w:val="nil"/>
            </w:tcBorders>
            <w:shd w:val="clear" w:color="auto" w:fill="1E4496" w:themeFill="text2"/>
            <w:tcMar>
              <w:top w:w="51" w:type="dxa"/>
              <w:left w:w="85" w:type="dxa"/>
              <w:bottom w:w="51" w:type="dxa"/>
              <w:right w:w="85" w:type="dxa"/>
            </w:tcMar>
            <w:vAlign w:val="bottom"/>
          </w:tcPr>
          <w:p w14:paraId="6BCC469D" w14:textId="05103E37" w:rsidR="00C32376" w:rsidRPr="00C32376" w:rsidRDefault="00C32376" w:rsidP="00C32376">
            <w:pPr>
              <w:pStyle w:val="CDITable-HeaderRowCentre"/>
            </w:pPr>
            <w:r w:rsidRPr="00C32376">
              <w:t>% of all</w:t>
            </w:r>
            <w:r>
              <w:t> </w:t>
            </w:r>
            <w:r w:rsidRPr="00C32376">
              <w:t>HCV cases in category</w:t>
            </w:r>
          </w:p>
        </w:tc>
      </w:tr>
      <w:tr w:rsidR="00C32376" w:rsidRPr="00C32376" w14:paraId="0E88456A" w14:textId="77777777" w:rsidTr="00C32376">
        <w:trPr>
          <w:trHeight w:val="60"/>
        </w:trPr>
        <w:tc>
          <w:tcPr>
            <w:tcW w:w="2041" w:type="dxa"/>
            <w:vMerge w:val="restart"/>
            <w:tcBorders>
              <w:left w:val="nil"/>
              <w:bottom w:val="single" w:sz="6" w:space="0" w:color="1E4496" w:themeColor="text2"/>
            </w:tcBorders>
            <w:tcMar>
              <w:top w:w="51" w:type="dxa"/>
              <w:left w:w="85" w:type="dxa"/>
              <w:bottom w:w="51" w:type="dxa"/>
              <w:right w:w="85" w:type="dxa"/>
            </w:tcMar>
            <w:vAlign w:val="center"/>
          </w:tcPr>
          <w:p w14:paraId="0EC3EA5D" w14:textId="77777777" w:rsidR="00C32376" w:rsidRPr="00C32376" w:rsidRDefault="00C32376" w:rsidP="00C32376">
            <w:pPr>
              <w:pStyle w:val="CDITable-RowLeft"/>
              <w:rPr>
                <w:lang w:val="en-GB"/>
              </w:rPr>
            </w:pPr>
            <w:r w:rsidRPr="00C32376">
              <w:rPr>
                <w:lang w:val="en-GB"/>
              </w:rPr>
              <w:t>Year of notification</w:t>
            </w:r>
          </w:p>
        </w:tc>
        <w:tc>
          <w:tcPr>
            <w:tcW w:w="3231" w:type="dxa"/>
            <w:tcBorders>
              <w:bottom w:val="single" w:sz="6" w:space="0" w:color="1E4496" w:themeColor="text2"/>
            </w:tcBorders>
            <w:shd w:val="solid" w:color="FFFFFF" w:fill="auto"/>
            <w:tcMar>
              <w:top w:w="51" w:type="dxa"/>
              <w:left w:w="85" w:type="dxa"/>
              <w:bottom w:w="51" w:type="dxa"/>
              <w:right w:w="85" w:type="dxa"/>
            </w:tcMar>
            <w:vAlign w:val="center"/>
          </w:tcPr>
          <w:p w14:paraId="0D02AD48" w14:textId="77777777" w:rsidR="00C32376" w:rsidRPr="00C32376" w:rsidRDefault="00C32376" w:rsidP="00C32376">
            <w:pPr>
              <w:pStyle w:val="CDITable-RowLeft"/>
              <w:rPr>
                <w:lang w:val="en-GB"/>
              </w:rPr>
            </w:pPr>
            <w:r w:rsidRPr="00C32376">
              <w:rPr>
                <w:lang w:val="en-GB"/>
              </w:rPr>
              <w:t>2023</w:t>
            </w:r>
          </w:p>
        </w:tc>
        <w:tc>
          <w:tcPr>
            <w:tcW w:w="1134" w:type="dxa"/>
            <w:tcBorders>
              <w:bottom w:val="single" w:sz="6" w:space="0" w:color="1E4496" w:themeColor="text2"/>
            </w:tcBorders>
            <w:shd w:val="solid" w:color="FFFFFF" w:fill="auto"/>
            <w:tcMar>
              <w:top w:w="51" w:type="dxa"/>
              <w:left w:w="85" w:type="dxa"/>
              <w:bottom w:w="51" w:type="dxa"/>
              <w:right w:w="85" w:type="dxa"/>
            </w:tcMar>
            <w:vAlign w:val="center"/>
          </w:tcPr>
          <w:p w14:paraId="3ABE5F2D" w14:textId="77777777" w:rsidR="00C32376" w:rsidRPr="00C32376" w:rsidRDefault="00C32376" w:rsidP="00C32376">
            <w:pPr>
              <w:pStyle w:val="CDITable-RowCentre"/>
              <w:rPr>
                <w:lang w:val="en-GB"/>
              </w:rPr>
            </w:pPr>
            <w:r w:rsidRPr="00C32376">
              <w:rPr>
                <w:lang w:val="en-GB"/>
              </w:rPr>
              <w:t>1,355</w:t>
            </w:r>
          </w:p>
        </w:tc>
        <w:tc>
          <w:tcPr>
            <w:tcW w:w="1134" w:type="dxa"/>
            <w:tcBorders>
              <w:bottom w:val="single" w:sz="6" w:space="0" w:color="1E4496" w:themeColor="text2"/>
            </w:tcBorders>
            <w:shd w:val="solid" w:color="FFFFFF" w:fill="auto"/>
            <w:tcMar>
              <w:top w:w="51" w:type="dxa"/>
              <w:left w:w="85" w:type="dxa"/>
              <w:bottom w:w="51" w:type="dxa"/>
              <w:right w:w="85" w:type="dxa"/>
            </w:tcMar>
            <w:vAlign w:val="center"/>
          </w:tcPr>
          <w:p w14:paraId="345607C8" w14:textId="77777777" w:rsidR="00C32376" w:rsidRPr="00C32376" w:rsidRDefault="00C32376" w:rsidP="00C32376">
            <w:pPr>
              <w:pStyle w:val="CDITable-RowCentre"/>
              <w:rPr>
                <w:lang w:val="en-GB"/>
              </w:rPr>
            </w:pPr>
            <w:r w:rsidRPr="00C32376">
              <w:rPr>
                <w:lang w:val="en-GB"/>
              </w:rPr>
              <w:t>48.0</w:t>
            </w:r>
          </w:p>
        </w:tc>
        <w:tc>
          <w:tcPr>
            <w:tcW w:w="1134" w:type="dxa"/>
            <w:tcBorders>
              <w:bottom w:val="single" w:sz="6" w:space="0" w:color="1E4496" w:themeColor="text2"/>
            </w:tcBorders>
            <w:shd w:val="solid" w:color="FFFFFF" w:fill="auto"/>
            <w:tcMar>
              <w:top w:w="51" w:type="dxa"/>
              <w:left w:w="85" w:type="dxa"/>
              <w:bottom w:w="51" w:type="dxa"/>
              <w:right w:w="85" w:type="dxa"/>
            </w:tcMar>
            <w:vAlign w:val="center"/>
          </w:tcPr>
          <w:p w14:paraId="6375539A" w14:textId="77777777" w:rsidR="00C32376" w:rsidRPr="00C32376" w:rsidRDefault="00C32376" w:rsidP="00C32376">
            <w:pPr>
              <w:pStyle w:val="CDITable-RowCentre"/>
              <w:rPr>
                <w:lang w:val="en-GB"/>
              </w:rPr>
            </w:pPr>
            <w:r w:rsidRPr="00C32376">
              <w:rPr>
                <w:lang w:val="en-GB"/>
              </w:rPr>
              <w:t>928</w:t>
            </w:r>
          </w:p>
        </w:tc>
        <w:tc>
          <w:tcPr>
            <w:tcW w:w="1134" w:type="dxa"/>
            <w:tcBorders>
              <w:bottom w:val="single" w:sz="6" w:space="0" w:color="1E4496" w:themeColor="text2"/>
              <w:right w:val="single" w:sz="6" w:space="0" w:color="1E4496" w:themeColor="text2"/>
            </w:tcBorders>
            <w:shd w:val="solid" w:color="FFFFFF" w:fill="auto"/>
            <w:tcMar>
              <w:top w:w="51" w:type="dxa"/>
              <w:left w:w="85" w:type="dxa"/>
              <w:bottom w:w="51" w:type="dxa"/>
              <w:right w:w="85" w:type="dxa"/>
            </w:tcMar>
            <w:vAlign w:val="center"/>
          </w:tcPr>
          <w:p w14:paraId="271533E2" w14:textId="77777777" w:rsidR="00C32376" w:rsidRPr="00C32376" w:rsidRDefault="00C32376" w:rsidP="00C32376">
            <w:pPr>
              <w:pStyle w:val="CDITable-RowCentre"/>
              <w:rPr>
                <w:lang w:val="en-GB"/>
              </w:rPr>
            </w:pPr>
            <w:r w:rsidRPr="00C32376">
              <w:rPr>
                <w:lang w:val="en-GB"/>
              </w:rPr>
              <w:t>68.5</w:t>
            </w:r>
          </w:p>
        </w:tc>
        <w:tc>
          <w:tcPr>
            <w:tcW w:w="1134" w:type="dxa"/>
            <w:tcBorders>
              <w:left w:val="single" w:sz="6" w:space="0" w:color="1E4496" w:themeColor="text2"/>
              <w:bottom w:val="single" w:sz="6" w:space="0" w:color="1E4496" w:themeColor="text2"/>
            </w:tcBorders>
            <w:shd w:val="solid" w:color="FFFFFF" w:fill="auto"/>
            <w:tcMar>
              <w:top w:w="51" w:type="dxa"/>
              <w:left w:w="85" w:type="dxa"/>
              <w:bottom w:w="51" w:type="dxa"/>
              <w:right w:w="85" w:type="dxa"/>
            </w:tcMar>
            <w:vAlign w:val="center"/>
          </w:tcPr>
          <w:p w14:paraId="73741F05" w14:textId="77777777" w:rsidR="00C32376" w:rsidRPr="00C32376" w:rsidRDefault="00C32376" w:rsidP="00C32376">
            <w:pPr>
              <w:pStyle w:val="CDITable-RowCentre"/>
              <w:rPr>
                <w:lang w:val="en-GB"/>
              </w:rPr>
            </w:pPr>
            <w:r w:rsidRPr="00C32376">
              <w:rPr>
                <w:lang w:val="en-GB"/>
              </w:rPr>
              <w:t>1,237</w:t>
            </w:r>
          </w:p>
        </w:tc>
        <w:tc>
          <w:tcPr>
            <w:tcW w:w="1134" w:type="dxa"/>
            <w:tcBorders>
              <w:bottom w:val="single" w:sz="6" w:space="0" w:color="1E4496" w:themeColor="text2"/>
            </w:tcBorders>
            <w:shd w:val="solid" w:color="FFFFFF" w:fill="auto"/>
            <w:tcMar>
              <w:top w:w="51" w:type="dxa"/>
              <w:left w:w="85" w:type="dxa"/>
              <w:bottom w:w="51" w:type="dxa"/>
              <w:right w:w="85" w:type="dxa"/>
            </w:tcMar>
            <w:vAlign w:val="center"/>
          </w:tcPr>
          <w:p w14:paraId="48D6EC51" w14:textId="77777777" w:rsidR="00C32376" w:rsidRPr="00C32376" w:rsidRDefault="00C32376" w:rsidP="00C32376">
            <w:pPr>
              <w:pStyle w:val="CDITable-RowCentre"/>
              <w:rPr>
                <w:lang w:val="en-GB"/>
              </w:rPr>
            </w:pPr>
            <w:r w:rsidRPr="00C32376">
              <w:rPr>
                <w:lang w:val="en-GB"/>
              </w:rPr>
              <w:t>51.0</w:t>
            </w:r>
          </w:p>
        </w:tc>
        <w:tc>
          <w:tcPr>
            <w:tcW w:w="1133" w:type="dxa"/>
            <w:tcBorders>
              <w:bottom w:val="single" w:sz="6" w:space="0" w:color="1E4496" w:themeColor="text2"/>
            </w:tcBorders>
            <w:shd w:val="solid" w:color="FFFFFF" w:fill="auto"/>
            <w:tcMar>
              <w:top w:w="51" w:type="dxa"/>
              <w:left w:w="85" w:type="dxa"/>
              <w:bottom w:w="51" w:type="dxa"/>
              <w:right w:w="85" w:type="dxa"/>
            </w:tcMar>
            <w:vAlign w:val="center"/>
          </w:tcPr>
          <w:p w14:paraId="7834AFAC" w14:textId="77777777" w:rsidR="00C32376" w:rsidRPr="00C32376" w:rsidRDefault="00C32376" w:rsidP="00C32376">
            <w:pPr>
              <w:pStyle w:val="CDITable-RowCentre"/>
              <w:rPr>
                <w:lang w:val="en-GB"/>
              </w:rPr>
            </w:pPr>
            <w:r w:rsidRPr="00C32376">
              <w:rPr>
                <w:lang w:val="en-GB"/>
              </w:rPr>
              <w:t>883</w:t>
            </w:r>
          </w:p>
        </w:tc>
        <w:tc>
          <w:tcPr>
            <w:tcW w:w="1134" w:type="dxa"/>
            <w:tcBorders>
              <w:bottom w:val="single" w:sz="6" w:space="0" w:color="1E4496" w:themeColor="text2"/>
              <w:right w:val="nil"/>
            </w:tcBorders>
            <w:shd w:val="solid" w:color="FFFFFF" w:fill="auto"/>
            <w:tcMar>
              <w:top w:w="51" w:type="dxa"/>
              <w:left w:w="85" w:type="dxa"/>
              <w:bottom w:w="51" w:type="dxa"/>
              <w:right w:w="85" w:type="dxa"/>
            </w:tcMar>
            <w:vAlign w:val="center"/>
          </w:tcPr>
          <w:p w14:paraId="184447EE" w14:textId="77777777" w:rsidR="00C32376" w:rsidRPr="00C32376" w:rsidRDefault="00C32376" w:rsidP="00C32376">
            <w:pPr>
              <w:pStyle w:val="CDITable-RowCentre"/>
              <w:rPr>
                <w:lang w:val="en-GB"/>
              </w:rPr>
            </w:pPr>
            <w:r w:rsidRPr="00C32376">
              <w:rPr>
                <w:lang w:val="en-GB"/>
              </w:rPr>
              <w:t>71.4</w:t>
            </w:r>
          </w:p>
        </w:tc>
      </w:tr>
      <w:tr w:rsidR="00C32376" w:rsidRPr="00C32376" w14:paraId="2167429A"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1CDB9FB8"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08B0FC4" w14:textId="77777777" w:rsidR="00C32376" w:rsidRPr="00C32376" w:rsidRDefault="00C32376" w:rsidP="00C32376">
            <w:pPr>
              <w:pStyle w:val="CDITable-RowLeft"/>
              <w:rPr>
                <w:lang w:val="en-GB"/>
              </w:rPr>
            </w:pPr>
            <w:r w:rsidRPr="00C32376">
              <w:rPr>
                <w:lang w:val="en-GB"/>
              </w:rPr>
              <w:t>2024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1E89556" w14:textId="77777777" w:rsidR="00C32376" w:rsidRPr="00C32376" w:rsidRDefault="00C32376" w:rsidP="00C32376">
            <w:pPr>
              <w:pStyle w:val="CDITable-RowCentre"/>
              <w:rPr>
                <w:lang w:val="en-GB"/>
              </w:rPr>
            </w:pPr>
            <w:r w:rsidRPr="00C32376">
              <w:rPr>
                <w:lang w:val="en-GB"/>
              </w:rPr>
              <w:t>1,468</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2B5FADB" w14:textId="77777777" w:rsidR="00C32376" w:rsidRPr="00C32376" w:rsidRDefault="00C32376" w:rsidP="00C32376">
            <w:pPr>
              <w:pStyle w:val="CDITable-RowCentre"/>
              <w:rPr>
                <w:lang w:val="en-GB"/>
              </w:rPr>
            </w:pPr>
            <w:r w:rsidRPr="00C32376">
              <w:rPr>
                <w:lang w:val="en-GB"/>
              </w:rPr>
              <w:t>52.0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A656BA5" w14:textId="77777777" w:rsidR="00C32376" w:rsidRPr="00C32376" w:rsidRDefault="00C32376" w:rsidP="00C32376">
            <w:pPr>
              <w:pStyle w:val="CDITable-RowCentre"/>
              <w:rPr>
                <w:lang w:val="en-GB"/>
              </w:rPr>
            </w:pPr>
            <w:r w:rsidRPr="00C32376">
              <w:rPr>
                <w:lang w:val="en-GB"/>
              </w:rPr>
              <w:t>960</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6FDF4260" w14:textId="77777777" w:rsidR="00C32376" w:rsidRPr="00C32376" w:rsidRDefault="00C32376" w:rsidP="00C32376">
            <w:pPr>
              <w:pStyle w:val="CDITable-RowCentre"/>
              <w:rPr>
                <w:lang w:val="en-GB"/>
              </w:rPr>
            </w:pPr>
            <w:r w:rsidRPr="00C32376">
              <w:rPr>
                <w:lang w:val="en-GB"/>
              </w:rPr>
              <w:t>65.4</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630247DF" w14:textId="77777777" w:rsidR="00C32376" w:rsidRPr="00C32376" w:rsidRDefault="00C32376" w:rsidP="00C32376">
            <w:pPr>
              <w:pStyle w:val="CDITable-RowCentre"/>
              <w:rPr>
                <w:lang w:val="en-GB"/>
              </w:rPr>
            </w:pPr>
            <w:r w:rsidRPr="00C32376">
              <w:rPr>
                <w:lang w:val="en-GB"/>
              </w:rPr>
              <w:t>1,189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98C1E89" w14:textId="77777777" w:rsidR="00C32376" w:rsidRPr="00C32376" w:rsidRDefault="00C32376" w:rsidP="00C32376">
            <w:pPr>
              <w:pStyle w:val="CDITable-RowCentre"/>
              <w:rPr>
                <w:lang w:val="en-GB"/>
              </w:rPr>
            </w:pPr>
            <w:r w:rsidRPr="00C32376">
              <w:rPr>
                <w:lang w:val="en-GB"/>
              </w:rPr>
              <w:t>49.0</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F7C5685" w14:textId="77777777" w:rsidR="00C32376" w:rsidRPr="00C32376" w:rsidRDefault="00C32376" w:rsidP="00C32376">
            <w:pPr>
              <w:pStyle w:val="CDITable-RowCentre"/>
              <w:rPr>
                <w:lang w:val="en-GB"/>
              </w:rPr>
            </w:pPr>
            <w:r w:rsidRPr="00C32376">
              <w:rPr>
                <w:lang w:val="en-GB"/>
              </w:rPr>
              <w:t>698</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2010039C" w14:textId="77777777" w:rsidR="00C32376" w:rsidRPr="00C32376" w:rsidRDefault="00C32376" w:rsidP="00C32376">
            <w:pPr>
              <w:pStyle w:val="CDITable-RowCentre"/>
              <w:rPr>
                <w:lang w:val="en-GB"/>
              </w:rPr>
            </w:pPr>
            <w:r w:rsidRPr="00C32376">
              <w:rPr>
                <w:lang w:val="en-GB"/>
              </w:rPr>
              <w:t>58.7</w:t>
            </w:r>
          </w:p>
        </w:tc>
      </w:tr>
      <w:tr w:rsidR="00C32376" w:rsidRPr="00C32376" w14:paraId="7E5C9B39" w14:textId="77777777" w:rsidTr="00C32376">
        <w:trPr>
          <w:trHeight w:val="60"/>
        </w:trPr>
        <w:tc>
          <w:tcPr>
            <w:tcW w:w="2041" w:type="dxa"/>
            <w:vMerge w:val="restart"/>
            <w:tcBorders>
              <w:top w:val="single" w:sz="6" w:space="0" w:color="1E4496" w:themeColor="text2"/>
              <w:left w:val="nil"/>
              <w:bottom w:val="single" w:sz="6" w:space="0" w:color="1E4496" w:themeColor="text2"/>
            </w:tcBorders>
            <w:tcMar>
              <w:top w:w="51" w:type="dxa"/>
              <w:left w:w="85" w:type="dxa"/>
              <w:bottom w:w="51" w:type="dxa"/>
              <w:right w:w="85" w:type="dxa"/>
            </w:tcMar>
            <w:vAlign w:val="center"/>
          </w:tcPr>
          <w:p w14:paraId="1172DA00" w14:textId="77777777" w:rsidR="00C32376" w:rsidRPr="00C32376" w:rsidRDefault="00C32376" w:rsidP="00C32376">
            <w:pPr>
              <w:pStyle w:val="CDITable-RowLeft"/>
              <w:rPr>
                <w:lang w:val="en-GB"/>
              </w:rPr>
            </w:pPr>
            <w:r w:rsidRPr="00C32376">
              <w:rPr>
                <w:lang w:val="en-GB"/>
              </w:rPr>
              <w:t>Sex</w:t>
            </w: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E21F37C" w14:textId="77777777" w:rsidR="00C32376" w:rsidRPr="00C32376" w:rsidRDefault="00C32376" w:rsidP="00C32376">
            <w:pPr>
              <w:pStyle w:val="CDITable-RowLeft"/>
              <w:rPr>
                <w:lang w:val="en-GB"/>
              </w:rPr>
            </w:pPr>
            <w:r w:rsidRPr="00C32376">
              <w:rPr>
                <w:lang w:val="en-GB"/>
              </w:rPr>
              <w:t>Female</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786D2CE" w14:textId="77777777" w:rsidR="00C32376" w:rsidRPr="00C32376" w:rsidRDefault="00C32376" w:rsidP="00C32376">
            <w:pPr>
              <w:pStyle w:val="CDITable-RowCentre"/>
              <w:rPr>
                <w:lang w:val="en-GB"/>
              </w:rPr>
            </w:pPr>
            <w:r w:rsidRPr="00C32376">
              <w:rPr>
                <w:lang w:val="en-GB"/>
              </w:rPr>
              <w:t>1,299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A52254C" w14:textId="77777777" w:rsidR="00C32376" w:rsidRPr="00C32376" w:rsidRDefault="00C32376" w:rsidP="00C32376">
            <w:pPr>
              <w:pStyle w:val="CDITable-RowCentre"/>
              <w:rPr>
                <w:lang w:val="en-GB"/>
              </w:rPr>
            </w:pPr>
            <w:r w:rsidRPr="00C32376">
              <w:rPr>
                <w:lang w:val="en-GB"/>
              </w:rPr>
              <w:t>46.0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C6D7CD9" w14:textId="77777777" w:rsidR="00C32376" w:rsidRPr="00C32376" w:rsidRDefault="00C32376" w:rsidP="00C32376">
            <w:pPr>
              <w:pStyle w:val="CDITable-RowCentre"/>
              <w:rPr>
                <w:lang w:val="en-GB"/>
              </w:rPr>
            </w:pPr>
            <w:r w:rsidRPr="00C32376">
              <w:rPr>
                <w:lang w:val="en-GB"/>
              </w:rPr>
              <w:t>866</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5F5B5910" w14:textId="77777777" w:rsidR="00C32376" w:rsidRPr="00C32376" w:rsidRDefault="00C32376" w:rsidP="00C32376">
            <w:pPr>
              <w:pStyle w:val="CDITable-RowCentre"/>
              <w:rPr>
                <w:lang w:val="en-GB"/>
              </w:rPr>
            </w:pPr>
            <w:r w:rsidRPr="00C32376">
              <w:rPr>
                <w:lang w:val="en-GB"/>
              </w:rPr>
              <w:t>66.7</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4E74988C" w14:textId="77777777" w:rsidR="00C32376" w:rsidRPr="00C32376" w:rsidRDefault="00C32376" w:rsidP="00C32376">
            <w:pPr>
              <w:pStyle w:val="CDITable-RowCentre"/>
              <w:rPr>
                <w:lang w:val="en-GB"/>
              </w:rPr>
            </w:pPr>
            <w:r w:rsidRPr="00C32376">
              <w:rPr>
                <w:lang w:val="en-GB"/>
              </w:rPr>
              <w:t>819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A0D159D" w14:textId="77777777" w:rsidR="00C32376" w:rsidRPr="00C32376" w:rsidRDefault="00C32376" w:rsidP="00C32376">
            <w:pPr>
              <w:pStyle w:val="CDITable-RowCentre"/>
              <w:rPr>
                <w:lang w:val="en-GB"/>
              </w:rPr>
            </w:pPr>
            <w:r w:rsidRPr="00C32376">
              <w:rPr>
                <w:lang w:val="en-GB"/>
              </w:rPr>
              <w:t>33.8</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3031150" w14:textId="77777777" w:rsidR="00C32376" w:rsidRPr="00C32376" w:rsidRDefault="00C32376" w:rsidP="00C32376">
            <w:pPr>
              <w:pStyle w:val="CDITable-RowCentre"/>
              <w:rPr>
                <w:lang w:val="en-GB"/>
              </w:rPr>
            </w:pPr>
            <w:r w:rsidRPr="00C32376">
              <w:rPr>
                <w:lang w:val="en-GB"/>
              </w:rPr>
              <w:t>564</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77BBE567" w14:textId="77777777" w:rsidR="00C32376" w:rsidRPr="00C32376" w:rsidRDefault="00C32376" w:rsidP="00C32376">
            <w:pPr>
              <w:pStyle w:val="CDITable-RowCentre"/>
              <w:rPr>
                <w:lang w:val="en-GB"/>
              </w:rPr>
            </w:pPr>
            <w:r w:rsidRPr="00C32376">
              <w:rPr>
                <w:lang w:val="en-GB"/>
              </w:rPr>
              <w:t>68.9</w:t>
            </w:r>
          </w:p>
        </w:tc>
      </w:tr>
      <w:tr w:rsidR="00C32376" w:rsidRPr="00C32376" w14:paraId="0E0C2E0C"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41BBCED2"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CFA2488" w14:textId="77777777" w:rsidR="00C32376" w:rsidRPr="00C32376" w:rsidRDefault="00C32376" w:rsidP="00C32376">
            <w:pPr>
              <w:pStyle w:val="CDITable-RowLeft"/>
              <w:rPr>
                <w:lang w:val="en-GB"/>
              </w:rPr>
            </w:pPr>
            <w:r w:rsidRPr="00C32376">
              <w:rPr>
                <w:lang w:val="en-GB"/>
              </w:rPr>
              <w:t>Male</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35851DF" w14:textId="77777777" w:rsidR="00C32376" w:rsidRPr="00C32376" w:rsidRDefault="00C32376" w:rsidP="00C32376">
            <w:pPr>
              <w:pStyle w:val="CDITable-RowCentre"/>
              <w:rPr>
                <w:lang w:val="en-GB"/>
              </w:rPr>
            </w:pPr>
            <w:r w:rsidRPr="00C32376">
              <w:rPr>
                <w:lang w:val="en-GB"/>
              </w:rPr>
              <w:t>1,521</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E499108" w14:textId="77777777" w:rsidR="00C32376" w:rsidRPr="00C32376" w:rsidRDefault="00C32376" w:rsidP="00C32376">
            <w:pPr>
              <w:pStyle w:val="CDITable-RowCentre"/>
              <w:rPr>
                <w:lang w:val="en-GB"/>
              </w:rPr>
            </w:pPr>
            <w:r w:rsidRPr="00C32376">
              <w:rPr>
                <w:lang w:val="en-GB"/>
              </w:rPr>
              <w:t>53.9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74DC284" w14:textId="77777777" w:rsidR="00C32376" w:rsidRPr="00C32376" w:rsidRDefault="00C32376" w:rsidP="00C32376">
            <w:pPr>
              <w:pStyle w:val="CDITable-RowCentre"/>
              <w:rPr>
                <w:lang w:val="en-GB"/>
              </w:rPr>
            </w:pPr>
            <w:r w:rsidRPr="00C32376">
              <w:rPr>
                <w:lang w:val="en-GB"/>
              </w:rPr>
              <w:t>1,021</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1D2BF6EE" w14:textId="77777777" w:rsidR="00C32376" w:rsidRPr="00C32376" w:rsidRDefault="00C32376" w:rsidP="00C32376">
            <w:pPr>
              <w:pStyle w:val="CDITable-RowCentre"/>
              <w:rPr>
                <w:lang w:val="en-GB"/>
              </w:rPr>
            </w:pPr>
            <w:r w:rsidRPr="00C32376">
              <w:rPr>
                <w:lang w:val="en-GB"/>
              </w:rPr>
              <w:t>67.1</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3AACCC0C" w14:textId="77777777" w:rsidR="00C32376" w:rsidRPr="00C32376" w:rsidRDefault="00C32376" w:rsidP="00C32376">
            <w:pPr>
              <w:pStyle w:val="CDITable-RowCentre"/>
              <w:rPr>
                <w:lang w:val="en-GB"/>
              </w:rPr>
            </w:pPr>
            <w:r w:rsidRPr="00C32376">
              <w:rPr>
                <w:lang w:val="en-GB"/>
              </w:rPr>
              <w:t>1,602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21CBC0F" w14:textId="77777777" w:rsidR="00C32376" w:rsidRPr="00C32376" w:rsidRDefault="00C32376" w:rsidP="00C32376">
            <w:pPr>
              <w:pStyle w:val="CDITable-RowCentre"/>
              <w:rPr>
                <w:lang w:val="en-GB"/>
              </w:rPr>
            </w:pPr>
            <w:r w:rsidRPr="00C32376">
              <w:rPr>
                <w:lang w:val="en-GB"/>
              </w:rPr>
              <w:t>66.0</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3673ACD" w14:textId="77777777" w:rsidR="00C32376" w:rsidRPr="00C32376" w:rsidRDefault="00C32376" w:rsidP="00C32376">
            <w:pPr>
              <w:pStyle w:val="CDITable-RowCentre"/>
              <w:rPr>
                <w:lang w:val="en-GB"/>
              </w:rPr>
            </w:pPr>
            <w:r w:rsidRPr="00C32376">
              <w:rPr>
                <w:lang w:val="en-GB"/>
              </w:rPr>
              <w:t>1,014</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5A47C2E2" w14:textId="77777777" w:rsidR="00C32376" w:rsidRPr="00C32376" w:rsidRDefault="00C32376" w:rsidP="00C32376">
            <w:pPr>
              <w:pStyle w:val="CDITable-RowCentre"/>
              <w:rPr>
                <w:lang w:val="en-GB"/>
              </w:rPr>
            </w:pPr>
            <w:r w:rsidRPr="00C32376">
              <w:rPr>
                <w:lang w:val="en-GB"/>
              </w:rPr>
              <w:t>63.3</w:t>
            </w:r>
          </w:p>
        </w:tc>
      </w:tr>
      <w:tr w:rsidR="00C32376" w:rsidRPr="00C32376" w14:paraId="5877FD26" w14:textId="77777777" w:rsidTr="00C32376">
        <w:trPr>
          <w:trHeight w:val="60"/>
        </w:trPr>
        <w:tc>
          <w:tcPr>
            <w:tcW w:w="2041" w:type="dxa"/>
            <w:tcBorders>
              <w:top w:val="single" w:sz="6" w:space="0" w:color="1E4496" w:themeColor="text2"/>
              <w:left w:val="nil"/>
              <w:bottom w:val="single" w:sz="6" w:space="0" w:color="1E4496" w:themeColor="text2"/>
            </w:tcBorders>
            <w:tcMar>
              <w:top w:w="51" w:type="dxa"/>
              <w:left w:w="85" w:type="dxa"/>
              <w:bottom w:w="51" w:type="dxa"/>
              <w:right w:w="85" w:type="dxa"/>
            </w:tcMar>
            <w:vAlign w:val="center"/>
          </w:tcPr>
          <w:p w14:paraId="044F42F4" w14:textId="77777777" w:rsidR="00C32376" w:rsidRPr="00C32376" w:rsidRDefault="00C32376" w:rsidP="00C32376">
            <w:pPr>
              <w:pStyle w:val="CDITable-RowLeft"/>
              <w:rPr>
                <w:lang w:val="en-GB"/>
              </w:rPr>
            </w:pPr>
            <w:r w:rsidRPr="00C32376">
              <w:rPr>
                <w:lang w:val="en-GB"/>
              </w:rPr>
              <w:t>Age distribution (years)</w:t>
            </w: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FC82DC8" w14:textId="77777777" w:rsidR="00C32376" w:rsidRPr="00C32376" w:rsidRDefault="00C32376" w:rsidP="00C32376">
            <w:pPr>
              <w:pStyle w:val="CDITable-RowLeft"/>
              <w:rPr>
                <w:lang w:val="en-GB"/>
              </w:rPr>
            </w:pPr>
            <w:r w:rsidRPr="00C32376">
              <w:rPr>
                <w:lang w:val="en-GB"/>
              </w:rPr>
              <w:t>Median age (IQR)</w:t>
            </w:r>
            <w:r w:rsidRPr="00C32376">
              <w:rPr>
                <w:vertAlign w:val="superscript"/>
                <w:lang w:val="en-GB"/>
              </w:rPr>
              <w:t>b</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D9132C3" w14:textId="77777777" w:rsidR="00C32376" w:rsidRPr="00C32376" w:rsidRDefault="00C32376" w:rsidP="00C32376">
            <w:pPr>
              <w:pStyle w:val="CDITable-RowCentre"/>
              <w:rPr>
                <w:lang w:val="en-GB"/>
              </w:rPr>
            </w:pPr>
            <w:r w:rsidRPr="00C32376">
              <w:rPr>
                <w:lang w:val="en-GB"/>
              </w:rPr>
              <w:t>41 (32–54)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6554C43"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15B960F"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719890B1"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04F3CEF0" w14:textId="77777777" w:rsidR="00C32376" w:rsidRPr="00C32376" w:rsidRDefault="00C32376" w:rsidP="00C32376">
            <w:pPr>
              <w:pStyle w:val="CDITable-RowCentre"/>
              <w:rPr>
                <w:lang w:val="en-GB"/>
              </w:rPr>
            </w:pPr>
            <w:r w:rsidRPr="00C32376">
              <w:rPr>
                <w:lang w:val="en-GB"/>
              </w:rPr>
              <w:t>46 (35–57)</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85691C0" w14:textId="77777777" w:rsidR="00C32376" w:rsidRPr="00C32376" w:rsidRDefault="00C32376" w:rsidP="00C32376">
            <w:pPr>
              <w:pStyle w:val="CDITable-RowCentre"/>
              <w:rPr>
                <w:lang w:val="en-GB"/>
              </w:rPr>
            </w:pPr>
            <w:r w:rsidRPr="00C32376">
              <w:rPr>
                <w:lang w:val="en-GB"/>
              </w:rPr>
              <w:t>—</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C222DF1"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5649636C" w14:textId="77777777" w:rsidR="00C32376" w:rsidRPr="00C32376" w:rsidRDefault="00C32376" w:rsidP="00C32376">
            <w:pPr>
              <w:pStyle w:val="CDITable-RowCentre"/>
              <w:rPr>
                <w:lang w:val="en-GB"/>
              </w:rPr>
            </w:pPr>
            <w:r w:rsidRPr="00C32376">
              <w:rPr>
                <w:lang w:val="en-GB"/>
              </w:rPr>
              <w:t>—</w:t>
            </w:r>
          </w:p>
        </w:tc>
      </w:tr>
      <w:tr w:rsidR="00C32376" w:rsidRPr="00C32376" w14:paraId="72AE2EB4" w14:textId="77777777" w:rsidTr="00C32376">
        <w:trPr>
          <w:trHeight w:val="60"/>
        </w:trPr>
        <w:tc>
          <w:tcPr>
            <w:tcW w:w="2041" w:type="dxa"/>
            <w:vMerge w:val="restart"/>
            <w:tcBorders>
              <w:top w:val="single" w:sz="6" w:space="0" w:color="1E4496" w:themeColor="text2"/>
              <w:left w:val="nil"/>
              <w:bottom w:val="single" w:sz="6" w:space="0" w:color="1E4496" w:themeColor="text2"/>
            </w:tcBorders>
            <w:tcMar>
              <w:top w:w="51" w:type="dxa"/>
              <w:left w:w="85" w:type="dxa"/>
              <w:bottom w:w="51" w:type="dxa"/>
              <w:right w:w="85" w:type="dxa"/>
            </w:tcMar>
            <w:vAlign w:val="center"/>
          </w:tcPr>
          <w:p w14:paraId="0E378F9F" w14:textId="77777777" w:rsidR="00C32376" w:rsidRPr="00C32376" w:rsidRDefault="00C32376" w:rsidP="00C32376">
            <w:pPr>
              <w:pStyle w:val="CDITable-RowLeft"/>
              <w:rPr>
                <w:lang w:val="en-GB"/>
              </w:rPr>
            </w:pPr>
            <w:r w:rsidRPr="00C32376">
              <w:rPr>
                <w:lang w:val="en-GB"/>
              </w:rPr>
              <w:t>Age group (years)</w:t>
            </w: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48D810F" w14:textId="77777777" w:rsidR="00C32376" w:rsidRPr="00C32376" w:rsidRDefault="00C32376" w:rsidP="00C32376">
            <w:pPr>
              <w:pStyle w:val="CDITable-RowLeft"/>
              <w:rPr>
                <w:lang w:val="en-GB"/>
              </w:rPr>
            </w:pPr>
            <w:r w:rsidRPr="00C32376">
              <w:rPr>
                <w:lang w:val="en-GB"/>
              </w:rPr>
              <w:t>0–19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39CDC10" w14:textId="77777777" w:rsidR="00C32376" w:rsidRPr="00C32376" w:rsidRDefault="00C32376" w:rsidP="00C32376">
            <w:pPr>
              <w:pStyle w:val="CDITable-RowCentre"/>
              <w:rPr>
                <w:lang w:val="en-GB"/>
              </w:rPr>
            </w:pPr>
            <w:r w:rsidRPr="00C32376">
              <w:rPr>
                <w:lang w:val="en-GB"/>
              </w:rPr>
              <w:t>47</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3B333D1" w14:textId="77777777" w:rsidR="00C32376" w:rsidRPr="00C32376" w:rsidRDefault="00C32376" w:rsidP="00C32376">
            <w:pPr>
              <w:pStyle w:val="CDITable-RowCentre"/>
              <w:rPr>
                <w:lang w:val="en-GB"/>
              </w:rPr>
            </w:pPr>
            <w:r w:rsidRPr="00C32376">
              <w:rPr>
                <w:lang w:val="en-GB"/>
              </w:rPr>
              <w:t>1.7</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CD7C93E" w14:textId="77777777" w:rsidR="00C32376" w:rsidRPr="00C32376" w:rsidRDefault="00C32376" w:rsidP="00C32376">
            <w:pPr>
              <w:pStyle w:val="CDITable-RowCentre"/>
              <w:rPr>
                <w:lang w:val="en-GB"/>
              </w:rPr>
            </w:pPr>
            <w:r w:rsidRPr="00C32376">
              <w:rPr>
                <w:lang w:val="en-GB"/>
              </w:rPr>
              <w:t>38</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3D503427" w14:textId="77777777" w:rsidR="00C32376" w:rsidRPr="00C32376" w:rsidRDefault="00C32376" w:rsidP="00C32376">
            <w:pPr>
              <w:pStyle w:val="CDITable-RowCentre"/>
              <w:rPr>
                <w:lang w:val="en-GB"/>
              </w:rPr>
            </w:pPr>
            <w:r w:rsidRPr="00C32376">
              <w:rPr>
                <w:lang w:val="en-GB"/>
              </w:rPr>
              <w:t>80.9</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48ED93D5" w14:textId="77777777" w:rsidR="00C32376" w:rsidRPr="00C32376" w:rsidRDefault="00C32376" w:rsidP="00C32376">
            <w:pPr>
              <w:pStyle w:val="CDITable-RowCentre"/>
              <w:rPr>
                <w:lang w:val="en-GB"/>
              </w:rPr>
            </w:pPr>
            <w:r w:rsidRPr="00C32376">
              <w:rPr>
                <w:lang w:val="en-GB"/>
              </w:rPr>
              <w:t>30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D4D4026" w14:textId="77777777" w:rsidR="00C32376" w:rsidRPr="00C32376" w:rsidRDefault="00C32376" w:rsidP="00C32376">
            <w:pPr>
              <w:pStyle w:val="CDITable-RowCentre"/>
              <w:rPr>
                <w:lang w:val="en-GB"/>
              </w:rPr>
            </w:pPr>
            <w:r w:rsidRPr="00C32376">
              <w:rPr>
                <w:lang w:val="en-GB"/>
              </w:rPr>
              <w:t>1.2</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7A2CF9D" w14:textId="77777777" w:rsidR="00C32376" w:rsidRPr="00C32376" w:rsidRDefault="00C32376" w:rsidP="00C32376">
            <w:pPr>
              <w:pStyle w:val="CDITable-RowCentre"/>
              <w:rPr>
                <w:lang w:val="en-GB"/>
              </w:rPr>
            </w:pPr>
            <w:r w:rsidRPr="00C32376">
              <w:rPr>
                <w:lang w:val="en-GB"/>
              </w:rPr>
              <w:t>21</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3C03A3C2" w14:textId="77777777" w:rsidR="00C32376" w:rsidRPr="00C32376" w:rsidRDefault="00C32376" w:rsidP="00C32376">
            <w:pPr>
              <w:pStyle w:val="CDITable-RowCentre"/>
              <w:rPr>
                <w:lang w:val="en-GB"/>
              </w:rPr>
            </w:pPr>
            <w:r w:rsidRPr="00C32376">
              <w:rPr>
                <w:lang w:val="en-GB"/>
              </w:rPr>
              <w:t>70.0</w:t>
            </w:r>
          </w:p>
        </w:tc>
      </w:tr>
      <w:tr w:rsidR="00C32376" w:rsidRPr="00C32376" w14:paraId="57BC9961"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1F429871"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8DEF400" w14:textId="77777777" w:rsidR="00C32376" w:rsidRPr="00C32376" w:rsidRDefault="00C32376" w:rsidP="00C32376">
            <w:pPr>
              <w:pStyle w:val="CDITable-RowLeft"/>
              <w:rPr>
                <w:lang w:val="en-GB"/>
              </w:rPr>
            </w:pPr>
            <w:r w:rsidRPr="00C32376">
              <w:rPr>
                <w:lang w:val="en-GB"/>
              </w:rPr>
              <w:t>20–29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C4392BE" w14:textId="77777777" w:rsidR="00C32376" w:rsidRPr="00C32376" w:rsidRDefault="00C32376" w:rsidP="00C32376">
            <w:pPr>
              <w:pStyle w:val="CDITable-RowCentre"/>
              <w:rPr>
                <w:lang w:val="en-GB"/>
              </w:rPr>
            </w:pPr>
            <w:r w:rsidRPr="00C32376">
              <w:rPr>
                <w:lang w:val="en-GB"/>
              </w:rPr>
              <w:t>413</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7616EB2" w14:textId="77777777" w:rsidR="00C32376" w:rsidRPr="00C32376" w:rsidRDefault="00C32376" w:rsidP="00C32376">
            <w:pPr>
              <w:pStyle w:val="CDITable-RowCentre"/>
              <w:rPr>
                <w:lang w:val="en-GB"/>
              </w:rPr>
            </w:pPr>
            <w:r w:rsidRPr="00C32376">
              <w:rPr>
                <w:lang w:val="en-GB"/>
              </w:rPr>
              <w:t>14.6</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FE07D40" w14:textId="77777777" w:rsidR="00C32376" w:rsidRPr="00C32376" w:rsidRDefault="00C32376" w:rsidP="00C32376">
            <w:pPr>
              <w:pStyle w:val="CDITable-RowCentre"/>
              <w:rPr>
                <w:lang w:val="en-GB"/>
              </w:rPr>
            </w:pPr>
            <w:r w:rsidRPr="00C32376">
              <w:rPr>
                <w:lang w:val="en-GB"/>
              </w:rPr>
              <w:t>305</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6231F13D" w14:textId="77777777" w:rsidR="00C32376" w:rsidRPr="00C32376" w:rsidRDefault="00C32376" w:rsidP="00C32376">
            <w:pPr>
              <w:pStyle w:val="CDITable-RowCentre"/>
              <w:rPr>
                <w:lang w:val="en-GB"/>
              </w:rPr>
            </w:pPr>
            <w:r w:rsidRPr="00C32376">
              <w:rPr>
                <w:lang w:val="en-GB"/>
              </w:rPr>
              <w:t>73.8</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3100AE11" w14:textId="77777777" w:rsidR="00C32376" w:rsidRPr="00C32376" w:rsidRDefault="00C32376" w:rsidP="00C32376">
            <w:pPr>
              <w:pStyle w:val="CDITable-RowCentre"/>
              <w:rPr>
                <w:lang w:val="en-GB"/>
              </w:rPr>
            </w:pPr>
            <w:r w:rsidRPr="00C32376">
              <w:rPr>
                <w:lang w:val="en-GB"/>
              </w:rPr>
              <w:t>270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2229427" w14:textId="77777777" w:rsidR="00C32376" w:rsidRPr="00C32376" w:rsidRDefault="00C32376" w:rsidP="00C32376">
            <w:pPr>
              <w:pStyle w:val="CDITable-RowCentre"/>
              <w:rPr>
                <w:lang w:val="en-GB"/>
              </w:rPr>
            </w:pPr>
            <w:r w:rsidRPr="00C32376">
              <w:rPr>
                <w:lang w:val="en-GB"/>
              </w:rPr>
              <w:t>11.1</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39A44B5" w14:textId="77777777" w:rsidR="00C32376" w:rsidRPr="00C32376" w:rsidRDefault="00C32376" w:rsidP="00C32376">
            <w:pPr>
              <w:pStyle w:val="CDITable-RowCentre"/>
              <w:rPr>
                <w:lang w:val="en-GB"/>
              </w:rPr>
            </w:pPr>
            <w:r w:rsidRPr="00C32376">
              <w:rPr>
                <w:lang w:val="en-GB"/>
              </w:rPr>
              <w:t>189</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504A917F" w14:textId="77777777" w:rsidR="00C32376" w:rsidRPr="00C32376" w:rsidRDefault="00C32376" w:rsidP="00C32376">
            <w:pPr>
              <w:pStyle w:val="CDITable-RowCentre"/>
              <w:rPr>
                <w:lang w:val="en-GB"/>
              </w:rPr>
            </w:pPr>
            <w:r w:rsidRPr="00C32376">
              <w:rPr>
                <w:lang w:val="en-GB"/>
              </w:rPr>
              <w:t>70.0</w:t>
            </w:r>
          </w:p>
        </w:tc>
      </w:tr>
      <w:tr w:rsidR="00C32376" w:rsidRPr="00C32376" w14:paraId="4E87AF3E"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79551080"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F66FEC7" w14:textId="77777777" w:rsidR="00C32376" w:rsidRPr="00C32376" w:rsidRDefault="00C32376" w:rsidP="00C32376">
            <w:pPr>
              <w:pStyle w:val="CDITable-RowLeft"/>
              <w:rPr>
                <w:lang w:val="en-GB"/>
              </w:rPr>
            </w:pPr>
            <w:r w:rsidRPr="00C32376">
              <w:rPr>
                <w:lang w:val="en-GB"/>
              </w:rPr>
              <w:t>30–39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D48F0EF" w14:textId="77777777" w:rsidR="00C32376" w:rsidRPr="00C32376" w:rsidRDefault="00C32376" w:rsidP="00C32376">
            <w:pPr>
              <w:pStyle w:val="CDITable-RowCentre"/>
              <w:rPr>
                <w:lang w:val="en-GB"/>
              </w:rPr>
            </w:pPr>
            <w:r w:rsidRPr="00C32376">
              <w:rPr>
                <w:lang w:val="en-GB"/>
              </w:rPr>
              <w:t>756</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24FD618" w14:textId="77777777" w:rsidR="00C32376" w:rsidRPr="00C32376" w:rsidRDefault="00C32376" w:rsidP="00C32376">
            <w:pPr>
              <w:pStyle w:val="CDITable-RowCentre"/>
              <w:rPr>
                <w:lang w:val="en-GB"/>
              </w:rPr>
            </w:pPr>
            <w:r w:rsidRPr="00C32376">
              <w:rPr>
                <w:lang w:val="en-GB"/>
              </w:rPr>
              <w:t>26.8</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BD52552" w14:textId="77777777" w:rsidR="00C32376" w:rsidRPr="00C32376" w:rsidRDefault="00C32376" w:rsidP="00C32376">
            <w:pPr>
              <w:pStyle w:val="CDITable-RowCentre"/>
              <w:rPr>
                <w:lang w:val="en-GB"/>
              </w:rPr>
            </w:pPr>
            <w:r w:rsidRPr="00C32376">
              <w:rPr>
                <w:lang w:val="en-GB"/>
              </w:rPr>
              <w:t>511</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7B058304" w14:textId="77777777" w:rsidR="00C32376" w:rsidRPr="00C32376" w:rsidRDefault="00C32376" w:rsidP="00C32376">
            <w:pPr>
              <w:pStyle w:val="CDITable-RowCentre"/>
              <w:rPr>
                <w:lang w:val="en-GB"/>
              </w:rPr>
            </w:pPr>
            <w:r w:rsidRPr="00C32376">
              <w:rPr>
                <w:lang w:val="en-GB"/>
              </w:rPr>
              <w:t>67.6</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1D80348E" w14:textId="77777777" w:rsidR="00C32376" w:rsidRPr="00C32376" w:rsidRDefault="00C32376" w:rsidP="00C32376">
            <w:pPr>
              <w:pStyle w:val="CDITable-RowCentre"/>
              <w:rPr>
                <w:lang w:val="en-GB"/>
              </w:rPr>
            </w:pPr>
            <w:r w:rsidRPr="00C32376">
              <w:rPr>
                <w:lang w:val="en-GB"/>
              </w:rPr>
              <w:t>490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A6CE80D" w14:textId="77777777" w:rsidR="00C32376" w:rsidRPr="00C32376" w:rsidRDefault="00C32376" w:rsidP="00C32376">
            <w:pPr>
              <w:pStyle w:val="CDITable-RowCentre"/>
              <w:rPr>
                <w:lang w:val="en-GB"/>
              </w:rPr>
            </w:pPr>
            <w:r w:rsidRPr="00C32376">
              <w:rPr>
                <w:lang w:val="en-GB"/>
              </w:rPr>
              <w:t>20.2</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F0F2AF8" w14:textId="77777777" w:rsidR="00C32376" w:rsidRPr="00C32376" w:rsidRDefault="00C32376" w:rsidP="00C32376">
            <w:pPr>
              <w:pStyle w:val="CDITable-RowCentre"/>
              <w:rPr>
                <w:lang w:val="en-GB"/>
              </w:rPr>
            </w:pPr>
            <w:r w:rsidRPr="00C32376">
              <w:rPr>
                <w:lang w:val="en-GB"/>
              </w:rPr>
              <w:t>312</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23F02351" w14:textId="77777777" w:rsidR="00C32376" w:rsidRPr="00C32376" w:rsidRDefault="00C32376" w:rsidP="00C32376">
            <w:pPr>
              <w:pStyle w:val="CDITable-RowCentre"/>
              <w:rPr>
                <w:lang w:val="en-GB"/>
              </w:rPr>
            </w:pPr>
            <w:r w:rsidRPr="00C32376">
              <w:rPr>
                <w:lang w:val="en-GB"/>
              </w:rPr>
              <w:t>63.7</w:t>
            </w:r>
          </w:p>
        </w:tc>
      </w:tr>
      <w:tr w:rsidR="00C32376" w:rsidRPr="00C32376" w14:paraId="117FA4ED"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465ACF0A"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4C59398" w14:textId="77777777" w:rsidR="00C32376" w:rsidRPr="00C32376" w:rsidRDefault="00C32376" w:rsidP="00C32376">
            <w:pPr>
              <w:pStyle w:val="CDITable-RowLeft"/>
              <w:rPr>
                <w:lang w:val="en-GB"/>
              </w:rPr>
            </w:pPr>
            <w:r w:rsidRPr="00C32376">
              <w:rPr>
                <w:lang w:val="en-GB"/>
              </w:rPr>
              <w:t>40–49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ABBE358" w14:textId="77777777" w:rsidR="00C32376" w:rsidRPr="00C32376" w:rsidRDefault="00C32376" w:rsidP="00C32376">
            <w:pPr>
              <w:pStyle w:val="CDITable-RowCentre"/>
              <w:rPr>
                <w:lang w:val="en-GB"/>
              </w:rPr>
            </w:pPr>
            <w:r w:rsidRPr="00C32376">
              <w:rPr>
                <w:lang w:val="en-GB"/>
              </w:rPr>
              <w:t>623</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50D787E" w14:textId="77777777" w:rsidR="00C32376" w:rsidRPr="00C32376" w:rsidRDefault="00C32376" w:rsidP="00C32376">
            <w:pPr>
              <w:pStyle w:val="CDITable-RowCentre"/>
              <w:rPr>
                <w:lang w:val="en-GB"/>
              </w:rPr>
            </w:pPr>
            <w:r w:rsidRPr="00C32376">
              <w:rPr>
                <w:lang w:val="en-GB"/>
              </w:rPr>
              <w:t>22.1</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0D4453B" w14:textId="77777777" w:rsidR="00C32376" w:rsidRPr="00C32376" w:rsidRDefault="00C32376" w:rsidP="00C32376">
            <w:pPr>
              <w:pStyle w:val="CDITable-RowCentre"/>
              <w:rPr>
                <w:lang w:val="en-GB"/>
              </w:rPr>
            </w:pPr>
            <w:r w:rsidRPr="00C32376">
              <w:rPr>
                <w:lang w:val="en-GB"/>
              </w:rPr>
              <w:t>411</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3A70988A" w14:textId="77777777" w:rsidR="00C32376" w:rsidRPr="00C32376" w:rsidRDefault="00C32376" w:rsidP="00C32376">
            <w:pPr>
              <w:pStyle w:val="CDITable-RowCentre"/>
              <w:rPr>
                <w:lang w:val="en-GB"/>
              </w:rPr>
            </w:pPr>
            <w:r w:rsidRPr="00C32376">
              <w:rPr>
                <w:lang w:val="en-GB"/>
              </w:rPr>
              <w:t>66.0</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0C98B124" w14:textId="77777777" w:rsidR="00C32376" w:rsidRPr="00C32376" w:rsidRDefault="00C32376" w:rsidP="00C32376">
            <w:pPr>
              <w:pStyle w:val="CDITable-RowCentre"/>
              <w:rPr>
                <w:lang w:val="en-GB"/>
              </w:rPr>
            </w:pPr>
            <w:r w:rsidRPr="00C32376">
              <w:rPr>
                <w:lang w:val="en-GB"/>
              </w:rPr>
              <w:t>560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8D05EBC" w14:textId="77777777" w:rsidR="00C32376" w:rsidRPr="00C32376" w:rsidRDefault="00C32376" w:rsidP="00C32376">
            <w:pPr>
              <w:pStyle w:val="CDITable-RowCentre"/>
              <w:rPr>
                <w:lang w:val="en-GB"/>
              </w:rPr>
            </w:pPr>
            <w:r w:rsidRPr="00C32376">
              <w:rPr>
                <w:lang w:val="en-GB"/>
              </w:rPr>
              <w:t>23.1</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CCF3607" w14:textId="77777777" w:rsidR="00C32376" w:rsidRPr="00C32376" w:rsidRDefault="00C32376" w:rsidP="00C32376">
            <w:pPr>
              <w:pStyle w:val="CDITable-RowCentre"/>
              <w:rPr>
                <w:lang w:val="en-GB"/>
              </w:rPr>
            </w:pPr>
            <w:r w:rsidRPr="00C32376">
              <w:rPr>
                <w:lang w:val="en-GB"/>
              </w:rPr>
              <w:t>345</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44587B51" w14:textId="77777777" w:rsidR="00C32376" w:rsidRPr="00C32376" w:rsidRDefault="00C32376" w:rsidP="00C32376">
            <w:pPr>
              <w:pStyle w:val="CDITable-RowCentre"/>
              <w:rPr>
                <w:lang w:val="en-GB"/>
              </w:rPr>
            </w:pPr>
            <w:r w:rsidRPr="00C32376">
              <w:rPr>
                <w:lang w:val="en-GB"/>
              </w:rPr>
              <w:t>61.6</w:t>
            </w:r>
          </w:p>
        </w:tc>
      </w:tr>
      <w:tr w:rsidR="00C32376" w:rsidRPr="00C32376" w14:paraId="7751897E"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68E6CB0C"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90878FA" w14:textId="77777777" w:rsidR="00C32376" w:rsidRPr="00C32376" w:rsidRDefault="00C32376" w:rsidP="00C32376">
            <w:pPr>
              <w:pStyle w:val="CDITable-RowLeft"/>
              <w:rPr>
                <w:lang w:val="en-GB"/>
              </w:rPr>
            </w:pPr>
            <w:r w:rsidRPr="00C32376">
              <w:rPr>
                <w:lang w:val="en-GB"/>
              </w:rPr>
              <w:t>50–59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516050E" w14:textId="77777777" w:rsidR="00C32376" w:rsidRPr="00C32376" w:rsidRDefault="00C32376" w:rsidP="00C32376">
            <w:pPr>
              <w:pStyle w:val="CDITable-RowCentre"/>
              <w:rPr>
                <w:lang w:val="en-GB"/>
              </w:rPr>
            </w:pPr>
            <w:r w:rsidRPr="00C32376">
              <w:rPr>
                <w:lang w:val="en-GB"/>
              </w:rPr>
              <w:t>436</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8CCDC34" w14:textId="77777777" w:rsidR="00C32376" w:rsidRPr="00C32376" w:rsidRDefault="00C32376" w:rsidP="00C32376">
            <w:pPr>
              <w:pStyle w:val="CDITable-RowCentre"/>
              <w:rPr>
                <w:lang w:val="en-GB"/>
              </w:rPr>
            </w:pPr>
            <w:r w:rsidRPr="00C32376">
              <w:rPr>
                <w:lang w:val="en-GB"/>
              </w:rPr>
              <w:t>15.4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62882DD" w14:textId="77777777" w:rsidR="00C32376" w:rsidRPr="00C32376" w:rsidRDefault="00C32376" w:rsidP="00C32376">
            <w:pPr>
              <w:pStyle w:val="CDITable-RowCentre"/>
              <w:rPr>
                <w:lang w:val="en-GB"/>
              </w:rPr>
            </w:pPr>
            <w:r w:rsidRPr="00C32376">
              <w:rPr>
                <w:lang w:val="en-GB"/>
              </w:rPr>
              <w:t>268</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0B315F89" w14:textId="77777777" w:rsidR="00C32376" w:rsidRPr="00C32376" w:rsidRDefault="00C32376" w:rsidP="00C32376">
            <w:pPr>
              <w:pStyle w:val="CDITable-RowCentre"/>
              <w:rPr>
                <w:lang w:val="en-GB"/>
              </w:rPr>
            </w:pPr>
            <w:r w:rsidRPr="00C32376">
              <w:rPr>
                <w:lang w:val="en-GB"/>
              </w:rPr>
              <w:t>61.5</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002AB901" w14:textId="77777777" w:rsidR="00C32376" w:rsidRPr="00C32376" w:rsidRDefault="00C32376" w:rsidP="00C32376">
            <w:pPr>
              <w:pStyle w:val="CDITable-RowCentre"/>
              <w:rPr>
                <w:lang w:val="en-GB"/>
              </w:rPr>
            </w:pPr>
            <w:r w:rsidRPr="00C32376">
              <w:rPr>
                <w:lang w:val="en-GB"/>
              </w:rPr>
              <w:t>511</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208119E" w14:textId="77777777" w:rsidR="00C32376" w:rsidRPr="00C32376" w:rsidRDefault="00C32376" w:rsidP="00C32376">
            <w:pPr>
              <w:pStyle w:val="CDITable-RowCentre"/>
              <w:rPr>
                <w:lang w:val="en-GB"/>
              </w:rPr>
            </w:pPr>
            <w:r w:rsidRPr="00C32376">
              <w:rPr>
                <w:lang w:val="en-GB"/>
              </w:rPr>
              <w:t>21.1</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A987AFF" w14:textId="77777777" w:rsidR="00C32376" w:rsidRPr="00C32376" w:rsidRDefault="00C32376" w:rsidP="00C32376">
            <w:pPr>
              <w:pStyle w:val="CDITable-RowCentre"/>
              <w:rPr>
                <w:lang w:val="en-GB"/>
              </w:rPr>
            </w:pPr>
            <w:r w:rsidRPr="00C32376">
              <w:rPr>
                <w:lang w:val="en-GB"/>
              </w:rPr>
              <w:t>340</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16B34B04" w14:textId="77777777" w:rsidR="00C32376" w:rsidRPr="00C32376" w:rsidRDefault="00C32376" w:rsidP="00C32376">
            <w:pPr>
              <w:pStyle w:val="CDITable-RowCentre"/>
              <w:rPr>
                <w:lang w:val="en-GB"/>
              </w:rPr>
            </w:pPr>
            <w:r w:rsidRPr="00C32376">
              <w:rPr>
                <w:lang w:val="en-GB"/>
              </w:rPr>
              <w:t>66.5</w:t>
            </w:r>
          </w:p>
        </w:tc>
      </w:tr>
      <w:tr w:rsidR="00C32376" w:rsidRPr="00C32376" w14:paraId="2AFD5011"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0E148F57"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5CBAF55" w14:textId="77777777" w:rsidR="00C32376" w:rsidRPr="00C32376" w:rsidRDefault="00C32376" w:rsidP="00C32376">
            <w:pPr>
              <w:pStyle w:val="CDITable-RowLeft"/>
              <w:rPr>
                <w:lang w:val="en-GB"/>
              </w:rPr>
            </w:pPr>
            <w:r w:rsidRPr="00C32376">
              <w:rPr>
                <w:lang w:val="en-GB"/>
              </w:rPr>
              <w:t>60–69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2122898" w14:textId="77777777" w:rsidR="00C32376" w:rsidRPr="00C32376" w:rsidRDefault="00C32376" w:rsidP="00C32376">
            <w:pPr>
              <w:pStyle w:val="CDITable-RowCentre"/>
              <w:rPr>
                <w:lang w:val="en-GB"/>
              </w:rPr>
            </w:pPr>
            <w:r w:rsidRPr="00C32376">
              <w:rPr>
                <w:lang w:val="en-GB"/>
              </w:rPr>
              <w:t>373</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DAC2B74" w14:textId="77777777" w:rsidR="00C32376" w:rsidRPr="00C32376" w:rsidRDefault="00C32376" w:rsidP="00C32376">
            <w:pPr>
              <w:pStyle w:val="CDITable-RowCentre"/>
              <w:rPr>
                <w:lang w:val="en-GB"/>
              </w:rPr>
            </w:pPr>
            <w:r w:rsidRPr="00C32376">
              <w:rPr>
                <w:lang w:val="en-GB"/>
              </w:rPr>
              <w:t>13.2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10BF1FB" w14:textId="77777777" w:rsidR="00C32376" w:rsidRPr="00C32376" w:rsidRDefault="00C32376" w:rsidP="00C32376">
            <w:pPr>
              <w:pStyle w:val="CDITable-RowCentre"/>
              <w:rPr>
                <w:lang w:val="en-GB"/>
              </w:rPr>
            </w:pPr>
            <w:r w:rsidRPr="00C32376">
              <w:rPr>
                <w:lang w:val="en-GB"/>
              </w:rPr>
              <w:t>243</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524F194D" w14:textId="77777777" w:rsidR="00C32376" w:rsidRPr="00C32376" w:rsidRDefault="00C32376" w:rsidP="00C32376">
            <w:pPr>
              <w:pStyle w:val="CDITable-RowCentre"/>
              <w:rPr>
                <w:lang w:val="en-GB"/>
              </w:rPr>
            </w:pPr>
            <w:r w:rsidRPr="00C32376">
              <w:rPr>
                <w:lang w:val="en-GB"/>
              </w:rPr>
              <w:t>65.1</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3F8A8720" w14:textId="77777777" w:rsidR="00C32376" w:rsidRPr="00C32376" w:rsidRDefault="00C32376" w:rsidP="00C32376">
            <w:pPr>
              <w:pStyle w:val="CDITable-RowCentre"/>
              <w:rPr>
                <w:lang w:val="en-GB"/>
              </w:rPr>
            </w:pPr>
            <w:r w:rsidRPr="00C32376">
              <w:rPr>
                <w:lang w:val="en-GB"/>
              </w:rPr>
              <w:t>410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06E9C89" w14:textId="77777777" w:rsidR="00C32376" w:rsidRPr="00C32376" w:rsidRDefault="00C32376" w:rsidP="00C32376">
            <w:pPr>
              <w:pStyle w:val="CDITable-RowCentre"/>
              <w:rPr>
                <w:lang w:val="en-GB"/>
              </w:rPr>
            </w:pPr>
            <w:r w:rsidRPr="00C32376">
              <w:rPr>
                <w:lang w:val="en-GB"/>
              </w:rPr>
              <w:t>16.9</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E77F94D" w14:textId="77777777" w:rsidR="00C32376" w:rsidRPr="00C32376" w:rsidRDefault="00C32376" w:rsidP="00C32376">
            <w:pPr>
              <w:pStyle w:val="CDITable-RowCentre"/>
              <w:rPr>
                <w:lang w:val="en-GB"/>
              </w:rPr>
            </w:pPr>
            <w:r w:rsidRPr="00C32376">
              <w:rPr>
                <w:lang w:val="en-GB"/>
              </w:rPr>
              <w:t>279</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0BA3EE65" w14:textId="77777777" w:rsidR="00C32376" w:rsidRPr="00C32376" w:rsidRDefault="00C32376" w:rsidP="00C32376">
            <w:pPr>
              <w:pStyle w:val="CDITable-RowCentre"/>
              <w:rPr>
                <w:lang w:val="en-GB"/>
              </w:rPr>
            </w:pPr>
            <w:r w:rsidRPr="00C32376">
              <w:rPr>
                <w:lang w:val="en-GB"/>
              </w:rPr>
              <w:t>68.0</w:t>
            </w:r>
          </w:p>
        </w:tc>
      </w:tr>
      <w:tr w:rsidR="00C32376" w:rsidRPr="00C32376" w14:paraId="6153D77F"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52F55891"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9539BF4" w14:textId="77777777" w:rsidR="00C32376" w:rsidRPr="00C32376" w:rsidRDefault="00C32376" w:rsidP="00C32376">
            <w:pPr>
              <w:pStyle w:val="CDITable-RowLeft"/>
              <w:rPr>
                <w:lang w:val="en-GB"/>
              </w:rPr>
            </w:pPr>
            <w:r w:rsidRPr="00C32376">
              <w:rPr>
                <w:lang w:val="en-GB"/>
              </w:rPr>
              <w:t>70+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7929AFD" w14:textId="77777777" w:rsidR="00C32376" w:rsidRPr="00C32376" w:rsidRDefault="00C32376" w:rsidP="00C32376">
            <w:pPr>
              <w:pStyle w:val="CDITable-RowCentre"/>
              <w:rPr>
                <w:lang w:val="en-GB"/>
              </w:rPr>
            </w:pPr>
            <w:r w:rsidRPr="00C32376">
              <w:rPr>
                <w:lang w:val="en-GB"/>
              </w:rPr>
              <w:t>175</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E5089FE" w14:textId="77777777" w:rsidR="00C32376" w:rsidRPr="00C32376" w:rsidRDefault="00C32376" w:rsidP="00C32376">
            <w:pPr>
              <w:pStyle w:val="CDITable-RowCentre"/>
              <w:rPr>
                <w:lang w:val="en-GB"/>
              </w:rPr>
            </w:pPr>
            <w:r w:rsidRPr="00C32376">
              <w:rPr>
                <w:lang w:val="en-GB"/>
              </w:rPr>
              <w:t>6.2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2CAA3F4" w14:textId="77777777" w:rsidR="00C32376" w:rsidRPr="00C32376" w:rsidRDefault="00C32376" w:rsidP="00C32376">
            <w:pPr>
              <w:pStyle w:val="CDITable-RowCentre"/>
              <w:rPr>
                <w:lang w:val="en-GB"/>
              </w:rPr>
            </w:pPr>
            <w:r w:rsidRPr="00C32376">
              <w:rPr>
                <w:lang w:val="en-GB"/>
              </w:rPr>
              <w:t>112</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0300707B" w14:textId="77777777" w:rsidR="00C32376" w:rsidRPr="00C32376" w:rsidRDefault="00C32376" w:rsidP="00C32376">
            <w:pPr>
              <w:pStyle w:val="CDITable-RowCentre"/>
              <w:rPr>
                <w:lang w:val="en-GB"/>
              </w:rPr>
            </w:pPr>
            <w:r w:rsidRPr="00C32376">
              <w:rPr>
                <w:lang w:val="en-GB"/>
              </w:rPr>
              <w:t>64.0</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42E7D1EF" w14:textId="77777777" w:rsidR="00C32376" w:rsidRPr="00C32376" w:rsidRDefault="00C32376" w:rsidP="00C32376">
            <w:pPr>
              <w:pStyle w:val="CDITable-RowCentre"/>
              <w:rPr>
                <w:lang w:val="en-GB"/>
              </w:rPr>
            </w:pPr>
            <w:r w:rsidRPr="00C32376">
              <w:rPr>
                <w:lang w:val="en-GB"/>
              </w:rPr>
              <w:t>155</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26DA0F5" w14:textId="77777777" w:rsidR="00C32376" w:rsidRPr="00C32376" w:rsidRDefault="00C32376" w:rsidP="00C32376">
            <w:pPr>
              <w:pStyle w:val="CDITable-RowCentre"/>
              <w:rPr>
                <w:lang w:val="en-GB"/>
              </w:rPr>
            </w:pPr>
            <w:r w:rsidRPr="00C32376">
              <w:rPr>
                <w:lang w:val="en-GB"/>
              </w:rPr>
              <w:t>6.4</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2C4AD65" w14:textId="77777777" w:rsidR="00C32376" w:rsidRPr="00C32376" w:rsidRDefault="00C32376" w:rsidP="00C32376">
            <w:pPr>
              <w:pStyle w:val="CDITable-RowCentre"/>
              <w:rPr>
                <w:lang w:val="en-GB"/>
              </w:rPr>
            </w:pPr>
            <w:r w:rsidRPr="00C32376">
              <w:rPr>
                <w:lang w:val="en-GB"/>
              </w:rPr>
              <w:t>95</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5E3CE617" w14:textId="77777777" w:rsidR="00C32376" w:rsidRPr="00C32376" w:rsidRDefault="00C32376" w:rsidP="00C32376">
            <w:pPr>
              <w:pStyle w:val="CDITable-RowCentre"/>
              <w:rPr>
                <w:lang w:val="en-GB"/>
              </w:rPr>
            </w:pPr>
            <w:r w:rsidRPr="00C32376">
              <w:rPr>
                <w:lang w:val="en-GB"/>
              </w:rPr>
              <w:t>61.3</w:t>
            </w:r>
          </w:p>
        </w:tc>
      </w:tr>
      <w:tr w:rsidR="00C32376" w:rsidRPr="00C32376" w14:paraId="633E8637" w14:textId="77777777" w:rsidTr="00C32376">
        <w:trPr>
          <w:trHeight w:val="60"/>
        </w:trPr>
        <w:tc>
          <w:tcPr>
            <w:tcW w:w="2041" w:type="dxa"/>
            <w:vMerge w:val="restart"/>
            <w:tcBorders>
              <w:top w:val="single" w:sz="6" w:space="0" w:color="1E4496" w:themeColor="text2"/>
              <w:left w:val="nil"/>
              <w:bottom w:val="single" w:sz="6" w:space="0" w:color="1E4496" w:themeColor="text2"/>
            </w:tcBorders>
            <w:tcMar>
              <w:top w:w="51" w:type="dxa"/>
              <w:left w:w="85" w:type="dxa"/>
              <w:bottom w:w="51" w:type="dxa"/>
              <w:right w:w="85" w:type="dxa"/>
            </w:tcMar>
            <w:vAlign w:val="center"/>
          </w:tcPr>
          <w:p w14:paraId="687F067D" w14:textId="77777777" w:rsidR="00C32376" w:rsidRPr="00C32376" w:rsidRDefault="00C32376" w:rsidP="00C32376">
            <w:pPr>
              <w:pStyle w:val="CDITable-RowLeft"/>
              <w:rPr>
                <w:lang w:val="en-GB"/>
              </w:rPr>
            </w:pPr>
            <w:r w:rsidRPr="00C32376">
              <w:rPr>
                <w:lang w:val="en-GB"/>
              </w:rPr>
              <w:t>Region of residence</w:t>
            </w: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C28E411" w14:textId="77777777" w:rsidR="00C32376" w:rsidRPr="00C32376" w:rsidRDefault="00C32376" w:rsidP="00C32376">
            <w:pPr>
              <w:pStyle w:val="CDITable-RowLeft"/>
              <w:rPr>
                <w:lang w:val="en-GB"/>
              </w:rPr>
            </w:pPr>
            <w:r w:rsidRPr="00C32376">
              <w:rPr>
                <w:lang w:val="en-GB"/>
              </w:rPr>
              <w:t>Metropolitan</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7C24746" w14:textId="77777777" w:rsidR="00C32376" w:rsidRPr="00C32376" w:rsidRDefault="00C32376" w:rsidP="00C32376">
            <w:pPr>
              <w:pStyle w:val="CDITable-RowCentre"/>
              <w:rPr>
                <w:lang w:val="en-GB"/>
              </w:rPr>
            </w:pPr>
            <w:r w:rsidRPr="00C32376">
              <w:rPr>
                <w:lang w:val="en-GB"/>
              </w:rPr>
              <w:t>2,454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335463B" w14:textId="77777777" w:rsidR="00C32376" w:rsidRPr="00C32376" w:rsidRDefault="00C32376" w:rsidP="00C32376">
            <w:pPr>
              <w:pStyle w:val="CDITable-RowCentre"/>
              <w:rPr>
                <w:lang w:val="en-GB"/>
              </w:rPr>
            </w:pPr>
            <w:r w:rsidRPr="00C32376">
              <w:rPr>
                <w:lang w:val="en-GB"/>
              </w:rPr>
              <w:t>86.9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DD444BC" w14:textId="77777777" w:rsidR="00C32376" w:rsidRPr="00C32376" w:rsidRDefault="00C32376" w:rsidP="00C32376">
            <w:pPr>
              <w:pStyle w:val="CDITable-RowCentre"/>
              <w:rPr>
                <w:lang w:val="en-GB"/>
              </w:rPr>
            </w:pPr>
            <w:r w:rsidRPr="00C32376">
              <w:rPr>
                <w:lang w:val="en-GB"/>
              </w:rPr>
              <w:t>1,581</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335DD184" w14:textId="77777777" w:rsidR="00C32376" w:rsidRPr="00C32376" w:rsidRDefault="00C32376" w:rsidP="00C32376">
            <w:pPr>
              <w:pStyle w:val="CDITable-RowCentre"/>
              <w:rPr>
                <w:lang w:val="en-GB"/>
              </w:rPr>
            </w:pPr>
            <w:r w:rsidRPr="00C32376">
              <w:rPr>
                <w:lang w:val="en-GB"/>
              </w:rPr>
              <w:t>64.4</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313B7A0A" w14:textId="77777777" w:rsidR="00C32376" w:rsidRPr="00C32376" w:rsidRDefault="00C32376" w:rsidP="00C32376">
            <w:pPr>
              <w:pStyle w:val="CDITable-RowCentre"/>
              <w:rPr>
                <w:lang w:val="en-GB"/>
              </w:rPr>
            </w:pPr>
            <w:r w:rsidRPr="00C32376">
              <w:rPr>
                <w:lang w:val="en-GB"/>
              </w:rPr>
              <w:t>1,682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1C5973E" w14:textId="77777777" w:rsidR="00C32376" w:rsidRPr="00C32376" w:rsidRDefault="00C32376" w:rsidP="00C32376">
            <w:pPr>
              <w:pStyle w:val="CDITable-RowCentre"/>
              <w:rPr>
                <w:lang w:val="en-GB"/>
              </w:rPr>
            </w:pPr>
            <w:r w:rsidRPr="00C32376">
              <w:rPr>
                <w:lang w:val="en-GB"/>
              </w:rPr>
              <w:t>69.3</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447F58D" w14:textId="77777777" w:rsidR="00C32376" w:rsidRPr="00C32376" w:rsidRDefault="00C32376" w:rsidP="00C32376">
            <w:pPr>
              <w:pStyle w:val="CDITable-RowCentre"/>
              <w:rPr>
                <w:lang w:val="en-GB"/>
              </w:rPr>
            </w:pPr>
            <w:r w:rsidRPr="00C32376">
              <w:rPr>
                <w:lang w:val="en-GB"/>
              </w:rPr>
              <w:t>953</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77A3D565" w14:textId="77777777" w:rsidR="00C32376" w:rsidRPr="00C32376" w:rsidRDefault="00C32376" w:rsidP="00C32376">
            <w:pPr>
              <w:pStyle w:val="CDITable-RowCentre"/>
              <w:rPr>
                <w:lang w:val="en-GB"/>
              </w:rPr>
            </w:pPr>
            <w:r w:rsidRPr="00C32376">
              <w:rPr>
                <w:lang w:val="en-GB"/>
              </w:rPr>
              <w:t>56.7</w:t>
            </w:r>
          </w:p>
        </w:tc>
      </w:tr>
      <w:tr w:rsidR="00C32376" w:rsidRPr="00C32376" w14:paraId="47B12130"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70AFD600"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4B1BF07" w14:textId="77777777" w:rsidR="00C32376" w:rsidRPr="00C32376" w:rsidRDefault="00C32376" w:rsidP="00C32376">
            <w:pPr>
              <w:pStyle w:val="CDITable-RowLeft"/>
              <w:rPr>
                <w:lang w:val="en-GB"/>
              </w:rPr>
            </w:pPr>
            <w:r w:rsidRPr="00C32376">
              <w:rPr>
                <w:lang w:val="en-GB"/>
              </w:rPr>
              <w:t>Rural and regional</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1FA414A" w14:textId="77777777" w:rsidR="00C32376" w:rsidRPr="00C32376" w:rsidRDefault="00C32376" w:rsidP="00C32376">
            <w:pPr>
              <w:pStyle w:val="CDITable-RowCentre"/>
              <w:rPr>
                <w:lang w:val="en-GB"/>
              </w:rPr>
            </w:pPr>
            <w:r w:rsidRPr="00C32376">
              <w:rPr>
                <w:lang w:val="en-GB"/>
              </w:rPr>
              <w:t>296</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8A7943F" w14:textId="77777777" w:rsidR="00C32376" w:rsidRPr="00C32376" w:rsidRDefault="00C32376" w:rsidP="00C32376">
            <w:pPr>
              <w:pStyle w:val="CDITable-RowCentre"/>
              <w:rPr>
                <w:lang w:val="en-GB"/>
              </w:rPr>
            </w:pPr>
            <w:r w:rsidRPr="00C32376">
              <w:rPr>
                <w:lang w:val="en-GB"/>
              </w:rPr>
              <w:t>10.5</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FEED8A1" w14:textId="77777777" w:rsidR="00C32376" w:rsidRPr="00C32376" w:rsidRDefault="00C32376" w:rsidP="00C32376">
            <w:pPr>
              <w:pStyle w:val="CDITable-RowCentre"/>
              <w:rPr>
                <w:lang w:val="en-GB"/>
              </w:rPr>
            </w:pPr>
            <w:r w:rsidRPr="00C32376">
              <w:rPr>
                <w:lang w:val="en-GB"/>
              </w:rPr>
              <w:t>258</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28F9649E" w14:textId="77777777" w:rsidR="00C32376" w:rsidRPr="00C32376" w:rsidRDefault="00C32376" w:rsidP="00C32376">
            <w:pPr>
              <w:pStyle w:val="CDITable-RowCentre"/>
              <w:rPr>
                <w:lang w:val="en-GB"/>
              </w:rPr>
            </w:pPr>
            <w:r w:rsidRPr="00C32376">
              <w:rPr>
                <w:lang w:val="en-GB"/>
              </w:rPr>
              <w:t>87.2</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0295C9DC" w14:textId="77777777" w:rsidR="00C32376" w:rsidRPr="00C32376" w:rsidRDefault="00C32376" w:rsidP="00C32376">
            <w:pPr>
              <w:pStyle w:val="CDITable-RowCentre"/>
              <w:rPr>
                <w:lang w:val="en-GB"/>
              </w:rPr>
            </w:pPr>
            <w:r w:rsidRPr="00C32376">
              <w:rPr>
                <w:lang w:val="en-GB"/>
              </w:rPr>
              <w:t>632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76DA2D6" w14:textId="77777777" w:rsidR="00C32376" w:rsidRPr="00C32376" w:rsidRDefault="00C32376" w:rsidP="00C32376">
            <w:pPr>
              <w:pStyle w:val="CDITable-RowCentre"/>
              <w:rPr>
                <w:lang w:val="en-GB"/>
              </w:rPr>
            </w:pPr>
            <w:r w:rsidRPr="00C32376">
              <w:rPr>
                <w:lang w:val="en-GB"/>
              </w:rPr>
              <w:t>26.1</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40CC223" w14:textId="77777777" w:rsidR="00C32376" w:rsidRPr="00C32376" w:rsidRDefault="00C32376" w:rsidP="00C32376">
            <w:pPr>
              <w:pStyle w:val="CDITable-RowCentre"/>
              <w:rPr>
                <w:lang w:val="en-GB"/>
              </w:rPr>
            </w:pPr>
            <w:r w:rsidRPr="00C32376">
              <w:rPr>
                <w:lang w:val="en-GB"/>
              </w:rPr>
              <w:t>572</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088093C2" w14:textId="77777777" w:rsidR="00C32376" w:rsidRPr="00C32376" w:rsidRDefault="00C32376" w:rsidP="00C32376">
            <w:pPr>
              <w:pStyle w:val="CDITable-RowCentre"/>
              <w:rPr>
                <w:lang w:val="en-GB"/>
              </w:rPr>
            </w:pPr>
            <w:r w:rsidRPr="00C32376">
              <w:rPr>
                <w:lang w:val="en-GB"/>
              </w:rPr>
              <w:t>90.5</w:t>
            </w:r>
          </w:p>
        </w:tc>
      </w:tr>
      <w:tr w:rsidR="00C32376" w:rsidRPr="00C32376" w14:paraId="66F5C9E6" w14:textId="77777777" w:rsidTr="00C32376">
        <w:trPr>
          <w:trHeight w:val="60"/>
        </w:trPr>
        <w:tc>
          <w:tcPr>
            <w:tcW w:w="2041" w:type="dxa"/>
            <w:vMerge w:val="restart"/>
            <w:tcBorders>
              <w:top w:val="single" w:sz="6" w:space="0" w:color="1E4496" w:themeColor="text2"/>
              <w:left w:val="nil"/>
              <w:bottom w:val="single" w:sz="6" w:space="0" w:color="1E4496" w:themeColor="text2"/>
            </w:tcBorders>
            <w:tcMar>
              <w:top w:w="51" w:type="dxa"/>
              <w:left w:w="85" w:type="dxa"/>
              <w:bottom w:w="51" w:type="dxa"/>
              <w:right w:w="85" w:type="dxa"/>
            </w:tcMar>
            <w:vAlign w:val="center"/>
          </w:tcPr>
          <w:p w14:paraId="7153129D" w14:textId="77777777" w:rsidR="00C32376" w:rsidRPr="00C32376" w:rsidRDefault="00C32376" w:rsidP="00C32376">
            <w:pPr>
              <w:pStyle w:val="CDITable-RowLeft"/>
              <w:rPr>
                <w:lang w:val="en-GB"/>
              </w:rPr>
            </w:pPr>
            <w:r w:rsidRPr="00C32376">
              <w:rPr>
                <w:lang w:val="en-GB"/>
              </w:rPr>
              <w:t xml:space="preserve">Diagnosis </w:t>
            </w:r>
            <w:proofErr w:type="spellStart"/>
            <w:r w:rsidRPr="00C32376">
              <w:rPr>
                <w:lang w:val="en-GB"/>
              </w:rPr>
              <w:t>setting</w:t>
            </w:r>
            <w:r w:rsidRPr="00C32376">
              <w:rPr>
                <w:vertAlign w:val="superscript"/>
                <w:lang w:val="en-GB"/>
              </w:rPr>
              <w:t>c</w:t>
            </w:r>
            <w:proofErr w:type="spellEnd"/>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AFE0B9F" w14:textId="77777777" w:rsidR="00C32376" w:rsidRPr="00C32376" w:rsidRDefault="00C32376" w:rsidP="00C32376">
            <w:pPr>
              <w:pStyle w:val="CDITable-RowLeft"/>
              <w:rPr>
                <w:lang w:val="en-GB"/>
              </w:rPr>
            </w:pPr>
            <w:r w:rsidRPr="00C32376">
              <w:rPr>
                <w:lang w:val="en-GB"/>
              </w:rPr>
              <w:t>General practice/ community health</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F108C89" w14:textId="77777777" w:rsidR="00C32376" w:rsidRPr="00C32376" w:rsidRDefault="00C32376" w:rsidP="00C32376">
            <w:pPr>
              <w:pStyle w:val="CDITable-RowCentre"/>
              <w:rPr>
                <w:lang w:val="en-GB"/>
              </w:rPr>
            </w:pPr>
            <w:r w:rsidRPr="00C32376">
              <w:rPr>
                <w:lang w:val="en-GB"/>
              </w:rPr>
              <w:t>1,686</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8EC18F8" w14:textId="77777777" w:rsidR="00C32376" w:rsidRPr="00C32376" w:rsidRDefault="00C32376" w:rsidP="00C32376">
            <w:pPr>
              <w:pStyle w:val="CDITable-RowCentre"/>
              <w:rPr>
                <w:lang w:val="en-GB"/>
              </w:rPr>
            </w:pPr>
            <w:r w:rsidRPr="00C32376">
              <w:rPr>
                <w:lang w:val="en-GB"/>
              </w:rPr>
              <w:t>59.7</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486BA95" w14:textId="77777777" w:rsidR="00C32376" w:rsidRPr="00C32376" w:rsidRDefault="00C32376" w:rsidP="00C32376">
            <w:pPr>
              <w:pStyle w:val="CDITable-RowCentre"/>
              <w:rPr>
                <w:lang w:val="en-GB"/>
              </w:rPr>
            </w:pPr>
            <w:r w:rsidRPr="00C32376">
              <w:rPr>
                <w:lang w:val="en-GB"/>
              </w:rPr>
              <w:t>1,183</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6FB0D3D2" w14:textId="77777777" w:rsidR="00C32376" w:rsidRPr="00C32376" w:rsidRDefault="00C32376" w:rsidP="00C32376">
            <w:pPr>
              <w:pStyle w:val="CDITable-RowCentre"/>
              <w:rPr>
                <w:lang w:val="en-GB"/>
              </w:rPr>
            </w:pPr>
            <w:r w:rsidRPr="00C32376">
              <w:rPr>
                <w:lang w:val="en-GB"/>
              </w:rPr>
              <w:t>70.2</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6DBB1C7E" w14:textId="77777777" w:rsidR="00C32376" w:rsidRPr="00C32376" w:rsidRDefault="00C32376" w:rsidP="00C32376">
            <w:pPr>
              <w:pStyle w:val="CDITable-RowCentre"/>
              <w:rPr>
                <w:lang w:val="en-GB"/>
              </w:rPr>
            </w:pPr>
            <w:r w:rsidRPr="00C32376">
              <w:rPr>
                <w:lang w:val="en-GB"/>
              </w:rPr>
              <w:t>1,392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E40FBB2" w14:textId="77777777" w:rsidR="00C32376" w:rsidRPr="00C32376" w:rsidRDefault="00C32376" w:rsidP="00C32376">
            <w:pPr>
              <w:pStyle w:val="CDITable-RowCentre"/>
              <w:rPr>
                <w:lang w:val="en-GB"/>
              </w:rPr>
            </w:pPr>
            <w:r w:rsidRPr="00C32376">
              <w:rPr>
                <w:lang w:val="en-GB"/>
              </w:rPr>
              <w:t>57.4</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E04A11F" w14:textId="77777777" w:rsidR="00C32376" w:rsidRPr="00C32376" w:rsidRDefault="00C32376" w:rsidP="00C32376">
            <w:pPr>
              <w:pStyle w:val="CDITable-RowCentre"/>
              <w:rPr>
                <w:lang w:val="en-GB"/>
              </w:rPr>
            </w:pPr>
            <w:r w:rsidRPr="00C32376">
              <w:rPr>
                <w:lang w:val="en-GB"/>
              </w:rPr>
              <w:t>987</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72A60AB6" w14:textId="77777777" w:rsidR="00C32376" w:rsidRPr="00C32376" w:rsidRDefault="00C32376" w:rsidP="00C32376">
            <w:pPr>
              <w:pStyle w:val="CDITable-RowCentre"/>
              <w:rPr>
                <w:lang w:val="en-GB"/>
              </w:rPr>
            </w:pPr>
            <w:r w:rsidRPr="00C32376">
              <w:rPr>
                <w:lang w:val="en-GB"/>
              </w:rPr>
              <w:t>70.9</w:t>
            </w:r>
          </w:p>
        </w:tc>
      </w:tr>
      <w:tr w:rsidR="00C32376" w:rsidRPr="00C32376" w14:paraId="409D0610"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7E4F580A"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4F16F85" w14:textId="77777777" w:rsidR="00C32376" w:rsidRPr="00C32376" w:rsidRDefault="00C32376" w:rsidP="00C32376">
            <w:pPr>
              <w:pStyle w:val="CDITable-RowLeft"/>
              <w:rPr>
                <w:lang w:val="en-GB"/>
              </w:rPr>
            </w:pPr>
            <w:r w:rsidRPr="00C32376">
              <w:rPr>
                <w:lang w:val="en-GB"/>
              </w:rPr>
              <w:t>Immigration screening</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D500CC4" w14:textId="77777777" w:rsidR="00C32376" w:rsidRPr="00C32376" w:rsidRDefault="00C32376" w:rsidP="00C32376">
            <w:pPr>
              <w:pStyle w:val="CDITable-RowCentre"/>
              <w:rPr>
                <w:lang w:val="en-GB"/>
              </w:rPr>
            </w:pPr>
            <w:r w:rsidRPr="00C32376">
              <w:rPr>
                <w:lang w:val="en-GB"/>
              </w:rPr>
              <w:t>650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306B80A" w14:textId="77777777" w:rsidR="00C32376" w:rsidRPr="00C32376" w:rsidRDefault="00C32376" w:rsidP="00C32376">
            <w:pPr>
              <w:pStyle w:val="CDITable-RowCentre"/>
              <w:rPr>
                <w:lang w:val="en-GB"/>
              </w:rPr>
            </w:pPr>
            <w:r w:rsidRPr="00C32376">
              <w:rPr>
                <w:lang w:val="en-GB"/>
              </w:rPr>
              <w:t>23.0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3CEFC6C" w14:textId="77777777" w:rsidR="00C32376" w:rsidRPr="00C32376" w:rsidRDefault="00C32376" w:rsidP="00C32376">
            <w:pPr>
              <w:pStyle w:val="CDITable-RowCentre"/>
              <w:rPr>
                <w:lang w:val="en-GB"/>
              </w:rPr>
            </w:pPr>
            <w:r w:rsidRPr="00C32376">
              <w:rPr>
                <w:lang w:val="en-GB"/>
              </w:rPr>
              <w:t>433</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26B69C32" w14:textId="77777777" w:rsidR="00C32376" w:rsidRPr="00C32376" w:rsidRDefault="00C32376" w:rsidP="00C32376">
            <w:pPr>
              <w:pStyle w:val="CDITable-RowCentre"/>
              <w:rPr>
                <w:lang w:val="en-GB"/>
              </w:rPr>
            </w:pPr>
            <w:r w:rsidRPr="00C32376">
              <w:rPr>
                <w:lang w:val="en-GB"/>
              </w:rPr>
              <w:t>66.6</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4692F64B" w14:textId="77777777" w:rsidR="00C32376" w:rsidRPr="00C32376" w:rsidRDefault="00C32376" w:rsidP="00C32376">
            <w:pPr>
              <w:pStyle w:val="CDITable-RowCentre"/>
              <w:rPr>
                <w:lang w:val="en-GB"/>
              </w:rPr>
            </w:pPr>
            <w:r w:rsidRPr="00C32376">
              <w:rPr>
                <w:lang w:val="en-GB"/>
              </w:rPr>
              <w:t>102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EFF63B4" w14:textId="77777777" w:rsidR="00C32376" w:rsidRPr="00C32376" w:rsidRDefault="00C32376" w:rsidP="00C32376">
            <w:pPr>
              <w:pStyle w:val="CDITable-RowCentre"/>
              <w:rPr>
                <w:lang w:val="en-GB"/>
              </w:rPr>
            </w:pPr>
            <w:r w:rsidRPr="00C32376">
              <w:rPr>
                <w:lang w:val="en-GB"/>
              </w:rPr>
              <w:t>4.2</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6A0BCAA" w14:textId="77777777" w:rsidR="00C32376" w:rsidRPr="00C32376" w:rsidRDefault="00C32376" w:rsidP="00C32376">
            <w:pPr>
              <w:pStyle w:val="CDITable-RowCentre"/>
              <w:rPr>
                <w:lang w:val="en-GB"/>
              </w:rPr>
            </w:pPr>
            <w:r w:rsidRPr="00C32376">
              <w:rPr>
                <w:lang w:val="en-GB"/>
              </w:rPr>
              <w:t>71</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0F72C284" w14:textId="77777777" w:rsidR="00C32376" w:rsidRPr="00C32376" w:rsidRDefault="00C32376" w:rsidP="00C32376">
            <w:pPr>
              <w:pStyle w:val="CDITable-RowCentre"/>
              <w:rPr>
                <w:lang w:val="en-GB"/>
              </w:rPr>
            </w:pPr>
            <w:r w:rsidRPr="00C32376">
              <w:rPr>
                <w:lang w:val="en-GB"/>
              </w:rPr>
              <w:t>69.6</w:t>
            </w:r>
          </w:p>
        </w:tc>
      </w:tr>
      <w:tr w:rsidR="00C32376" w:rsidRPr="00C32376" w14:paraId="39BDEA59"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62FE71EC"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66549F8" w14:textId="77777777" w:rsidR="00C32376" w:rsidRPr="00C32376" w:rsidRDefault="00C32376" w:rsidP="00C32376">
            <w:pPr>
              <w:pStyle w:val="CDITable-RowLeft"/>
              <w:rPr>
                <w:lang w:val="en-GB"/>
              </w:rPr>
            </w:pPr>
            <w:r w:rsidRPr="00C32376">
              <w:rPr>
                <w:lang w:val="en-GB"/>
              </w:rPr>
              <w:t>Hospital or outpatient specialist clinic</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6D383C4" w14:textId="77777777" w:rsidR="00C32376" w:rsidRPr="00C32376" w:rsidRDefault="00C32376" w:rsidP="00C32376">
            <w:pPr>
              <w:pStyle w:val="CDITable-RowCentre"/>
              <w:rPr>
                <w:lang w:val="en-GB"/>
              </w:rPr>
            </w:pPr>
            <w:r w:rsidRPr="00C32376">
              <w:rPr>
                <w:lang w:val="en-GB"/>
              </w:rPr>
              <w:t>224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B72B36B" w14:textId="77777777" w:rsidR="00C32376" w:rsidRPr="00C32376" w:rsidRDefault="00C32376" w:rsidP="00C32376">
            <w:pPr>
              <w:pStyle w:val="CDITable-RowCentre"/>
              <w:rPr>
                <w:lang w:val="en-GB"/>
              </w:rPr>
            </w:pPr>
            <w:r w:rsidRPr="00C32376">
              <w:rPr>
                <w:lang w:val="en-GB"/>
              </w:rPr>
              <w:t>7.9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A59F911" w14:textId="77777777" w:rsidR="00C32376" w:rsidRPr="00C32376" w:rsidRDefault="00C32376" w:rsidP="00C32376">
            <w:pPr>
              <w:pStyle w:val="CDITable-RowCentre"/>
              <w:rPr>
                <w:lang w:val="en-GB"/>
              </w:rPr>
            </w:pPr>
            <w:r w:rsidRPr="00C32376">
              <w:rPr>
                <w:lang w:val="en-GB"/>
              </w:rPr>
              <w:t>142</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68B50246" w14:textId="77777777" w:rsidR="00C32376" w:rsidRPr="00C32376" w:rsidRDefault="00C32376" w:rsidP="00C32376">
            <w:pPr>
              <w:pStyle w:val="CDITable-RowCentre"/>
              <w:rPr>
                <w:lang w:val="en-GB"/>
              </w:rPr>
            </w:pPr>
            <w:r w:rsidRPr="00C32376">
              <w:rPr>
                <w:lang w:val="en-GB"/>
              </w:rPr>
              <w:t>63.4</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03253670" w14:textId="77777777" w:rsidR="00C32376" w:rsidRPr="00C32376" w:rsidRDefault="00C32376" w:rsidP="00C32376">
            <w:pPr>
              <w:pStyle w:val="CDITable-RowCentre"/>
              <w:rPr>
                <w:lang w:val="en-GB"/>
              </w:rPr>
            </w:pPr>
            <w:r w:rsidRPr="00C32376">
              <w:rPr>
                <w:lang w:val="en-GB"/>
              </w:rPr>
              <w:t>376</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5A61598" w14:textId="77777777" w:rsidR="00C32376" w:rsidRPr="00C32376" w:rsidRDefault="00C32376" w:rsidP="00C32376">
            <w:pPr>
              <w:pStyle w:val="CDITable-RowCentre"/>
              <w:rPr>
                <w:lang w:val="en-GB"/>
              </w:rPr>
            </w:pPr>
            <w:r w:rsidRPr="00C32376">
              <w:rPr>
                <w:lang w:val="en-GB"/>
              </w:rPr>
              <w:t>15.5</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F9736D3" w14:textId="77777777" w:rsidR="00C32376" w:rsidRPr="00C32376" w:rsidRDefault="00C32376" w:rsidP="00C32376">
            <w:pPr>
              <w:pStyle w:val="CDITable-RowCentre"/>
              <w:rPr>
                <w:lang w:val="en-GB"/>
              </w:rPr>
            </w:pPr>
            <w:r w:rsidRPr="00C32376">
              <w:rPr>
                <w:lang w:val="en-GB"/>
              </w:rPr>
              <w:t>258</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371EF586" w14:textId="77777777" w:rsidR="00C32376" w:rsidRPr="00C32376" w:rsidRDefault="00C32376" w:rsidP="00C32376">
            <w:pPr>
              <w:pStyle w:val="CDITable-RowCentre"/>
              <w:rPr>
                <w:lang w:val="en-GB"/>
              </w:rPr>
            </w:pPr>
            <w:r w:rsidRPr="00C32376">
              <w:rPr>
                <w:lang w:val="en-GB"/>
              </w:rPr>
              <w:t>68.6</w:t>
            </w:r>
          </w:p>
        </w:tc>
      </w:tr>
      <w:tr w:rsidR="00C32376" w:rsidRPr="00C32376" w14:paraId="5D8E829A"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45D43BE9"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A0B42D7" w14:textId="77777777" w:rsidR="00C32376" w:rsidRPr="00C32376" w:rsidRDefault="00C32376" w:rsidP="00C32376">
            <w:pPr>
              <w:pStyle w:val="CDITable-RowLeft"/>
              <w:rPr>
                <w:lang w:val="en-GB"/>
              </w:rPr>
            </w:pPr>
            <w:r w:rsidRPr="00C32376">
              <w:rPr>
                <w:lang w:val="en-GB"/>
              </w:rPr>
              <w:t>Correctional facility</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D103336" w14:textId="77777777" w:rsidR="00C32376" w:rsidRPr="00C32376" w:rsidRDefault="00C32376" w:rsidP="00C32376">
            <w:pPr>
              <w:pStyle w:val="CDITable-RowCentre"/>
              <w:rPr>
                <w:lang w:val="en-GB"/>
              </w:rPr>
            </w:pPr>
            <w:r w:rsidRPr="00C32376">
              <w:rPr>
                <w:lang w:val="en-GB"/>
              </w:rPr>
              <w:t>29</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18950E6" w14:textId="77777777" w:rsidR="00C32376" w:rsidRPr="00C32376" w:rsidRDefault="00C32376" w:rsidP="00C32376">
            <w:pPr>
              <w:pStyle w:val="CDITable-RowCentre"/>
              <w:rPr>
                <w:lang w:val="en-GB"/>
              </w:rPr>
            </w:pPr>
            <w:r w:rsidRPr="00C32376">
              <w:rPr>
                <w:lang w:val="en-GB"/>
              </w:rPr>
              <w:t>1.0</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BF13675" w14:textId="77777777" w:rsidR="00C32376" w:rsidRPr="00C32376" w:rsidRDefault="00C32376" w:rsidP="00C32376">
            <w:pPr>
              <w:pStyle w:val="CDITable-RowCentre"/>
              <w:rPr>
                <w:lang w:val="en-GB"/>
              </w:rPr>
            </w:pPr>
            <w:r w:rsidRPr="00C32376">
              <w:rPr>
                <w:lang w:val="en-GB"/>
              </w:rPr>
              <w:t>21</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4FC31B77" w14:textId="77777777" w:rsidR="00C32376" w:rsidRPr="00C32376" w:rsidRDefault="00C32376" w:rsidP="00C32376">
            <w:pPr>
              <w:pStyle w:val="CDITable-RowCentre"/>
              <w:rPr>
                <w:lang w:val="en-GB"/>
              </w:rPr>
            </w:pPr>
            <w:r w:rsidRPr="00C32376">
              <w:rPr>
                <w:lang w:val="en-GB"/>
              </w:rPr>
              <w:t>72.4</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0B0192D4" w14:textId="77777777" w:rsidR="00C32376" w:rsidRPr="00C32376" w:rsidRDefault="00C32376" w:rsidP="00C32376">
            <w:pPr>
              <w:pStyle w:val="CDITable-RowCentre"/>
              <w:rPr>
                <w:lang w:val="en-GB"/>
              </w:rPr>
            </w:pPr>
            <w:r w:rsidRPr="00C32376">
              <w:rPr>
                <w:lang w:val="en-GB"/>
              </w:rPr>
              <w:t>213</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66A8663" w14:textId="77777777" w:rsidR="00C32376" w:rsidRPr="00C32376" w:rsidRDefault="00C32376" w:rsidP="00C32376">
            <w:pPr>
              <w:pStyle w:val="CDITable-RowCentre"/>
              <w:rPr>
                <w:lang w:val="en-GB"/>
              </w:rPr>
            </w:pPr>
            <w:r w:rsidRPr="00C32376">
              <w:rPr>
                <w:lang w:val="en-GB"/>
              </w:rPr>
              <w:t>8.8</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FB266B8" w14:textId="77777777" w:rsidR="00C32376" w:rsidRPr="00C32376" w:rsidRDefault="00C32376" w:rsidP="00C32376">
            <w:pPr>
              <w:pStyle w:val="CDITable-RowCentre"/>
              <w:rPr>
                <w:lang w:val="en-GB"/>
              </w:rPr>
            </w:pPr>
            <w:r w:rsidRPr="00C32376">
              <w:rPr>
                <w:lang w:val="en-GB"/>
              </w:rPr>
              <w:t>140</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0A1B8A1F" w14:textId="77777777" w:rsidR="00C32376" w:rsidRPr="00C32376" w:rsidRDefault="00C32376" w:rsidP="00C32376">
            <w:pPr>
              <w:pStyle w:val="CDITable-RowCentre"/>
              <w:rPr>
                <w:lang w:val="en-GB"/>
              </w:rPr>
            </w:pPr>
            <w:r w:rsidRPr="00C32376">
              <w:rPr>
                <w:lang w:val="en-GB"/>
              </w:rPr>
              <w:t>65.7</w:t>
            </w:r>
          </w:p>
        </w:tc>
      </w:tr>
      <w:tr w:rsidR="00C32376" w:rsidRPr="00C32376" w14:paraId="262378CC"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3F3548C1"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A34E2C9" w14:textId="77777777" w:rsidR="00C32376" w:rsidRPr="00C32376" w:rsidRDefault="00C32376" w:rsidP="00C32376">
            <w:pPr>
              <w:pStyle w:val="CDITable-RowLeft"/>
              <w:rPr>
                <w:lang w:val="en-GB"/>
              </w:rPr>
            </w:pPr>
            <w:r w:rsidRPr="00C32376">
              <w:rPr>
                <w:lang w:val="en-GB"/>
              </w:rPr>
              <w:t>Blood donor screening</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9ED2E95" w14:textId="77777777" w:rsidR="00C32376" w:rsidRPr="00C32376" w:rsidRDefault="00C32376" w:rsidP="00C32376">
            <w:pPr>
              <w:pStyle w:val="CDITable-RowCentre"/>
              <w:rPr>
                <w:lang w:val="en-GB"/>
              </w:rPr>
            </w:pPr>
            <w:r w:rsidRPr="00C32376">
              <w:rPr>
                <w:lang w:val="en-GB"/>
              </w:rPr>
              <w:t>31</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B20E3D1" w14:textId="77777777" w:rsidR="00C32376" w:rsidRPr="00C32376" w:rsidRDefault="00C32376" w:rsidP="00C32376">
            <w:pPr>
              <w:pStyle w:val="CDITable-RowCentre"/>
              <w:rPr>
                <w:lang w:val="en-GB"/>
              </w:rPr>
            </w:pPr>
            <w:r w:rsidRPr="00C32376">
              <w:rPr>
                <w:lang w:val="en-GB"/>
              </w:rPr>
              <w:t>1.1</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7D0B306" w14:textId="77777777" w:rsidR="00C32376" w:rsidRPr="00C32376" w:rsidRDefault="00C32376" w:rsidP="00C32376">
            <w:pPr>
              <w:pStyle w:val="CDITable-RowCentre"/>
              <w:rPr>
                <w:lang w:val="en-GB"/>
              </w:rPr>
            </w:pPr>
            <w:r w:rsidRPr="00C32376">
              <w:rPr>
                <w:lang w:val="en-GB"/>
              </w:rPr>
              <w:t>24</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5C70CECF" w14:textId="77777777" w:rsidR="00C32376" w:rsidRPr="00C32376" w:rsidRDefault="00C32376" w:rsidP="00C32376">
            <w:pPr>
              <w:pStyle w:val="CDITable-RowCentre"/>
              <w:rPr>
                <w:lang w:val="en-GB"/>
              </w:rPr>
            </w:pPr>
            <w:r w:rsidRPr="00C32376">
              <w:rPr>
                <w:lang w:val="en-GB"/>
              </w:rPr>
              <w:t>77.4</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6EBACF09" w14:textId="77777777" w:rsidR="00C32376" w:rsidRPr="00C32376" w:rsidRDefault="00C32376" w:rsidP="00C32376">
            <w:pPr>
              <w:pStyle w:val="CDITable-RowCentre"/>
              <w:rPr>
                <w:lang w:val="en-GB"/>
              </w:rPr>
            </w:pPr>
            <w:r w:rsidRPr="00C32376">
              <w:rPr>
                <w:lang w:val="en-GB"/>
              </w:rPr>
              <w:t>24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FA5856F" w14:textId="77777777" w:rsidR="00C32376" w:rsidRPr="00C32376" w:rsidRDefault="00C32376" w:rsidP="00C32376">
            <w:pPr>
              <w:pStyle w:val="CDITable-RowCentre"/>
              <w:rPr>
                <w:lang w:val="en-GB"/>
              </w:rPr>
            </w:pPr>
            <w:r w:rsidRPr="00C32376">
              <w:rPr>
                <w:lang w:val="en-GB"/>
              </w:rPr>
              <w:t>1.0</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BFC9BDC" w14:textId="77777777" w:rsidR="00C32376" w:rsidRPr="00C32376" w:rsidRDefault="00C32376" w:rsidP="00C32376">
            <w:pPr>
              <w:pStyle w:val="CDITable-RowCentre"/>
              <w:rPr>
                <w:lang w:val="en-GB"/>
              </w:rPr>
            </w:pPr>
            <w:r w:rsidRPr="00C32376">
              <w:rPr>
                <w:lang w:val="en-GB"/>
              </w:rPr>
              <w:t>14</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04F42B08" w14:textId="77777777" w:rsidR="00C32376" w:rsidRPr="00C32376" w:rsidRDefault="00C32376" w:rsidP="00C32376">
            <w:pPr>
              <w:pStyle w:val="CDITable-RowCentre"/>
              <w:rPr>
                <w:lang w:val="en-GB"/>
              </w:rPr>
            </w:pPr>
            <w:r w:rsidRPr="00C32376">
              <w:rPr>
                <w:lang w:val="en-GB"/>
              </w:rPr>
              <w:t>58.3</w:t>
            </w:r>
          </w:p>
        </w:tc>
      </w:tr>
      <w:tr w:rsidR="00C32376" w:rsidRPr="00C32376" w14:paraId="45E9E34A"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39DDE800"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111A2331" w14:textId="77777777" w:rsidR="00C32376" w:rsidRPr="00C32376" w:rsidRDefault="00C32376" w:rsidP="00C32376">
            <w:pPr>
              <w:pStyle w:val="CDITable-RowLeft"/>
              <w:rPr>
                <w:lang w:val="en-GB"/>
              </w:rPr>
            </w:pPr>
            <w:r w:rsidRPr="00C32376">
              <w:rPr>
                <w:lang w:val="en-GB"/>
              </w:rPr>
              <w:t>Sexual health</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2C4C473" w14:textId="77777777" w:rsidR="00C32376" w:rsidRPr="00C32376" w:rsidRDefault="00C32376" w:rsidP="00C32376">
            <w:pPr>
              <w:pStyle w:val="CDITable-RowCentre"/>
              <w:rPr>
                <w:lang w:val="en-GB"/>
              </w:rPr>
            </w:pPr>
            <w:r w:rsidRPr="00C32376">
              <w:rPr>
                <w:lang w:val="en-GB"/>
              </w:rPr>
              <w:t>37</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1B14BB7" w14:textId="77777777" w:rsidR="00C32376" w:rsidRPr="00C32376" w:rsidRDefault="00C32376" w:rsidP="00C32376">
            <w:pPr>
              <w:pStyle w:val="CDITable-RowCentre"/>
              <w:rPr>
                <w:lang w:val="en-GB"/>
              </w:rPr>
            </w:pPr>
            <w:r w:rsidRPr="00C32376">
              <w:rPr>
                <w:lang w:val="en-GB"/>
              </w:rPr>
              <w:t>1.3</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9B28073" w14:textId="77777777" w:rsidR="00C32376" w:rsidRPr="00C32376" w:rsidRDefault="00C32376" w:rsidP="00C32376">
            <w:pPr>
              <w:pStyle w:val="CDITable-RowCentre"/>
              <w:rPr>
                <w:lang w:val="en-GB"/>
              </w:rPr>
            </w:pPr>
            <w:r w:rsidRPr="00C32376">
              <w:rPr>
                <w:lang w:val="en-GB"/>
              </w:rPr>
              <w:t>27</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5FF694DE" w14:textId="77777777" w:rsidR="00C32376" w:rsidRPr="00C32376" w:rsidRDefault="00C32376" w:rsidP="00C32376">
            <w:pPr>
              <w:pStyle w:val="CDITable-RowCentre"/>
              <w:rPr>
                <w:lang w:val="en-GB"/>
              </w:rPr>
            </w:pPr>
            <w:r w:rsidRPr="00C32376">
              <w:rPr>
                <w:lang w:val="en-GB"/>
              </w:rPr>
              <w:t>73.0</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11B9E15E" w14:textId="77777777" w:rsidR="00C32376" w:rsidRPr="00C32376" w:rsidRDefault="00C32376" w:rsidP="00C32376">
            <w:pPr>
              <w:pStyle w:val="CDITable-RowCentre"/>
              <w:rPr>
                <w:lang w:val="en-GB"/>
              </w:rPr>
            </w:pPr>
            <w:r w:rsidRPr="00C32376">
              <w:rPr>
                <w:lang w:val="en-GB"/>
              </w:rPr>
              <w:t>32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3078906" w14:textId="77777777" w:rsidR="00C32376" w:rsidRPr="00C32376" w:rsidRDefault="00C32376" w:rsidP="00C32376">
            <w:pPr>
              <w:pStyle w:val="CDITable-RowCentre"/>
              <w:rPr>
                <w:lang w:val="en-GB"/>
              </w:rPr>
            </w:pPr>
            <w:r w:rsidRPr="00C32376">
              <w:rPr>
                <w:lang w:val="en-GB"/>
              </w:rPr>
              <w:t>1.3</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732075A8" w14:textId="77777777" w:rsidR="00C32376" w:rsidRPr="00C32376" w:rsidRDefault="00C32376" w:rsidP="00C32376">
            <w:pPr>
              <w:pStyle w:val="CDITable-RowCentre"/>
              <w:rPr>
                <w:lang w:val="en-GB"/>
              </w:rPr>
            </w:pPr>
            <w:r w:rsidRPr="00C32376">
              <w:rPr>
                <w:lang w:val="en-GB"/>
              </w:rPr>
              <w:t>28</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3F4E9D00" w14:textId="77777777" w:rsidR="00C32376" w:rsidRPr="00C32376" w:rsidRDefault="00C32376" w:rsidP="00C32376">
            <w:pPr>
              <w:pStyle w:val="CDITable-RowCentre"/>
              <w:rPr>
                <w:lang w:val="en-GB"/>
              </w:rPr>
            </w:pPr>
            <w:r w:rsidRPr="00C32376">
              <w:rPr>
                <w:lang w:val="en-GB"/>
              </w:rPr>
              <w:t>87.5</w:t>
            </w:r>
          </w:p>
        </w:tc>
      </w:tr>
      <w:tr w:rsidR="00C32376" w:rsidRPr="00C32376" w14:paraId="7EBFE32C"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38C16301"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DFFDE06" w14:textId="77777777" w:rsidR="00C32376" w:rsidRPr="00C32376" w:rsidRDefault="00C32376" w:rsidP="00C32376">
            <w:pPr>
              <w:pStyle w:val="CDITable-RowLeft"/>
              <w:rPr>
                <w:lang w:val="en-GB"/>
              </w:rPr>
            </w:pPr>
            <w:proofErr w:type="spellStart"/>
            <w:r w:rsidRPr="00C32376">
              <w:rPr>
                <w:lang w:val="en-GB"/>
              </w:rPr>
              <w:t>Other</w:t>
            </w:r>
            <w:r w:rsidRPr="00C32376">
              <w:rPr>
                <w:vertAlign w:val="superscript"/>
                <w:lang w:val="en-GB"/>
              </w:rPr>
              <w:t>d</w:t>
            </w:r>
            <w:proofErr w:type="spellEnd"/>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BF58305" w14:textId="77777777" w:rsidR="00C32376" w:rsidRPr="00C32376" w:rsidRDefault="00C32376" w:rsidP="00C32376">
            <w:pPr>
              <w:pStyle w:val="CDITable-RowCentre"/>
              <w:rPr>
                <w:lang w:val="en-GB"/>
              </w:rPr>
            </w:pPr>
            <w:r w:rsidRPr="00C32376">
              <w:rPr>
                <w:lang w:val="en-GB"/>
              </w:rPr>
              <w:t>22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4B00D96" w14:textId="77777777" w:rsidR="00C32376" w:rsidRPr="00C32376" w:rsidRDefault="00C32376" w:rsidP="00C32376">
            <w:pPr>
              <w:pStyle w:val="CDITable-RowCentre"/>
              <w:rPr>
                <w:lang w:val="en-GB"/>
              </w:rPr>
            </w:pPr>
            <w:r w:rsidRPr="00C32376">
              <w:rPr>
                <w:lang w:val="en-GB"/>
              </w:rPr>
              <w:t>0.8</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1062B3A" w14:textId="77777777" w:rsidR="00C32376" w:rsidRPr="00C32376" w:rsidRDefault="00C32376" w:rsidP="00C32376">
            <w:pPr>
              <w:pStyle w:val="CDITable-RowCentre"/>
              <w:rPr>
                <w:lang w:val="en-GB"/>
              </w:rPr>
            </w:pPr>
            <w:r w:rsidRPr="00C32376">
              <w:rPr>
                <w:lang w:val="en-GB"/>
              </w:rPr>
              <w:t>16</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74B533F2" w14:textId="77777777" w:rsidR="00C32376" w:rsidRPr="00C32376" w:rsidRDefault="00C32376" w:rsidP="00C32376">
            <w:pPr>
              <w:pStyle w:val="CDITable-RowCentre"/>
              <w:rPr>
                <w:lang w:val="en-GB"/>
              </w:rPr>
            </w:pPr>
            <w:r w:rsidRPr="00C32376">
              <w:rPr>
                <w:lang w:val="en-GB"/>
              </w:rPr>
              <w:t>72.7</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6696CFFC" w14:textId="77777777" w:rsidR="00C32376" w:rsidRPr="00C32376" w:rsidRDefault="00C32376" w:rsidP="00C32376">
            <w:pPr>
              <w:pStyle w:val="CDITable-RowCentre"/>
              <w:rPr>
                <w:lang w:val="en-GB"/>
              </w:rPr>
            </w:pPr>
            <w:r w:rsidRPr="00C32376">
              <w:rPr>
                <w:lang w:val="en-GB"/>
              </w:rPr>
              <w:t>45</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42B5E72A" w14:textId="77777777" w:rsidR="00C32376" w:rsidRPr="00C32376" w:rsidRDefault="00C32376" w:rsidP="00C32376">
            <w:pPr>
              <w:pStyle w:val="CDITable-RowCentre"/>
              <w:rPr>
                <w:lang w:val="en-GB"/>
              </w:rPr>
            </w:pPr>
            <w:r w:rsidRPr="00C32376">
              <w:rPr>
                <w:lang w:val="en-GB"/>
              </w:rPr>
              <w:t>1.9</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7721052" w14:textId="77777777" w:rsidR="00C32376" w:rsidRPr="00C32376" w:rsidRDefault="00C32376" w:rsidP="00C32376">
            <w:pPr>
              <w:pStyle w:val="CDITable-RowCentre"/>
              <w:rPr>
                <w:lang w:val="en-GB"/>
              </w:rPr>
            </w:pPr>
            <w:r w:rsidRPr="00C32376">
              <w:rPr>
                <w:lang w:val="en-GB"/>
              </w:rPr>
              <w:t>26</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4DE9005E" w14:textId="77777777" w:rsidR="00C32376" w:rsidRPr="00C32376" w:rsidRDefault="00C32376" w:rsidP="00C32376">
            <w:pPr>
              <w:pStyle w:val="CDITable-RowCentre"/>
              <w:rPr>
                <w:lang w:val="en-GB"/>
              </w:rPr>
            </w:pPr>
            <w:r w:rsidRPr="00C32376">
              <w:rPr>
                <w:lang w:val="en-GB"/>
              </w:rPr>
              <w:t>57.8</w:t>
            </w:r>
          </w:p>
        </w:tc>
      </w:tr>
      <w:tr w:rsidR="00C32376" w:rsidRPr="00C32376" w14:paraId="58CE3524" w14:textId="77777777" w:rsidTr="00C32376">
        <w:trPr>
          <w:trHeight w:val="60"/>
        </w:trPr>
        <w:tc>
          <w:tcPr>
            <w:tcW w:w="2041" w:type="dxa"/>
            <w:vMerge/>
            <w:tcBorders>
              <w:top w:val="single" w:sz="6" w:space="0" w:color="1E4496" w:themeColor="text2"/>
              <w:left w:val="nil"/>
              <w:bottom w:val="single" w:sz="6" w:space="0" w:color="1E4496" w:themeColor="text2"/>
            </w:tcBorders>
            <w:tcMar>
              <w:top w:w="51" w:type="dxa"/>
              <w:bottom w:w="51" w:type="dxa"/>
            </w:tcMar>
          </w:tcPr>
          <w:p w14:paraId="227B04B3" w14:textId="77777777" w:rsidR="00C32376" w:rsidRPr="00C32376" w:rsidRDefault="00C32376" w:rsidP="00C32376">
            <w:pPr>
              <w:pStyle w:val="CDITable-RowLeft"/>
            </w:pPr>
          </w:p>
        </w:tc>
        <w:tc>
          <w:tcPr>
            <w:tcW w:w="3231"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6470084A" w14:textId="77777777" w:rsidR="00C32376" w:rsidRPr="00C32376" w:rsidRDefault="00C32376" w:rsidP="00C32376">
            <w:pPr>
              <w:pStyle w:val="CDITable-RowLeft"/>
              <w:rPr>
                <w:lang w:val="en-GB"/>
              </w:rPr>
            </w:pPr>
            <w:r w:rsidRPr="00C32376">
              <w:rPr>
                <w:lang w:val="en-GB"/>
              </w:rPr>
              <w:t>Not available</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38FAE0BD" w14:textId="77777777" w:rsidR="00C32376" w:rsidRPr="00C32376" w:rsidRDefault="00C32376" w:rsidP="00C32376">
            <w:pPr>
              <w:pStyle w:val="CDITable-RowCentre"/>
              <w:rPr>
                <w:lang w:val="en-GB"/>
              </w:rPr>
            </w:pPr>
            <w:r w:rsidRPr="00C32376">
              <w:rPr>
                <w:lang w:val="en-GB"/>
              </w:rPr>
              <w:t>144</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B8C950B" w14:textId="77777777" w:rsidR="00C32376" w:rsidRPr="00C32376" w:rsidRDefault="00C32376" w:rsidP="00C32376">
            <w:pPr>
              <w:pStyle w:val="CDITable-RowCentre"/>
              <w:rPr>
                <w:lang w:val="en-GB"/>
              </w:rPr>
            </w:pPr>
            <w:r w:rsidRPr="00C32376">
              <w:rPr>
                <w:lang w:val="en-GB"/>
              </w:rPr>
              <w:t>5.1</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2B3E8D6E"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bottom w:val="single" w:sz="6" w:space="0" w:color="1E4496" w:themeColor="text2"/>
              <w:right w:val="single" w:sz="6" w:space="0" w:color="1E4496" w:themeColor="text2"/>
            </w:tcBorders>
            <w:tcMar>
              <w:top w:w="51" w:type="dxa"/>
              <w:left w:w="85" w:type="dxa"/>
              <w:bottom w:w="51" w:type="dxa"/>
              <w:right w:w="85" w:type="dxa"/>
            </w:tcMar>
            <w:vAlign w:val="center"/>
          </w:tcPr>
          <w:p w14:paraId="19C484E9"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left w:val="single" w:sz="6" w:space="0" w:color="1E4496" w:themeColor="text2"/>
              <w:bottom w:val="single" w:sz="6" w:space="0" w:color="1E4496" w:themeColor="text2"/>
            </w:tcBorders>
            <w:tcMar>
              <w:top w:w="51" w:type="dxa"/>
              <w:left w:w="85" w:type="dxa"/>
              <w:bottom w:w="51" w:type="dxa"/>
              <w:right w:w="85" w:type="dxa"/>
            </w:tcMar>
            <w:vAlign w:val="center"/>
          </w:tcPr>
          <w:p w14:paraId="232BB138" w14:textId="77777777" w:rsidR="00C32376" w:rsidRPr="00C32376" w:rsidRDefault="00C32376" w:rsidP="00C32376">
            <w:pPr>
              <w:pStyle w:val="CDITable-RowCentre"/>
              <w:rPr>
                <w:lang w:val="en-GB"/>
              </w:rPr>
            </w:pPr>
            <w:r w:rsidRPr="00C32376">
              <w:rPr>
                <w:lang w:val="en-GB"/>
              </w:rPr>
              <w:t>242</w:t>
            </w:r>
          </w:p>
        </w:tc>
        <w:tc>
          <w:tcPr>
            <w:tcW w:w="1134"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5E3A6B43" w14:textId="77777777" w:rsidR="00C32376" w:rsidRPr="00C32376" w:rsidRDefault="00C32376" w:rsidP="00C32376">
            <w:pPr>
              <w:pStyle w:val="CDITable-RowCentre"/>
              <w:rPr>
                <w:lang w:val="en-GB"/>
              </w:rPr>
            </w:pPr>
            <w:r w:rsidRPr="00C32376">
              <w:rPr>
                <w:lang w:val="en-GB"/>
              </w:rPr>
              <w:t>10.0</w:t>
            </w:r>
          </w:p>
        </w:tc>
        <w:tc>
          <w:tcPr>
            <w:tcW w:w="1133" w:type="dxa"/>
            <w:tcBorders>
              <w:top w:val="single" w:sz="6" w:space="0" w:color="1E4496" w:themeColor="text2"/>
              <w:bottom w:val="single" w:sz="6" w:space="0" w:color="1E4496" w:themeColor="text2"/>
            </w:tcBorders>
            <w:tcMar>
              <w:top w:w="51" w:type="dxa"/>
              <w:left w:w="85" w:type="dxa"/>
              <w:bottom w:w="51" w:type="dxa"/>
              <w:right w:w="85" w:type="dxa"/>
            </w:tcMar>
            <w:vAlign w:val="center"/>
          </w:tcPr>
          <w:p w14:paraId="0231D2D8" w14:textId="77777777" w:rsidR="00C32376" w:rsidRPr="00C32376" w:rsidRDefault="00C32376" w:rsidP="00C32376">
            <w:pPr>
              <w:pStyle w:val="CDITable-RowCentre"/>
              <w:rPr>
                <w:lang w:val="en-GB"/>
              </w:rPr>
            </w:pPr>
            <w:r w:rsidRPr="00C32376">
              <w:rPr>
                <w:lang w:val="en-GB"/>
              </w:rPr>
              <w:t>—</w:t>
            </w:r>
          </w:p>
        </w:tc>
        <w:tc>
          <w:tcPr>
            <w:tcW w:w="1134" w:type="dxa"/>
            <w:tcBorders>
              <w:top w:val="single" w:sz="6" w:space="0" w:color="1E4496" w:themeColor="text2"/>
              <w:bottom w:val="single" w:sz="6" w:space="0" w:color="1E4496" w:themeColor="text2"/>
              <w:right w:val="nil"/>
            </w:tcBorders>
            <w:tcMar>
              <w:top w:w="51" w:type="dxa"/>
              <w:left w:w="85" w:type="dxa"/>
              <w:bottom w:w="51" w:type="dxa"/>
              <w:right w:w="85" w:type="dxa"/>
            </w:tcMar>
            <w:vAlign w:val="center"/>
          </w:tcPr>
          <w:p w14:paraId="4C72525A" w14:textId="77777777" w:rsidR="00C32376" w:rsidRPr="00C32376" w:rsidRDefault="00C32376" w:rsidP="00C32376">
            <w:pPr>
              <w:pStyle w:val="CDITable-RowCentre"/>
              <w:rPr>
                <w:lang w:val="en-GB"/>
              </w:rPr>
            </w:pPr>
            <w:r w:rsidRPr="00C32376">
              <w:rPr>
                <w:lang w:val="en-GB"/>
              </w:rPr>
              <w:t>—</w:t>
            </w:r>
          </w:p>
        </w:tc>
      </w:tr>
    </w:tbl>
    <w:p w14:paraId="6F559E24" w14:textId="77777777" w:rsidR="00A91EEC" w:rsidRPr="00A91EEC" w:rsidRDefault="00A91EEC" w:rsidP="00A91EEC">
      <w:pPr>
        <w:pStyle w:val="CDITable-FirstFootnote"/>
        <w:rPr>
          <w:lang w:val="en-GB"/>
        </w:rPr>
      </w:pPr>
      <w:r w:rsidRPr="00A91EEC">
        <w:rPr>
          <w:lang w:val="en-GB"/>
        </w:rPr>
        <w:t>a</w:t>
      </w:r>
      <w:r w:rsidRPr="00A91EEC">
        <w:rPr>
          <w:lang w:val="en-GB"/>
        </w:rPr>
        <w:tab/>
        <w:t>Totals will not add due to suppression of case numbers where data are missing.</w:t>
      </w:r>
    </w:p>
    <w:p w14:paraId="42A0CAE8" w14:textId="77777777" w:rsidR="00A91EEC" w:rsidRPr="00A91EEC" w:rsidRDefault="00A91EEC" w:rsidP="00D00ACC">
      <w:pPr>
        <w:pStyle w:val="CDITable-Footnote"/>
        <w:spacing w:before="40"/>
        <w:rPr>
          <w:lang w:val="en-GB"/>
        </w:rPr>
      </w:pPr>
      <w:r w:rsidRPr="00A91EEC">
        <w:rPr>
          <w:lang w:val="en-GB"/>
        </w:rPr>
        <w:t>b</w:t>
      </w:r>
      <w:r w:rsidRPr="00A91EEC">
        <w:rPr>
          <w:lang w:val="en-GB"/>
        </w:rPr>
        <w:tab/>
        <w:t>IQR: interquartile range.</w:t>
      </w:r>
    </w:p>
    <w:p w14:paraId="2D94FBA0" w14:textId="77777777" w:rsidR="00A91EEC" w:rsidRPr="00A91EEC" w:rsidRDefault="00A91EEC" w:rsidP="00D00ACC">
      <w:pPr>
        <w:pStyle w:val="CDITable-Footnote"/>
        <w:spacing w:before="40"/>
        <w:rPr>
          <w:lang w:val="en-GB"/>
        </w:rPr>
      </w:pPr>
      <w:r w:rsidRPr="00A91EEC">
        <w:rPr>
          <w:lang w:val="en-GB"/>
        </w:rPr>
        <w:t>c</w:t>
      </w:r>
      <w:r w:rsidRPr="00A91EEC">
        <w:rPr>
          <w:lang w:val="en-GB"/>
        </w:rPr>
        <w:tab/>
        <w:t>Diagnosis setting derived from notifier information.</w:t>
      </w:r>
    </w:p>
    <w:p w14:paraId="1FF21640" w14:textId="475D2C4B" w:rsidR="00D00ACC" w:rsidRDefault="00A91EEC" w:rsidP="00D00ACC">
      <w:pPr>
        <w:pStyle w:val="CDITable-Footnote"/>
        <w:spacing w:before="40"/>
        <w:rPr>
          <w:spacing w:val="-2"/>
          <w:lang w:val="en-GB"/>
        </w:rPr>
      </w:pPr>
      <w:r w:rsidRPr="00C32376">
        <w:rPr>
          <w:spacing w:val="-2"/>
          <w:lang w:val="en-GB"/>
        </w:rPr>
        <w:t>d</w:t>
      </w:r>
      <w:r w:rsidRPr="00C32376">
        <w:rPr>
          <w:spacing w:val="-2"/>
          <w:lang w:val="en-GB"/>
        </w:rPr>
        <w:tab/>
        <w:t>‘Other’ includes research institutions, clinical trial services, forensic medicine services, and notifications provided from other jurisdictions’ departments of health that relate to Victorian residents.</w:t>
      </w:r>
      <w:r w:rsidR="00D00ACC">
        <w:rPr>
          <w:spacing w:val="-2"/>
          <w:lang w:val="en-GB"/>
        </w:rPr>
        <w:br w:type="page"/>
      </w:r>
    </w:p>
    <w:p w14:paraId="78BB5206" w14:textId="77777777" w:rsidR="00A91EEC" w:rsidRPr="00A91EEC" w:rsidRDefault="00A91EEC" w:rsidP="00A91EEC">
      <w:pPr>
        <w:pStyle w:val="CDITable-Title"/>
        <w:rPr>
          <w:lang w:val="en-GB"/>
        </w:rPr>
      </w:pPr>
      <w:r w:rsidRPr="00A91EEC">
        <w:rPr>
          <w:lang w:val="en-GB"/>
        </w:rPr>
        <w:t>Table 2: Reported polymerase chain reaction (PCR) testing and treatment provision following notification for unspecified hepatitis B (HBV) cases in Victoria, Australia, 2023–2024</w:t>
      </w:r>
    </w:p>
    <w:tbl>
      <w:tblPr>
        <w:tblW w:w="0" w:type="auto"/>
        <w:tblLayout w:type="fixed"/>
        <w:tblCellMar>
          <w:left w:w="0" w:type="dxa"/>
          <w:right w:w="0" w:type="dxa"/>
        </w:tblCellMar>
        <w:tblLook w:val="0000" w:firstRow="0" w:lastRow="0" w:firstColumn="0" w:lastColumn="0" w:noHBand="0" w:noVBand="0"/>
        <w:tblCaption w:val="Table 2: Reported polymerase chain reaction (PCR) testing and treatment provision following notification for unspecified hepatitis B (HBV) cases in Victoria, Australia, 2023–2024"/>
        <w:tblDescription w:val="Table 2 shows the reported provision of PCR testing and treatment for hepatitis B cases with information available, including the reason reported for not providing care and the specific mode of management (such as referral or direct prescribing by the diagnosing clinician)."/>
      </w:tblPr>
      <w:tblGrid>
        <w:gridCol w:w="4649"/>
        <w:gridCol w:w="5159"/>
        <w:gridCol w:w="2268"/>
        <w:gridCol w:w="2267"/>
      </w:tblGrid>
      <w:tr w:rsidR="00D00ACC" w:rsidRPr="00D00ACC" w14:paraId="02969020" w14:textId="77777777" w:rsidTr="00D00ACC">
        <w:trPr>
          <w:trHeight w:val="60"/>
          <w:tblHeader/>
        </w:trPr>
        <w:tc>
          <w:tcPr>
            <w:tcW w:w="4649" w:type="dxa"/>
            <w:tcBorders>
              <w:top w:val="nil"/>
              <w:left w:val="nil"/>
            </w:tcBorders>
            <w:shd w:val="clear" w:color="auto" w:fill="1E4496" w:themeFill="text2"/>
            <w:tcMar>
              <w:top w:w="62" w:type="dxa"/>
              <w:left w:w="113" w:type="dxa"/>
              <w:bottom w:w="62" w:type="dxa"/>
              <w:right w:w="113" w:type="dxa"/>
            </w:tcMar>
            <w:vAlign w:val="bottom"/>
          </w:tcPr>
          <w:p w14:paraId="1DB67E10" w14:textId="77777777" w:rsidR="00D00ACC" w:rsidRPr="00D00ACC" w:rsidRDefault="00D00ACC" w:rsidP="00D00ACC">
            <w:pPr>
              <w:pStyle w:val="CDITable-HeaderRowLeft"/>
              <w:rPr>
                <w:lang w:val="en-GB"/>
              </w:rPr>
            </w:pPr>
            <w:r w:rsidRPr="00D00ACC">
              <w:rPr>
                <w:lang w:val="en-GB"/>
              </w:rPr>
              <w:t>Classification</w:t>
            </w:r>
          </w:p>
        </w:tc>
        <w:tc>
          <w:tcPr>
            <w:tcW w:w="5159" w:type="dxa"/>
            <w:tcBorders>
              <w:top w:val="nil"/>
            </w:tcBorders>
            <w:shd w:val="clear" w:color="auto" w:fill="1E4496" w:themeFill="text2"/>
            <w:tcMar>
              <w:top w:w="62" w:type="dxa"/>
              <w:left w:w="113" w:type="dxa"/>
              <w:bottom w:w="62" w:type="dxa"/>
              <w:right w:w="113" w:type="dxa"/>
            </w:tcMar>
            <w:vAlign w:val="bottom"/>
          </w:tcPr>
          <w:p w14:paraId="7D0EFFE1" w14:textId="77777777" w:rsidR="00D00ACC" w:rsidRPr="00D00ACC" w:rsidRDefault="00D00ACC" w:rsidP="00D00ACC">
            <w:pPr>
              <w:pStyle w:val="CDITable-HeaderRowLeft"/>
              <w:rPr>
                <w:lang w:val="en-GB"/>
              </w:rPr>
            </w:pPr>
            <w:r w:rsidRPr="00D00ACC">
              <w:rPr>
                <w:lang w:val="en-GB"/>
              </w:rPr>
              <w:t>Category</w:t>
            </w:r>
          </w:p>
        </w:tc>
        <w:tc>
          <w:tcPr>
            <w:tcW w:w="2268" w:type="dxa"/>
            <w:tcBorders>
              <w:top w:val="nil"/>
            </w:tcBorders>
            <w:shd w:val="clear" w:color="auto" w:fill="1E4496" w:themeFill="text2"/>
            <w:tcMar>
              <w:top w:w="62" w:type="dxa"/>
              <w:left w:w="113" w:type="dxa"/>
              <w:bottom w:w="62" w:type="dxa"/>
              <w:right w:w="113" w:type="dxa"/>
            </w:tcMar>
            <w:vAlign w:val="bottom"/>
          </w:tcPr>
          <w:p w14:paraId="437B534C" w14:textId="77777777" w:rsidR="00D00ACC" w:rsidRPr="00D00ACC" w:rsidRDefault="00D00ACC" w:rsidP="00D00ACC">
            <w:pPr>
              <w:pStyle w:val="CDITable-HeaderRowCentre"/>
            </w:pPr>
            <w:r w:rsidRPr="00D00ACC">
              <w:t>Number of</w:t>
            </w:r>
            <w:r w:rsidRPr="00D00ACC">
              <w:br/>
              <w:t>cases</w:t>
            </w:r>
          </w:p>
        </w:tc>
        <w:tc>
          <w:tcPr>
            <w:tcW w:w="2267" w:type="dxa"/>
            <w:tcBorders>
              <w:top w:val="nil"/>
              <w:right w:val="nil"/>
            </w:tcBorders>
            <w:shd w:val="clear" w:color="auto" w:fill="1E4496" w:themeFill="text2"/>
            <w:tcMar>
              <w:top w:w="62" w:type="dxa"/>
              <w:left w:w="113" w:type="dxa"/>
              <w:bottom w:w="62" w:type="dxa"/>
              <w:right w:w="113" w:type="dxa"/>
            </w:tcMar>
            <w:vAlign w:val="bottom"/>
          </w:tcPr>
          <w:p w14:paraId="6D376E7D" w14:textId="7881E0C3" w:rsidR="00D00ACC" w:rsidRPr="00D00ACC" w:rsidRDefault="00D00ACC" w:rsidP="00D00ACC">
            <w:pPr>
              <w:pStyle w:val="CDITable-HeaderRowCentre"/>
            </w:pPr>
            <w:r w:rsidRPr="00D00ACC">
              <w:t>Proportion of cases</w:t>
            </w:r>
            <w:r>
              <w:t> </w:t>
            </w:r>
            <w:r w:rsidRPr="00D00ACC">
              <w:t>(</w:t>
            </w:r>
            <w:proofErr w:type="gramStart"/>
            <w:r w:rsidRPr="00D00ACC">
              <w:t>%)</w:t>
            </w:r>
            <w:r w:rsidRPr="00D00ACC">
              <w:rPr>
                <w:vertAlign w:val="superscript"/>
              </w:rPr>
              <w:t>a</w:t>
            </w:r>
            <w:proofErr w:type="gramEnd"/>
          </w:p>
        </w:tc>
      </w:tr>
      <w:tr w:rsidR="00D00ACC" w:rsidRPr="00D00ACC" w14:paraId="56E5D89B" w14:textId="77777777" w:rsidTr="00D00ACC">
        <w:trPr>
          <w:trHeight w:val="60"/>
        </w:trPr>
        <w:tc>
          <w:tcPr>
            <w:tcW w:w="4649" w:type="dxa"/>
            <w:tcBorders>
              <w:left w:val="nil"/>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6523BF84" w14:textId="77777777" w:rsidR="00D00ACC" w:rsidRPr="00D00ACC" w:rsidRDefault="00D00ACC" w:rsidP="00D00ACC">
            <w:pPr>
              <w:pStyle w:val="CDITable-RowLeft"/>
              <w:rPr>
                <w:b/>
                <w:bCs/>
                <w:lang w:val="en-GB"/>
              </w:rPr>
            </w:pPr>
            <w:r w:rsidRPr="00D00ACC">
              <w:rPr>
                <w:b/>
                <w:bCs/>
                <w:lang w:val="en-GB"/>
              </w:rPr>
              <w:t>Cases with PCR testing status reported</w:t>
            </w:r>
          </w:p>
        </w:tc>
        <w:tc>
          <w:tcPr>
            <w:tcW w:w="5159" w:type="dxa"/>
            <w:tcBorders>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27770505" w14:textId="77777777" w:rsidR="00D00ACC" w:rsidRPr="00D00ACC" w:rsidRDefault="00D00ACC" w:rsidP="00D00ACC">
            <w:pPr>
              <w:pStyle w:val="CDITable-RowLeft"/>
              <w:rPr>
                <w:b/>
                <w:bCs/>
                <w:lang w:val="en-GB"/>
              </w:rPr>
            </w:pPr>
            <w:r w:rsidRPr="00D00ACC">
              <w:rPr>
                <w:b/>
                <w:bCs/>
                <w:lang w:val="en-GB"/>
              </w:rPr>
              <w:t>Total</w:t>
            </w:r>
          </w:p>
        </w:tc>
        <w:tc>
          <w:tcPr>
            <w:tcW w:w="2268" w:type="dxa"/>
            <w:tcBorders>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1C086809" w14:textId="77777777" w:rsidR="00D00ACC" w:rsidRPr="00D00ACC" w:rsidRDefault="00D00ACC" w:rsidP="00D00ACC">
            <w:pPr>
              <w:pStyle w:val="CDITable-RowCentre"/>
              <w:rPr>
                <w:b/>
                <w:bCs/>
                <w:lang w:val="en-GB"/>
              </w:rPr>
            </w:pPr>
            <w:r w:rsidRPr="00D00ACC">
              <w:rPr>
                <w:b/>
                <w:bCs/>
                <w:lang w:val="en-GB"/>
              </w:rPr>
              <w:t>1,693</w:t>
            </w:r>
          </w:p>
        </w:tc>
        <w:tc>
          <w:tcPr>
            <w:tcW w:w="2267" w:type="dxa"/>
            <w:tcBorders>
              <w:bottom w:val="single" w:sz="6" w:space="0" w:color="1E4496" w:themeColor="text2"/>
              <w:right w:val="nil"/>
            </w:tcBorders>
            <w:shd w:val="clear" w:color="auto" w:fill="DCF4FC" w:themeFill="background2" w:themeFillTint="33"/>
            <w:tcMar>
              <w:top w:w="62" w:type="dxa"/>
              <w:left w:w="113" w:type="dxa"/>
              <w:bottom w:w="62" w:type="dxa"/>
              <w:right w:w="113" w:type="dxa"/>
            </w:tcMar>
            <w:vAlign w:val="center"/>
          </w:tcPr>
          <w:p w14:paraId="098BE53C" w14:textId="77777777" w:rsidR="00D00ACC" w:rsidRPr="00D00ACC" w:rsidRDefault="00D00ACC" w:rsidP="00D00ACC">
            <w:pPr>
              <w:pStyle w:val="CDITable-RowCentre"/>
              <w:rPr>
                <w:b/>
                <w:bCs/>
                <w:lang w:val="en-GB"/>
              </w:rPr>
            </w:pPr>
            <w:r w:rsidRPr="00D00ACC">
              <w:rPr>
                <w:b/>
                <w:bCs/>
                <w:lang w:val="en-GB"/>
              </w:rPr>
              <w:t>100</w:t>
            </w:r>
          </w:p>
        </w:tc>
      </w:tr>
      <w:tr w:rsidR="00D00ACC" w:rsidRPr="00D00ACC" w14:paraId="386620E1" w14:textId="77777777" w:rsidTr="00D00ACC">
        <w:trPr>
          <w:trHeight w:val="60"/>
        </w:trPr>
        <w:tc>
          <w:tcPr>
            <w:tcW w:w="4649" w:type="dxa"/>
            <w:tcBorders>
              <w:top w:val="single" w:sz="6" w:space="0" w:color="1E4496" w:themeColor="text2"/>
              <w:left w:val="nil"/>
              <w:bottom w:val="single" w:sz="6" w:space="0" w:color="1E4496" w:themeColor="text2"/>
            </w:tcBorders>
            <w:tcMar>
              <w:top w:w="62" w:type="dxa"/>
              <w:left w:w="113" w:type="dxa"/>
              <w:bottom w:w="62" w:type="dxa"/>
              <w:right w:w="113" w:type="dxa"/>
            </w:tcMar>
            <w:vAlign w:val="center"/>
          </w:tcPr>
          <w:p w14:paraId="4AB399C9" w14:textId="77777777" w:rsidR="00D00ACC" w:rsidRPr="00D00ACC" w:rsidRDefault="00D00ACC" w:rsidP="00D00ACC">
            <w:pPr>
              <w:pStyle w:val="CDITable-RowLeft"/>
              <w:rPr>
                <w:lang w:val="en-GB"/>
              </w:rPr>
            </w:pPr>
            <w:r w:rsidRPr="00D00ACC">
              <w:rPr>
                <w:lang w:val="en-GB"/>
              </w:rPr>
              <w:t>PCR testing not provided</w:t>
            </w: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71F87F0" w14:textId="77777777" w:rsidR="00D00ACC" w:rsidRPr="00D00ACC" w:rsidRDefault="00D00ACC" w:rsidP="00D00ACC">
            <w:pPr>
              <w:pStyle w:val="CDITable-RowLeft"/>
              <w:rPr>
                <w:lang w:val="en-GB"/>
              </w:rPr>
            </w:pPr>
            <w:r w:rsidRPr="00D00ACC">
              <w:rPr>
                <w:lang w:val="en-GB"/>
              </w:rPr>
              <w:t>—</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FAEECD0" w14:textId="77777777" w:rsidR="00D00ACC" w:rsidRPr="00D00ACC" w:rsidRDefault="00D00ACC" w:rsidP="00D00ACC">
            <w:pPr>
              <w:pStyle w:val="CDITable-RowCentre"/>
              <w:rPr>
                <w:lang w:val="en-GB"/>
              </w:rPr>
            </w:pPr>
            <w:r w:rsidRPr="00D00ACC">
              <w:rPr>
                <w:lang w:val="en-GB"/>
              </w:rPr>
              <w:t>883</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34BFAD3F" w14:textId="77777777" w:rsidR="00D00ACC" w:rsidRPr="00D00ACC" w:rsidRDefault="00D00ACC" w:rsidP="00D00ACC">
            <w:pPr>
              <w:pStyle w:val="CDITable-RowCentre"/>
              <w:rPr>
                <w:lang w:val="en-GB"/>
              </w:rPr>
            </w:pPr>
            <w:r w:rsidRPr="00D00ACC">
              <w:rPr>
                <w:lang w:val="en-GB"/>
              </w:rPr>
              <w:t>52.2</w:t>
            </w:r>
          </w:p>
        </w:tc>
      </w:tr>
      <w:tr w:rsidR="00D00ACC" w:rsidRPr="00D00ACC" w14:paraId="596B717F" w14:textId="77777777" w:rsidTr="00D00ACC">
        <w:trPr>
          <w:trHeight w:val="60"/>
        </w:trPr>
        <w:tc>
          <w:tcPr>
            <w:tcW w:w="4649" w:type="dxa"/>
            <w:vMerge w:val="restart"/>
            <w:tcBorders>
              <w:top w:val="single" w:sz="6" w:space="0" w:color="1E4496" w:themeColor="text2"/>
              <w:left w:val="nil"/>
              <w:bottom w:val="single" w:sz="6" w:space="0" w:color="1E4496" w:themeColor="text2"/>
            </w:tcBorders>
            <w:tcMar>
              <w:top w:w="62" w:type="dxa"/>
              <w:left w:w="113" w:type="dxa"/>
              <w:bottom w:w="62" w:type="dxa"/>
              <w:right w:w="113" w:type="dxa"/>
            </w:tcMar>
            <w:vAlign w:val="center"/>
          </w:tcPr>
          <w:p w14:paraId="41082D28" w14:textId="77777777" w:rsidR="00D00ACC" w:rsidRPr="00D00ACC" w:rsidRDefault="00D00ACC" w:rsidP="00D00ACC">
            <w:pPr>
              <w:pStyle w:val="CDITable-RowLeft"/>
              <w:rPr>
                <w:lang w:val="en-GB"/>
              </w:rPr>
            </w:pPr>
            <w:r w:rsidRPr="00D00ACC">
              <w:rPr>
                <w:lang w:val="en-GB"/>
              </w:rPr>
              <w:t>PCR testing provided</w:t>
            </w: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1B93411" w14:textId="77777777" w:rsidR="00D00ACC" w:rsidRPr="00D00ACC" w:rsidRDefault="00D00ACC" w:rsidP="00D00ACC">
            <w:pPr>
              <w:pStyle w:val="CDITable-RowLeft"/>
              <w:rPr>
                <w:lang w:val="en-GB"/>
              </w:rPr>
            </w:pPr>
            <w:r w:rsidRPr="00D00ACC">
              <w:rPr>
                <w:lang w:val="en-GB"/>
              </w:rPr>
              <w:t>All tested</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90F5687" w14:textId="77777777" w:rsidR="00D00ACC" w:rsidRPr="00D00ACC" w:rsidRDefault="00D00ACC" w:rsidP="00D00ACC">
            <w:pPr>
              <w:pStyle w:val="CDITable-RowCentre"/>
              <w:rPr>
                <w:lang w:val="en-GB"/>
              </w:rPr>
            </w:pPr>
            <w:r w:rsidRPr="00D00ACC">
              <w:rPr>
                <w:lang w:val="en-GB"/>
              </w:rPr>
              <w:t>810</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0C7757AE" w14:textId="77777777" w:rsidR="00D00ACC" w:rsidRPr="00D00ACC" w:rsidRDefault="00D00ACC" w:rsidP="00D00ACC">
            <w:pPr>
              <w:pStyle w:val="CDITable-RowCentre"/>
              <w:rPr>
                <w:lang w:val="en-GB"/>
              </w:rPr>
            </w:pPr>
            <w:r w:rsidRPr="00D00ACC">
              <w:rPr>
                <w:lang w:val="en-GB"/>
              </w:rPr>
              <w:t>47.8</w:t>
            </w:r>
          </w:p>
        </w:tc>
      </w:tr>
      <w:tr w:rsidR="00D00ACC" w:rsidRPr="00D00ACC" w14:paraId="436BCA5A"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09EDF353"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89C76FF" w14:textId="77777777" w:rsidR="00D00ACC" w:rsidRPr="00D00ACC" w:rsidRDefault="00D00ACC" w:rsidP="00D00ACC">
            <w:pPr>
              <w:pStyle w:val="CDITable-RowLeft"/>
              <w:rPr>
                <w:lang w:val="en-GB"/>
              </w:rPr>
            </w:pPr>
            <w:r w:rsidRPr="00D00ACC">
              <w:rPr>
                <w:lang w:val="en-GB"/>
              </w:rPr>
              <w:t>Reported positive</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58DBED2" w14:textId="77777777" w:rsidR="00D00ACC" w:rsidRPr="00D00ACC" w:rsidRDefault="00D00ACC" w:rsidP="00D00ACC">
            <w:pPr>
              <w:pStyle w:val="CDITable-RowCentre"/>
              <w:rPr>
                <w:lang w:val="en-GB"/>
              </w:rPr>
            </w:pPr>
            <w:r w:rsidRPr="00D00ACC">
              <w:rPr>
                <w:lang w:val="en-GB"/>
              </w:rPr>
              <w:t>711</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59DE623E" w14:textId="77777777" w:rsidR="00D00ACC" w:rsidRPr="00D00ACC" w:rsidRDefault="00D00ACC" w:rsidP="00D00ACC">
            <w:pPr>
              <w:pStyle w:val="CDITable-RowCentre"/>
              <w:rPr>
                <w:lang w:val="en-GB"/>
              </w:rPr>
            </w:pPr>
            <w:r w:rsidRPr="00D00ACC">
              <w:rPr>
                <w:lang w:val="en-GB"/>
              </w:rPr>
              <w:t>42.0</w:t>
            </w:r>
          </w:p>
        </w:tc>
      </w:tr>
      <w:tr w:rsidR="00D00ACC" w:rsidRPr="00D00ACC" w14:paraId="28074E22"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193EB2C4"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55CDB67" w14:textId="77777777" w:rsidR="00D00ACC" w:rsidRPr="00D00ACC" w:rsidRDefault="00D00ACC" w:rsidP="00D00ACC">
            <w:pPr>
              <w:pStyle w:val="CDITable-RowLeft"/>
              <w:rPr>
                <w:lang w:val="en-GB"/>
              </w:rPr>
            </w:pPr>
            <w:r w:rsidRPr="00D00ACC">
              <w:rPr>
                <w:lang w:val="en-GB"/>
              </w:rPr>
              <w:t>Reported negative</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659BBDC" w14:textId="77777777" w:rsidR="00D00ACC" w:rsidRPr="00D00ACC" w:rsidRDefault="00D00ACC" w:rsidP="00D00ACC">
            <w:pPr>
              <w:pStyle w:val="CDITable-RowCentre"/>
              <w:rPr>
                <w:lang w:val="en-GB"/>
              </w:rPr>
            </w:pPr>
            <w:r w:rsidRPr="00D00ACC">
              <w:rPr>
                <w:lang w:val="en-GB"/>
              </w:rPr>
              <w:t>99</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5B88BEA9" w14:textId="77777777" w:rsidR="00D00ACC" w:rsidRPr="00D00ACC" w:rsidRDefault="00D00ACC" w:rsidP="00D00ACC">
            <w:pPr>
              <w:pStyle w:val="CDITable-RowCentre"/>
              <w:rPr>
                <w:lang w:val="en-GB"/>
              </w:rPr>
            </w:pPr>
            <w:r w:rsidRPr="00D00ACC">
              <w:rPr>
                <w:lang w:val="en-GB"/>
              </w:rPr>
              <w:t>5.8</w:t>
            </w:r>
          </w:p>
        </w:tc>
      </w:tr>
      <w:tr w:rsidR="00D00ACC" w:rsidRPr="00D00ACC" w14:paraId="4BD646F7" w14:textId="77777777" w:rsidTr="00D00ACC">
        <w:trPr>
          <w:trHeight w:val="60"/>
        </w:trPr>
        <w:tc>
          <w:tcPr>
            <w:tcW w:w="4649" w:type="dxa"/>
            <w:tcBorders>
              <w:top w:val="single" w:sz="6" w:space="0" w:color="1E4496" w:themeColor="text2"/>
              <w:left w:val="nil"/>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3B4D480B" w14:textId="77777777" w:rsidR="00D00ACC" w:rsidRPr="00D00ACC" w:rsidRDefault="00D00ACC" w:rsidP="00D00ACC">
            <w:pPr>
              <w:pStyle w:val="CDITable-RowLeft"/>
              <w:rPr>
                <w:b/>
                <w:bCs/>
                <w:lang w:val="en-GB"/>
              </w:rPr>
            </w:pPr>
            <w:r w:rsidRPr="00D00ACC">
              <w:rPr>
                <w:b/>
                <w:bCs/>
                <w:lang w:val="en-GB"/>
              </w:rPr>
              <w:t>Cases with treatment status reported</w:t>
            </w:r>
          </w:p>
        </w:tc>
        <w:tc>
          <w:tcPr>
            <w:tcW w:w="5159" w:type="dxa"/>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1ED191BC" w14:textId="77777777" w:rsidR="00D00ACC" w:rsidRPr="00D00ACC" w:rsidRDefault="00D00ACC" w:rsidP="00D00ACC">
            <w:pPr>
              <w:pStyle w:val="CDITable-RowLeft"/>
              <w:rPr>
                <w:b/>
                <w:bCs/>
                <w:lang w:val="en-GB"/>
              </w:rPr>
            </w:pPr>
            <w:r w:rsidRPr="00D00ACC">
              <w:rPr>
                <w:b/>
                <w:bCs/>
                <w:lang w:val="en-GB"/>
              </w:rPr>
              <w:t>Total</w:t>
            </w:r>
          </w:p>
        </w:tc>
        <w:tc>
          <w:tcPr>
            <w:tcW w:w="2268" w:type="dxa"/>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68D09490" w14:textId="77777777" w:rsidR="00D00ACC" w:rsidRPr="00D00ACC" w:rsidRDefault="00D00ACC" w:rsidP="00D00ACC">
            <w:pPr>
              <w:pStyle w:val="CDITable-RowCentre"/>
              <w:rPr>
                <w:b/>
                <w:bCs/>
                <w:lang w:val="en-GB"/>
              </w:rPr>
            </w:pPr>
            <w:r w:rsidRPr="00D00ACC">
              <w:rPr>
                <w:b/>
                <w:bCs/>
                <w:lang w:val="en-GB"/>
              </w:rPr>
              <w:t>1,773</w:t>
            </w:r>
          </w:p>
        </w:tc>
        <w:tc>
          <w:tcPr>
            <w:tcW w:w="2267" w:type="dxa"/>
            <w:tcBorders>
              <w:top w:val="single" w:sz="6" w:space="0" w:color="1E4496" w:themeColor="text2"/>
              <w:bottom w:val="single" w:sz="6" w:space="0" w:color="1E4496" w:themeColor="text2"/>
              <w:right w:val="nil"/>
            </w:tcBorders>
            <w:shd w:val="clear" w:color="auto" w:fill="DCF4FC" w:themeFill="background2" w:themeFillTint="33"/>
            <w:tcMar>
              <w:top w:w="62" w:type="dxa"/>
              <w:left w:w="113" w:type="dxa"/>
              <w:bottom w:w="62" w:type="dxa"/>
              <w:right w:w="113" w:type="dxa"/>
            </w:tcMar>
            <w:vAlign w:val="center"/>
          </w:tcPr>
          <w:p w14:paraId="24E04C27" w14:textId="77777777" w:rsidR="00D00ACC" w:rsidRPr="00D00ACC" w:rsidRDefault="00D00ACC" w:rsidP="00D00ACC">
            <w:pPr>
              <w:pStyle w:val="CDITable-RowCentre"/>
              <w:rPr>
                <w:b/>
                <w:bCs/>
                <w:lang w:val="en-GB"/>
              </w:rPr>
            </w:pPr>
            <w:r w:rsidRPr="00D00ACC">
              <w:rPr>
                <w:b/>
                <w:bCs/>
                <w:lang w:val="en-GB"/>
              </w:rPr>
              <w:t>100</w:t>
            </w:r>
          </w:p>
        </w:tc>
      </w:tr>
      <w:tr w:rsidR="00D00ACC" w:rsidRPr="00D00ACC" w14:paraId="54217DB1" w14:textId="77777777" w:rsidTr="00D00ACC">
        <w:trPr>
          <w:trHeight w:val="60"/>
        </w:trPr>
        <w:tc>
          <w:tcPr>
            <w:tcW w:w="4649" w:type="dxa"/>
            <w:vMerge w:val="restart"/>
            <w:tcBorders>
              <w:top w:val="single" w:sz="6" w:space="0" w:color="1E4496" w:themeColor="text2"/>
              <w:left w:val="nil"/>
              <w:bottom w:val="single" w:sz="6" w:space="0" w:color="1E4496" w:themeColor="text2"/>
            </w:tcBorders>
            <w:tcMar>
              <w:top w:w="62" w:type="dxa"/>
              <w:left w:w="113" w:type="dxa"/>
              <w:bottom w:w="62" w:type="dxa"/>
              <w:right w:w="113" w:type="dxa"/>
            </w:tcMar>
            <w:vAlign w:val="center"/>
          </w:tcPr>
          <w:p w14:paraId="766D408D" w14:textId="77777777" w:rsidR="00D00ACC" w:rsidRPr="00D00ACC" w:rsidRDefault="00D00ACC" w:rsidP="00D00ACC">
            <w:pPr>
              <w:pStyle w:val="CDITable-RowLeft"/>
              <w:rPr>
                <w:lang w:val="en-GB"/>
              </w:rPr>
            </w:pPr>
            <w:r w:rsidRPr="00D00ACC">
              <w:rPr>
                <w:lang w:val="en-GB"/>
              </w:rPr>
              <w:t>Offered treatment or under management by the diagnosing clinician</w:t>
            </w: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85264B8"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BEEDEA7" w14:textId="77777777" w:rsidR="00D00ACC" w:rsidRPr="00D00ACC" w:rsidRDefault="00D00ACC" w:rsidP="00D00ACC">
            <w:pPr>
              <w:pStyle w:val="CDITable-RowCentre"/>
              <w:rPr>
                <w:lang w:val="en-GB"/>
              </w:rPr>
            </w:pPr>
            <w:r w:rsidRPr="00D00ACC">
              <w:rPr>
                <w:lang w:val="en-GB"/>
              </w:rPr>
              <w:t>669</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45E09784" w14:textId="77777777" w:rsidR="00D00ACC" w:rsidRPr="00D00ACC" w:rsidRDefault="00D00ACC" w:rsidP="00D00ACC">
            <w:pPr>
              <w:pStyle w:val="CDITable-RowCentre"/>
              <w:rPr>
                <w:lang w:val="en-GB"/>
              </w:rPr>
            </w:pPr>
            <w:r w:rsidRPr="00D00ACC">
              <w:rPr>
                <w:lang w:val="en-GB"/>
              </w:rPr>
              <w:t>37.7</w:t>
            </w:r>
          </w:p>
        </w:tc>
      </w:tr>
      <w:tr w:rsidR="00D00ACC" w:rsidRPr="00D00ACC" w14:paraId="19C6B3D1"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23DFC7DE"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B035DF2" w14:textId="77777777" w:rsidR="00D00ACC" w:rsidRPr="00D00ACC" w:rsidRDefault="00D00ACC" w:rsidP="00D00ACC">
            <w:pPr>
              <w:pStyle w:val="CDITable-RowLeft"/>
              <w:rPr>
                <w:lang w:val="en-GB"/>
              </w:rPr>
            </w:pPr>
            <w:r w:rsidRPr="00D00ACC">
              <w:rPr>
                <w:lang w:val="en-GB"/>
              </w:rPr>
              <w:t>Offered treatment by diagnosing clinician</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B380600" w14:textId="77777777" w:rsidR="00D00ACC" w:rsidRPr="00D00ACC" w:rsidRDefault="00D00ACC" w:rsidP="00D00ACC">
            <w:pPr>
              <w:pStyle w:val="CDITable-RowCentre"/>
              <w:rPr>
                <w:lang w:val="en-GB"/>
              </w:rPr>
            </w:pPr>
            <w:r w:rsidRPr="00D00ACC">
              <w:rPr>
                <w:lang w:val="en-GB"/>
              </w:rPr>
              <w:t>328</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1F4AF5DC" w14:textId="77777777" w:rsidR="00D00ACC" w:rsidRPr="00D00ACC" w:rsidRDefault="00D00ACC" w:rsidP="00D00ACC">
            <w:pPr>
              <w:pStyle w:val="CDITable-RowCentre"/>
              <w:rPr>
                <w:lang w:val="en-GB"/>
              </w:rPr>
            </w:pPr>
            <w:r w:rsidRPr="00D00ACC">
              <w:rPr>
                <w:lang w:val="en-GB"/>
              </w:rPr>
              <w:t>18.5</w:t>
            </w:r>
          </w:p>
        </w:tc>
      </w:tr>
      <w:tr w:rsidR="00D00ACC" w:rsidRPr="00D00ACC" w14:paraId="33C4572C"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76ED29EC"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36E2A24" w14:textId="77777777" w:rsidR="00D00ACC" w:rsidRPr="00D00ACC" w:rsidRDefault="00D00ACC" w:rsidP="00D00ACC">
            <w:pPr>
              <w:pStyle w:val="CDITable-RowLeft"/>
              <w:rPr>
                <w:lang w:val="en-GB"/>
              </w:rPr>
            </w:pPr>
            <w:r w:rsidRPr="00D00ACC">
              <w:rPr>
                <w:lang w:val="en-GB"/>
              </w:rPr>
              <w:t>Assessed as clinically not eligible by diagnosing clinician</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4534DAB" w14:textId="77777777" w:rsidR="00D00ACC" w:rsidRPr="00D00ACC" w:rsidRDefault="00D00ACC" w:rsidP="00D00ACC">
            <w:pPr>
              <w:pStyle w:val="CDITable-RowCentre"/>
              <w:rPr>
                <w:lang w:val="en-GB"/>
              </w:rPr>
            </w:pPr>
            <w:r w:rsidRPr="00D00ACC">
              <w:rPr>
                <w:lang w:val="en-GB"/>
              </w:rPr>
              <w:t>255</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7AD76180" w14:textId="77777777" w:rsidR="00D00ACC" w:rsidRPr="00D00ACC" w:rsidRDefault="00D00ACC" w:rsidP="00D00ACC">
            <w:pPr>
              <w:pStyle w:val="CDITable-RowCentre"/>
              <w:rPr>
                <w:lang w:val="en-GB"/>
              </w:rPr>
            </w:pPr>
            <w:r w:rsidRPr="00D00ACC">
              <w:rPr>
                <w:lang w:val="en-GB"/>
              </w:rPr>
              <w:t>14.4</w:t>
            </w:r>
          </w:p>
        </w:tc>
      </w:tr>
      <w:tr w:rsidR="00D00ACC" w:rsidRPr="00D00ACC" w14:paraId="7AD115A5"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0E510D93"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6828B08" w14:textId="77777777" w:rsidR="00D00ACC" w:rsidRPr="00D00ACC" w:rsidRDefault="00D00ACC" w:rsidP="00D00ACC">
            <w:pPr>
              <w:pStyle w:val="CDITable-RowLeft"/>
              <w:rPr>
                <w:lang w:val="en-GB"/>
              </w:rPr>
            </w:pPr>
            <w:r w:rsidRPr="00D00ACC">
              <w:rPr>
                <w:lang w:val="en-GB"/>
              </w:rPr>
              <w:t xml:space="preserve">Already on </w:t>
            </w:r>
            <w:proofErr w:type="spellStart"/>
            <w:r w:rsidRPr="00D00ACC">
              <w:rPr>
                <w:lang w:val="en-GB"/>
              </w:rPr>
              <w:t>treatment</w:t>
            </w:r>
            <w:r w:rsidRPr="00D00ACC">
              <w:rPr>
                <w:vertAlign w:val="superscript"/>
                <w:lang w:val="en-GB"/>
              </w:rPr>
              <w:t>b</w:t>
            </w:r>
            <w:proofErr w:type="spellEnd"/>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91C8872" w14:textId="77777777" w:rsidR="00D00ACC" w:rsidRPr="00D00ACC" w:rsidRDefault="00D00ACC" w:rsidP="00D00ACC">
            <w:pPr>
              <w:pStyle w:val="CDITable-RowCentre"/>
              <w:rPr>
                <w:lang w:val="en-GB"/>
              </w:rPr>
            </w:pPr>
            <w:r w:rsidRPr="00D00ACC">
              <w:rPr>
                <w:lang w:val="en-GB"/>
              </w:rPr>
              <w:t>20</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06AB75C1" w14:textId="77777777" w:rsidR="00D00ACC" w:rsidRPr="00D00ACC" w:rsidRDefault="00D00ACC" w:rsidP="00D00ACC">
            <w:pPr>
              <w:pStyle w:val="CDITable-RowCentre"/>
              <w:rPr>
                <w:lang w:val="en-GB"/>
              </w:rPr>
            </w:pPr>
            <w:r w:rsidRPr="00D00ACC">
              <w:rPr>
                <w:lang w:val="en-GB"/>
              </w:rPr>
              <w:t>1.1</w:t>
            </w:r>
          </w:p>
        </w:tc>
      </w:tr>
      <w:tr w:rsidR="00D00ACC" w:rsidRPr="00D00ACC" w14:paraId="5835DC75"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42386569"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8973A66" w14:textId="77777777" w:rsidR="00D00ACC" w:rsidRPr="00D00ACC" w:rsidRDefault="00D00ACC" w:rsidP="00D00ACC">
            <w:pPr>
              <w:pStyle w:val="CDITable-RowLeft"/>
              <w:rPr>
                <w:lang w:val="en-GB"/>
              </w:rPr>
            </w:pPr>
            <w:r w:rsidRPr="00D00ACC">
              <w:rPr>
                <w:lang w:val="en-GB"/>
              </w:rPr>
              <w:t>Already managed by another clinician</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CA818F2" w14:textId="77777777" w:rsidR="00D00ACC" w:rsidRPr="00D00ACC" w:rsidRDefault="00D00ACC" w:rsidP="00D00ACC">
            <w:pPr>
              <w:pStyle w:val="CDITable-RowCentre"/>
              <w:rPr>
                <w:lang w:val="en-GB"/>
              </w:rPr>
            </w:pPr>
            <w:r w:rsidRPr="00D00ACC">
              <w:rPr>
                <w:lang w:val="en-GB"/>
              </w:rPr>
              <w:t>66</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47D1D71A" w14:textId="77777777" w:rsidR="00D00ACC" w:rsidRPr="00D00ACC" w:rsidRDefault="00D00ACC" w:rsidP="00D00ACC">
            <w:pPr>
              <w:pStyle w:val="CDITable-RowCentre"/>
              <w:rPr>
                <w:lang w:val="en-GB"/>
              </w:rPr>
            </w:pPr>
            <w:r w:rsidRPr="00D00ACC">
              <w:rPr>
                <w:lang w:val="en-GB"/>
              </w:rPr>
              <w:t>3.7</w:t>
            </w:r>
          </w:p>
        </w:tc>
      </w:tr>
      <w:tr w:rsidR="00D00ACC" w:rsidRPr="00D00ACC" w14:paraId="2DB83AE0" w14:textId="77777777" w:rsidTr="00D00ACC">
        <w:trPr>
          <w:trHeight w:val="60"/>
        </w:trPr>
        <w:tc>
          <w:tcPr>
            <w:tcW w:w="4649" w:type="dxa"/>
            <w:vMerge w:val="restart"/>
            <w:tcBorders>
              <w:top w:val="single" w:sz="6" w:space="0" w:color="1E4496" w:themeColor="text2"/>
              <w:left w:val="nil"/>
              <w:bottom w:val="single" w:sz="6" w:space="0" w:color="1E4496" w:themeColor="text2"/>
            </w:tcBorders>
            <w:tcMar>
              <w:top w:w="62" w:type="dxa"/>
              <w:left w:w="113" w:type="dxa"/>
              <w:bottom w:w="62" w:type="dxa"/>
              <w:right w:w="113" w:type="dxa"/>
            </w:tcMar>
            <w:vAlign w:val="center"/>
          </w:tcPr>
          <w:p w14:paraId="25575071" w14:textId="77777777" w:rsidR="00D00ACC" w:rsidRPr="00D00ACC" w:rsidRDefault="00D00ACC" w:rsidP="00D00ACC">
            <w:pPr>
              <w:pStyle w:val="CDITable-RowLeft"/>
              <w:rPr>
                <w:lang w:val="en-GB"/>
              </w:rPr>
            </w:pPr>
            <w:r w:rsidRPr="00D00ACC">
              <w:rPr>
                <w:lang w:val="en-GB"/>
              </w:rPr>
              <w:t>Referral or assessment in progress</w:t>
            </w: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1B5D406"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7939CE8" w14:textId="77777777" w:rsidR="00D00ACC" w:rsidRPr="00D00ACC" w:rsidRDefault="00D00ACC" w:rsidP="00D00ACC">
            <w:pPr>
              <w:pStyle w:val="CDITable-RowCentre"/>
              <w:rPr>
                <w:lang w:val="en-GB"/>
              </w:rPr>
            </w:pPr>
            <w:r w:rsidRPr="00D00ACC">
              <w:rPr>
                <w:lang w:val="en-GB"/>
              </w:rPr>
              <w:t>951</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54F748FF" w14:textId="77777777" w:rsidR="00D00ACC" w:rsidRPr="00D00ACC" w:rsidRDefault="00D00ACC" w:rsidP="00D00ACC">
            <w:pPr>
              <w:pStyle w:val="CDITable-RowCentre"/>
              <w:rPr>
                <w:lang w:val="en-GB"/>
              </w:rPr>
            </w:pPr>
            <w:r w:rsidRPr="00D00ACC">
              <w:rPr>
                <w:lang w:val="en-GB"/>
              </w:rPr>
              <w:t>53.6</w:t>
            </w:r>
          </w:p>
        </w:tc>
      </w:tr>
      <w:tr w:rsidR="00D00ACC" w:rsidRPr="00D00ACC" w14:paraId="641632F4"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0FB76DDB"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AFE332B" w14:textId="77777777" w:rsidR="00D00ACC" w:rsidRPr="00D00ACC" w:rsidRDefault="00D00ACC" w:rsidP="00D00ACC">
            <w:pPr>
              <w:pStyle w:val="CDITable-RowLeft"/>
              <w:rPr>
                <w:lang w:val="en-GB"/>
              </w:rPr>
            </w:pPr>
            <w:r w:rsidRPr="00D00ACC">
              <w:rPr>
                <w:lang w:val="en-GB"/>
              </w:rPr>
              <w:t>Referred to another clinician</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4FDAC78" w14:textId="77777777" w:rsidR="00D00ACC" w:rsidRPr="00D00ACC" w:rsidRDefault="00D00ACC" w:rsidP="00D00ACC">
            <w:pPr>
              <w:pStyle w:val="CDITable-RowCentre"/>
              <w:rPr>
                <w:lang w:val="en-GB"/>
              </w:rPr>
            </w:pPr>
            <w:r w:rsidRPr="00D00ACC">
              <w:rPr>
                <w:lang w:val="en-GB"/>
              </w:rPr>
              <w:t>792</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22CE6C1C" w14:textId="77777777" w:rsidR="00D00ACC" w:rsidRPr="00D00ACC" w:rsidRDefault="00D00ACC" w:rsidP="00D00ACC">
            <w:pPr>
              <w:pStyle w:val="CDITable-RowCentre"/>
              <w:rPr>
                <w:lang w:val="en-GB"/>
              </w:rPr>
            </w:pPr>
            <w:r w:rsidRPr="00D00ACC">
              <w:rPr>
                <w:lang w:val="en-GB"/>
              </w:rPr>
              <w:t>44.7</w:t>
            </w:r>
          </w:p>
        </w:tc>
      </w:tr>
      <w:tr w:rsidR="00D00ACC" w:rsidRPr="00D00ACC" w14:paraId="1FA96313"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42ADB11A"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C7012F5" w14:textId="77777777" w:rsidR="00D00ACC" w:rsidRPr="00D00ACC" w:rsidRDefault="00D00ACC" w:rsidP="00D00ACC">
            <w:pPr>
              <w:pStyle w:val="CDITable-RowLeft"/>
              <w:rPr>
                <w:lang w:val="en-GB"/>
              </w:rPr>
            </w:pPr>
            <w:r w:rsidRPr="00D00ACC">
              <w:rPr>
                <w:lang w:val="en-GB"/>
              </w:rPr>
              <w:t>Pending further follow-up/testing</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293F2AF" w14:textId="77777777" w:rsidR="00D00ACC" w:rsidRPr="00D00ACC" w:rsidRDefault="00D00ACC" w:rsidP="00D00ACC">
            <w:pPr>
              <w:pStyle w:val="CDITable-RowCentre"/>
              <w:rPr>
                <w:lang w:val="en-GB"/>
              </w:rPr>
            </w:pPr>
            <w:r w:rsidRPr="00D00ACC">
              <w:rPr>
                <w:lang w:val="en-GB"/>
              </w:rPr>
              <w:t>159</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50D1E775" w14:textId="77777777" w:rsidR="00D00ACC" w:rsidRPr="00D00ACC" w:rsidRDefault="00D00ACC" w:rsidP="00D00ACC">
            <w:pPr>
              <w:pStyle w:val="CDITable-RowCentre"/>
              <w:rPr>
                <w:lang w:val="en-GB"/>
              </w:rPr>
            </w:pPr>
            <w:r w:rsidRPr="00D00ACC">
              <w:rPr>
                <w:lang w:val="en-GB"/>
              </w:rPr>
              <w:t>9.0</w:t>
            </w:r>
          </w:p>
        </w:tc>
      </w:tr>
      <w:tr w:rsidR="00D00ACC" w:rsidRPr="00D00ACC" w14:paraId="6F8CFA57" w14:textId="77777777" w:rsidTr="00D00ACC">
        <w:trPr>
          <w:trHeight w:val="60"/>
        </w:trPr>
        <w:tc>
          <w:tcPr>
            <w:tcW w:w="4649" w:type="dxa"/>
            <w:vMerge w:val="restart"/>
            <w:tcBorders>
              <w:top w:val="single" w:sz="6" w:space="0" w:color="1E4496" w:themeColor="text2"/>
              <w:left w:val="nil"/>
              <w:bottom w:val="single" w:sz="6" w:space="0" w:color="1E4496" w:themeColor="text2"/>
            </w:tcBorders>
            <w:tcMar>
              <w:top w:w="62" w:type="dxa"/>
              <w:left w:w="113" w:type="dxa"/>
              <w:bottom w:w="62" w:type="dxa"/>
              <w:right w:w="113" w:type="dxa"/>
            </w:tcMar>
            <w:vAlign w:val="center"/>
          </w:tcPr>
          <w:p w14:paraId="404A9523" w14:textId="77777777" w:rsidR="00D00ACC" w:rsidRPr="00D00ACC" w:rsidRDefault="00D00ACC" w:rsidP="00D00ACC">
            <w:pPr>
              <w:pStyle w:val="CDITable-RowLeft"/>
              <w:rPr>
                <w:lang w:val="en-GB"/>
              </w:rPr>
            </w:pPr>
            <w:r w:rsidRPr="00D00ACC">
              <w:rPr>
                <w:lang w:val="en-GB"/>
              </w:rPr>
              <w:t>Not offered treatment due to patient factors</w:t>
            </w: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8483343"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4E3591F" w14:textId="77777777" w:rsidR="00D00ACC" w:rsidRPr="00D00ACC" w:rsidRDefault="00D00ACC" w:rsidP="00D00ACC">
            <w:pPr>
              <w:pStyle w:val="CDITable-RowCentre"/>
              <w:rPr>
                <w:lang w:val="en-GB"/>
              </w:rPr>
            </w:pPr>
            <w:r w:rsidRPr="00D00ACC">
              <w:rPr>
                <w:lang w:val="en-GB"/>
              </w:rPr>
              <w:t>82</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30DED48D" w14:textId="77777777" w:rsidR="00D00ACC" w:rsidRPr="00D00ACC" w:rsidRDefault="00D00ACC" w:rsidP="00D00ACC">
            <w:pPr>
              <w:pStyle w:val="CDITable-RowCentre"/>
              <w:rPr>
                <w:lang w:val="en-GB"/>
              </w:rPr>
            </w:pPr>
            <w:r w:rsidRPr="00D00ACC">
              <w:rPr>
                <w:lang w:val="en-GB"/>
              </w:rPr>
              <w:t>4.6</w:t>
            </w:r>
          </w:p>
        </w:tc>
      </w:tr>
      <w:tr w:rsidR="00D00ACC" w:rsidRPr="00D00ACC" w14:paraId="4D3B6FA8"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0E6CC2A3"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D739165" w14:textId="77777777" w:rsidR="00D00ACC" w:rsidRPr="00D00ACC" w:rsidRDefault="00D00ACC" w:rsidP="00D00ACC">
            <w:pPr>
              <w:pStyle w:val="CDITable-RowLeft"/>
              <w:rPr>
                <w:lang w:val="en-GB"/>
              </w:rPr>
            </w:pPr>
            <w:r w:rsidRPr="00D00ACC">
              <w:rPr>
                <w:lang w:val="en-GB"/>
              </w:rPr>
              <w:t>Lost to follow-up</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59DDA02" w14:textId="77777777" w:rsidR="00D00ACC" w:rsidRPr="00D00ACC" w:rsidRDefault="00D00ACC" w:rsidP="00D00ACC">
            <w:pPr>
              <w:pStyle w:val="CDITable-RowCentre"/>
              <w:rPr>
                <w:lang w:val="en-GB"/>
              </w:rPr>
            </w:pPr>
            <w:r w:rsidRPr="00D00ACC">
              <w:rPr>
                <w:lang w:val="en-GB"/>
              </w:rPr>
              <w:t>30</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23C1648E" w14:textId="77777777" w:rsidR="00D00ACC" w:rsidRPr="00D00ACC" w:rsidRDefault="00D00ACC" w:rsidP="00D00ACC">
            <w:pPr>
              <w:pStyle w:val="CDITable-RowCentre"/>
              <w:rPr>
                <w:lang w:val="en-GB"/>
              </w:rPr>
            </w:pPr>
            <w:r w:rsidRPr="00D00ACC">
              <w:rPr>
                <w:lang w:val="en-GB"/>
              </w:rPr>
              <w:t>1.7</w:t>
            </w:r>
          </w:p>
        </w:tc>
      </w:tr>
      <w:tr w:rsidR="00D00ACC" w:rsidRPr="00D00ACC" w14:paraId="3DFA76FD"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7C375239"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15A5EDF" w14:textId="77777777" w:rsidR="00D00ACC" w:rsidRPr="00D00ACC" w:rsidRDefault="00D00ACC" w:rsidP="00D00ACC">
            <w:pPr>
              <w:pStyle w:val="CDITable-RowLeft"/>
              <w:rPr>
                <w:lang w:val="en-GB"/>
              </w:rPr>
            </w:pPr>
            <w:r w:rsidRPr="00D00ACC">
              <w:rPr>
                <w:lang w:val="en-GB"/>
              </w:rPr>
              <w:t>Case leaving Victoria</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2F68F1E" w14:textId="77777777" w:rsidR="00D00ACC" w:rsidRPr="00D00ACC" w:rsidRDefault="00D00ACC" w:rsidP="00D00ACC">
            <w:pPr>
              <w:pStyle w:val="CDITable-RowCentre"/>
              <w:rPr>
                <w:lang w:val="en-GB"/>
              </w:rPr>
            </w:pPr>
            <w:r w:rsidRPr="00D00ACC">
              <w:rPr>
                <w:lang w:val="en-GB"/>
              </w:rPr>
              <w:t>25</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37DD4059" w14:textId="77777777" w:rsidR="00D00ACC" w:rsidRPr="00D00ACC" w:rsidRDefault="00D00ACC" w:rsidP="00D00ACC">
            <w:pPr>
              <w:pStyle w:val="CDITable-RowCentre"/>
              <w:rPr>
                <w:lang w:val="en-GB"/>
              </w:rPr>
            </w:pPr>
            <w:r w:rsidRPr="00D00ACC">
              <w:rPr>
                <w:lang w:val="en-GB"/>
              </w:rPr>
              <w:t>1.4</w:t>
            </w:r>
          </w:p>
        </w:tc>
      </w:tr>
      <w:tr w:rsidR="00D00ACC" w:rsidRPr="00D00ACC" w14:paraId="4ED7E639"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4CB3ADE3"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422BF79" w14:textId="77777777" w:rsidR="00D00ACC" w:rsidRPr="00D00ACC" w:rsidRDefault="00D00ACC" w:rsidP="00D00ACC">
            <w:pPr>
              <w:pStyle w:val="CDITable-RowLeft"/>
              <w:rPr>
                <w:lang w:val="en-GB"/>
              </w:rPr>
            </w:pPr>
            <w:r w:rsidRPr="00D00ACC">
              <w:rPr>
                <w:lang w:val="en-GB"/>
              </w:rPr>
              <w:t>Patient undecided/declined</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4184EE9" w14:textId="77777777" w:rsidR="00D00ACC" w:rsidRPr="00D00ACC" w:rsidRDefault="00D00ACC" w:rsidP="00D00ACC">
            <w:pPr>
              <w:pStyle w:val="CDITable-RowCentre"/>
              <w:rPr>
                <w:lang w:val="en-GB"/>
              </w:rPr>
            </w:pPr>
            <w:r w:rsidRPr="00D00ACC">
              <w:rPr>
                <w:lang w:val="en-GB"/>
              </w:rPr>
              <w:t>12</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13982534" w14:textId="77777777" w:rsidR="00D00ACC" w:rsidRPr="00D00ACC" w:rsidRDefault="00D00ACC" w:rsidP="00D00ACC">
            <w:pPr>
              <w:pStyle w:val="CDITable-RowCentre"/>
              <w:rPr>
                <w:lang w:val="en-GB"/>
              </w:rPr>
            </w:pPr>
            <w:r w:rsidRPr="00D00ACC">
              <w:rPr>
                <w:lang w:val="en-GB"/>
              </w:rPr>
              <w:t>0.7</w:t>
            </w:r>
          </w:p>
        </w:tc>
      </w:tr>
      <w:tr w:rsidR="00D00ACC" w:rsidRPr="00D00ACC" w14:paraId="7E35B470"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4BA80A99"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8AB6D05" w14:textId="77777777" w:rsidR="00D00ACC" w:rsidRPr="00D00ACC" w:rsidRDefault="00D00ACC" w:rsidP="00D00ACC">
            <w:pPr>
              <w:pStyle w:val="CDITable-RowLeft"/>
              <w:rPr>
                <w:lang w:val="en-GB"/>
              </w:rPr>
            </w:pPr>
            <w:r w:rsidRPr="00D00ACC">
              <w:rPr>
                <w:lang w:val="en-GB"/>
              </w:rPr>
              <w:t>Patient ineligible for Medicare</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3821FB3" w14:textId="77777777" w:rsidR="00D00ACC" w:rsidRPr="00D00ACC" w:rsidRDefault="00D00ACC" w:rsidP="00D00ACC">
            <w:pPr>
              <w:pStyle w:val="CDITable-RowCentre"/>
              <w:rPr>
                <w:lang w:val="en-GB"/>
              </w:rPr>
            </w:pPr>
            <w:r w:rsidRPr="00D00ACC">
              <w:rPr>
                <w:lang w:val="en-GB"/>
              </w:rPr>
              <w:t>9</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2206E96D" w14:textId="77777777" w:rsidR="00D00ACC" w:rsidRPr="00D00ACC" w:rsidRDefault="00D00ACC" w:rsidP="00D00ACC">
            <w:pPr>
              <w:pStyle w:val="CDITable-RowCentre"/>
              <w:rPr>
                <w:lang w:val="en-GB"/>
              </w:rPr>
            </w:pPr>
            <w:r w:rsidRPr="00D00ACC">
              <w:rPr>
                <w:lang w:val="en-GB"/>
              </w:rPr>
              <w:t>0.5</w:t>
            </w:r>
          </w:p>
        </w:tc>
      </w:tr>
      <w:tr w:rsidR="00D00ACC" w:rsidRPr="00D00ACC" w14:paraId="4057E19B"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6D583594"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C0C6992" w14:textId="77777777" w:rsidR="00D00ACC" w:rsidRPr="00D00ACC" w:rsidRDefault="00D00ACC" w:rsidP="00D00ACC">
            <w:pPr>
              <w:pStyle w:val="CDITable-RowLeft"/>
              <w:rPr>
                <w:lang w:val="en-GB"/>
              </w:rPr>
            </w:pPr>
            <w:r w:rsidRPr="00D00ACC">
              <w:rPr>
                <w:lang w:val="en-GB"/>
              </w:rPr>
              <w:t>Patient deceased or has advanced disease</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33AFB27" w14:textId="77777777" w:rsidR="00D00ACC" w:rsidRPr="00D00ACC" w:rsidRDefault="00D00ACC" w:rsidP="00D00ACC">
            <w:pPr>
              <w:pStyle w:val="CDITable-RowCentre"/>
              <w:rPr>
                <w:lang w:val="en-GB"/>
              </w:rPr>
            </w:pPr>
            <w:r w:rsidRPr="00D00ACC">
              <w:rPr>
                <w:lang w:val="en-GB"/>
              </w:rPr>
              <w:t>6</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78C1DD68" w14:textId="77777777" w:rsidR="00D00ACC" w:rsidRPr="00D00ACC" w:rsidRDefault="00D00ACC" w:rsidP="00D00ACC">
            <w:pPr>
              <w:pStyle w:val="CDITable-RowCentre"/>
              <w:rPr>
                <w:lang w:val="en-GB"/>
              </w:rPr>
            </w:pPr>
            <w:r w:rsidRPr="00D00ACC">
              <w:rPr>
                <w:lang w:val="en-GB"/>
              </w:rPr>
              <w:t>0.3</w:t>
            </w:r>
          </w:p>
        </w:tc>
      </w:tr>
      <w:tr w:rsidR="00D00ACC" w:rsidRPr="00D00ACC" w14:paraId="74FB48C3" w14:textId="77777777" w:rsidTr="00D00ACC">
        <w:trPr>
          <w:trHeight w:val="60"/>
        </w:trPr>
        <w:tc>
          <w:tcPr>
            <w:tcW w:w="4649" w:type="dxa"/>
            <w:vMerge w:val="restart"/>
            <w:tcBorders>
              <w:top w:val="single" w:sz="6" w:space="0" w:color="1E4496" w:themeColor="text2"/>
              <w:left w:val="nil"/>
              <w:bottom w:val="single" w:sz="6" w:space="0" w:color="1E4496" w:themeColor="text2"/>
            </w:tcBorders>
            <w:tcMar>
              <w:top w:w="62" w:type="dxa"/>
              <w:left w:w="113" w:type="dxa"/>
              <w:bottom w:w="62" w:type="dxa"/>
              <w:right w:w="113" w:type="dxa"/>
            </w:tcMar>
            <w:vAlign w:val="center"/>
          </w:tcPr>
          <w:p w14:paraId="0676D6D9" w14:textId="77777777" w:rsidR="00D00ACC" w:rsidRPr="00D00ACC" w:rsidRDefault="00D00ACC" w:rsidP="00D00ACC">
            <w:pPr>
              <w:pStyle w:val="CDITable-RowLeft"/>
              <w:rPr>
                <w:lang w:val="en-GB"/>
              </w:rPr>
            </w:pPr>
            <w:r w:rsidRPr="00D00ACC">
              <w:rPr>
                <w:lang w:val="en-GB"/>
              </w:rPr>
              <w:t>Not offered treatment due to other reasons</w:t>
            </w: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81CE6A7"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7C94167" w14:textId="77777777" w:rsidR="00D00ACC" w:rsidRPr="00D00ACC" w:rsidRDefault="00D00ACC" w:rsidP="00D00ACC">
            <w:pPr>
              <w:pStyle w:val="CDITable-RowCentre"/>
              <w:rPr>
                <w:lang w:val="en-GB"/>
              </w:rPr>
            </w:pPr>
            <w:r w:rsidRPr="00D00ACC">
              <w:rPr>
                <w:lang w:val="en-GB"/>
              </w:rPr>
              <w:t>71</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6EDED0C0" w14:textId="77777777" w:rsidR="00D00ACC" w:rsidRPr="00D00ACC" w:rsidRDefault="00D00ACC" w:rsidP="00D00ACC">
            <w:pPr>
              <w:pStyle w:val="CDITable-RowCentre"/>
              <w:rPr>
                <w:lang w:val="en-GB"/>
              </w:rPr>
            </w:pPr>
            <w:r w:rsidRPr="00D00ACC">
              <w:rPr>
                <w:lang w:val="en-GB"/>
              </w:rPr>
              <w:t>4.0</w:t>
            </w:r>
          </w:p>
        </w:tc>
      </w:tr>
      <w:tr w:rsidR="00D00ACC" w:rsidRPr="00D00ACC" w14:paraId="60A0E002"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67235A26"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24640A4" w14:textId="77777777" w:rsidR="00D00ACC" w:rsidRPr="00D00ACC" w:rsidRDefault="00D00ACC" w:rsidP="00D00ACC">
            <w:pPr>
              <w:pStyle w:val="CDITable-RowLeft"/>
              <w:rPr>
                <w:lang w:val="en-GB"/>
              </w:rPr>
            </w:pPr>
            <w:r w:rsidRPr="00D00ACC">
              <w:rPr>
                <w:lang w:val="en-GB"/>
              </w:rPr>
              <w:t>Invalid reason provided</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C2AAF70" w14:textId="77777777" w:rsidR="00D00ACC" w:rsidRPr="00D00ACC" w:rsidRDefault="00D00ACC" w:rsidP="00D00ACC">
            <w:pPr>
              <w:pStyle w:val="CDITable-RowCentre"/>
              <w:rPr>
                <w:lang w:val="en-GB"/>
              </w:rPr>
            </w:pPr>
            <w:r w:rsidRPr="00D00ACC">
              <w:rPr>
                <w:lang w:val="en-GB"/>
              </w:rPr>
              <w:t>40</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3C99500D" w14:textId="77777777" w:rsidR="00D00ACC" w:rsidRPr="00D00ACC" w:rsidRDefault="00D00ACC" w:rsidP="00D00ACC">
            <w:pPr>
              <w:pStyle w:val="CDITable-RowCentre"/>
              <w:rPr>
                <w:lang w:val="en-GB"/>
              </w:rPr>
            </w:pPr>
            <w:r w:rsidRPr="00D00ACC">
              <w:rPr>
                <w:lang w:val="en-GB"/>
              </w:rPr>
              <w:t>2.3</w:t>
            </w:r>
          </w:p>
        </w:tc>
      </w:tr>
      <w:tr w:rsidR="00D00ACC" w:rsidRPr="00D00ACC" w14:paraId="7081EC03" w14:textId="77777777" w:rsidTr="00D00ACC">
        <w:trPr>
          <w:trHeight w:val="60"/>
        </w:trPr>
        <w:tc>
          <w:tcPr>
            <w:tcW w:w="4649" w:type="dxa"/>
            <w:vMerge/>
            <w:tcBorders>
              <w:top w:val="single" w:sz="6" w:space="0" w:color="1E4496" w:themeColor="text2"/>
              <w:left w:val="nil"/>
              <w:bottom w:val="single" w:sz="6" w:space="0" w:color="1E4496" w:themeColor="text2"/>
            </w:tcBorders>
            <w:tcMar>
              <w:top w:w="62" w:type="dxa"/>
              <w:bottom w:w="62" w:type="dxa"/>
            </w:tcMar>
          </w:tcPr>
          <w:p w14:paraId="16BE8C0A"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70F10E9" w14:textId="77777777" w:rsidR="00D00ACC" w:rsidRPr="00D00ACC" w:rsidRDefault="00D00ACC" w:rsidP="00D00ACC">
            <w:pPr>
              <w:pStyle w:val="CDITable-RowLeft"/>
              <w:rPr>
                <w:lang w:val="en-GB"/>
              </w:rPr>
            </w:pPr>
            <w:r w:rsidRPr="00D00ACC">
              <w:rPr>
                <w:lang w:val="en-GB"/>
              </w:rPr>
              <w:t>Further information not available</w:t>
            </w:r>
          </w:p>
        </w:tc>
        <w:tc>
          <w:tcPr>
            <w:tcW w:w="226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80873BE" w14:textId="77777777" w:rsidR="00D00ACC" w:rsidRPr="00D00ACC" w:rsidRDefault="00D00ACC" w:rsidP="00D00ACC">
            <w:pPr>
              <w:pStyle w:val="CDITable-RowCentre"/>
              <w:rPr>
                <w:lang w:val="en-GB"/>
              </w:rPr>
            </w:pPr>
            <w:r w:rsidRPr="00D00ACC">
              <w:rPr>
                <w:lang w:val="en-GB"/>
              </w:rPr>
              <w:t>31</w:t>
            </w:r>
          </w:p>
        </w:tc>
        <w:tc>
          <w:tcPr>
            <w:tcW w:w="2267" w:type="dxa"/>
            <w:tcBorders>
              <w:top w:val="single" w:sz="6" w:space="0" w:color="1E4496" w:themeColor="text2"/>
              <w:bottom w:val="single" w:sz="6" w:space="0" w:color="1E4496" w:themeColor="text2"/>
              <w:right w:val="nil"/>
            </w:tcBorders>
            <w:tcMar>
              <w:top w:w="62" w:type="dxa"/>
              <w:left w:w="113" w:type="dxa"/>
              <w:bottom w:w="62" w:type="dxa"/>
              <w:right w:w="113" w:type="dxa"/>
            </w:tcMar>
            <w:vAlign w:val="center"/>
          </w:tcPr>
          <w:p w14:paraId="474D033C" w14:textId="77777777" w:rsidR="00D00ACC" w:rsidRPr="00D00ACC" w:rsidRDefault="00D00ACC" w:rsidP="00D00ACC">
            <w:pPr>
              <w:pStyle w:val="CDITable-RowCentre"/>
              <w:rPr>
                <w:lang w:val="en-GB"/>
              </w:rPr>
            </w:pPr>
            <w:r w:rsidRPr="00D00ACC">
              <w:rPr>
                <w:lang w:val="en-GB"/>
              </w:rPr>
              <w:t>1.7</w:t>
            </w:r>
          </w:p>
        </w:tc>
      </w:tr>
    </w:tbl>
    <w:p w14:paraId="2F37721A" w14:textId="77777777" w:rsidR="00A91EEC" w:rsidRPr="00A91EEC" w:rsidRDefault="00A91EEC" w:rsidP="00A91EEC">
      <w:pPr>
        <w:pStyle w:val="CDITable-FirstFootnote"/>
        <w:rPr>
          <w:lang w:val="en-GB"/>
        </w:rPr>
      </w:pPr>
      <w:r w:rsidRPr="00A91EEC">
        <w:rPr>
          <w:lang w:val="en-GB"/>
        </w:rPr>
        <w:t>a</w:t>
      </w:r>
      <w:r w:rsidRPr="00A91EEC">
        <w:rPr>
          <w:lang w:val="en-GB"/>
        </w:rPr>
        <w:tab/>
        <w:t>Proportion of cases among those with PCR testing status reported, or those with treatment status reported, as appropriate.</w:t>
      </w:r>
    </w:p>
    <w:p w14:paraId="26D040BB" w14:textId="7D212815" w:rsidR="00A91EEC" w:rsidRDefault="00A91EEC" w:rsidP="00A91EEC">
      <w:pPr>
        <w:pStyle w:val="CDITable-Footnote"/>
        <w:rPr>
          <w:lang w:val="en-GB"/>
        </w:rPr>
      </w:pPr>
      <w:r w:rsidRPr="00A91EEC">
        <w:rPr>
          <w:lang w:val="en-GB"/>
        </w:rPr>
        <w:t>b</w:t>
      </w:r>
      <w:r w:rsidRPr="00A91EEC">
        <w:rPr>
          <w:lang w:val="en-GB"/>
        </w:rPr>
        <w:tab/>
      </w:r>
      <w:proofErr w:type="gramStart"/>
      <w:r w:rsidRPr="00A91EEC">
        <w:rPr>
          <w:lang w:val="en-GB"/>
        </w:rPr>
        <w:t>Of</w:t>
      </w:r>
      <w:proofErr w:type="gramEnd"/>
      <w:r w:rsidRPr="00A91EEC">
        <w:rPr>
          <w:lang w:val="en-GB"/>
        </w:rPr>
        <w:t xml:space="preserve"> which eight were providers based in Australia and twelve were providers based overseas.</w:t>
      </w:r>
    </w:p>
    <w:p w14:paraId="3144F8C7" w14:textId="77777777" w:rsidR="00A91EEC" w:rsidRPr="00A91EEC" w:rsidRDefault="00A91EEC" w:rsidP="00A91EEC">
      <w:pPr>
        <w:pStyle w:val="CDITable-Title"/>
        <w:rPr>
          <w:lang w:val="en-GB"/>
        </w:rPr>
      </w:pPr>
      <w:r w:rsidRPr="00A91EEC">
        <w:rPr>
          <w:lang w:val="en-GB"/>
        </w:rPr>
        <w:t>Table 3: Reported polymerase chain reaction (PCR) testing and treatment provision following notification for unspecified hepatitis C (HCV) cases in Victoria, Australia, 2023–2024</w:t>
      </w:r>
    </w:p>
    <w:tbl>
      <w:tblPr>
        <w:tblW w:w="0" w:type="auto"/>
        <w:tblLayout w:type="fixed"/>
        <w:tblCellMar>
          <w:left w:w="0" w:type="dxa"/>
          <w:right w:w="0" w:type="dxa"/>
        </w:tblCellMar>
        <w:tblLook w:val="0000" w:firstRow="0" w:lastRow="0" w:firstColumn="0" w:lastColumn="0" w:noHBand="0" w:noVBand="0"/>
        <w:tblCaption w:val="Table 3: Reported polymerase chain reaction (PCR) testing and treatment provision following notification for unspecified hepatitis C (HCV) cases in Victoria, Australia, 2023–2024"/>
        <w:tblDescription w:val="Table 3 shows the reported provision of PCR testing and treatment for hepatitis C cases with information available, including the reason reported for not providing care and the specific mode of management (such as referral or direct prescribing by the diagnosing clinician)."/>
      </w:tblPr>
      <w:tblGrid>
        <w:gridCol w:w="4649"/>
        <w:gridCol w:w="5159"/>
        <w:gridCol w:w="2268"/>
        <w:gridCol w:w="2267"/>
      </w:tblGrid>
      <w:tr w:rsidR="00D00ACC" w:rsidRPr="00D00ACC" w14:paraId="7D49AF08" w14:textId="77777777" w:rsidTr="002005BB">
        <w:trPr>
          <w:trHeight w:val="60"/>
          <w:tblHeader/>
        </w:trPr>
        <w:tc>
          <w:tcPr>
            <w:tcW w:w="4649" w:type="dxa"/>
            <w:tcBorders>
              <w:top w:val="nil"/>
              <w:left w:val="nil"/>
            </w:tcBorders>
            <w:shd w:val="clear" w:color="auto" w:fill="1E4496" w:themeFill="text2"/>
            <w:tcMar>
              <w:top w:w="74" w:type="dxa"/>
              <w:left w:w="113" w:type="dxa"/>
              <w:bottom w:w="74" w:type="dxa"/>
              <w:right w:w="113" w:type="dxa"/>
            </w:tcMar>
            <w:vAlign w:val="bottom"/>
          </w:tcPr>
          <w:p w14:paraId="2129F83C" w14:textId="77777777" w:rsidR="00D00ACC" w:rsidRPr="00D00ACC" w:rsidRDefault="00D00ACC" w:rsidP="00D00ACC">
            <w:pPr>
              <w:pStyle w:val="CDITable-HeaderRowLeft"/>
              <w:rPr>
                <w:lang w:val="en-GB"/>
              </w:rPr>
            </w:pPr>
            <w:r w:rsidRPr="00D00ACC">
              <w:rPr>
                <w:lang w:val="en-GB"/>
              </w:rPr>
              <w:t>Classification</w:t>
            </w:r>
          </w:p>
        </w:tc>
        <w:tc>
          <w:tcPr>
            <w:tcW w:w="5159" w:type="dxa"/>
            <w:tcBorders>
              <w:top w:val="nil"/>
            </w:tcBorders>
            <w:shd w:val="clear" w:color="auto" w:fill="1E4496" w:themeFill="text2"/>
            <w:tcMar>
              <w:top w:w="74" w:type="dxa"/>
              <w:left w:w="113" w:type="dxa"/>
              <w:bottom w:w="74" w:type="dxa"/>
              <w:right w:w="113" w:type="dxa"/>
            </w:tcMar>
            <w:vAlign w:val="bottom"/>
          </w:tcPr>
          <w:p w14:paraId="6224CB25" w14:textId="77777777" w:rsidR="00D00ACC" w:rsidRPr="00D00ACC" w:rsidRDefault="00D00ACC" w:rsidP="00D00ACC">
            <w:pPr>
              <w:pStyle w:val="CDITable-HeaderRowLeft"/>
              <w:rPr>
                <w:lang w:val="en-GB"/>
              </w:rPr>
            </w:pPr>
            <w:r w:rsidRPr="00D00ACC">
              <w:rPr>
                <w:lang w:val="en-GB"/>
              </w:rPr>
              <w:t>Category</w:t>
            </w:r>
          </w:p>
        </w:tc>
        <w:tc>
          <w:tcPr>
            <w:tcW w:w="2268" w:type="dxa"/>
            <w:tcBorders>
              <w:top w:val="nil"/>
            </w:tcBorders>
            <w:shd w:val="clear" w:color="auto" w:fill="1E4496" w:themeFill="text2"/>
            <w:tcMar>
              <w:top w:w="74" w:type="dxa"/>
              <w:left w:w="113" w:type="dxa"/>
              <w:bottom w:w="74" w:type="dxa"/>
              <w:right w:w="113" w:type="dxa"/>
            </w:tcMar>
            <w:vAlign w:val="bottom"/>
          </w:tcPr>
          <w:p w14:paraId="389230DF" w14:textId="77777777" w:rsidR="00D00ACC" w:rsidRPr="00D00ACC" w:rsidRDefault="00D00ACC" w:rsidP="00D00ACC">
            <w:pPr>
              <w:pStyle w:val="CDITable-HeaderRowCentre"/>
            </w:pPr>
            <w:r w:rsidRPr="00D00ACC">
              <w:t>Number of</w:t>
            </w:r>
            <w:r w:rsidRPr="00D00ACC">
              <w:br/>
              <w:t>cases</w:t>
            </w:r>
          </w:p>
        </w:tc>
        <w:tc>
          <w:tcPr>
            <w:tcW w:w="2267" w:type="dxa"/>
            <w:tcBorders>
              <w:top w:val="nil"/>
              <w:right w:val="nil"/>
            </w:tcBorders>
            <w:shd w:val="clear" w:color="auto" w:fill="1E4496" w:themeFill="text2"/>
            <w:tcMar>
              <w:top w:w="74" w:type="dxa"/>
              <w:left w:w="113" w:type="dxa"/>
              <w:bottom w:w="74" w:type="dxa"/>
              <w:right w:w="113" w:type="dxa"/>
            </w:tcMar>
            <w:vAlign w:val="bottom"/>
          </w:tcPr>
          <w:p w14:paraId="5B699A1A" w14:textId="4A29A774" w:rsidR="00D00ACC" w:rsidRPr="00D00ACC" w:rsidRDefault="00D00ACC" w:rsidP="00D00ACC">
            <w:pPr>
              <w:pStyle w:val="CDITable-HeaderRowCentre"/>
            </w:pPr>
            <w:r w:rsidRPr="00D00ACC">
              <w:t>Proportion of cases</w:t>
            </w:r>
            <w:r>
              <w:t> </w:t>
            </w:r>
            <w:r w:rsidRPr="00D00ACC">
              <w:t>(</w:t>
            </w:r>
            <w:proofErr w:type="gramStart"/>
            <w:r w:rsidRPr="00D00ACC">
              <w:t>%)</w:t>
            </w:r>
            <w:r w:rsidRPr="00D00ACC">
              <w:rPr>
                <w:vertAlign w:val="superscript"/>
              </w:rPr>
              <w:t>a</w:t>
            </w:r>
            <w:proofErr w:type="gramEnd"/>
          </w:p>
        </w:tc>
      </w:tr>
      <w:tr w:rsidR="00D00ACC" w:rsidRPr="00D00ACC" w14:paraId="0568DA66" w14:textId="77777777" w:rsidTr="002005BB">
        <w:trPr>
          <w:trHeight w:val="60"/>
        </w:trPr>
        <w:tc>
          <w:tcPr>
            <w:tcW w:w="4649" w:type="dxa"/>
            <w:tcBorders>
              <w:left w:val="nil"/>
              <w:bottom w:val="single" w:sz="6" w:space="0" w:color="1E4496" w:themeColor="text2"/>
            </w:tcBorders>
            <w:shd w:val="clear" w:color="auto" w:fill="DCF4FC" w:themeFill="background2" w:themeFillTint="33"/>
            <w:tcMar>
              <w:top w:w="74" w:type="dxa"/>
              <w:left w:w="113" w:type="dxa"/>
              <w:bottom w:w="74" w:type="dxa"/>
              <w:right w:w="113" w:type="dxa"/>
            </w:tcMar>
            <w:vAlign w:val="center"/>
          </w:tcPr>
          <w:p w14:paraId="0ECCD313" w14:textId="77777777" w:rsidR="00D00ACC" w:rsidRPr="00D00ACC" w:rsidRDefault="00D00ACC" w:rsidP="00D00ACC">
            <w:pPr>
              <w:pStyle w:val="CDITable-RowLeft"/>
              <w:rPr>
                <w:b/>
                <w:bCs/>
                <w:lang w:val="en-GB"/>
              </w:rPr>
            </w:pPr>
            <w:r w:rsidRPr="00D00ACC">
              <w:rPr>
                <w:b/>
                <w:bCs/>
                <w:lang w:val="en-GB"/>
              </w:rPr>
              <w:t>Cases with PCR testing status reported</w:t>
            </w:r>
          </w:p>
        </w:tc>
        <w:tc>
          <w:tcPr>
            <w:tcW w:w="5159" w:type="dxa"/>
            <w:tcBorders>
              <w:bottom w:val="single" w:sz="6" w:space="0" w:color="1E4496" w:themeColor="text2"/>
            </w:tcBorders>
            <w:shd w:val="clear" w:color="auto" w:fill="DCF4FC" w:themeFill="background2" w:themeFillTint="33"/>
            <w:tcMar>
              <w:top w:w="74" w:type="dxa"/>
              <w:left w:w="113" w:type="dxa"/>
              <w:bottom w:w="74" w:type="dxa"/>
              <w:right w:w="113" w:type="dxa"/>
            </w:tcMar>
            <w:vAlign w:val="center"/>
          </w:tcPr>
          <w:p w14:paraId="62CA3B78" w14:textId="77777777" w:rsidR="00D00ACC" w:rsidRPr="00D00ACC" w:rsidRDefault="00D00ACC" w:rsidP="00D00ACC">
            <w:pPr>
              <w:pStyle w:val="CDITable-RowLeft"/>
              <w:rPr>
                <w:b/>
                <w:bCs/>
                <w:lang w:val="en-GB"/>
              </w:rPr>
            </w:pPr>
            <w:r w:rsidRPr="00D00ACC">
              <w:rPr>
                <w:b/>
                <w:bCs/>
                <w:lang w:val="en-GB"/>
              </w:rPr>
              <w:t>Total</w:t>
            </w:r>
          </w:p>
        </w:tc>
        <w:tc>
          <w:tcPr>
            <w:tcW w:w="2268" w:type="dxa"/>
            <w:tcBorders>
              <w:bottom w:val="single" w:sz="6" w:space="0" w:color="1E4496" w:themeColor="text2"/>
            </w:tcBorders>
            <w:shd w:val="clear" w:color="auto" w:fill="DCF4FC" w:themeFill="background2" w:themeFillTint="33"/>
            <w:tcMar>
              <w:top w:w="74" w:type="dxa"/>
              <w:left w:w="113" w:type="dxa"/>
              <w:bottom w:w="74" w:type="dxa"/>
              <w:right w:w="113" w:type="dxa"/>
            </w:tcMar>
            <w:vAlign w:val="center"/>
          </w:tcPr>
          <w:p w14:paraId="035853F2" w14:textId="77777777" w:rsidR="00D00ACC" w:rsidRPr="00D00ACC" w:rsidRDefault="00D00ACC" w:rsidP="00D00ACC">
            <w:pPr>
              <w:pStyle w:val="CDITable-RowCentre"/>
              <w:rPr>
                <w:lang w:val="en-GB"/>
              </w:rPr>
            </w:pPr>
            <w:r w:rsidRPr="00D00ACC">
              <w:rPr>
                <w:lang w:val="en-GB"/>
              </w:rPr>
              <w:t>1,516</w:t>
            </w:r>
          </w:p>
        </w:tc>
        <w:tc>
          <w:tcPr>
            <w:tcW w:w="2267" w:type="dxa"/>
            <w:tcBorders>
              <w:bottom w:val="single" w:sz="6" w:space="0" w:color="1E4496" w:themeColor="text2"/>
              <w:right w:val="nil"/>
            </w:tcBorders>
            <w:shd w:val="clear" w:color="auto" w:fill="DCF4FC" w:themeFill="background2" w:themeFillTint="33"/>
            <w:tcMar>
              <w:top w:w="74" w:type="dxa"/>
              <w:left w:w="113" w:type="dxa"/>
              <w:bottom w:w="74" w:type="dxa"/>
              <w:right w:w="113" w:type="dxa"/>
            </w:tcMar>
            <w:vAlign w:val="center"/>
          </w:tcPr>
          <w:p w14:paraId="6E992D39" w14:textId="77777777" w:rsidR="00D00ACC" w:rsidRPr="00D00ACC" w:rsidRDefault="00D00ACC" w:rsidP="00D00ACC">
            <w:pPr>
              <w:pStyle w:val="CDITable-RowCentre"/>
              <w:rPr>
                <w:lang w:val="en-GB"/>
              </w:rPr>
            </w:pPr>
            <w:r w:rsidRPr="00D00ACC">
              <w:rPr>
                <w:lang w:val="en-GB"/>
              </w:rPr>
              <w:t>100</w:t>
            </w:r>
          </w:p>
        </w:tc>
      </w:tr>
      <w:tr w:rsidR="00D00ACC" w:rsidRPr="00D00ACC" w14:paraId="0D78DE99" w14:textId="77777777" w:rsidTr="002005BB">
        <w:trPr>
          <w:trHeight w:val="60"/>
        </w:trPr>
        <w:tc>
          <w:tcPr>
            <w:tcW w:w="4649" w:type="dxa"/>
            <w:tcBorders>
              <w:top w:val="single" w:sz="6" w:space="0" w:color="1E4496" w:themeColor="text2"/>
              <w:left w:val="nil"/>
              <w:bottom w:val="single" w:sz="6" w:space="0" w:color="1E4496" w:themeColor="text2"/>
            </w:tcBorders>
            <w:tcMar>
              <w:top w:w="74" w:type="dxa"/>
              <w:left w:w="113" w:type="dxa"/>
              <w:bottom w:w="74" w:type="dxa"/>
              <w:right w:w="113" w:type="dxa"/>
            </w:tcMar>
            <w:vAlign w:val="center"/>
          </w:tcPr>
          <w:p w14:paraId="228F23BE" w14:textId="77777777" w:rsidR="00D00ACC" w:rsidRPr="00D00ACC" w:rsidRDefault="00D00ACC" w:rsidP="00D00ACC">
            <w:pPr>
              <w:pStyle w:val="CDITable-RowLeft"/>
              <w:rPr>
                <w:lang w:val="en-GB"/>
              </w:rPr>
            </w:pPr>
            <w:r w:rsidRPr="00D00ACC">
              <w:rPr>
                <w:lang w:val="en-GB"/>
              </w:rPr>
              <w:t>PCR testing not provided</w:t>
            </w: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85AFBB3" w14:textId="77777777" w:rsidR="00D00ACC" w:rsidRPr="00D00ACC" w:rsidRDefault="00D00ACC" w:rsidP="00D00ACC">
            <w:pPr>
              <w:pStyle w:val="CDITable-RowLeft"/>
              <w:rPr>
                <w:lang w:val="en-GB"/>
              </w:rPr>
            </w:pPr>
            <w:r w:rsidRPr="00D00ACC">
              <w:rPr>
                <w:lang w:val="en-GB"/>
              </w:rPr>
              <w:t>—</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0576ED67" w14:textId="77777777" w:rsidR="00D00ACC" w:rsidRPr="00D00ACC" w:rsidRDefault="00D00ACC" w:rsidP="00D00ACC">
            <w:pPr>
              <w:pStyle w:val="CDITable-RowCentre"/>
              <w:rPr>
                <w:lang w:val="en-GB"/>
              </w:rPr>
            </w:pPr>
            <w:r w:rsidRPr="00D00ACC">
              <w:rPr>
                <w:lang w:val="en-GB"/>
              </w:rPr>
              <w:t>390</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3E7E470F" w14:textId="77777777" w:rsidR="00D00ACC" w:rsidRPr="00D00ACC" w:rsidRDefault="00D00ACC" w:rsidP="00D00ACC">
            <w:pPr>
              <w:pStyle w:val="CDITable-RowCentre"/>
              <w:rPr>
                <w:lang w:val="en-GB"/>
              </w:rPr>
            </w:pPr>
            <w:r w:rsidRPr="00D00ACC">
              <w:rPr>
                <w:lang w:val="en-GB"/>
              </w:rPr>
              <w:t>25.7</w:t>
            </w:r>
          </w:p>
        </w:tc>
      </w:tr>
      <w:tr w:rsidR="00D00ACC" w:rsidRPr="00D00ACC" w14:paraId="02243285" w14:textId="77777777" w:rsidTr="002005BB">
        <w:trPr>
          <w:trHeight w:val="60"/>
        </w:trPr>
        <w:tc>
          <w:tcPr>
            <w:tcW w:w="4649" w:type="dxa"/>
            <w:vMerge w:val="restart"/>
            <w:tcBorders>
              <w:top w:val="single" w:sz="6" w:space="0" w:color="1E4496" w:themeColor="text2"/>
              <w:left w:val="nil"/>
              <w:bottom w:val="single" w:sz="6" w:space="0" w:color="1E4496" w:themeColor="text2"/>
            </w:tcBorders>
            <w:tcMar>
              <w:top w:w="74" w:type="dxa"/>
              <w:left w:w="113" w:type="dxa"/>
              <w:bottom w:w="74" w:type="dxa"/>
              <w:right w:w="113" w:type="dxa"/>
            </w:tcMar>
            <w:vAlign w:val="center"/>
          </w:tcPr>
          <w:p w14:paraId="71004661" w14:textId="77777777" w:rsidR="00D00ACC" w:rsidRPr="00D00ACC" w:rsidRDefault="00D00ACC" w:rsidP="00D00ACC">
            <w:pPr>
              <w:pStyle w:val="CDITable-RowLeft"/>
              <w:rPr>
                <w:lang w:val="en-GB"/>
              </w:rPr>
            </w:pPr>
            <w:r w:rsidRPr="00D00ACC">
              <w:rPr>
                <w:lang w:val="en-GB"/>
              </w:rPr>
              <w:t>PCR testing provided</w:t>
            </w: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3298FD49" w14:textId="77777777" w:rsidR="00D00ACC" w:rsidRPr="00D00ACC" w:rsidRDefault="00D00ACC" w:rsidP="00D00ACC">
            <w:pPr>
              <w:pStyle w:val="CDITable-RowLeft"/>
              <w:rPr>
                <w:lang w:val="en-GB"/>
              </w:rPr>
            </w:pPr>
            <w:r w:rsidRPr="00D00ACC">
              <w:rPr>
                <w:lang w:val="en-GB"/>
              </w:rPr>
              <w:t>All tested</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3239B1B6" w14:textId="77777777" w:rsidR="00D00ACC" w:rsidRPr="00D00ACC" w:rsidRDefault="00D00ACC" w:rsidP="00D00ACC">
            <w:pPr>
              <w:pStyle w:val="CDITable-RowCentre"/>
              <w:rPr>
                <w:lang w:val="en-GB"/>
              </w:rPr>
            </w:pPr>
            <w:r w:rsidRPr="00D00ACC">
              <w:rPr>
                <w:lang w:val="en-GB"/>
              </w:rPr>
              <w:t>1,126</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6A6364F0" w14:textId="77777777" w:rsidR="00D00ACC" w:rsidRPr="00D00ACC" w:rsidRDefault="00D00ACC" w:rsidP="00D00ACC">
            <w:pPr>
              <w:pStyle w:val="CDITable-RowCentre"/>
              <w:rPr>
                <w:lang w:val="en-GB"/>
              </w:rPr>
            </w:pPr>
            <w:r w:rsidRPr="00D00ACC">
              <w:rPr>
                <w:lang w:val="en-GB"/>
              </w:rPr>
              <w:t>74.3</w:t>
            </w:r>
          </w:p>
        </w:tc>
      </w:tr>
      <w:tr w:rsidR="00D00ACC" w:rsidRPr="00D00ACC" w14:paraId="7C1D7676"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41B2B7F0"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00473EB2" w14:textId="77777777" w:rsidR="00D00ACC" w:rsidRPr="00D00ACC" w:rsidRDefault="00D00ACC" w:rsidP="00D00ACC">
            <w:pPr>
              <w:pStyle w:val="CDITable-RowLeft"/>
              <w:rPr>
                <w:lang w:val="en-GB"/>
              </w:rPr>
            </w:pPr>
            <w:r w:rsidRPr="00D00ACC">
              <w:rPr>
                <w:lang w:val="en-GB"/>
              </w:rPr>
              <w:t>Reported positive</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483CE83D" w14:textId="77777777" w:rsidR="00D00ACC" w:rsidRPr="00D00ACC" w:rsidRDefault="00D00ACC" w:rsidP="00D00ACC">
            <w:pPr>
              <w:pStyle w:val="CDITable-RowCentre"/>
              <w:rPr>
                <w:lang w:val="en-GB"/>
              </w:rPr>
            </w:pPr>
            <w:r w:rsidRPr="00D00ACC">
              <w:rPr>
                <w:lang w:val="en-GB"/>
              </w:rPr>
              <w:t>514</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63A64121" w14:textId="77777777" w:rsidR="00D00ACC" w:rsidRPr="00D00ACC" w:rsidRDefault="00D00ACC" w:rsidP="00D00ACC">
            <w:pPr>
              <w:pStyle w:val="CDITable-RowCentre"/>
              <w:rPr>
                <w:lang w:val="en-GB"/>
              </w:rPr>
            </w:pPr>
            <w:r w:rsidRPr="00D00ACC">
              <w:rPr>
                <w:lang w:val="en-GB"/>
              </w:rPr>
              <w:t>33.9</w:t>
            </w:r>
          </w:p>
        </w:tc>
      </w:tr>
      <w:tr w:rsidR="00D00ACC" w:rsidRPr="00D00ACC" w14:paraId="6A5D4251"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11568727"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3F8BA76E" w14:textId="77777777" w:rsidR="00D00ACC" w:rsidRPr="00D00ACC" w:rsidRDefault="00D00ACC" w:rsidP="00D00ACC">
            <w:pPr>
              <w:pStyle w:val="CDITable-RowLeft"/>
              <w:rPr>
                <w:lang w:val="en-GB"/>
              </w:rPr>
            </w:pPr>
            <w:r w:rsidRPr="00D00ACC">
              <w:rPr>
                <w:lang w:val="en-GB"/>
              </w:rPr>
              <w:t>Reported negative</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BA2ECA4" w14:textId="77777777" w:rsidR="00D00ACC" w:rsidRPr="00D00ACC" w:rsidRDefault="00D00ACC" w:rsidP="00D00ACC">
            <w:pPr>
              <w:pStyle w:val="CDITable-RowCentre"/>
              <w:rPr>
                <w:lang w:val="en-GB"/>
              </w:rPr>
            </w:pPr>
            <w:r w:rsidRPr="00D00ACC">
              <w:rPr>
                <w:lang w:val="en-GB"/>
              </w:rPr>
              <w:t>612</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645D4CEE" w14:textId="77777777" w:rsidR="00D00ACC" w:rsidRPr="00D00ACC" w:rsidRDefault="00D00ACC" w:rsidP="00D00ACC">
            <w:pPr>
              <w:pStyle w:val="CDITable-RowCentre"/>
              <w:rPr>
                <w:lang w:val="en-GB"/>
              </w:rPr>
            </w:pPr>
            <w:r w:rsidRPr="00D00ACC">
              <w:rPr>
                <w:lang w:val="en-GB"/>
              </w:rPr>
              <w:t>40.4</w:t>
            </w:r>
          </w:p>
        </w:tc>
      </w:tr>
      <w:tr w:rsidR="00D00ACC" w:rsidRPr="00D00ACC" w14:paraId="1FFC0FD1" w14:textId="77777777" w:rsidTr="002005BB">
        <w:trPr>
          <w:trHeight w:val="60"/>
        </w:trPr>
        <w:tc>
          <w:tcPr>
            <w:tcW w:w="4649" w:type="dxa"/>
            <w:tcBorders>
              <w:top w:val="single" w:sz="6" w:space="0" w:color="1E4496" w:themeColor="text2"/>
              <w:left w:val="nil"/>
              <w:bottom w:val="single" w:sz="6" w:space="0" w:color="1E4496" w:themeColor="text2"/>
            </w:tcBorders>
            <w:shd w:val="clear" w:color="auto" w:fill="DCF4FC" w:themeFill="background2" w:themeFillTint="33"/>
            <w:tcMar>
              <w:top w:w="74" w:type="dxa"/>
              <w:left w:w="113" w:type="dxa"/>
              <w:bottom w:w="74" w:type="dxa"/>
              <w:right w:w="113" w:type="dxa"/>
            </w:tcMar>
            <w:vAlign w:val="center"/>
          </w:tcPr>
          <w:p w14:paraId="16C600EF" w14:textId="77777777" w:rsidR="00D00ACC" w:rsidRPr="00D00ACC" w:rsidRDefault="00D00ACC" w:rsidP="00D00ACC">
            <w:pPr>
              <w:pStyle w:val="CDITable-RowLeft"/>
              <w:rPr>
                <w:b/>
                <w:bCs/>
                <w:lang w:val="en-GB"/>
              </w:rPr>
            </w:pPr>
            <w:proofErr w:type="spellStart"/>
            <w:r w:rsidRPr="00D00ACC">
              <w:rPr>
                <w:b/>
                <w:bCs/>
                <w:lang w:val="en-GB"/>
              </w:rPr>
              <w:t>Eligible</w:t>
            </w:r>
            <w:r w:rsidRPr="00D00ACC">
              <w:rPr>
                <w:b/>
                <w:bCs/>
                <w:vertAlign w:val="superscript"/>
                <w:lang w:val="en-GB"/>
              </w:rPr>
              <w:t>b</w:t>
            </w:r>
            <w:proofErr w:type="spellEnd"/>
            <w:r w:rsidRPr="00D00ACC">
              <w:rPr>
                <w:b/>
                <w:bCs/>
                <w:lang w:val="en-GB"/>
              </w:rPr>
              <w:t xml:space="preserve"> cases with treatment status reported</w:t>
            </w:r>
          </w:p>
        </w:tc>
        <w:tc>
          <w:tcPr>
            <w:tcW w:w="5159" w:type="dxa"/>
            <w:tcBorders>
              <w:top w:val="single" w:sz="6" w:space="0" w:color="1E4496" w:themeColor="text2"/>
              <w:bottom w:val="single" w:sz="6" w:space="0" w:color="1E4496" w:themeColor="text2"/>
            </w:tcBorders>
            <w:shd w:val="clear" w:color="auto" w:fill="DCF4FC" w:themeFill="background2" w:themeFillTint="33"/>
            <w:tcMar>
              <w:top w:w="74" w:type="dxa"/>
              <w:left w:w="113" w:type="dxa"/>
              <w:bottom w:w="74" w:type="dxa"/>
              <w:right w:w="113" w:type="dxa"/>
            </w:tcMar>
            <w:vAlign w:val="center"/>
          </w:tcPr>
          <w:p w14:paraId="451E8CB1" w14:textId="77777777" w:rsidR="00D00ACC" w:rsidRPr="00D00ACC" w:rsidRDefault="00D00ACC" w:rsidP="00D00ACC">
            <w:pPr>
              <w:pStyle w:val="CDITable-RowLeft"/>
              <w:rPr>
                <w:b/>
                <w:bCs/>
                <w:lang w:val="en-GB"/>
              </w:rPr>
            </w:pPr>
            <w:r w:rsidRPr="00D00ACC">
              <w:rPr>
                <w:b/>
                <w:bCs/>
                <w:lang w:val="en-GB"/>
              </w:rPr>
              <w:t>Total</w:t>
            </w:r>
          </w:p>
        </w:tc>
        <w:tc>
          <w:tcPr>
            <w:tcW w:w="2268" w:type="dxa"/>
            <w:tcBorders>
              <w:top w:val="single" w:sz="6" w:space="0" w:color="1E4496" w:themeColor="text2"/>
              <w:bottom w:val="single" w:sz="6" w:space="0" w:color="1E4496" w:themeColor="text2"/>
            </w:tcBorders>
            <w:shd w:val="clear" w:color="auto" w:fill="DCF4FC" w:themeFill="background2" w:themeFillTint="33"/>
            <w:tcMar>
              <w:top w:w="74" w:type="dxa"/>
              <w:left w:w="113" w:type="dxa"/>
              <w:bottom w:w="74" w:type="dxa"/>
              <w:right w:w="113" w:type="dxa"/>
            </w:tcMar>
            <w:vAlign w:val="center"/>
          </w:tcPr>
          <w:p w14:paraId="40084129" w14:textId="77777777" w:rsidR="00D00ACC" w:rsidRPr="00D00ACC" w:rsidRDefault="00D00ACC" w:rsidP="00D00ACC">
            <w:pPr>
              <w:pStyle w:val="CDITable-RowCentre"/>
              <w:rPr>
                <w:b/>
                <w:bCs/>
                <w:lang w:val="en-GB"/>
              </w:rPr>
            </w:pPr>
            <w:r w:rsidRPr="00D00ACC">
              <w:rPr>
                <w:b/>
                <w:bCs/>
                <w:lang w:val="en-GB"/>
              </w:rPr>
              <w:t>838</w:t>
            </w:r>
          </w:p>
        </w:tc>
        <w:tc>
          <w:tcPr>
            <w:tcW w:w="2267" w:type="dxa"/>
            <w:tcBorders>
              <w:top w:val="single" w:sz="6" w:space="0" w:color="1E4496" w:themeColor="text2"/>
              <w:bottom w:val="single" w:sz="6" w:space="0" w:color="1E4496" w:themeColor="text2"/>
              <w:right w:val="nil"/>
            </w:tcBorders>
            <w:shd w:val="clear" w:color="auto" w:fill="DCF4FC" w:themeFill="background2" w:themeFillTint="33"/>
            <w:tcMar>
              <w:top w:w="74" w:type="dxa"/>
              <w:left w:w="113" w:type="dxa"/>
              <w:bottom w:w="74" w:type="dxa"/>
              <w:right w:w="113" w:type="dxa"/>
            </w:tcMar>
            <w:vAlign w:val="center"/>
          </w:tcPr>
          <w:p w14:paraId="17B89A17" w14:textId="77777777" w:rsidR="00D00ACC" w:rsidRPr="00D00ACC" w:rsidRDefault="00D00ACC" w:rsidP="00D00ACC">
            <w:pPr>
              <w:pStyle w:val="CDITable-RowCentre"/>
              <w:rPr>
                <w:b/>
                <w:bCs/>
                <w:lang w:val="en-GB"/>
              </w:rPr>
            </w:pPr>
            <w:r w:rsidRPr="00D00ACC">
              <w:rPr>
                <w:b/>
                <w:bCs/>
                <w:lang w:val="en-GB"/>
              </w:rPr>
              <w:t>100</w:t>
            </w:r>
          </w:p>
        </w:tc>
      </w:tr>
      <w:tr w:rsidR="00D00ACC" w:rsidRPr="00D00ACC" w14:paraId="20467A36" w14:textId="77777777" w:rsidTr="002005BB">
        <w:trPr>
          <w:trHeight w:val="60"/>
        </w:trPr>
        <w:tc>
          <w:tcPr>
            <w:tcW w:w="4649" w:type="dxa"/>
            <w:tcBorders>
              <w:top w:val="single" w:sz="6" w:space="0" w:color="1E4496" w:themeColor="text2"/>
              <w:left w:val="nil"/>
              <w:bottom w:val="single" w:sz="6" w:space="0" w:color="1E4496" w:themeColor="text2"/>
            </w:tcBorders>
            <w:tcMar>
              <w:top w:w="74" w:type="dxa"/>
              <w:left w:w="113" w:type="dxa"/>
              <w:bottom w:w="74" w:type="dxa"/>
              <w:right w:w="113" w:type="dxa"/>
            </w:tcMar>
            <w:vAlign w:val="center"/>
          </w:tcPr>
          <w:p w14:paraId="23F785E4" w14:textId="77777777" w:rsidR="00D00ACC" w:rsidRPr="00D00ACC" w:rsidRDefault="00D00ACC" w:rsidP="00D00ACC">
            <w:pPr>
              <w:pStyle w:val="CDITable-RowLeft"/>
              <w:rPr>
                <w:lang w:val="en-GB"/>
              </w:rPr>
            </w:pPr>
            <w:r w:rsidRPr="00D00ACC">
              <w:rPr>
                <w:lang w:val="en-GB"/>
              </w:rPr>
              <w:t>Offered treatment by the diagnosing clinician</w:t>
            </w: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9D841CF" w14:textId="77777777" w:rsidR="00D00ACC" w:rsidRPr="00D00ACC" w:rsidRDefault="00D00ACC" w:rsidP="00D00ACC">
            <w:pPr>
              <w:pStyle w:val="CDITable-RowLeft"/>
              <w:rPr>
                <w:lang w:val="en-GB"/>
              </w:rPr>
            </w:pPr>
            <w:r w:rsidRPr="00D00ACC">
              <w:rPr>
                <w:lang w:val="en-GB"/>
              </w:rPr>
              <w:t>—</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28619511" w14:textId="77777777" w:rsidR="00D00ACC" w:rsidRPr="00D00ACC" w:rsidRDefault="00D00ACC" w:rsidP="00D00ACC">
            <w:pPr>
              <w:pStyle w:val="CDITable-RowCentre"/>
              <w:rPr>
                <w:lang w:val="en-GB"/>
              </w:rPr>
            </w:pPr>
            <w:r w:rsidRPr="00D00ACC">
              <w:rPr>
                <w:lang w:val="en-GB"/>
              </w:rPr>
              <w:t>279</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42A0721C" w14:textId="77777777" w:rsidR="00D00ACC" w:rsidRPr="00D00ACC" w:rsidRDefault="00D00ACC" w:rsidP="00D00ACC">
            <w:pPr>
              <w:pStyle w:val="CDITable-RowCentre"/>
              <w:rPr>
                <w:lang w:val="en-GB"/>
              </w:rPr>
            </w:pPr>
            <w:r w:rsidRPr="00D00ACC">
              <w:rPr>
                <w:lang w:val="en-GB"/>
              </w:rPr>
              <w:t>33.3</w:t>
            </w:r>
          </w:p>
        </w:tc>
      </w:tr>
      <w:tr w:rsidR="00D00ACC" w:rsidRPr="00D00ACC" w14:paraId="4CAA0C8B" w14:textId="77777777" w:rsidTr="002005BB">
        <w:trPr>
          <w:trHeight w:val="60"/>
        </w:trPr>
        <w:tc>
          <w:tcPr>
            <w:tcW w:w="4649" w:type="dxa"/>
            <w:vMerge w:val="restart"/>
            <w:tcBorders>
              <w:top w:val="single" w:sz="6" w:space="0" w:color="1E4496" w:themeColor="text2"/>
              <w:left w:val="nil"/>
              <w:bottom w:val="single" w:sz="6" w:space="0" w:color="1E4496" w:themeColor="text2"/>
            </w:tcBorders>
            <w:tcMar>
              <w:top w:w="74" w:type="dxa"/>
              <w:left w:w="113" w:type="dxa"/>
              <w:bottom w:w="74" w:type="dxa"/>
              <w:right w:w="113" w:type="dxa"/>
            </w:tcMar>
            <w:vAlign w:val="center"/>
          </w:tcPr>
          <w:p w14:paraId="4ACB1B85" w14:textId="77777777" w:rsidR="00D00ACC" w:rsidRPr="00D00ACC" w:rsidRDefault="00D00ACC" w:rsidP="00D00ACC">
            <w:pPr>
              <w:pStyle w:val="CDITable-RowLeft"/>
              <w:rPr>
                <w:lang w:val="en-GB"/>
              </w:rPr>
            </w:pPr>
            <w:r w:rsidRPr="00D00ACC">
              <w:rPr>
                <w:lang w:val="en-GB"/>
              </w:rPr>
              <w:t>Referral or assessment in progress</w:t>
            </w: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CEB961B"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24EA6D04" w14:textId="77777777" w:rsidR="00D00ACC" w:rsidRPr="00D00ACC" w:rsidRDefault="00D00ACC" w:rsidP="00D00ACC">
            <w:pPr>
              <w:pStyle w:val="CDITable-RowCentre"/>
              <w:rPr>
                <w:lang w:val="en-GB"/>
              </w:rPr>
            </w:pPr>
            <w:r w:rsidRPr="00D00ACC">
              <w:rPr>
                <w:lang w:val="en-GB"/>
              </w:rPr>
              <w:t>458</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5064F8CF" w14:textId="77777777" w:rsidR="00D00ACC" w:rsidRPr="00D00ACC" w:rsidRDefault="00D00ACC" w:rsidP="00D00ACC">
            <w:pPr>
              <w:pStyle w:val="CDITable-RowCentre"/>
              <w:rPr>
                <w:lang w:val="en-GB"/>
              </w:rPr>
            </w:pPr>
            <w:r w:rsidRPr="00D00ACC">
              <w:rPr>
                <w:lang w:val="en-GB"/>
              </w:rPr>
              <w:t>54.7</w:t>
            </w:r>
          </w:p>
        </w:tc>
      </w:tr>
      <w:tr w:rsidR="00D00ACC" w:rsidRPr="00D00ACC" w14:paraId="45920369"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32B00730"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26109C59" w14:textId="77777777" w:rsidR="00D00ACC" w:rsidRPr="00D00ACC" w:rsidRDefault="00D00ACC" w:rsidP="00D00ACC">
            <w:pPr>
              <w:pStyle w:val="CDITable-RowLeft"/>
              <w:rPr>
                <w:lang w:val="en-GB"/>
              </w:rPr>
            </w:pPr>
            <w:r w:rsidRPr="00D00ACC">
              <w:rPr>
                <w:lang w:val="en-GB"/>
              </w:rPr>
              <w:t>Referred to another clinician or already under management</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64AC8FD" w14:textId="77777777" w:rsidR="00D00ACC" w:rsidRPr="00D00ACC" w:rsidRDefault="00D00ACC" w:rsidP="00D00ACC">
            <w:pPr>
              <w:pStyle w:val="CDITable-RowCentre"/>
              <w:rPr>
                <w:lang w:val="en-GB"/>
              </w:rPr>
            </w:pPr>
            <w:r w:rsidRPr="00D00ACC">
              <w:rPr>
                <w:lang w:val="en-GB"/>
              </w:rPr>
              <w:t>295</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5E0D76C3" w14:textId="77777777" w:rsidR="00D00ACC" w:rsidRPr="00D00ACC" w:rsidRDefault="00D00ACC" w:rsidP="00D00ACC">
            <w:pPr>
              <w:pStyle w:val="CDITable-RowCentre"/>
              <w:rPr>
                <w:lang w:val="en-GB"/>
              </w:rPr>
            </w:pPr>
            <w:r w:rsidRPr="00D00ACC">
              <w:rPr>
                <w:lang w:val="en-GB"/>
              </w:rPr>
              <w:t>35.2</w:t>
            </w:r>
          </w:p>
        </w:tc>
      </w:tr>
      <w:tr w:rsidR="00D00ACC" w:rsidRPr="00D00ACC" w14:paraId="6A58E4C6"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0D99B48E"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5CB06428" w14:textId="77777777" w:rsidR="00D00ACC" w:rsidRPr="00D00ACC" w:rsidRDefault="00D00ACC" w:rsidP="00D00ACC">
            <w:pPr>
              <w:pStyle w:val="CDITable-RowLeft"/>
              <w:rPr>
                <w:lang w:val="en-GB"/>
              </w:rPr>
            </w:pPr>
            <w:r w:rsidRPr="00D00ACC">
              <w:rPr>
                <w:lang w:val="en-GB"/>
              </w:rPr>
              <w:t>Pending further follow-up/testing</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75FF31B0" w14:textId="77777777" w:rsidR="00D00ACC" w:rsidRPr="00D00ACC" w:rsidRDefault="00D00ACC" w:rsidP="00D00ACC">
            <w:pPr>
              <w:pStyle w:val="CDITable-RowCentre"/>
              <w:rPr>
                <w:lang w:val="en-GB"/>
              </w:rPr>
            </w:pPr>
            <w:r w:rsidRPr="00D00ACC">
              <w:rPr>
                <w:lang w:val="en-GB"/>
              </w:rPr>
              <w:t>121</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5A222100" w14:textId="77777777" w:rsidR="00D00ACC" w:rsidRPr="00D00ACC" w:rsidRDefault="00D00ACC" w:rsidP="00D00ACC">
            <w:pPr>
              <w:pStyle w:val="CDITable-RowCentre"/>
              <w:rPr>
                <w:lang w:val="en-GB"/>
              </w:rPr>
            </w:pPr>
            <w:r w:rsidRPr="00D00ACC">
              <w:rPr>
                <w:lang w:val="en-GB"/>
              </w:rPr>
              <w:t>14.4</w:t>
            </w:r>
          </w:p>
        </w:tc>
      </w:tr>
      <w:tr w:rsidR="00D00ACC" w:rsidRPr="00D00ACC" w14:paraId="3515C48A"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6F4D6FB8"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08C3E659" w14:textId="77777777" w:rsidR="00D00ACC" w:rsidRPr="00D00ACC" w:rsidRDefault="00D00ACC" w:rsidP="00D00ACC">
            <w:pPr>
              <w:pStyle w:val="CDITable-RowLeft"/>
              <w:rPr>
                <w:lang w:val="en-GB"/>
              </w:rPr>
            </w:pPr>
            <w:r w:rsidRPr="00D00ACC">
              <w:rPr>
                <w:lang w:val="en-GB"/>
              </w:rPr>
              <w:t>Reported prior treatment but no PCR testing reported</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5E68AB96" w14:textId="77777777" w:rsidR="00D00ACC" w:rsidRPr="00D00ACC" w:rsidRDefault="00D00ACC" w:rsidP="00D00ACC">
            <w:pPr>
              <w:pStyle w:val="CDITable-RowCentre"/>
              <w:rPr>
                <w:lang w:val="en-GB"/>
              </w:rPr>
            </w:pPr>
            <w:r w:rsidRPr="00D00ACC">
              <w:rPr>
                <w:lang w:val="en-GB"/>
              </w:rPr>
              <w:t>42</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708B8FBA" w14:textId="77777777" w:rsidR="00D00ACC" w:rsidRPr="00D00ACC" w:rsidRDefault="00D00ACC" w:rsidP="00D00ACC">
            <w:pPr>
              <w:pStyle w:val="CDITable-RowCentre"/>
              <w:rPr>
                <w:lang w:val="en-GB"/>
              </w:rPr>
            </w:pPr>
            <w:r w:rsidRPr="00D00ACC">
              <w:rPr>
                <w:lang w:val="en-GB"/>
              </w:rPr>
              <w:t>5.0</w:t>
            </w:r>
          </w:p>
        </w:tc>
      </w:tr>
      <w:tr w:rsidR="00D00ACC" w:rsidRPr="00D00ACC" w14:paraId="5CA8AD74" w14:textId="77777777" w:rsidTr="002005BB">
        <w:trPr>
          <w:trHeight w:val="60"/>
        </w:trPr>
        <w:tc>
          <w:tcPr>
            <w:tcW w:w="4649" w:type="dxa"/>
            <w:vMerge w:val="restart"/>
            <w:tcBorders>
              <w:top w:val="single" w:sz="6" w:space="0" w:color="1E4496" w:themeColor="text2"/>
              <w:left w:val="nil"/>
              <w:bottom w:val="single" w:sz="6" w:space="0" w:color="1E4496" w:themeColor="text2"/>
            </w:tcBorders>
            <w:tcMar>
              <w:top w:w="74" w:type="dxa"/>
              <w:left w:w="113" w:type="dxa"/>
              <w:bottom w:w="74" w:type="dxa"/>
              <w:right w:w="113" w:type="dxa"/>
            </w:tcMar>
            <w:vAlign w:val="center"/>
          </w:tcPr>
          <w:p w14:paraId="1F21A040" w14:textId="77777777" w:rsidR="00D00ACC" w:rsidRPr="00D00ACC" w:rsidRDefault="00D00ACC" w:rsidP="00D00ACC">
            <w:pPr>
              <w:pStyle w:val="CDITable-RowLeft"/>
              <w:rPr>
                <w:lang w:val="en-GB"/>
              </w:rPr>
            </w:pPr>
            <w:r w:rsidRPr="00D00ACC">
              <w:rPr>
                <w:lang w:val="en-GB"/>
              </w:rPr>
              <w:t>Not offered treatment due to patient factors</w:t>
            </w: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80D80FA"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919ECD5" w14:textId="77777777" w:rsidR="00D00ACC" w:rsidRPr="00D00ACC" w:rsidRDefault="00D00ACC" w:rsidP="00D00ACC">
            <w:pPr>
              <w:pStyle w:val="CDITable-RowCentre"/>
              <w:rPr>
                <w:lang w:val="en-GB"/>
              </w:rPr>
            </w:pPr>
            <w:r w:rsidRPr="00D00ACC">
              <w:rPr>
                <w:lang w:val="en-GB"/>
              </w:rPr>
              <w:t>87</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229F8471" w14:textId="77777777" w:rsidR="00D00ACC" w:rsidRPr="00D00ACC" w:rsidRDefault="00D00ACC" w:rsidP="00D00ACC">
            <w:pPr>
              <w:pStyle w:val="CDITable-RowCentre"/>
              <w:rPr>
                <w:lang w:val="en-GB"/>
              </w:rPr>
            </w:pPr>
            <w:r w:rsidRPr="00D00ACC">
              <w:rPr>
                <w:lang w:val="en-GB"/>
              </w:rPr>
              <w:t>10.4</w:t>
            </w:r>
          </w:p>
        </w:tc>
      </w:tr>
      <w:tr w:rsidR="00D00ACC" w:rsidRPr="00D00ACC" w14:paraId="14F86D5C"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4E132324"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4F37FA6A" w14:textId="77777777" w:rsidR="00D00ACC" w:rsidRPr="00D00ACC" w:rsidRDefault="00D00ACC" w:rsidP="00D00ACC">
            <w:pPr>
              <w:pStyle w:val="CDITable-RowLeft"/>
              <w:rPr>
                <w:lang w:val="en-GB"/>
              </w:rPr>
            </w:pPr>
            <w:r w:rsidRPr="00D00ACC">
              <w:rPr>
                <w:lang w:val="en-GB"/>
              </w:rPr>
              <w:t>Lost to follow-up</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318E8249" w14:textId="77777777" w:rsidR="00D00ACC" w:rsidRPr="00D00ACC" w:rsidRDefault="00D00ACC" w:rsidP="00D00ACC">
            <w:pPr>
              <w:pStyle w:val="CDITable-RowCentre"/>
              <w:rPr>
                <w:lang w:val="en-GB"/>
              </w:rPr>
            </w:pPr>
            <w:r w:rsidRPr="00D00ACC">
              <w:rPr>
                <w:lang w:val="en-GB"/>
              </w:rPr>
              <w:t>69</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4328F2D3" w14:textId="77777777" w:rsidR="00D00ACC" w:rsidRPr="00D00ACC" w:rsidRDefault="00D00ACC" w:rsidP="00D00ACC">
            <w:pPr>
              <w:pStyle w:val="CDITable-RowCentre"/>
              <w:rPr>
                <w:lang w:val="en-GB"/>
              </w:rPr>
            </w:pPr>
            <w:r w:rsidRPr="00D00ACC">
              <w:rPr>
                <w:lang w:val="en-GB"/>
              </w:rPr>
              <w:t>8.2</w:t>
            </w:r>
          </w:p>
        </w:tc>
      </w:tr>
      <w:tr w:rsidR="00D00ACC" w:rsidRPr="00D00ACC" w14:paraId="21339117"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19881AB2"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1574E1F4" w14:textId="77777777" w:rsidR="00D00ACC" w:rsidRPr="00D00ACC" w:rsidRDefault="00D00ACC" w:rsidP="00D00ACC">
            <w:pPr>
              <w:pStyle w:val="CDITable-RowLeft"/>
              <w:rPr>
                <w:lang w:val="en-GB"/>
              </w:rPr>
            </w:pPr>
            <w:r w:rsidRPr="00D00ACC">
              <w:rPr>
                <w:lang w:val="en-GB"/>
              </w:rPr>
              <w:t>Patient undecided/declined</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400D0576" w14:textId="77777777" w:rsidR="00D00ACC" w:rsidRPr="00D00ACC" w:rsidRDefault="00D00ACC" w:rsidP="00D00ACC">
            <w:pPr>
              <w:pStyle w:val="CDITable-RowCentre"/>
              <w:rPr>
                <w:lang w:val="en-GB"/>
              </w:rPr>
            </w:pPr>
            <w:r w:rsidRPr="00D00ACC">
              <w:rPr>
                <w:lang w:val="en-GB"/>
              </w:rPr>
              <w:t>5</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4E976612" w14:textId="77777777" w:rsidR="00D00ACC" w:rsidRPr="00D00ACC" w:rsidRDefault="00D00ACC" w:rsidP="00D00ACC">
            <w:pPr>
              <w:pStyle w:val="CDITable-RowCentre"/>
              <w:rPr>
                <w:lang w:val="en-GB"/>
              </w:rPr>
            </w:pPr>
            <w:r w:rsidRPr="00D00ACC">
              <w:rPr>
                <w:lang w:val="en-GB"/>
              </w:rPr>
              <w:t>0.6</w:t>
            </w:r>
          </w:p>
        </w:tc>
      </w:tr>
      <w:tr w:rsidR="00D00ACC" w:rsidRPr="00D00ACC" w14:paraId="7CE6B47A"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5251DCF2"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29961598" w14:textId="77777777" w:rsidR="00D00ACC" w:rsidRPr="00D00ACC" w:rsidRDefault="00D00ACC" w:rsidP="00D00ACC">
            <w:pPr>
              <w:pStyle w:val="CDITable-RowLeft"/>
              <w:rPr>
                <w:lang w:val="en-GB"/>
              </w:rPr>
            </w:pPr>
            <w:r w:rsidRPr="00D00ACC">
              <w:rPr>
                <w:lang w:val="en-GB"/>
              </w:rPr>
              <w:t>Patient deceased or has advanced disease</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7DC72E59" w14:textId="77777777" w:rsidR="00D00ACC" w:rsidRPr="00D00ACC" w:rsidRDefault="00D00ACC" w:rsidP="00D00ACC">
            <w:pPr>
              <w:pStyle w:val="CDITable-RowCentre"/>
              <w:rPr>
                <w:lang w:val="en-GB"/>
              </w:rPr>
            </w:pPr>
            <w:r w:rsidRPr="00D00ACC">
              <w:rPr>
                <w:lang w:val="en-GB"/>
              </w:rPr>
              <w:t>6</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5D4A0D22" w14:textId="77777777" w:rsidR="00D00ACC" w:rsidRPr="00D00ACC" w:rsidRDefault="00D00ACC" w:rsidP="00D00ACC">
            <w:pPr>
              <w:pStyle w:val="CDITable-RowCentre"/>
              <w:rPr>
                <w:lang w:val="en-GB"/>
              </w:rPr>
            </w:pPr>
            <w:r w:rsidRPr="00D00ACC">
              <w:rPr>
                <w:lang w:val="en-GB"/>
              </w:rPr>
              <w:t>0.7</w:t>
            </w:r>
          </w:p>
        </w:tc>
      </w:tr>
      <w:tr w:rsidR="00D00ACC" w:rsidRPr="00D00ACC" w14:paraId="490F763F"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39A6B870"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4BFE6DF0" w14:textId="77777777" w:rsidR="00D00ACC" w:rsidRPr="00D00ACC" w:rsidRDefault="00D00ACC" w:rsidP="00D00ACC">
            <w:pPr>
              <w:pStyle w:val="CDITable-RowLeft"/>
              <w:rPr>
                <w:lang w:val="en-GB"/>
              </w:rPr>
            </w:pPr>
            <w:proofErr w:type="spellStart"/>
            <w:r w:rsidRPr="00D00ACC">
              <w:rPr>
                <w:lang w:val="en-GB"/>
              </w:rPr>
              <w:t>Other</w:t>
            </w:r>
            <w:r w:rsidRPr="00D00ACC">
              <w:rPr>
                <w:vertAlign w:val="superscript"/>
                <w:lang w:val="en-GB"/>
              </w:rPr>
              <w:t>c</w:t>
            </w:r>
            <w:proofErr w:type="spellEnd"/>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7ACC7470" w14:textId="77777777" w:rsidR="00D00ACC" w:rsidRPr="00D00ACC" w:rsidRDefault="00D00ACC" w:rsidP="00D00ACC">
            <w:pPr>
              <w:pStyle w:val="CDITable-RowCentre"/>
              <w:rPr>
                <w:lang w:val="en-GB"/>
              </w:rPr>
            </w:pPr>
            <w:r w:rsidRPr="00D00ACC">
              <w:rPr>
                <w:lang w:val="en-GB"/>
              </w:rPr>
              <w:t>7</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109BEE3E" w14:textId="77777777" w:rsidR="00D00ACC" w:rsidRPr="00D00ACC" w:rsidRDefault="00D00ACC" w:rsidP="00D00ACC">
            <w:pPr>
              <w:pStyle w:val="CDITable-RowCentre"/>
              <w:rPr>
                <w:lang w:val="en-GB"/>
              </w:rPr>
            </w:pPr>
            <w:r w:rsidRPr="00D00ACC">
              <w:rPr>
                <w:lang w:val="en-GB"/>
              </w:rPr>
              <w:t>0.8</w:t>
            </w:r>
          </w:p>
        </w:tc>
      </w:tr>
      <w:tr w:rsidR="00D00ACC" w:rsidRPr="00D00ACC" w14:paraId="1C1C9A17" w14:textId="77777777" w:rsidTr="002005BB">
        <w:trPr>
          <w:trHeight w:val="60"/>
        </w:trPr>
        <w:tc>
          <w:tcPr>
            <w:tcW w:w="4649" w:type="dxa"/>
            <w:vMerge w:val="restart"/>
            <w:tcBorders>
              <w:top w:val="single" w:sz="6" w:space="0" w:color="1E4496" w:themeColor="text2"/>
              <w:left w:val="nil"/>
              <w:bottom w:val="single" w:sz="6" w:space="0" w:color="1E4496" w:themeColor="text2"/>
            </w:tcBorders>
            <w:tcMar>
              <w:top w:w="74" w:type="dxa"/>
              <w:left w:w="113" w:type="dxa"/>
              <w:bottom w:w="74" w:type="dxa"/>
              <w:right w:w="113" w:type="dxa"/>
            </w:tcMar>
            <w:vAlign w:val="center"/>
          </w:tcPr>
          <w:p w14:paraId="713831CA" w14:textId="77777777" w:rsidR="00D00ACC" w:rsidRPr="00D00ACC" w:rsidRDefault="00D00ACC" w:rsidP="00D00ACC">
            <w:pPr>
              <w:pStyle w:val="CDITable-RowLeft"/>
              <w:rPr>
                <w:lang w:val="en-GB"/>
              </w:rPr>
            </w:pPr>
            <w:r w:rsidRPr="00D00ACC">
              <w:rPr>
                <w:lang w:val="en-GB"/>
              </w:rPr>
              <w:t>Not offered treatment due to other reasons</w:t>
            </w: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13DB0999" w14:textId="77777777" w:rsidR="00D00ACC" w:rsidRPr="00D00ACC" w:rsidRDefault="00D00ACC" w:rsidP="00D00ACC">
            <w:pPr>
              <w:pStyle w:val="CDITable-RowLeft"/>
              <w:rPr>
                <w:lang w:val="en-GB"/>
              </w:rPr>
            </w:pPr>
            <w:r w:rsidRPr="00D00ACC">
              <w:rPr>
                <w:lang w:val="en-GB"/>
              </w:rPr>
              <w:t>Subtotal</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550BE5C2" w14:textId="77777777" w:rsidR="00D00ACC" w:rsidRPr="00D00ACC" w:rsidRDefault="00D00ACC" w:rsidP="00D00ACC">
            <w:pPr>
              <w:pStyle w:val="CDITable-RowCentre"/>
              <w:rPr>
                <w:lang w:val="en-GB"/>
              </w:rPr>
            </w:pPr>
            <w:r w:rsidRPr="00D00ACC">
              <w:rPr>
                <w:lang w:val="en-GB"/>
              </w:rPr>
              <w:t>14</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447A1FA3" w14:textId="77777777" w:rsidR="00D00ACC" w:rsidRPr="00D00ACC" w:rsidRDefault="00D00ACC" w:rsidP="00D00ACC">
            <w:pPr>
              <w:pStyle w:val="CDITable-RowCentre"/>
              <w:rPr>
                <w:lang w:val="en-GB"/>
              </w:rPr>
            </w:pPr>
            <w:r w:rsidRPr="00D00ACC">
              <w:rPr>
                <w:lang w:val="en-GB"/>
              </w:rPr>
              <w:t>1.7</w:t>
            </w:r>
          </w:p>
        </w:tc>
      </w:tr>
      <w:tr w:rsidR="00D00ACC" w:rsidRPr="00D00ACC" w14:paraId="422FB9AF"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10503116"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F77CC77" w14:textId="77777777" w:rsidR="00D00ACC" w:rsidRPr="00D00ACC" w:rsidRDefault="00D00ACC" w:rsidP="00D00ACC">
            <w:pPr>
              <w:pStyle w:val="CDITable-RowLeft"/>
              <w:rPr>
                <w:lang w:val="en-GB"/>
              </w:rPr>
            </w:pPr>
            <w:r w:rsidRPr="00D00ACC">
              <w:rPr>
                <w:lang w:val="en-GB"/>
              </w:rPr>
              <w:t>Invalid reason provided</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61EBE944" w14:textId="77777777" w:rsidR="00D00ACC" w:rsidRPr="00D00ACC" w:rsidRDefault="00D00ACC" w:rsidP="00D00ACC">
            <w:pPr>
              <w:pStyle w:val="CDITable-RowCentre"/>
              <w:rPr>
                <w:lang w:val="en-GB"/>
              </w:rPr>
            </w:pPr>
            <w:r w:rsidRPr="00D00ACC">
              <w:rPr>
                <w:lang w:val="en-GB"/>
              </w:rPr>
              <w:t>9</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3260AF3E" w14:textId="77777777" w:rsidR="00D00ACC" w:rsidRPr="00D00ACC" w:rsidRDefault="00D00ACC" w:rsidP="00D00ACC">
            <w:pPr>
              <w:pStyle w:val="CDITable-RowCentre"/>
              <w:rPr>
                <w:lang w:val="en-GB"/>
              </w:rPr>
            </w:pPr>
            <w:r w:rsidRPr="00D00ACC">
              <w:rPr>
                <w:lang w:val="en-GB"/>
              </w:rPr>
              <w:t>1.1</w:t>
            </w:r>
          </w:p>
        </w:tc>
      </w:tr>
      <w:tr w:rsidR="00D00ACC" w:rsidRPr="00D00ACC" w14:paraId="30C927AB" w14:textId="77777777" w:rsidTr="002005BB">
        <w:trPr>
          <w:trHeight w:val="60"/>
        </w:trPr>
        <w:tc>
          <w:tcPr>
            <w:tcW w:w="4649" w:type="dxa"/>
            <w:vMerge/>
            <w:tcBorders>
              <w:top w:val="single" w:sz="6" w:space="0" w:color="1E4496" w:themeColor="text2"/>
              <w:left w:val="nil"/>
              <w:bottom w:val="single" w:sz="6" w:space="0" w:color="1E4496" w:themeColor="text2"/>
            </w:tcBorders>
            <w:tcMar>
              <w:top w:w="74" w:type="dxa"/>
              <w:bottom w:w="74" w:type="dxa"/>
            </w:tcMar>
          </w:tcPr>
          <w:p w14:paraId="3BF35873" w14:textId="77777777" w:rsidR="00D00ACC" w:rsidRPr="00D00ACC" w:rsidRDefault="00D00ACC" w:rsidP="00D00ACC">
            <w:pPr>
              <w:pStyle w:val="CDITable-RowLeft"/>
            </w:pPr>
          </w:p>
        </w:tc>
        <w:tc>
          <w:tcPr>
            <w:tcW w:w="5159"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01950082" w14:textId="77777777" w:rsidR="00D00ACC" w:rsidRPr="00D00ACC" w:rsidRDefault="00D00ACC" w:rsidP="00D00ACC">
            <w:pPr>
              <w:pStyle w:val="CDITable-RowLeft"/>
              <w:rPr>
                <w:lang w:val="en-GB"/>
              </w:rPr>
            </w:pPr>
            <w:r w:rsidRPr="00D00ACC">
              <w:rPr>
                <w:lang w:val="en-GB"/>
              </w:rPr>
              <w:t>Further information not available</w:t>
            </w:r>
          </w:p>
        </w:tc>
        <w:tc>
          <w:tcPr>
            <w:tcW w:w="2268" w:type="dxa"/>
            <w:tcBorders>
              <w:top w:val="single" w:sz="6" w:space="0" w:color="1E4496" w:themeColor="text2"/>
              <w:bottom w:val="single" w:sz="6" w:space="0" w:color="1E4496" w:themeColor="text2"/>
            </w:tcBorders>
            <w:tcMar>
              <w:top w:w="74" w:type="dxa"/>
              <w:left w:w="113" w:type="dxa"/>
              <w:bottom w:w="74" w:type="dxa"/>
              <w:right w:w="113" w:type="dxa"/>
            </w:tcMar>
            <w:vAlign w:val="center"/>
          </w:tcPr>
          <w:p w14:paraId="4C412EB4" w14:textId="77777777" w:rsidR="00D00ACC" w:rsidRPr="00D00ACC" w:rsidRDefault="00D00ACC" w:rsidP="00D00ACC">
            <w:pPr>
              <w:pStyle w:val="CDITable-RowCentre"/>
              <w:rPr>
                <w:lang w:val="en-GB"/>
              </w:rPr>
            </w:pPr>
            <w:r w:rsidRPr="00D00ACC">
              <w:rPr>
                <w:lang w:val="en-GB"/>
              </w:rPr>
              <w:t>5</w:t>
            </w:r>
          </w:p>
        </w:tc>
        <w:tc>
          <w:tcPr>
            <w:tcW w:w="2267" w:type="dxa"/>
            <w:tcBorders>
              <w:top w:val="single" w:sz="6" w:space="0" w:color="1E4496" w:themeColor="text2"/>
              <w:bottom w:val="single" w:sz="6" w:space="0" w:color="1E4496" w:themeColor="text2"/>
              <w:right w:val="nil"/>
            </w:tcBorders>
            <w:tcMar>
              <w:top w:w="74" w:type="dxa"/>
              <w:left w:w="113" w:type="dxa"/>
              <w:bottom w:w="74" w:type="dxa"/>
              <w:right w:w="113" w:type="dxa"/>
            </w:tcMar>
            <w:vAlign w:val="center"/>
          </w:tcPr>
          <w:p w14:paraId="7BA9810F" w14:textId="77777777" w:rsidR="00D00ACC" w:rsidRPr="00D00ACC" w:rsidRDefault="00D00ACC" w:rsidP="00D00ACC">
            <w:pPr>
              <w:pStyle w:val="CDITable-RowCentre"/>
              <w:rPr>
                <w:lang w:val="en-GB"/>
              </w:rPr>
            </w:pPr>
            <w:r w:rsidRPr="00D00ACC">
              <w:rPr>
                <w:lang w:val="en-GB"/>
              </w:rPr>
              <w:t>0.6</w:t>
            </w:r>
          </w:p>
        </w:tc>
      </w:tr>
    </w:tbl>
    <w:p w14:paraId="23CCD3A4" w14:textId="77777777" w:rsidR="00A91EEC" w:rsidRPr="00A91EEC" w:rsidRDefault="00A91EEC" w:rsidP="00A91EEC">
      <w:pPr>
        <w:pStyle w:val="CDITable-FirstFootnote"/>
        <w:rPr>
          <w:lang w:val="en-GB"/>
        </w:rPr>
      </w:pPr>
      <w:r w:rsidRPr="00A91EEC">
        <w:rPr>
          <w:lang w:val="en-GB"/>
        </w:rPr>
        <w:t>a</w:t>
      </w:r>
      <w:r w:rsidRPr="00A91EEC">
        <w:rPr>
          <w:lang w:val="en-GB"/>
        </w:rPr>
        <w:tab/>
        <w:t>Proportion of cases among those with PCR testing status reported, or those eligible and with treatment status reported, as appropriate.</w:t>
      </w:r>
    </w:p>
    <w:p w14:paraId="03E0012A" w14:textId="77777777" w:rsidR="00A91EEC" w:rsidRPr="00A91EEC" w:rsidRDefault="00A91EEC" w:rsidP="00A91EEC">
      <w:pPr>
        <w:pStyle w:val="CDITable-Footnote"/>
        <w:rPr>
          <w:lang w:val="en-GB"/>
        </w:rPr>
      </w:pPr>
      <w:r w:rsidRPr="00A91EEC">
        <w:rPr>
          <w:lang w:val="en-GB"/>
        </w:rPr>
        <w:t>b</w:t>
      </w:r>
      <w:r w:rsidRPr="00A91EEC">
        <w:rPr>
          <w:lang w:val="en-GB"/>
        </w:rPr>
        <w:tab/>
        <w:t>‘Eligible’ excludes those reported to be PCR negative, i.e. not indicated for treatment.</w:t>
      </w:r>
    </w:p>
    <w:p w14:paraId="225D544F" w14:textId="72F4EC5C" w:rsidR="00A91EEC" w:rsidRDefault="00A91EEC" w:rsidP="00A91EEC">
      <w:pPr>
        <w:pStyle w:val="CDITable-Footnote"/>
        <w:rPr>
          <w:lang w:val="en-GB"/>
        </w:rPr>
      </w:pPr>
      <w:r w:rsidRPr="00A91EEC">
        <w:rPr>
          <w:lang w:val="en-GB"/>
        </w:rPr>
        <w:t>c</w:t>
      </w:r>
      <w:r w:rsidRPr="00A91EEC">
        <w:rPr>
          <w:lang w:val="en-GB"/>
        </w:rPr>
        <w:tab/>
        <w:t>‘Other’ includes cases planning to leave Victoria, and cases ineligible for Medicare; groups have been combined where number of cases &lt; 5, to protect privacy.</w:t>
      </w:r>
    </w:p>
    <w:p w14:paraId="762E1D2C" w14:textId="77777777" w:rsidR="00A91EEC" w:rsidRDefault="00A91EEC" w:rsidP="00AC46DC">
      <w:pPr>
        <w:rPr>
          <w:lang w:val="en-GB"/>
        </w:rPr>
        <w:sectPr w:rsidR="00A91EEC" w:rsidSect="00D00ACC">
          <w:footnotePr>
            <w:numFmt w:val="lowerRoman"/>
          </w:footnotePr>
          <w:pgSz w:w="16840" w:h="11907" w:orient="landscape" w:code="9"/>
          <w:pgMar w:top="851" w:right="1134" w:bottom="851" w:left="1134" w:header="709" w:footer="567" w:gutter="0"/>
          <w:cols w:space="708"/>
          <w:docGrid w:linePitch="360"/>
        </w:sectPr>
      </w:pPr>
    </w:p>
    <w:p w14:paraId="5AED3415" w14:textId="77777777" w:rsidR="00A91EEC" w:rsidRPr="00A91EEC" w:rsidRDefault="00A91EEC" w:rsidP="00A91EEC">
      <w:pPr>
        <w:pStyle w:val="Heading2-nospacebefore"/>
      </w:pPr>
      <w:bookmarkStart w:id="22" w:name="_Toc234414378"/>
      <w:r w:rsidRPr="00A91EEC">
        <w:t>Reported care provision</w:t>
      </w:r>
      <w:bookmarkEnd w:id="22"/>
    </w:p>
    <w:p w14:paraId="58F3E1E5" w14:textId="77777777" w:rsidR="00A91EEC" w:rsidRPr="00A91EEC" w:rsidRDefault="00A91EEC" w:rsidP="00A91EEC">
      <w:pPr>
        <w:pStyle w:val="Heading3-lessspacebefore"/>
        <w:rPr>
          <w:lang w:val="en-GB"/>
        </w:rPr>
      </w:pPr>
      <w:r w:rsidRPr="00A91EEC">
        <w:rPr>
          <w:lang w:val="en-GB"/>
        </w:rPr>
        <w:t>HBV</w:t>
      </w:r>
    </w:p>
    <w:p w14:paraId="1F2DE6FC" w14:textId="77777777" w:rsidR="00A91EEC" w:rsidRPr="00A91EEC" w:rsidRDefault="00A91EEC" w:rsidP="00A91EEC">
      <w:pPr>
        <w:rPr>
          <w:lang w:val="en-GB"/>
        </w:rPr>
      </w:pPr>
      <w:r w:rsidRPr="00A91EEC">
        <w:rPr>
          <w:lang w:val="en-GB"/>
        </w:rPr>
        <w:t xml:space="preserve">Of the HBV cases with the testing field complete (1,693 cases), approximately half reported that PCR testing had been conducted (810 cases; 47.8%), and the majority of those were reported as positive (711; 87.8%). </w:t>
      </w:r>
    </w:p>
    <w:p w14:paraId="3F030E64" w14:textId="77777777" w:rsidR="00A91EEC" w:rsidRPr="00A91EEC" w:rsidRDefault="00A91EEC" w:rsidP="00A91EEC">
      <w:pPr>
        <w:rPr>
          <w:lang w:val="en-GB"/>
        </w:rPr>
      </w:pPr>
      <w:r w:rsidRPr="00A91EEC">
        <w:rPr>
          <w:lang w:val="en-GB"/>
        </w:rPr>
        <w:t xml:space="preserve">Treatment information was available for 1,773 cases, of which 669 (37.7%) reported current treatment or management, either by the diagnosing clinician or by another provider. Another 951 cases (53.6%) reported referral or pending follow-up (Table 2); referral was the most common category (792 cases; 44.7% of those with treatment information available). </w:t>
      </w:r>
    </w:p>
    <w:p w14:paraId="734BD8AF" w14:textId="77777777" w:rsidR="00A91EEC" w:rsidRPr="00A91EEC" w:rsidRDefault="00A91EEC" w:rsidP="00A91EEC">
      <w:pPr>
        <w:rPr>
          <w:lang w:val="en-GB"/>
        </w:rPr>
      </w:pPr>
      <w:r w:rsidRPr="00A91EEC">
        <w:rPr>
          <w:lang w:val="en-GB"/>
        </w:rPr>
        <w:t xml:space="preserve">For 82 cases (4.5% of those with treatment information available), treatment </w:t>
      </w:r>
      <w:proofErr w:type="gramStart"/>
      <w:r w:rsidRPr="00A91EEC">
        <w:rPr>
          <w:lang w:val="en-GB"/>
        </w:rPr>
        <w:t>was not able to</w:t>
      </w:r>
      <w:proofErr w:type="gramEnd"/>
      <w:r w:rsidRPr="00A91EEC">
        <w:rPr>
          <w:lang w:val="en-GB"/>
        </w:rPr>
        <w:t xml:space="preserve"> be offered, most commonly due to cases being lost to follow-up (55 cases, 67.1% of those not offered treatment). In another 40 cases (26.1% of those not offered treatment), the reason stated for not offering treatment was invalid/inconsistent with clinical guidelines (e.g. because the case was </w:t>
      </w:r>
      <w:proofErr w:type="gramStart"/>
      <w:r w:rsidRPr="00A91EEC">
        <w:rPr>
          <w:lang w:val="en-GB"/>
        </w:rPr>
        <w:t>asymptomatic, or</w:t>
      </w:r>
      <w:proofErr w:type="gramEnd"/>
      <w:r w:rsidRPr="00A91EEC">
        <w:rPr>
          <w:lang w:val="en-GB"/>
        </w:rPr>
        <w:t xml:space="preserve"> had had HBV for many years). </w:t>
      </w:r>
    </w:p>
    <w:p w14:paraId="3FC4A0EB" w14:textId="77777777" w:rsidR="00A91EEC" w:rsidRPr="00A91EEC" w:rsidRDefault="00A91EEC" w:rsidP="00A91EEC">
      <w:pPr>
        <w:pStyle w:val="Heading3"/>
        <w:rPr>
          <w:lang w:val="en-GB"/>
        </w:rPr>
      </w:pPr>
      <w:r w:rsidRPr="00A91EEC">
        <w:rPr>
          <w:lang w:val="en-GB"/>
        </w:rPr>
        <w:t>HCV</w:t>
      </w:r>
    </w:p>
    <w:p w14:paraId="755E2E36" w14:textId="77777777" w:rsidR="00A91EEC" w:rsidRPr="00A91EEC" w:rsidRDefault="00A91EEC" w:rsidP="00A91EEC">
      <w:pPr>
        <w:rPr>
          <w:lang w:val="en-GB"/>
        </w:rPr>
      </w:pPr>
      <w:r w:rsidRPr="00A91EEC">
        <w:rPr>
          <w:lang w:val="en-GB"/>
        </w:rPr>
        <w:t xml:space="preserve">Of those with the ‘testing’ field complete (1,516 cases), the majority reported HCV PCR testing had been conducted (1,126 cases; 74.3%). Of those where testing was reported, 612 were negative (54.4%), while in another 10 cases, the case was stated to be PCR negative in the treatment field. This left 894 cases where treatment may be required, of which 838 had treatment information available. </w:t>
      </w:r>
    </w:p>
    <w:p w14:paraId="391FBB76" w14:textId="61C8DB2D" w:rsidR="00A91EEC" w:rsidRPr="00A91EEC" w:rsidRDefault="00A91EEC" w:rsidP="00A91EEC">
      <w:pPr>
        <w:rPr>
          <w:lang w:val="en-GB"/>
        </w:rPr>
      </w:pPr>
      <w:r w:rsidRPr="00A91EEC">
        <w:rPr>
          <w:lang w:val="en-GB"/>
        </w:rPr>
        <w:t xml:space="preserve">Of those 838 cases, 279 cases (33.3%) reported treatment was offered by the diagnosing clinician, while 458 (54.7%) reported referral or pending assessment (Table 3). Referral was the most common category (295; 35.2% of the total with information available), while another 121 cases (14.4%) reported pending follow-up. </w:t>
      </w:r>
      <w:r w:rsidR="000C54DA">
        <w:rPr>
          <w:lang w:val="en-GB"/>
        </w:rPr>
        <w:t>Forty-two</w:t>
      </w:r>
      <w:r w:rsidRPr="00A91EEC">
        <w:rPr>
          <w:lang w:val="en-GB"/>
        </w:rPr>
        <w:t xml:space="preserve"> cases (5.0%) reported previous treatment but did not report PCR testing, limiting full assessment. </w:t>
      </w:r>
    </w:p>
    <w:p w14:paraId="116782CC" w14:textId="77777777" w:rsidR="00A91EEC" w:rsidRPr="00A91EEC" w:rsidRDefault="00A91EEC" w:rsidP="00A91EEC">
      <w:pPr>
        <w:rPr>
          <w:lang w:val="en-GB"/>
        </w:rPr>
      </w:pPr>
      <w:r w:rsidRPr="00A91EEC">
        <w:rPr>
          <w:lang w:val="en-GB"/>
        </w:rPr>
        <w:t xml:space="preserve">For 87 cases (10.4% of those with treatment information available), treatment was not offered, most commonly due to loss to follow-up (69 cases; 79.3% of those where treatment was not offered). </w:t>
      </w:r>
    </w:p>
    <w:p w14:paraId="4B119949" w14:textId="77777777" w:rsidR="00A91EEC" w:rsidRPr="00A91EEC" w:rsidRDefault="00A91EEC" w:rsidP="00864FDA">
      <w:pPr>
        <w:pStyle w:val="Heading2-newpage"/>
        <w:rPr>
          <w:lang w:val="en-GB"/>
        </w:rPr>
      </w:pPr>
      <w:bookmarkStart w:id="23" w:name="_Toc234414379"/>
      <w:r w:rsidRPr="00A91EEC">
        <w:rPr>
          <w:lang w:val="en-GB"/>
        </w:rPr>
        <w:t>Variations in reported care provision</w:t>
      </w:r>
      <w:bookmarkEnd w:id="23"/>
    </w:p>
    <w:p w14:paraId="7D3262CD" w14:textId="77777777" w:rsidR="00A91EEC" w:rsidRPr="00A91EEC" w:rsidRDefault="00A91EEC" w:rsidP="00A91EEC">
      <w:pPr>
        <w:rPr>
          <w:lang w:val="en-GB"/>
        </w:rPr>
      </w:pPr>
      <w:r w:rsidRPr="00A91EEC">
        <w:rPr>
          <w:lang w:val="en-GB"/>
        </w:rPr>
        <w:t>There was limited variation in reported care provision according to demographic factors for HBV: in all groups, some follow-up was reported for &gt; 85% of cases (Figure 1). The proportion of cases reported to be offered treatment or under management (compared to those referred or pending assessment) was higher in those in diagnosed in tertiary or immigration settings (</w:t>
      </w:r>
      <w:r w:rsidRPr="00A91EEC">
        <w:rPr>
          <w:i/>
          <w:iCs/>
          <w:lang w:val="en-GB"/>
        </w:rPr>
        <w:t>p</w:t>
      </w:r>
      <w:r w:rsidRPr="00A91EEC">
        <w:rPr>
          <w:lang w:val="en-GB"/>
        </w:rPr>
        <w:t xml:space="preserve"> &lt; 0.001) and those living in non-metropolitan areas (</w:t>
      </w:r>
      <w:r w:rsidRPr="00A91EEC">
        <w:rPr>
          <w:i/>
          <w:iCs/>
          <w:lang w:val="en-GB"/>
        </w:rPr>
        <w:t>p</w:t>
      </w:r>
      <w:r w:rsidRPr="00A91EEC">
        <w:rPr>
          <w:lang w:val="en-GB"/>
        </w:rPr>
        <w:t xml:space="preserve"> &lt; 0.001). </w:t>
      </w:r>
    </w:p>
    <w:p w14:paraId="121BE895" w14:textId="77777777" w:rsidR="00A91EEC" w:rsidRDefault="00A91EEC" w:rsidP="00A91EEC">
      <w:pPr>
        <w:pStyle w:val="CDIFigure-Title"/>
        <w:rPr>
          <w:lang w:val="en-GB"/>
        </w:rPr>
      </w:pPr>
      <w:r w:rsidRPr="00A91EEC">
        <w:rPr>
          <w:lang w:val="en-GB"/>
        </w:rPr>
        <w:t xml:space="preserve">Figure 1: Reported care provision following notification for unspecified HBV cases in Victoria, </w:t>
      </w:r>
      <w:proofErr w:type="spellStart"/>
      <w:proofErr w:type="gramStart"/>
      <w:r w:rsidRPr="00A91EEC">
        <w:rPr>
          <w:lang w:val="en-GB"/>
        </w:rPr>
        <w:t>Australia,</w:t>
      </w:r>
      <w:r w:rsidRPr="00A91EEC">
        <w:rPr>
          <w:vertAlign w:val="superscript"/>
          <w:lang w:val="en-GB"/>
        </w:rPr>
        <w:t>a</w:t>
      </w:r>
      <w:proofErr w:type="spellEnd"/>
      <w:proofErr w:type="gramEnd"/>
      <w:r w:rsidRPr="00A91EEC">
        <w:rPr>
          <w:lang w:val="en-GB"/>
        </w:rPr>
        <w:t xml:space="preserve"> 2023–2024</w:t>
      </w:r>
    </w:p>
    <w:p w14:paraId="5F6BBCF3" w14:textId="1C38BA56" w:rsidR="00A91EEC" w:rsidRPr="00A91EEC" w:rsidRDefault="00864FDA" w:rsidP="00A91EEC">
      <w:pPr>
        <w:pStyle w:val="CDIFigure-Placeholder"/>
        <w:rPr>
          <w:lang w:val="en-GB"/>
        </w:rPr>
      </w:pPr>
      <w:r>
        <w:rPr>
          <w:noProof/>
          <w:lang w:val="en-GB"/>
          <w14:ligatures w14:val="none"/>
        </w:rPr>
        <w:drawing>
          <wp:inline distT="0" distB="0" distL="0" distR="0" wp14:anchorId="47512545" wp14:editId="650901A1">
            <wp:extent cx="6120765" cy="3543300"/>
            <wp:effectExtent l="0" t="0" r="0" b="0"/>
            <wp:docPr id="856896940" name="Picture 1" descr="Figure 1 shows the distribution of care provision among hepatitis B cases according to year of notification, sex, age group, diagnostic setting and region of residence. Care provision is categorised in three groups, the first being not offered treatment, the second being treated or under management, and the third referred, assessed or pending assessment. The figure shows that there was limited variation in reported care provision according to the groups assessed here, and in all groups some follow-up was reported for more than 85% of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96940" name="Picture 1" descr="Figure 1 shows the distribution of care provision among hepatitis B cases according to year of notification, sex, age group, diagnostic setting and region of residence. Care provision is categorised in three groups, the first being not offered treatment, the second being treated or under management, and the third referred, assessed or pending assessment. The figure shows that there was limited variation in reported care provision according to the groups assessed here, and in all groups some follow-up was reported for more than 85% of cases."/>
                    <pic:cNvPicPr/>
                  </pic:nvPicPr>
                  <pic:blipFill rotWithShape="1">
                    <a:blip r:embed="rId23">
                      <a:extLst>
                        <a:ext uri="{28A0092B-C50C-407E-A947-70E740481C1C}">
                          <a14:useLocalDpi xmlns:a14="http://schemas.microsoft.com/office/drawing/2010/main" val="0"/>
                        </a:ext>
                      </a:extLst>
                    </a:blip>
                    <a:srcRect t="529" b="1092"/>
                    <a:stretch>
                      <a:fillRect/>
                    </a:stretch>
                  </pic:blipFill>
                  <pic:spPr bwMode="auto">
                    <a:xfrm>
                      <a:off x="0" y="0"/>
                      <a:ext cx="6120765" cy="3543300"/>
                    </a:xfrm>
                    <a:prstGeom prst="rect">
                      <a:avLst/>
                    </a:prstGeom>
                    <a:ln>
                      <a:noFill/>
                    </a:ln>
                    <a:extLst>
                      <a:ext uri="{53640926-AAD7-44D8-BBD7-CCE9431645EC}">
                        <a14:shadowObscured xmlns:a14="http://schemas.microsoft.com/office/drawing/2010/main"/>
                      </a:ext>
                    </a:extLst>
                  </pic:spPr>
                </pic:pic>
              </a:graphicData>
            </a:graphic>
          </wp:inline>
        </w:drawing>
      </w:r>
    </w:p>
    <w:p w14:paraId="53B65646" w14:textId="77777777" w:rsidR="00A91EEC" w:rsidRDefault="00A91EEC" w:rsidP="00A91EEC">
      <w:pPr>
        <w:pStyle w:val="CDITable-FirstFootnote"/>
        <w:rPr>
          <w:lang w:val="en-GB"/>
        </w:rPr>
      </w:pPr>
      <w:r w:rsidRPr="00A91EEC">
        <w:rPr>
          <w:lang w:val="en-GB"/>
        </w:rPr>
        <w:t>a</w:t>
      </w:r>
      <w:r w:rsidRPr="00A91EEC">
        <w:rPr>
          <w:lang w:val="en-GB"/>
        </w:rPr>
        <w:tab/>
        <w:t xml:space="preserve">Data suppressed for those aged &lt; 20 years due to low numbers. Data only reported where the number of cases was ≥ 10 in each treatment category. </w:t>
      </w:r>
    </w:p>
    <w:p w14:paraId="65A560D9" w14:textId="77777777" w:rsidR="00864FDA" w:rsidRPr="00A91EEC" w:rsidRDefault="00864FDA" w:rsidP="00864FDA">
      <w:pPr>
        <w:pStyle w:val="Normal-morespacebefore"/>
        <w:rPr>
          <w:lang w:val="en-GB"/>
        </w:rPr>
      </w:pPr>
      <w:r w:rsidRPr="00A91EEC">
        <w:rPr>
          <w:lang w:val="en-GB"/>
        </w:rPr>
        <w:t>For HCV, reported care provision was &gt; 80% in all groups (Figure 2). The proportion reported to be offered treatment or under management (compared to those referred or pending assessment) was lower in those diagnosed in a hospital setting and higher in those diagnosed in a correctional facility (</w:t>
      </w:r>
      <w:r w:rsidRPr="00A91EEC">
        <w:rPr>
          <w:i/>
          <w:iCs/>
          <w:lang w:val="en-GB"/>
        </w:rPr>
        <w:t>p</w:t>
      </w:r>
      <w:r w:rsidRPr="00A91EEC">
        <w:rPr>
          <w:lang w:val="en-GB"/>
        </w:rPr>
        <w:t xml:space="preserve"> &lt; 0.001), as well as being lower with increased age (Figure 2; </w:t>
      </w:r>
      <w:r w:rsidRPr="00A91EEC">
        <w:rPr>
          <w:i/>
          <w:iCs/>
          <w:lang w:val="en-GB"/>
        </w:rPr>
        <w:t>p</w:t>
      </w:r>
      <w:r w:rsidRPr="00A91EEC">
        <w:rPr>
          <w:lang w:val="en-GB"/>
        </w:rPr>
        <w:t xml:space="preserve"> = 0.023).</w:t>
      </w:r>
    </w:p>
    <w:p w14:paraId="15189379" w14:textId="77777777" w:rsidR="00A91EEC" w:rsidRDefault="00A91EEC" w:rsidP="00A91EEC">
      <w:pPr>
        <w:pStyle w:val="CDIFigure-Title"/>
        <w:rPr>
          <w:lang w:val="en-GB"/>
        </w:rPr>
      </w:pPr>
      <w:r w:rsidRPr="00A91EEC">
        <w:rPr>
          <w:lang w:val="en-GB"/>
        </w:rPr>
        <w:t xml:space="preserve">Figure 2: Reported treatment provision following notification for unspecified HCV cases in Victoria, </w:t>
      </w:r>
      <w:proofErr w:type="spellStart"/>
      <w:proofErr w:type="gramStart"/>
      <w:r w:rsidRPr="00A91EEC">
        <w:rPr>
          <w:lang w:val="en-GB"/>
        </w:rPr>
        <w:t>Australia,</w:t>
      </w:r>
      <w:r w:rsidRPr="00A91EEC">
        <w:rPr>
          <w:vertAlign w:val="superscript"/>
          <w:lang w:val="en-GB"/>
        </w:rPr>
        <w:t>a</w:t>
      </w:r>
      <w:proofErr w:type="spellEnd"/>
      <w:proofErr w:type="gramEnd"/>
      <w:r w:rsidRPr="00A91EEC">
        <w:rPr>
          <w:lang w:val="en-GB"/>
        </w:rPr>
        <w:t xml:space="preserve"> 2023–2024</w:t>
      </w:r>
    </w:p>
    <w:p w14:paraId="7908A960" w14:textId="2C0967B8" w:rsidR="00A91EEC" w:rsidRPr="00A91EEC" w:rsidRDefault="00864FDA" w:rsidP="00A91EEC">
      <w:pPr>
        <w:pStyle w:val="CDIFigure-Placeholder"/>
        <w:rPr>
          <w:lang w:val="en-GB"/>
        </w:rPr>
      </w:pPr>
      <w:r>
        <w:rPr>
          <w:noProof/>
          <w:lang w:val="en-GB"/>
          <w14:ligatures w14:val="none"/>
        </w:rPr>
        <w:drawing>
          <wp:inline distT="0" distB="0" distL="0" distR="0" wp14:anchorId="7FDCCF5D" wp14:editId="56170A5A">
            <wp:extent cx="6120765" cy="3543300"/>
            <wp:effectExtent l="0" t="0" r="0" b="0"/>
            <wp:docPr id="1541353056" name="Picture 2" descr="Figure 2 shows the distribution of care provision among hepatitis C cases according to year of notification, sex, age group, diagnostic setting and region of residence. Care provision is categorised in three groups, the first being not offered treatment, the second being treated or under management, and the third referred, assessed or pending assessment. The figure shows that there was limited variation in reported care provision according to the groups assessed here, and in all groups some follow-up was reported for more than 80% of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53056" name="Picture 2" descr="Figure 2 shows the distribution of care provision among hepatitis C cases according to year of notification, sex, age group, diagnostic setting and region of residence. Care provision is categorised in three groups, the first being not offered treatment, the second being treated or under management, and the third referred, assessed or pending assessment. The figure shows that there was limited variation in reported care provision according to the groups assessed here, and in all groups some follow-up was reported for more than 80% of cases."/>
                    <pic:cNvPicPr/>
                  </pic:nvPicPr>
                  <pic:blipFill rotWithShape="1">
                    <a:blip r:embed="rId24">
                      <a:extLst>
                        <a:ext uri="{28A0092B-C50C-407E-A947-70E740481C1C}">
                          <a14:useLocalDpi xmlns:a14="http://schemas.microsoft.com/office/drawing/2010/main" val="0"/>
                        </a:ext>
                      </a:extLst>
                    </a:blip>
                    <a:srcRect t="529" b="1093"/>
                    <a:stretch>
                      <a:fillRect/>
                    </a:stretch>
                  </pic:blipFill>
                  <pic:spPr bwMode="auto">
                    <a:xfrm>
                      <a:off x="0" y="0"/>
                      <a:ext cx="6120765" cy="3543300"/>
                    </a:xfrm>
                    <a:prstGeom prst="rect">
                      <a:avLst/>
                    </a:prstGeom>
                    <a:ln>
                      <a:noFill/>
                    </a:ln>
                    <a:extLst>
                      <a:ext uri="{53640926-AAD7-44D8-BBD7-CCE9431645EC}">
                        <a14:shadowObscured xmlns:a14="http://schemas.microsoft.com/office/drawing/2010/main"/>
                      </a:ext>
                    </a:extLst>
                  </pic:spPr>
                </pic:pic>
              </a:graphicData>
            </a:graphic>
          </wp:inline>
        </w:drawing>
      </w:r>
    </w:p>
    <w:p w14:paraId="6ADE4CD7" w14:textId="77777777" w:rsidR="00A91EEC" w:rsidRPr="00A91EEC" w:rsidRDefault="00A91EEC" w:rsidP="00A91EEC">
      <w:pPr>
        <w:pStyle w:val="CDITable-FirstFootnote"/>
        <w:rPr>
          <w:lang w:val="en-GB"/>
        </w:rPr>
      </w:pPr>
      <w:r w:rsidRPr="00A91EEC">
        <w:rPr>
          <w:lang w:val="en-GB"/>
        </w:rPr>
        <w:t>a</w:t>
      </w:r>
      <w:r w:rsidRPr="00A91EEC">
        <w:rPr>
          <w:lang w:val="en-GB"/>
        </w:rPr>
        <w:tab/>
        <w:t>Data suppressed for those aged &lt; 20 years due to low numbers. Data only reported where the number of cases was ≥ 10 in each treatment category.</w:t>
      </w:r>
    </w:p>
    <w:p w14:paraId="2E78EA53" w14:textId="77777777" w:rsidR="006E0B0E" w:rsidRDefault="008017B6" w:rsidP="008017B6">
      <w:pPr>
        <w:pStyle w:val="Heading1"/>
      </w:pPr>
      <w:bookmarkStart w:id="24" w:name="_Toc234414380"/>
      <w:bookmarkStart w:id="25" w:name="_Toc195519590"/>
      <w:bookmarkStart w:id="26" w:name="_Toc195522359"/>
      <w:r>
        <w:t>Discussion</w:t>
      </w:r>
      <w:bookmarkEnd w:id="24"/>
    </w:p>
    <w:p w14:paraId="40426ED5" w14:textId="77777777" w:rsidR="00864FDA" w:rsidRPr="00864FDA" w:rsidRDefault="00864FDA" w:rsidP="00864FDA">
      <w:pPr>
        <w:pStyle w:val="Normal-Opening"/>
        <w:rPr>
          <w:lang w:val="en-GB"/>
        </w:rPr>
      </w:pPr>
      <w:r w:rsidRPr="00864FDA">
        <w:rPr>
          <w:lang w:val="en-GB"/>
        </w:rPr>
        <w:t>This analysis demonstrates the utility of enhanced surveillance data in measuring care provision in newly diagnosed HBV and HCV, and in identifying priority cases with gaps in care engagement for public health unit follow-up. Care provision information was reported for two-thirds of cases for both conditions, and the relatively high completeness and reported follow-up across most demographic groups is encouraging. However, there was evidence of disparities in treatment and care provision. Reported HCV treatment coverage was lower in those diagnosed in hospital settings, which may be due to the more complex nature of providing care to admitted or emergency patients.</w:t>
      </w:r>
      <w:r w:rsidRPr="00864FDA">
        <w:rPr>
          <w:vertAlign w:val="superscript"/>
          <w:lang w:val="en-GB"/>
        </w:rPr>
        <w:t>11</w:t>
      </w:r>
      <w:r w:rsidRPr="00864FDA">
        <w:rPr>
          <w:lang w:val="en-GB"/>
        </w:rPr>
        <w:t xml:space="preserve"> This </w:t>
      </w:r>
      <w:proofErr w:type="gramStart"/>
      <w:r w:rsidRPr="00864FDA">
        <w:rPr>
          <w:lang w:val="en-GB"/>
        </w:rPr>
        <w:t>is in contrast to</w:t>
      </w:r>
      <w:proofErr w:type="gramEnd"/>
      <w:r w:rsidRPr="00864FDA">
        <w:rPr>
          <w:lang w:val="en-GB"/>
        </w:rPr>
        <w:t xml:space="preserve"> the correctional facility environment, where treatment coverage was higher than other settings. Although there were variations by region of residence and age group in the proportion referred compared to those offered treatment directly for HBV, </w:t>
      </w:r>
      <w:proofErr w:type="gramStart"/>
      <w:r w:rsidRPr="00864FDA">
        <w:rPr>
          <w:lang w:val="en-GB"/>
        </w:rPr>
        <w:t>overall</w:t>
      </w:r>
      <w:proofErr w:type="gramEnd"/>
      <w:r w:rsidRPr="00864FDA">
        <w:rPr>
          <w:lang w:val="en-GB"/>
        </w:rPr>
        <w:t xml:space="preserve"> the reported care coverage did not vary widely. </w:t>
      </w:r>
    </w:p>
    <w:p w14:paraId="4FA2ABEF" w14:textId="77777777" w:rsidR="00864FDA" w:rsidRPr="00864FDA" w:rsidRDefault="00864FDA" w:rsidP="00864FDA">
      <w:pPr>
        <w:rPr>
          <w:lang w:val="en-GB"/>
        </w:rPr>
      </w:pPr>
      <w:r w:rsidRPr="00864FDA">
        <w:rPr>
          <w:lang w:val="en-GB"/>
        </w:rPr>
        <w:t>There was lower data completeness in metropolitan regions, highlighting the potential impact of higher case numbers requiring follow-up in these areas.</w:t>
      </w:r>
      <w:r w:rsidRPr="00864FDA">
        <w:rPr>
          <w:vertAlign w:val="superscript"/>
          <w:lang w:val="en-GB"/>
        </w:rPr>
        <w:t>16</w:t>
      </w:r>
      <w:r w:rsidRPr="00864FDA">
        <w:rPr>
          <w:lang w:val="en-GB"/>
        </w:rPr>
        <w:t xml:space="preserve"> In some cases, the information provided highlighted barriers to care, including gaps in understanding of guidelines for treatment, demonstrating the potential need for increased support at the time of diagnosis. The high prevalence of referral reflects that the majority of hepatitis B and C treatment in Victoria is conducted by non-general practice specialists,</w:t>
      </w:r>
      <w:r w:rsidRPr="00864FDA">
        <w:rPr>
          <w:vertAlign w:val="superscript"/>
          <w:lang w:val="en-GB"/>
        </w:rPr>
        <w:t>17,18</w:t>
      </w:r>
      <w:r w:rsidRPr="00864FDA">
        <w:rPr>
          <w:lang w:val="en-GB"/>
        </w:rPr>
        <w:t xml:space="preserve"> and emphasizes the strategic need to expand community access to treatment.</w:t>
      </w:r>
      <w:r w:rsidRPr="00864FDA">
        <w:rPr>
          <w:vertAlign w:val="superscript"/>
          <w:lang w:val="en-GB"/>
        </w:rPr>
        <w:t>6,7</w:t>
      </w:r>
      <w:r w:rsidRPr="00864FDA">
        <w:rPr>
          <w:lang w:val="en-GB"/>
        </w:rPr>
        <w:t xml:space="preserve"> </w:t>
      </w:r>
    </w:p>
    <w:p w14:paraId="2EAABF66" w14:textId="77777777" w:rsidR="00864FDA" w:rsidRPr="00864FDA" w:rsidRDefault="00864FDA" w:rsidP="00864FDA">
      <w:pPr>
        <w:rPr>
          <w:lang w:val="en-GB"/>
        </w:rPr>
      </w:pPr>
      <w:r w:rsidRPr="00864FDA">
        <w:rPr>
          <w:lang w:val="en-GB"/>
        </w:rPr>
        <w:t>Increasing use is being made of surveillance data to assess viral hepatitis care engagement and guide public health follow up in jurisdictions across Australia</w:t>
      </w:r>
      <w:r w:rsidRPr="00864FDA">
        <w:rPr>
          <w:vertAlign w:val="superscript"/>
          <w:lang w:val="en-GB"/>
        </w:rPr>
        <w:t>12,19</w:t>
      </w:r>
      <w:r w:rsidRPr="00864FDA">
        <w:rPr>
          <w:lang w:val="en-GB"/>
        </w:rPr>
        <w:t xml:space="preserve"> and internationally,</w:t>
      </w:r>
      <w:r w:rsidRPr="00864FDA">
        <w:rPr>
          <w:vertAlign w:val="superscript"/>
          <w:lang w:val="en-GB"/>
        </w:rPr>
        <w:t>20</w:t>
      </w:r>
      <w:r w:rsidRPr="00864FDA">
        <w:rPr>
          <w:lang w:val="en-GB"/>
        </w:rPr>
        <w:t xml:space="preserve"> and this can in turn be used by public health units to provide additional support to diagnosing clinicians where gaps in care are evident. This can also be facilitated with additional information regarding testing and treatment provision ascertained via laboratory data. Negative hepatitis C PCR testing data is an opportunity for identifying those not requiring follow-up without the need for contacting clinicians,</w:t>
      </w:r>
      <w:r w:rsidRPr="00864FDA">
        <w:rPr>
          <w:vertAlign w:val="superscript"/>
          <w:lang w:val="en-GB"/>
        </w:rPr>
        <w:t>11</w:t>
      </w:r>
      <w:r w:rsidRPr="00864FDA">
        <w:rPr>
          <w:lang w:val="en-GB"/>
        </w:rPr>
        <w:t xml:space="preserve"> and this information would provide greater certainty regarding actual care provision by providing information about successful treatment outcomes. It would also allow for identification of re-infection and assessment of the cascade of care for those individuals. Process and regulatory changes to ensure reporting of all HBV and HCV PCR test results by laboratories is underway in Victoria to support more effective surveillance and public health responses. This would be supported by routine reflexive PCR testing of all HCV antibody positive cases. The reporting of full HBV viral load results could also assist diagnosing clinicians to identify treatment eligibility for individual cases. </w:t>
      </w:r>
    </w:p>
    <w:p w14:paraId="677D8225" w14:textId="77777777" w:rsidR="00864FDA" w:rsidRPr="00864FDA" w:rsidRDefault="00864FDA" w:rsidP="00864FDA">
      <w:pPr>
        <w:rPr>
          <w:lang w:val="en-GB"/>
        </w:rPr>
      </w:pPr>
      <w:r w:rsidRPr="00864FDA">
        <w:rPr>
          <w:lang w:val="en-GB"/>
        </w:rPr>
        <w:t>Additional insight into care provision can also be ascertained via linkage to other datasets capturing testing and prescriptions, such as national health insurance (Medicare) data. This approach using retrospective linkage has found comparable levels of uptake in New South Wales among recently diagnosed cases to those observed here,</w:t>
      </w:r>
      <w:r w:rsidRPr="00864FDA">
        <w:rPr>
          <w:vertAlign w:val="superscript"/>
          <w:lang w:val="en-GB"/>
        </w:rPr>
        <w:t>5</w:t>
      </w:r>
      <w:r w:rsidRPr="00864FDA">
        <w:rPr>
          <w:lang w:val="en-GB"/>
        </w:rPr>
        <w:t xml:space="preserve"> but the multi-year time lag usually involved is a barrier to ongoing surveillance. Ongoing real-time linkage would improve surveillance data, reducing the time burden on clinicians in providing data while allowing for tailored support as needed. Linkage to existing datasets, such as hospitalisations, can also increase completeness of variables such as Indigenous status, country of birth and injecting drug use status,</w:t>
      </w:r>
      <w:r w:rsidRPr="00864FDA">
        <w:rPr>
          <w:vertAlign w:val="superscript"/>
          <w:lang w:val="en-GB"/>
        </w:rPr>
        <w:t>21</w:t>
      </w:r>
      <w:r w:rsidRPr="00864FDA">
        <w:rPr>
          <w:lang w:val="en-GB"/>
        </w:rPr>
        <w:t xml:space="preserve"> and would allow assessment of incidence and care uptake according to those factors. </w:t>
      </w:r>
    </w:p>
    <w:p w14:paraId="54F6BA54" w14:textId="77777777" w:rsidR="00864FDA" w:rsidRPr="00864FDA" w:rsidRDefault="00864FDA" w:rsidP="00864FDA">
      <w:pPr>
        <w:keepLines/>
        <w:rPr>
          <w:lang w:val="en-GB"/>
        </w:rPr>
      </w:pPr>
      <w:r w:rsidRPr="00864FDA">
        <w:rPr>
          <w:lang w:val="en-GB"/>
        </w:rPr>
        <w:t>As these data only relate to those who have been newly diagnosed, they are not representative of the total population with chronic HBV or HCV, and this likely explains the higher care uptake for these recently diagnosed cases compared to overall population-level data.</w:t>
      </w:r>
      <w:r w:rsidRPr="00864FDA">
        <w:rPr>
          <w:vertAlign w:val="superscript"/>
          <w:lang w:val="en-GB"/>
        </w:rPr>
        <w:t>1,2</w:t>
      </w:r>
      <w:r w:rsidRPr="00864FDA">
        <w:rPr>
          <w:lang w:val="en-GB"/>
        </w:rPr>
        <w:t xml:space="preserve"> This emphasises the need to support re-engagement of those previously diagnosed and less likely to have been engaged in care, which could potentially utilise historical public health surveillance data.</w:t>
      </w:r>
      <w:r w:rsidRPr="00864FDA">
        <w:rPr>
          <w:vertAlign w:val="superscript"/>
          <w:lang w:val="en-GB"/>
        </w:rPr>
        <w:t>22–24</w:t>
      </w:r>
      <w:r w:rsidRPr="00864FDA">
        <w:rPr>
          <w:lang w:val="en-GB"/>
        </w:rPr>
        <w:t xml:space="preserve"> Additionally, comparisons according to population group are limited by sample size and data availability constraints, and the addition of further sociodemographic characteristics would assist in assessing variations in uptake and priorities for intervention.</w:t>
      </w:r>
    </w:p>
    <w:p w14:paraId="6FC23729" w14:textId="5B5D9FC8" w:rsidR="0001020A" w:rsidRDefault="00864FDA" w:rsidP="00830AEA">
      <w:r w:rsidRPr="00864FDA">
        <w:rPr>
          <w:lang w:val="en-GB"/>
        </w:rPr>
        <w:t xml:space="preserve">In the context of a commitment to the elimination of viral hepatitis as a public health concern, and the significant burden of unmanaged viral hepatitis in the Victorian community, this analysis describes specific gaps in relation to reaching this goal among newly diagnosed cases, demonstrating the potential utility of routine public health surveillance to measure access to care. It also highlights the potential for data to guide enhanced support to diagnosing clinicians, </w:t>
      </w:r>
      <w:proofErr w:type="gramStart"/>
      <w:r w:rsidRPr="00864FDA">
        <w:rPr>
          <w:lang w:val="en-GB"/>
        </w:rPr>
        <w:t>in particular</w:t>
      </w:r>
      <w:proofErr w:type="gramEnd"/>
      <w:r w:rsidRPr="00864FDA">
        <w:rPr>
          <w:lang w:val="en-GB"/>
        </w:rPr>
        <w:t xml:space="preserve"> those in primary care, as well as the potential to identify areas of priority for further improvement in systematic approaches. Without such public health approaches to support care provision, elimination of viral hepatitis in Australia will remain out of reach.</w:t>
      </w:r>
    </w:p>
    <w:p w14:paraId="45D20F31" w14:textId="77777777" w:rsidR="00F216F0" w:rsidRDefault="00F216F0" w:rsidP="00F216F0">
      <w:pPr>
        <w:pStyle w:val="Heading1"/>
      </w:pPr>
      <w:bookmarkStart w:id="27" w:name="_Toc195530510"/>
      <w:bookmarkStart w:id="28" w:name="_Toc234414381"/>
      <w:bookmarkStart w:id="29" w:name="_Toc195530508"/>
      <w:bookmarkEnd w:id="25"/>
      <w:bookmarkEnd w:id="26"/>
      <w:r>
        <w:t>Acknowledgments</w:t>
      </w:r>
      <w:bookmarkEnd w:id="27"/>
      <w:bookmarkEnd w:id="28"/>
    </w:p>
    <w:p w14:paraId="0AE77F09" w14:textId="77777777" w:rsidR="00864FDA" w:rsidRPr="00864FDA" w:rsidRDefault="00864FDA" w:rsidP="00864FDA">
      <w:pPr>
        <w:pStyle w:val="Normal-Opening"/>
        <w:rPr>
          <w:lang w:val="en-GB"/>
        </w:rPr>
      </w:pPr>
      <w:r w:rsidRPr="00864FDA">
        <w:rPr>
          <w:lang w:val="en-GB"/>
        </w:rPr>
        <w:t>We would like to express our gratitude to the staff of Victoria’s Local Public Health Units, who conducted the enhanced follow-up reported on in this publication, and their ongoing efforts to enhance the public health response to viral hepatitis. We would also like to thank the staff of the Victorian Government Department of Health who supported the integration of viral hepatitis follow-up into LPHUs.</w:t>
      </w:r>
    </w:p>
    <w:p w14:paraId="6E012554" w14:textId="77777777" w:rsidR="00864FDA" w:rsidRPr="00864FDA" w:rsidRDefault="00864FDA" w:rsidP="00864FDA">
      <w:pPr>
        <w:pStyle w:val="Heading2"/>
        <w:rPr>
          <w:lang w:val="en-GB"/>
        </w:rPr>
      </w:pPr>
      <w:bookmarkStart w:id="30" w:name="_Toc234414382"/>
      <w:r w:rsidRPr="00864FDA">
        <w:rPr>
          <w:lang w:val="en-GB"/>
        </w:rPr>
        <w:t>Funding</w:t>
      </w:r>
      <w:bookmarkEnd w:id="30"/>
    </w:p>
    <w:p w14:paraId="3D01F609" w14:textId="77777777" w:rsidR="00864FDA" w:rsidRPr="00864FDA" w:rsidRDefault="00864FDA" w:rsidP="00864FDA">
      <w:pPr>
        <w:rPr>
          <w:lang w:val="en-GB"/>
        </w:rPr>
      </w:pPr>
      <w:r w:rsidRPr="00864FDA">
        <w:rPr>
          <w:lang w:val="en-GB"/>
        </w:rPr>
        <w:t>Work to enhance care engagement at the time of notification and to expand the scope of available data in pilot projects has been supported by grants provided by the Paul Ramsay Foundation, the Victorian Government Department of Health, the Victorian Medical Research Acceleration Fund, and the Royal Melbourne Hospital Foundation.</w:t>
      </w:r>
    </w:p>
    <w:p w14:paraId="0F488E1D" w14:textId="77777777" w:rsidR="00864FDA" w:rsidRPr="00864FDA" w:rsidRDefault="00864FDA" w:rsidP="00864FDA">
      <w:pPr>
        <w:pStyle w:val="Heading2"/>
        <w:rPr>
          <w:lang w:val="en-GB"/>
        </w:rPr>
      </w:pPr>
      <w:bookmarkStart w:id="31" w:name="_Toc234414383"/>
      <w:r w:rsidRPr="00864FDA">
        <w:rPr>
          <w:lang w:val="en-GB"/>
        </w:rPr>
        <w:t>Competing interests</w:t>
      </w:r>
      <w:bookmarkEnd w:id="31"/>
    </w:p>
    <w:p w14:paraId="6D80B604" w14:textId="77777777" w:rsidR="00864FDA" w:rsidRPr="00864FDA" w:rsidRDefault="00864FDA" w:rsidP="00864FDA">
      <w:pPr>
        <w:rPr>
          <w:lang w:val="en-GB"/>
        </w:rPr>
      </w:pPr>
      <w:r w:rsidRPr="00864FDA">
        <w:rPr>
          <w:lang w:val="en-GB"/>
        </w:rPr>
        <w:t xml:space="preserve">No relevant competing interests to declare. </w:t>
      </w:r>
    </w:p>
    <w:p w14:paraId="7DD39C3A" w14:textId="77777777" w:rsidR="00864FDA" w:rsidRPr="00864FDA" w:rsidRDefault="00864FDA" w:rsidP="00864FDA">
      <w:pPr>
        <w:pStyle w:val="Heading2"/>
        <w:rPr>
          <w:lang w:val="en-GB"/>
        </w:rPr>
      </w:pPr>
      <w:bookmarkStart w:id="32" w:name="_Toc234414384"/>
      <w:r w:rsidRPr="00864FDA">
        <w:rPr>
          <w:lang w:val="en-GB"/>
        </w:rPr>
        <w:t>Ethical statement</w:t>
      </w:r>
      <w:bookmarkEnd w:id="32"/>
    </w:p>
    <w:p w14:paraId="269DAAA3" w14:textId="51317BF2" w:rsidR="00F216F0" w:rsidRPr="008017B6" w:rsidRDefault="00864FDA" w:rsidP="00F216F0">
      <w:r w:rsidRPr="00864FDA">
        <w:rPr>
          <w:lang w:val="en-GB"/>
        </w:rPr>
        <w:t xml:space="preserve">An exemption from ethical review was granted by the Victorian Government Department of Health, as these activities were undertaken as part of active follow-up of new cases under the auspices of the </w:t>
      </w:r>
      <w:r w:rsidRPr="00864FDA">
        <w:rPr>
          <w:i/>
          <w:iCs/>
          <w:lang w:val="en-GB"/>
        </w:rPr>
        <w:t>Public Health and Wellbeing Act 2008</w:t>
      </w:r>
      <w:r w:rsidRPr="00864FDA">
        <w:rPr>
          <w:lang w:val="en-GB"/>
        </w:rPr>
        <w:t xml:space="preserve"> (Victoria) and its associated regulations and in accordance with all relevant privacy and confidentiality requirements.</w:t>
      </w:r>
    </w:p>
    <w:p w14:paraId="09A7EEE8" w14:textId="77777777" w:rsidR="008A0736" w:rsidRDefault="008A0736" w:rsidP="008A0736">
      <w:pPr>
        <w:pStyle w:val="Heading1"/>
      </w:pPr>
      <w:bookmarkStart w:id="33" w:name="_Toc234414385"/>
      <w:r>
        <w:t>Author details</w:t>
      </w:r>
      <w:bookmarkEnd w:id="29"/>
      <w:bookmarkEnd w:id="33"/>
    </w:p>
    <w:p w14:paraId="24CE6109" w14:textId="77777777" w:rsidR="00864FDA" w:rsidRPr="00864FDA" w:rsidRDefault="00864FDA" w:rsidP="00864FDA">
      <w:pPr>
        <w:pStyle w:val="Normal-Opening"/>
        <w:rPr>
          <w:lang w:val="en-GB"/>
        </w:rPr>
      </w:pPr>
      <w:r w:rsidRPr="00864FDA">
        <w:rPr>
          <w:lang w:val="en-GB"/>
        </w:rPr>
        <w:t>Jennifer H MacLachlan,</w:t>
      </w:r>
      <w:r w:rsidRPr="00864FDA">
        <w:rPr>
          <w:vertAlign w:val="superscript"/>
          <w:lang w:val="en-GB"/>
        </w:rPr>
        <w:t>1,2</w:t>
      </w:r>
      <w:r w:rsidRPr="00864FDA">
        <w:rPr>
          <w:lang w:val="en-GB"/>
        </w:rPr>
        <w:t xml:space="preserve"> </w:t>
      </w:r>
    </w:p>
    <w:p w14:paraId="1C6D4FD1" w14:textId="77777777" w:rsidR="00864FDA" w:rsidRPr="00864FDA" w:rsidRDefault="00864FDA" w:rsidP="00864FDA">
      <w:pPr>
        <w:pStyle w:val="Normal-lessspace"/>
      </w:pPr>
      <w:r w:rsidRPr="00864FDA">
        <w:t>Nicole R Romero,</w:t>
      </w:r>
      <w:r w:rsidRPr="00864FDA">
        <w:rPr>
          <w:vertAlign w:val="superscript"/>
        </w:rPr>
        <w:t xml:space="preserve">1,2 </w:t>
      </w:r>
    </w:p>
    <w:p w14:paraId="289BCB96" w14:textId="77777777" w:rsidR="00864FDA" w:rsidRPr="00864FDA" w:rsidRDefault="00864FDA" w:rsidP="00864FDA">
      <w:pPr>
        <w:pStyle w:val="Normal-lessspace"/>
      </w:pPr>
      <w:r w:rsidRPr="00864FDA">
        <w:t>Nasra Higgins,</w:t>
      </w:r>
      <w:r w:rsidRPr="00864FDA">
        <w:rPr>
          <w:vertAlign w:val="superscript"/>
        </w:rPr>
        <w:t>3</w:t>
      </w:r>
      <w:r w:rsidRPr="00864FDA">
        <w:t xml:space="preserve"> </w:t>
      </w:r>
    </w:p>
    <w:p w14:paraId="7BDDF7FB" w14:textId="77777777" w:rsidR="00864FDA" w:rsidRPr="00864FDA" w:rsidRDefault="00864FDA" w:rsidP="00864FDA">
      <w:pPr>
        <w:pStyle w:val="Normal-lessspace"/>
      </w:pPr>
      <w:r w:rsidRPr="00864FDA">
        <w:t>Amelia Savage,</w:t>
      </w:r>
      <w:r w:rsidRPr="00864FDA">
        <w:rPr>
          <w:vertAlign w:val="superscript"/>
        </w:rPr>
        <w:t>1,2</w:t>
      </w:r>
      <w:r w:rsidRPr="00864FDA">
        <w:t xml:space="preserve"> </w:t>
      </w:r>
    </w:p>
    <w:p w14:paraId="0D7F44C2" w14:textId="77777777" w:rsidR="00864FDA" w:rsidRPr="00864FDA" w:rsidRDefault="00864FDA" w:rsidP="00864FDA">
      <w:pPr>
        <w:pStyle w:val="Normal-lessspace"/>
      </w:pPr>
      <w:r w:rsidRPr="00864FDA">
        <w:t>Irene Guan,</w:t>
      </w:r>
      <w:r w:rsidRPr="00864FDA">
        <w:rPr>
          <w:vertAlign w:val="superscript"/>
        </w:rPr>
        <w:t>1,3</w:t>
      </w:r>
      <w:r w:rsidRPr="00864FDA">
        <w:t xml:space="preserve"> </w:t>
      </w:r>
    </w:p>
    <w:p w14:paraId="667D8198" w14:textId="77777777" w:rsidR="00864FDA" w:rsidRPr="00864FDA" w:rsidRDefault="00864FDA" w:rsidP="00864FDA">
      <w:pPr>
        <w:pStyle w:val="Normal-lessspace"/>
      </w:pPr>
      <w:r w:rsidRPr="00864FDA">
        <w:t>Mielle Abbott,</w:t>
      </w:r>
      <w:r w:rsidRPr="00864FDA">
        <w:rPr>
          <w:vertAlign w:val="superscript"/>
        </w:rPr>
        <w:t>1,2,4</w:t>
      </w:r>
      <w:r w:rsidRPr="00864FDA">
        <w:t xml:space="preserve"> </w:t>
      </w:r>
    </w:p>
    <w:p w14:paraId="77E18A1E" w14:textId="77777777" w:rsidR="00864FDA" w:rsidRPr="00864FDA" w:rsidRDefault="00864FDA" w:rsidP="00864FDA">
      <w:pPr>
        <w:pStyle w:val="Normal-lessspace"/>
      </w:pPr>
      <w:r w:rsidRPr="00864FDA">
        <w:t>Nicole L Allard,</w:t>
      </w:r>
      <w:r w:rsidRPr="00864FDA">
        <w:rPr>
          <w:vertAlign w:val="superscript"/>
        </w:rPr>
        <w:t>1,2,5</w:t>
      </w:r>
      <w:r w:rsidRPr="00864FDA">
        <w:t xml:space="preserve"> </w:t>
      </w:r>
    </w:p>
    <w:p w14:paraId="227CA24D" w14:textId="77777777" w:rsidR="00864FDA" w:rsidRPr="00864FDA" w:rsidRDefault="00864FDA" w:rsidP="00864FDA">
      <w:pPr>
        <w:pStyle w:val="Normal-lessspace"/>
      </w:pPr>
      <w:r w:rsidRPr="00864FDA">
        <w:t>Benjamin C Cowie</w:t>
      </w:r>
      <w:r w:rsidRPr="00864FDA">
        <w:rPr>
          <w:vertAlign w:val="superscript"/>
        </w:rPr>
        <w:t>1,2,4</w:t>
      </w:r>
    </w:p>
    <w:p w14:paraId="226B3220" w14:textId="77777777" w:rsidR="00864FDA" w:rsidRPr="00864FDA" w:rsidRDefault="00864FDA" w:rsidP="00864FDA">
      <w:pPr>
        <w:pStyle w:val="CDINumberedList1L1"/>
        <w:ind w:left="397" w:hanging="397"/>
        <w:rPr>
          <w:lang w:val="en-GB"/>
        </w:rPr>
      </w:pPr>
      <w:r w:rsidRPr="00864FDA">
        <w:rPr>
          <w:lang w:val="en-GB"/>
        </w:rPr>
        <w:t>World Health Organization (WHO) Collaborating Centre for Viral Hepatitis, The Doherty Institute, Melbourne, Victoria</w:t>
      </w:r>
    </w:p>
    <w:p w14:paraId="056EBA6A" w14:textId="77777777" w:rsidR="00864FDA" w:rsidRPr="00864FDA" w:rsidRDefault="00864FDA" w:rsidP="00864FDA">
      <w:pPr>
        <w:pStyle w:val="CDINumberedList1L1"/>
        <w:ind w:left="397" w:hanging="397"/>
        <w:rPr>
          <w:lang w:val="en-GB"/>
        </w:rPr>
      </w:pPr>
      <w:r w:rsidRPr="00864FDA">
        <w:rPr>
          <w:lang w:val="en-GB"/>
        </w:rPr>
        <w:t>Department of Infectious Diseases, University of Melbourne, Parkville, Victoria</w:t>
      </w:r>
    </w:p>
    <w:p w14:paraId="03F21E3F" w14:textId="77777777" w:rsidR="00864FDA" w:rsidRPr="00864FDA" w:rsidRDefault="00864FDA" w:rsidP="00864FDA">
      <w:pPr>
        <w:pStyle w:val="CDINumberedList1L1"/>
        <w:ind w:left="397" w:hanging="397"/>
        <w:rPr>
          <w:lang w:val="en-GB"/>
        </w:rPr>
      </w:pPr>
      <w:r w:rsidRPr="00864FDA">
        <w:rPr>
          <w:lang w:val="en-GB"/>
        </w:rPr>
        <w:t>Victorian Government Department of Health, Melbourne, Victoria</w:t>
      </w:r>
    </w:p>
    <w:p w14:paraId="7A7F1107" w14:textId="77777777" w:rsidR="00864FDA" w:rsidRPr="00864FDA" w:rsidRDefault="00864FDA" w:rsidP="00864FDA">
      <w:pPr>
        <w:pStyle w:val="CDINumberedList1L1"/>
        <w:ind w:left="397" w:hanging="397"/>
        <w:rPr>
          <w:lang w:val="en-GB"/>
        </w:rPr>
      </w:pPr>
      <w:r w:rsidRPr="00864FDA">
        <w:rPr>
          <w:lang w:val="en-GB"/>
        </w:rPr>
        <w:t>Victorian Infectious Diseases Service, Royal Melbourne Hospital, Parkville, Victoria</w:t>
      </w:r>
    </w:p>
    <w:p w14:paraId="77BD37F2" w14:textId="77777777" w:rsidR="00864FDA" w:rsidRPr="00864FDA" w:rsidRDefault="00864FDA" w:rsidP="00864FDA">
      <w:pPr>
        <w:pStyle w:val="CDINumberedList1L1"/>
        <w:ind w:left="397" w:hanging="397"/>
        <w:rPr>
          <w:lang w:val="en-GB"/>
        </w:rPr>
      </w:pPr>
      <w:proofErr w:type="spellStart"/>
      <w:r w:rsidRPr="00864FDA">
        <w:rPr>
          <w:lang w:val="en-GB"/>
        </w:rPr>
        <w:t>cohealth</w:t>
      </w:r>
      <w:proofErr w:type="spellEnd"/>
      <w:r w:rsidRPr="00864FDA">
        <w:rPr>
          <w:lang w:val="en-GB"/>
        </w:rPr>
        <w:t xml:space="preserve">, </w:t>
      </w:r>
      <w:proofErr w:type="spellStart"/>
      <w:r w:rsidRPr="00864FDA">
        <w:rPr>
          <w:lang w:val="en-GB"/>
        </w:rPr>
        <w:t>Footscray</w:t>
      </w:r>
      <w:proofErr w:type="spellEnd"/>
      <w:r w:rsidRPr="00864FDA">
        <w:rPr>
          <w:lang w:val="en-GB"/>
        </w:rPr>
        <w:t>, Victoria</w:t>
      </w:r>
    </w:p>
    <w:p w14:paraId="2AE6A307" w14:textId="77777777" w:rsidR="00423436" w:rsidRDefault="00423436" w:rsidP="00423436">
      <w:pPr>
        <w:pStyle w:val="CDICorrespondingauthor"/>
      </w:pPr>
      <w:r>
        <w:t>Corresponding author</w:t>
      </w:r>
    </w:p>
    <w:p w14:paraId="6CFD2616" w14:textId="77777777" w:rsidR="00864FDA" w:rsidRPr="00864FDA" w:rsidRDefault="00864FDA" w:rsidP="00864FDA">
      <w:pPr>
        <w:rPr>
          <w:lang w:val="en-GB"/>
        </w:rPr>
      </w:pPr>
      <w:r w:rsidRPr="00864FDA">
        <w:rPr>
          <w:lang w:val="en-GB"/>
        </w:rPr>
        <w:t>Jennifer MacLachlan</w:t>
      </w:r>
    </w:p>
    <w:p w14:paraId="46AB128D" w14:textId="77777777" w:rsidR="00864FDA" w:rsidRPr="00864FDA" w:rsidRDefault="00864FDA" w:rsidP="00864FDA">
      <w:pPr>
        <w:pStyle w:val="Normal-lessspace"/>
      </w:pPr>
      <w:r w:rsidRPr="00864FDA">
        <w:t xml:space="preserve">Level 5, 792 Elizabeth St, Melbourne VIC 3000 Australia </w:t>
      </w:r>
    </w:p>
    <w:p w14:paraId="2BF38F1B" w14:textId="77777777" w:rsidR="00864FDA" w:rsidRPr="00864FDA" w:rsidRDefault="00864FDA" w:rsidP="00864FDA">
      <w:pPr>
        <w:pStyle w:val="Normal-lessspace"/>
      </w:pPr>
      <w:r w:rsidRPr="00864FDA">
        <w:t>Phone: +61 424 723 100</w:t>
      </w:r>
    </w:p>
    <w:p w14:paraId="6D09021B" w14:textId="0670B4F8" w:rsidR="008A0736" w:rsidRPr="00864FDA" w:rsidRDefault="00864FDA" w:rsidP="00864FDA">
      <w:pPr>
        <w:pStyle w:val="Normal-lessspace"/>
      </w:pPr>
      <w:r w:rsidRPr="00864FDA">
        <w:t xml:space="preserve">Email: </w:t>
      </w:r>
      <w:hyperlink r:id="rId25" w:history="1">
        <w:r w:rsidRPr="00864FDA">
          <w:rPr>
            <w:rStyle w:val="Hyperlink"/>
          </w:rPr>
          <w:t>Jennifer.maclachlan@vidrl.org.au</w:t>
        </w:r>
      </w:hyperlink>
    </w:p>
    <w:p w14:paraId="0DA2B95A" w14:textId="77777777" w:rsidR="008A0736" w:rsidRDefault="008A0736" w:rsidP="00122ADA">
      <w:pPr>
        <w:pStyle w:val="Heading1"/>
      </w:pPr>
      <w:bookmarkStart w:id="34" w:name="_Toc195530511"/>
      <w:bookmarkStart w:id="35" w:name="_Toc234414386"/>
      <w:r>
        <w:t>References</w:t>
      </w:r>
      <w:bookmarkEnd w:id="34"/>
      <w:bookmarkEnd w:id="35"/>
    </w:p>
    <w:p w14:paraId="3D6DC1A4" w14:textId="77777777" w:rsidR="00864FDA" w:rsidRDefault="00864FDA" w:rsidP="002D6A64">
      <w:pPr>
        <w:pStyle w:val="CDINumberedList1L1"/>
        <w:numPr>
          <w:ilvl w:val="0"/>
          <w:numId w:val="10"/>
        </w:numPr>
        <w:spacing w:before="360"/>
        <w:ind w:left="397" w:hanging="397"/>
      </w:pPr>
      <w:r>
        <w:t xml:space="preserve">Nguyen A, Romero N, Allard N, MacLachlan JH, Cowie BC. </w:t>
      </w:r>
      <w:r w:rsidRPr="00864FDA">
        <w:rPr>
          <w:i/>
          <w:iCs/>
        </w:rPr>
        <w:t>Surveillance for Hepatitis B Indicators: Tracking Australia’s progress towards hepatitis B elimination – National Report 2023</w:t>
      </w:r>
      <w:r>
        <w:t xml:space="preserve">. Melbourne: WHO Collaborating Centre for Viral Hepatitis, The Peter Doherty Institute for Infection and Immunity; 2025. Available from: </w:t>
      </w:r>
      <w:hyperlink r:id="rId26" w:history="1">
        <w:r>
          <w:rPr>
            <w:rStyle w:val="Hyperlink"/>
          </w:rPr>
          <w:t>https://www.doherty.edu.au/wp-content/uploads/2026/01/National_Surveillance_for_Hepatitis_B_Indicators_2023_Final_with_cover.pdf</w:t>
        </w:r>
      </w:hyperlink>
      <w:r>
        <w:t>.</w:t>
      </w:r>
    </w:p>
    <w:p w14:paraId="36AA858C" w14:textId="77777777" w:rsidR="00864FDA" w:rsidRDefault="00864FDA" w:rsidP="00864FDA">
      <w:pPr>
        <w:pStyle w:val="CDINumberedList1L1"/>
        <w:ind w:left="397" w:hanging="397"/>
      </w:pPr>
      <w:r>
        <w:t xml:space="preserve">King J, McManus H, Kwon JA, Gray R, McGregor S. </w:t>
      </w:r>
      <w:r w:rsidRPr="00864FDA">
        <w:rPr>
          <w:i/>
          <w:iCs/>
        </w:rPr>
        <w:t>HIV, viral hepatitis and sexually transmissible infections in Australia annual surveillance report 2024: Hepatitis C</w:t>
      </w:r>
      <w:r>
        <w:t xml:space="preserve">. Sydney: University of New South Wales, The Kirby Institute; 2024. Available from: </w:t>
      </w:r>
      <w:hyperlink r:id="rId27" w:history="1">
        <w:r>
          <w:rPr>
            <w:rStyle w:val="Hyperlink"/>
          </w:rPr>
          <w:t>https://www.kirby.unsw.edu.au/sites/default/files/documents/Annual-Surveillance-Report-2024-HCV.pdf</w:t>
        </w:r>
      </w:hyperlink>
      <w:r>
        <w:t>.</w:t>
      </w:r>
    </w:p>
    <w:p w14:paraId="46D224F3" w14:textId="77777777" w:rsidR="00864FDA" w:rsidRDefault="00864FDA" w:rsidP="00864FDA">
      <w:pPr>
        <w:pStyle w:val="CDINumberedList1L1"/>
        <w:ind w:left="397" w:hanging="397"/>
      </w:pPr>
      <w:r>
        <w:t xml:space="preserve">Lubel JS, Strasser SI, Thompson AJ, Cowie BC, MacLachlan J, Allard NL et al. Australian consensus recommendations for the management of hepatitis B. </w:t>
      </w:r>
      <w:r w:rsidRPr="00864FDA">
        <w:rPr>
          <w:i/>
          <w:iCs/>
        </w:rPr>
        <w:t>Med J Aust</w:t>
      </w:r>
      <w:r>
        <w:t xml:space="preserve">. 2022;216(9):478–86. doi: </w:t>
      </w:r>
      <w:hyperlink r:id="rId28" w:history="1">
        <w:r>
          <w:rPr>
            <w:rStyle w:val="Hyperlink"/>
          </w:rPr>
          <w:t>https://doi.org/10.5694/mja2.51430</w:t>
        </w:r>
      </w:hyperlink>
      <w:r>
        <w:t>.</w:t>
      </w:r>
    </w:p>
    <w:p w14:paraId="06E056FF" w14:textId="77777777" w:rsidR="00864FDA" w:rsidRDefault="00864FDA" w:rsidP="00864FDA">
      <w:pPr>
        <w:pStyle w:val="CDINumberedList1L1"/>
        <w:ind w:left="397" w:hanging="397"/>
      </w:pPr>
      <w:r>
        <w:t xml:space="preserve">Hepatitis C Virus Infection Consensus Statement Working Group. </w:t>
      </w:r>
      <w:r w:rsidRPr="00864FDA">
        <w:rPr>
          <w:i/>
          <w:iCs/>
        </w:rPr>
        <w:t>Australian recommendations for the management of hepatitis C virus infection: a consensus statement (2022)</w:t>
      </w:r>
      <w:r>
        <w:t xml:space="preserve">. Melbourne: Gastroenterological Society of Australia; November 2022. Available from: </w:t>
      </w:r>
      <w:hyperlink r:id="rId29" w:history="1">
        <w:r>
          <w:rPr>
            <w:rStyle w:val="Hyperlink"/>
          </w:rPr>
          <w:t>https://www.hepcguidelines.org.au/wp-content/uploads/2022/11/hepatitis-C-virus-infection-a-consensus-statement-2022.pdf</w:t>
        </w:r>
      </w:hyperlink>
      <w:r>
        <w:t>.</w:t>
      </w:r>
    </w:p>
    <w:p w14:paraId="67762A82" w14:textId="77777777" w:rsidR="00864FDA" w:rsidRDefault="00864FDA" w:rsidP="00864FDA">
      <w:pPr>
        <w:pStyle w:val="CDINumberedList1L1"/>
        <w:ind w:left="397" w:hanging="397"/>
      </w:pPr>
      <w:r>
        <w:t xml:space="preserve">Shah SHBU, Valerio H, </w:t>
      </w:r>
      <w:proofErr w:type="spellStart"/>
      <w:r>
        <w:t>Hajarizadeh</w:t>
      </w:r>
      <w:proofErr w:type="spellEnd"/>
      <w:r>
        <w:t xml:space="preserve"> B, Matthews G, Alavi M, Dore GJ. Cascade of care among people with hepatitis B in New South Wales, Australia. </w:t>
      </w:r>
      <w:r w:rsidRPr="00864FDA">
        <w:rPr>
          <w:i/>
          <w:iCs/>
        </w:rPr>
        <w:t>J Viral Hepat</w:t>
      </w:r>
      <w:r>
        <w:t xml:space="preserve">. 2023;30(12):926–38. doi: </w:t>
      </w:r>
      <w:hyperlink r:id="rId30" w:history="1">
        <w:r>
          <w:rPr>
            <w:rStyle w:val="Hyperlink"/>
          </w:rPr>
          <w:t>https://doi.org/10.1111/jvh.13881</w:t>
        </w:r>
      </w:hyperlink>
      <w:r>
        <w:t>.</w:t>
      </w:r>
    </w:p>
    <w:p w14:paraId="3B49AE12" w14:textId="77777777" w:rsidR="00864FDA" w:rsidRDefault="00864FDA" w:rsidP="00864FDA">
      <w:pPr>
        <w:pStyle w:val="CDINumberedList1L1"/>
        <w:ind w:left="397" w:hanging="397"/>
      </w:pPr>
      <w:r>
        <w:t xml:space="preserve">Australian Government Department of Health, Disability and Ageing. </w:t>
      </w:r>
      <w:r w:rsidRPr="00864FDA">
        <w:rPr>
          <w:i/>
          <w:iCs/>
        </w:rPr>
        <w:t>Sixth National Hepatitis C Strategy 2023–2030</w:t>
      </w:r>
      <w:r>
        <w:t xml:space="preserve">. [Draft for consultation.] Canberra: Australian Government Department of Health, Disability and Ageing; 31 May 2023. Available from: </w:t>
      </w:r>
      <w:hyperlink r:id="rId31" w:history="1">
        <w:r>
          <w:rPr>
            <w:rStyle w:val="Hyperlink"/>
          </w:rPr>
          <w:t>https://www.health.gov.au/resources/publications/draft-sixth-national-hepatitis-c-strategy-2023-2030-for-public-consultation</w:t>
        </w:r>
      </w:hyperlink>
      <w:r>
        <w:t>.</w:t>
      </w:r>
    </w:p>
    <w:p w14:paraId="14A7B126" w14:textId="77777777" w:rsidR="00864FDA" w:rsidRDefault="00864FDA" w:rsidP="00864FDA">
      <w:pPr>
        <w:pStyle w:val="CDINumberedList1L1"/>
        <w:ind w:left="397" w:hanging="397"/>
      </w:pPr>
      <w:r>
        <w:t xml:space="preserve">Australian Government Department of Health, Disability and Ageing. </w:t>
      </w:r>
      <w:r w:rsidRPr="00864FDA">
        <w:rPr>
          <w:i/>
          <w:iCs/>
        </w:rPr>
        <w:t>Fourth National Hepatitis B Strategy 2023–2030</w:t>
      </w:r>
      <w:r>
        <w:t xml:space="preserve">. [Draft for consultation.] Canberra: Australian Government Department of Health, Disability and Ageing; 31 May 2023. Available from: </w:t>
      </w:r>
      <w:hyperlink r:id="rId32" w:history="1">
        <w:r>
          <w:rPr>
            <w:rStyle w:val="Hyperlink"/>
          </w:rPr>
          <w:t>https://www.health.gov.au/resources/publications/draft-fourth-national-hepatitis-b-strategy-2023-2030-for-public-consultation</w:t>
        </w:r>
      </w:hyperlink>
      <w:r>
        <w:t>.</w:t>
      </w:r>
    </w:p>
    <w:p w14:paraId="0043B2A9" w14:textId="77777777" w:rsidR="00864FDA" w:rsidRDefault="00864FDA" w:rsidP="00864FDA">
      <w:pPr>
        <w:pStyle w:val="CDINumberedList1L1"/>
        <w:ind w:left="397" w:hanging="397"/>
      </w:pPr>
      <w:r>
        <w:t xml:space="preserve">Australian Centre for Disease Control (Australian CDC). CDNA surveillance case definitions. [Webpage.] Canberra: Australian CDC, Communicable Diseases Network Australia; 2025. [Accessed on 27 February 2025.] Available from: </w:t>
      </w:r>
      <w:hyperlink r:id="rId33" w:history="1">
        <w:r>
          <w:rPr>
            <w:rStyle w:val="Hyperlink"/>
          </w:rPr>
          <w:t>https://www.cdc.gov.au/resources/collections/cdna-surveillance-case-definitions</w:t>
        </w:r>
      </w:hyperlink>
      <w:r>
        <w:t>.</w:t>
      </w:r>
    </w:p>
    <w:p w14:paraId="4029A52F" w14:textId="77777777" w:rsidR="00864FDA" w:rsidRDefault="00864FDA" w:rsidP="00864FDA">
      <w:pPr>
        <w:pStyle w:val="CDINumberedList1L1"/>
        <w:ind w:left="397" w:hanging="397"/>
      </w:pPr>
      <w:r>
        <w:t xml:space="preserve">MacLachlan JH, Mondel A, Purcell I, Cowie BC. </w:t>
      </w:r>
      <w:r w:rsidRPr="00864FDA">
        <w:rPr>
          <w:i/>
          <w:iCs/>
        </w:rPr>
        <w:t>Viral Hepatitis Mapping Project: Hepatitis B. Geographic diversity in chronic hepatitis B prevalence, management and treatment. National Report 2023</w:t>
      </w:r>
      <w:r>
        <w:t xml:space="preserve">. Darlinghurst: ASHM Health; August 2025. Available from: </w:t>
      </w:r>
      <w:hyperlink r:id="rId34" w:history="1">
        <w:r>
          <w:rPr>
            <w:rStyle w:val="Hyperlink"/>
          </w:rPr>
          <w:t>https://ashm.org.au/resources/viral-hepatitis-mapping-project/</w:t>
        </w:r>
      </w:hyperlink>
      <w:r>
        <w:t>.</w:t>
      </w:r>
    </w:p>
    <w:p w14:paraId="18B2C0DD" w14:textId="77777777" w:rsidR="00864FDA" w:rsidRDefault="00864FDA" w:rsidP="00864FDA">
      <w:pPr>
        <w:pStyle w:val="CDINumberedList1L1"/>
        <w:ind w:left="397" w:hanging="397"/>
      </w:pPr>
      <w:r>
        <w:t xml:space="preserve">MacLachlan JH, Purcell I, Mondel A, Cowie BC. </w:t>
      </w:r>
      <w:r w:rsidRPr="00864FDA">
        <w:rPr>
          <w:i/>
          <w:iCs/>
        </w:rPr>
        <w:t>Viral Hepatitis Mapping Project: Hepatitis C. Geographic diversity in chronic hepatitis C prevalence and treatment. National Report 2023–2024</w:t>
      </w:r>
      <w:r>
        <w:t xml:space="preserve">. Darlinghurst: ASHM Health; April 2025. Available from: </w:t>
      </w:r>
      <w:hyperlink r:id="rId35" w:history="1">
        <w:r>
          <w:rPr>
            <w:rStyle w:val="Hyperlink"/>
          </w:rPr>
          <w:t>https://ashm.org.au/resources/viral-hepatitis-mapping-project/</w:t>
        </w:r>
      </w:hyperlink>
      <w:r>
        <w:t>.</w:t>
      </w:r>
    </w:p>
    <w:p w14:paraId="1C9D9669" w14:textId="6A2DEFC1" w:rsidR="00864FDA" w:rsidRDefault="00864FDA" w:rsidP="00864FDA">
      <w:pPr>
        <w:pStyle w:val="CDINumberedList1L1"/>
        <w:ind w:left="397" w:hanging="397"/>
      </w:pPr>
      <w:r>
        <w:t xml:space="preserve">Abbott M, MacLachlan JH, Romero N, Matthews N, Higgins N, Lee A et al. A pilot project harnessing surveillance systems to support clinicians providing clinical care for people diagnosed with hepatitis C in Victoria, Australia, September 2021 to 31 March 2022. </w:t>
      </w:r>
      <w:r w:rsidRPr="00864FDA">
        <w:rPr>
          <w:i/>
          <w:iCs/>
        </w:rPr>
        <w:t xml:space="preserve">Euro </w:t>
      </w:r>
      <w:proofErr w:type="spellStart"/>
      <w:r w:rsidRPr="00864FDA">
        <w:rPr>
          <w:i/>
          <w:iCs/>
        </w:rPr>
        <w:t>Surveill</w:t>
      </w:r>
      <w:proofErr w:type="spellEnd"/>
      <w:r>
        <w:t xml:space="preserve">. 2024;29(29):2400028. </w:t>
      </w:r>
      <w:r>
        <w:br/>
        <w:t xml:space="preserve">doi: </w:t>
      </w:r>
      <w:r>
        <w:rPr>
          <w:rStyle w:val="Hyperlink"/>
        </w:rPr>
        <w:t>https://doi.org/10.2807/1560-7917.ES.2024.29.29.2400028</w:t>
      </w:r>
      <w:r>
        <w:t>.</w:t>
      </w:r>
    </w:p>
    <w:p w14:paraId="649FEF7E" w14:textId="77777777" w:rsidR="00864FDA" w:rsidRDefault="00864FDA" w:rsidP="00864FDA">
      <w:pPr>
        <w:pStyle w:val="CDINumberedList1L1"/>
        <w:ind w:left="397" w:hanging="397"/>
      </w:pPr>
      <w:r>
        <w:t xml:space="preserve">Armstrong AE, Lambert SB, Emeto TI, Farmer J, Quagliotto C. Enhancing notification-driven linkage to care for people living with hepatitis C in Queensland: system constraints and solutions. </w:t>
      </w:r>
      <w:r w:rsidRPr="00864FDA">
        <w:rPr>
          <w:i/>
          <w:iCs/>
        </w:rPr>
        <w:t>Commun Dis Intell (2018)</w:t>
      </w:r>
      <w:r>
        <w:t xml:space="preserve">. 2025;49. doi: </w:t>
      </w:r>
      <w:hyperlink r:id="rId36" w:history="1">
        <w:r>
          <w:rPr>
            <w:rStyle w:val="Hyperlink"/>
          </w:rPr>
          <w:t>https://doi.org/10.33321/cdi.2025.49.035</w:t>
        </w:r>
      </w:hyperlink>
      <w:r>
        <w:t>.</w:t>
      </w:r>
    </w:p>
    <w:p w14:paraId="66B39B33" w14:textId="7F53A383" w:rsidR="00864FDA" w:rsidRDefault="00864FDA" w:rsidP="00864FDA">
      <w:pPr>
        <w:pStyle w:val="CDINumberedList1L1"/>
        <w:ind w:left="397" w:hanging="397"/>
      </w:pPr>
      <w:r>
        <w:t xml:space="preserve">MacLachlan JH, Romero N, Higgins N, Coutts R, Chan R, Stephens N et al. Epidemiology of chronic hepatitis B and C in Victoria, Australia: insights and impacts from enhanced surveillance. </w:t>
      </w:r>
      <w:r w:rsidRPr="00864FDA">
        <w:rPr>
          <w:i/>
          <w:iCs/>
        </w:rPr>
        <w:t>Aust N Z J Public Health</w:t>
      </w:r>
      <w:r>
        <w:t xml:space="preserve">. 2020;44(1):59–64. </w:t>
      </w:r>
      <w:r>
        <w:br/>
        <w:t xml:space="preserve">doi: </w:t>
      </w:r>
      <w:hyperlink r:id="rId37" w:history="1">
        <w:r>
          <w:rPr>
            <w:rStyle w:val="Hyperlink"/>
          </w:rPr>
          <w:t>https://doi.org/10.1111/1753-6405.12934</w:t>
        </w:r>
      </w:hyperlink>
      <w:r>
        <w:t>.</w:t>
      </w:r>
    </w:p>
    <w:p w14:paraId="1355D8FC" w14:textId="77777777" w:rsidR="00864FDA" w:rsidRDefault="00864FDA" w:rsidP="00864FDA">
      <w:pPr>
        <w:pStyle w:val="CDINumberedList1L1"/>
        <w:ind w:left="397" w:hanging="397"/>
      </w:pPr>
      <w:r>
        <w:t xml:space="preserve">Victoria State Government Department of Health (Victoria Health). Notification of Hepatitis B. [Webpage.] Melbourne: Victoria Health; 7 September 2022. Available from: </w:t>
      </w:r>
      <w:hyperlink r:id="rId38" w:history="1">
        <w:r>
          <w:rPr>
            <w:rStyle w:val="Hyperlink"/>
          </w:rPr>
          <w:t>https://www.health.vic.gov.au/site-4/publications/notification-of-hepatitis-b</w:t>
        </w:r>
      </w:hyperlink>
      <w:r>
        <w:t>.</w:t>
      </w:r>
    </w:p>
    <w:p w14:paraId="5F71ECC6" w14:textId="25381B1D" w:rsidR="00864FDA" w:rsidRDefault="00864FDA" w:rsidP="00864FDA">
      <w:pPr>
        <w:pStyle w:val="CDINumberedList1L1"/>
        <w:ind w:left="397" w:hanging="397"/>
      </w:pPr>
      <w:r>
        <w:t xml:space="preserve">Victoria Health. Notification of Hepatitis C. [Webpage.] Melbourne: Victoria Health; 7 September 2022. Available from: </w:t>
      </w:r>
      <w:hyperlink r:id="rId39" w:history="1">
        <w:r>
          <w:rPr>
            <w:rStyle w:val="Hyperlink"/>
          </w:rPr>
          <w:t>https://www.health.vic.gov.au/site-4/publications/notification-of-hepatitis-c</w:t>
        </w:r>
      </w:hyperlink>
      <w:r>
        <w:t>.</w:t>
      </w:r>
    </w:p>
    <w:p w14:paraId="30954EBC" w14:textId="77777777" w:rsidR="00864FDA" w:rsidRDefault="00864FDA" w:rsidP="00864FDA">
      <w:pPr>
        <w:pStyle w:val="CDINumberedList1L1"/>
        <w:ind w:left="397" w:hanging="397"/>
      </w:pPr>
      <w:r>
        <w:t xml:space="preserve">Victoria Health. Interactive infectious disease reports. [Webpage.] Melbourne: Victoria Health; 25 June 2025. Available from: </w:t>
      </w:r>
      <w:hyperlink r:id="rId40" w:history="1">
        <w:r>
          <w:rPr>
            <w:rStyle w:val="Hyperlink"/>
          </w:rPr>
          <w:t>https://www.health.vic.gov.au/infectious-diseases/interactive-infectious-disease-reports</w:t>
        </w:r>
      </w:hyperlink>
      <w:r>
        <w:t>.</w:t>
      </w:r>
    </w:p>
    <w:p w14:paraId="6AFA3DDD" w14:textId="77777777" w:rsidR="00864FDA" w:rsidRDefault="00864FDA" w:rsidP="00864FDA">
      <w:pPr>
        <w:pStyle w:val="CDINumberedList1L1"/>
        <w:ind w:left="397" w:hanging="397"/>
      </w:pPr>
      <w:r>
        <w:t xml:space="preserve">MacLachlan J, Romero N, Richardson L, Cowie B. </w:t>
      </w:r>
      <w:r w:rsidRPr="00864FDA">
        <w:rPr>
          <w:i/>
          <w:iCs/>
        </w:rPr>
        <w:t>Viral Hepatitis Mapping Project: Hepatitis C. Geographic diversity in chronic hepatitis C prevalence and treatment. National Report 2024–2025</w:t>
      </w:r>
      <w:r>
        <w:t xml:space="preserve">. Darlinghurst: ASHM Health; April 2026. Available from: </w:t>
      </w:r>
      <w:hyperlink r:id="rId41" w:history="1">
        <w:r>
          <w:rPr>
            <w:rStyle w:val="Hyperlink"/>
          </w:rPr>
          <w:t>https://ashm.org.au/resources/viral-hepatitis-mapping-project/</w:t>
        </w:r>
      </w:hyperlink>
      <w:r>
        <w:t>.</w:t>
      </w:r>
    </w:p>
    <w:p w14:paraId="1D2430A3" w14:textId="77777777" w:rsidR="00864FDA" w:rsidRDefault="00864FDA" w:rsidP="00864FDA">
      <w:pPr>
        <w:pStyle w:val="CDINumberedList1L1"/>
        <w:ind w:left="397" w:hanging="397"/>
      </w:pPr>
      <w:r>
        <w:t>MacLachlan J, Romero N, Richardson L, Cowie B. V</w:t>
      </w:r>
      <w:r w:rsidRPr="00864FDA">
        <w:rPr>
          <w:i/>
          <w:iCs/>
        </w:rPr>
        <w:t>iral Hepatitis Mapping Project: Hepatitis B. Geographic diversity in chronic hepatitis B prevalence, management and treatment. National Report 2024</w:t>
      </w:r>
      <w:r>
        <w:t xml:space="preserve">. Darlinghurst: ASHM Health; April 2026. Available from: </w:t>
      </w:r>
      <w:hyperlink r:id="rId42" w:history="1">
        <w:r>
          <w:rPr>
            <w:rStyle w:val="Hyperlink"/>
          </w:rPr>
          <w:t>https://ashm.org.au/resources/viral-hepatitis-mapping-project/</w:t>
        </w:r>
      </w:hyperlink>
      <w:r>
        <w:t>.</w:t>
      </w:r>
    </w:p>
    <w:p w14:paraId="106A9FAE" w14:textId="437B62D2" w:rsidR="00864FDA" w:rsidRDefault="00864FDA" w:rsidP="00864FDA">
      <w:pPr>
        <w:pStyle w:val="CDINumberedList1L1"/>
        <w:ind w:left="397" w:hanging="397"/>
      </w:pPr>
      <w:r>
        <w:t xml:space="preserve">Sharma S, Parker E, Farmer K, Scalley B. Active follow-up of hepatitis C notifications by public health staff improves treatment uptake. </w:t>
      </w:r>
      <w:r w:rsidRPr="00864FDA">
        <w:rPr>
          <w:i/>
          <w:iCs/>
        </w:rPr>
        <w:t>Aust N Z J Public Health</w:t>
      </w:r>
      <w:r>
        <w:t>. 2025;49(5):100272. doi: </w:t>
      </w:r>
      <w:hyperlink r:id="rId43" w:history="1">
        <w:r>
          <w:rPr>
            <w:rStyle w:val="Hyperlink"/>
          </w:rPr>
          <w:t>https://doi.org/10.1016/j.anzjph.2025.100272</w:t>
        </w:r>
      </w:hyperlink>
      <w:r>
        <w:t>.</w:t>
      </w:r>
    </w:p>
    <w:p w14:paraId="657C8E1B" w14:textId="3F18C518" w:rsidR="00864FDA" w:rsidRDefault="00864FDA" w:rsidP="00864FDA">
      <w:pPr>
        <w:pStyle w:val="CDINumberedList1L1"/>
        <w:ind w:left="397" w:hanging="397"/>
      </w:pPr>
      <w:r>
        <w:t xml:space="preserve">Moore MS, </w:t>
      </w:r>
      <w:proofErr w:type="spellStart"/>
      <w:r>
        <w:t>Bocour</w:t>
      </w:r>
      <w:proofErr w:type="spellEnd"/>
      <w:r>
        <w:t xml:space="preserve"> A, Laraque F, Winters A. A surveillance-based hepatitis C care cascade, New York City, 2017. </w:t>
      </w:r>
      <w:r w:rsidRPr="00864FDA">
        <w:rPr>
          <w:i/>
          <w:iCs/>
        </w:rPr>
        <w:t>Public Health Rep</w:t>
      </w:r>
      <w:r>
        <w:t>. 2018;133(4):497–501. doi: </w:t>
      </w:r>
      <w:hyperlink r:id="rId44" w:history="1">
        <w:r>
          <w:rPr>
            <w:rStyle w:val="Hyperlink"/>
          </w:rPr>
          <w:t>https://doi.org/10.1177/0033354918776641</w:t>
        </w:r>
      </w:hyperlink>
      <w:r>
        <w:t>.</w:t>
      </w:r>
    </w:p>
    <w:p w14:paraId="76648EFA" w14:textId="77777777" w:rsidR="00864FDA" w:rsidRDefault="00864FDA" w:rsidP="00864FDA">
      <w:pPr>
        <w:pStyle w:val="CDINumberedList1L1"/>
        <w:ind w:left="397" w:hanging="397"/>
      </w:pPr>
      <w:r>
        <w:t xml:space="preserve">Rowe SL, Cowie BC. Using data linkage to improve the completeness of Aboriginal and Torres Strait Islander status in communicable disease notifications in Victoria. </w:t>
      </w:r>
      <w:r w:rsidRPr="00864FDA">
        <w:rPr>
          <w:i/>
          <w:iCs/>
        </w:rPr>
        <w:t>Aust N Z J Public Health</w:t>
      </w:r>
      <w:r>
        <w:t xml:space="preserve">. 2016;40(2):148–53. doi: </w:t>
      </w:r>
      <w:hyperlink r:id="rId45" w:history="1">
        <w:r>
          <w:rPr>
            <w:rStyle w:val="Hyperlink"/>
          </w:rPr>
          <w:t>https://doi.org/10.1111/1753-6405.12434</w:t>
        </w:r>
      </w:hyperlink>
      <w:r>
        <w:t>.</w:t>
      </w:r>
    </w:p>
    <w:p w14:paraId="0ACDFF9D" w14:textId="77777777" w:rsidR="00864FDA" w:rsidRDefault="00864FDA" w:rsidP="00864FDA">
      <w:pPr>
        <w:pStyle w:val="CDINumberedList1L1"/>
        <w:ind w:left="397" w:hanging="397"/>
      </w:pPr>
      <w:r>
        <w:t xml:space="preserve">Walker S, Wallace J, Latham N, Saich F, </w:t>
      </w:r>
      <w:proofErr w:type="spellStart"/>
      <w:r>
        <w:t>Pedrana</w:t>
      </w:r>
      <w:proofErr w:type="spellEnd"/>
      <w:r>
        <w:t xml:space="preserve"> A, Hellard M et al. "It's time!": a qualitative exploration of the acceptability of hepatitis C notification systems to help eliminate hepatitis C. </w:t>
      </w:r>
      <w:r w:rsidRPr="002D6A64">
        <w:rPr>
          <w:i/>
          <w:iCs/>
        </w:rPr>
        <w:t>Int J Dr</w:t>
      </w:r>
      <w:r w:rsidRPr="00864FDA">
        <w:rPr>
          <w:i/>
          <w:iCs/>
        </w:rPr>
        <w:t>ug Policy</w:t>
      </w:r>
      <w:r>
        <w:t xml:space="preserve">. </w:t>
      </w:r>
      <w:proofErr w:type="gramStart"/>
      <w:r>
        <w:t>2021;97:103280</w:t>
      </w:r>
      <w:proofErr w:type="gramEnd"/>
      <w:r>
        <w:t xml:space="preserve">. doi: </w:t>
      </w:r>
      <w:r>
        <w:rPr>
          <w:rStyle w:val="Hyperlink"/>
        </w:rPr>
        <w:t>https://doi.org/10.1016/j.drugpo.2021.103280</w:t>
      </w:r>
      <w:r>
        <w:t>.</w:t>
      </w:r>
    </w:p>
    <w:p w14:paraId="1BD3E801" w14:textId="77777777" w:rsidR="00864FDA" w:rsidRDefault="00864FDA" w:rsidP="00864FDA">
      <w:pPr>
        <w:pStyle w:val="CDINumberedList1L1"/>
        <w:ind w:left="397" w:hanging="397"/>
      </w:pPr>
      <w:proofErr w:type="spellStart"/>
      <w:r>
        <w:t>Marukutira</w:t>
      </w:r>
      <w:proofErr w:type="spellEnd"/>
      <w:r>
        <w:t xml:space="preserve"> T, Barter R, Moore KP, Hellard ME, Richmond J, Turner K et al. Connecting patients notified with hepatitis C to treatment (CONNECT Study): a randomized controlled trial of active case management by a health department to support primary care practitioners. </w:t>
      </w:r>
      <w:r w:rsidRPr="00864FDA">
        <w:rPr>
          <w:i/>
          <w:iCs/>
        </w:rPr>
        <w:t>Int J Drug Policy</w:t>
      </w:r>
      <w:r>
        <w:t xml:space="preserve">. </w:t>
      </w:r>
      <w:proofErr w:type="gramStart"/>
      <w:r>
        <w:t>2023;121:104184</w:t>
      </w:r>
      <w:proofErr w:type="gramEnd"/>
      <w:r>
        <w:t xml:space="preserve">. doi: </w:t>
      </w:r>
      <w:hyperlink r:id="rId46" w:history="1">
        <w:r>
          <w:rPr>
            <w:rStyle w:val="Hyperlink"/>
          </w:rPr>
          <w:t>https://doi.org/10.1016/j.drugpo.2023.104184</w:t>
        </w:r>
      </w:hyperlink>
      <w:r>
        <w:t>.</w:t>
      </w:r>
    </w:p>
    <w:p w14:paraId="36AD68C5" w14:textId="2B782A28" w:rsidR="0058264F" w:rsidRPr="001E3ECB" w:rsidRDefault="00864FDA" w:rsidP="00864FDA">
      <w:pPr>
        <w:pStyle w:val="CDINumberedList1L1"/>
        <w:ind w:left="397" w:hanging="397"/>
      </w:pPr>
      <w:r>
        <w:t xml:space="preserve">Fernando TM, Lambert SB, Kemp R, Selvey LA. Enhanced surveillance of notifications of hepatitis C to Queensland Health up to 19 years previously. </w:t>
      </w:r>
      <w:r w:rsidRPr="00864FDA">
        <w:rPr>
          <w:i/>
          <w:iCs/>
        </w:rPr>
        <w:t>Commun Dis Intell (2018)</w:t>
      </w:r>
      <w:r>
        <w:t xml:space="preserve">. 2023;47. doi: </w:t>
      </w:r>
      <w:r>
        <w:rPr>
          <w:rStyle w:val="Hyperlink"/>
        </w:rPr>
        <w:t>https://doi.org/10.33321/cdi.2023.47.63</w:t>
      </w:r>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F76C" w14:textId="77777777" w:rsidR="00B2173B" w:rsidRDefault="00B2173B" w:rsidP="00E54DBA">
      <w:r>
        <w:separator/>
      </w:r>
    </w:p>
    <w:p w14:paraId="7DE7D9CD" w14:textId="77777777" w:rsidR="00B2173B" w:rsidRDefault="00B2173B"/>
    <w:p w14:paraId="429B7912" w14:textId="77777777" w:rsidR="00B2173B" w:rsidRDefault="00B2173B" w:rsidP="008714B0"/>
  </w:endnote>
  <w:endnote w:type="continuationSeparator" w:id="0">
    <w:p w14:paraId="18FEC2C7" w14:textId="77777777" w:rsidR="00B2173B" w:rsidRDefault="00B2173B" w:rsidP="00E54DBA">
      <w:r>
        <w:continuationSeparator/>
      </w:r>
    </w:p>
    <w:p w14:paraId="00830039" w14:textId="77777777" w:rsidR="00B2173B" w:rsidRDefault="00B2173B"/>
    <w:p w14:paraId="3CAC3976" w14:textId="77777777" w:rsidR="00B2173B" w:rsidRDefault="00B2173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474F"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68912A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68912A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A1C" w14:textId="394E9595"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8F1F8C">
        <w:t>2026</w:t>
      </w:r>
    </w:fldSimple>
    <w:r w:rsidR="009B78A9">
      <w:t>;</w:t>
    </w:r>
    <w:fldSimple w:instr=" DOCPROPERTY  Vol  \* MERGEFORMAT ">
      <w:r w:rsidR="008F1F8C">
        <w:t>50</w:t>
      </w:r>
    </w:fldSimple>
    <w:r w:rsidR="00385655" w:rsidRPr="001D0612">
      <w:t xml:space="preserve"> </w:t>
    </w:r>
    <w:r w:rsidR="00385655" w:rsidRPr="00B85B74">
      <w:t>•</w:t>
    </w:r>
    <w:r w:rsidR="00385655">
      <w:t xml:space="preserve"> </w:t>
    </w:r>
    <w:fldSimple w:instr=" DOCPROPERTY  DOI  \* MERGEFORMAT ">
      <w:r w:rsidR="008F1F8C">
        <w:t>doi.org/10.33321/cdi.2026.50.047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F1F8C">
        <w:t>21.07.2026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8869"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BC86D8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6BC86D8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9CC1" w14:textId="77777777" w:rsidR="00B2173B" w:rsidRPr="00B91FB5" w:rsidRDefault="00B2173B" w:rsidP="00B91FB5">
      <w:pPr>
        <w:spacing w:line="240" w:lineRule="auto"/>
        <w:rPr>
          <w:sz w:val="18"/>
          <w:szCs w:val="18"/>
        </w:rPr>
      </w:pPr>
      <w:r w:rsidRPr="00B91FB5">
        <w:rPr>
          <w:sz w:val="18"/>
          <w:szCs w:val="18"/>
        </w:rPr>
        <w:separator/>
      </w:r>
    </w:p>
  </w:footnote>
  <w:footnote w:type="continuationSeparator" w:id="0">
    <w:p w14:paraId="4D8CE693" w14:textId="77777777" w:rsidR="00B2173B" w:rsidRDefault="00B2173B" w:rsidP="00E54DBA">
      <w:r>
        <w:continuationSeparator/>
      </w:r>
    </w:p>
  </w:footnote>
  <w:footnote w:type="continuationNotice" w:id="1">
    <w:p w14:paraId="2873C53D" w14:textId="77777777" w:rsidR="00B2173B" w:rsidRPr="00224EFF" w:rsidRDefault="00B2173B"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AC0"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8E517E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08E517E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95BC"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D47A5D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D47A5D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C458DAB2"/>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872575387">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8C"/>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6C6D"/>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54DA"/>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0102"/>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5BB"/>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6A64"/>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5DD"/>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E5D74"/>
    <w:rsid w:val="004F5434"/>
    <w:rsid w:val="004F55C9"/>
    <w:rsid w:val="00505184"/>
    <w:rsid w:val="0050662A"/>
    <w:rsid w:val="00510EAC"/>
    <w:rsid w:val="005138AF"/>
    <w:rsid w:val="00514F40"/>
    <w:rsid w:val="005226F2"/>
    <w:rsid w:val="00526875"/>
    <w:rsid w:val="0052708C"/>
    <w:rsid w:val="00532189"/>
    <w:rsid w:val="005354D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1CCC"/>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377"/>
    <w:rsid w:val="00796FC4"/>
    <w:rsid w:val="007A159E"/>
    <w:rsid w:val="007A2D74"/>
    <w:rsid w:val="007A33B9"/>
    <w:rsid w:val="007A35A0"/>
    <w:rsid w:val="007A39B4"/>
    <w:rsid w:val="007A4B9B"/>
    <w:rsid w:val="007A5234"/>
    <w:rsid w:val="007A764D"/>
    <w:rsid w:val="007B119B"/>
    <w:rsid w:val="007B537E"/>
    <w:rsid w:val="007B67B4"/>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082"/>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4FDA"/>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A4460"/>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1F8C"/>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1EEC"/>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173B"/>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76"/>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0ACC"/>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14F"/>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5C066"/>
  <w15:docId w15:val="{F9FF0527-0B94-41AF-9E95-828DFC40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CC"/>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8F1F8C"/>
    <w:pPr>
      <w:spacing w:before="400"/>
    </w:pPr>
    <w:rPr>
      <w:rFonts w:asciiTheme="majorHAnsi" w:hAnsiTheme="majorHAnsi" w:cs="Arial"/>
      <w:b/>
      <w:bCs/>
      <w:sz w:val="60"/>
      <w:szCs w:val="54"/>
    </w:rPr>
  </w:style>
  <w:style w:type="character" w:customStyle="1" w:styleId="TitleChar">
    <w:name w:val="Title Char"/>
    <w:basedOn w:val="DefaultParagraphFont"/>
    <w:link w:val="Title"/>
    <w:uiPriority w:val="10"/>
    <w:rsid w:val="008F1F8C"/>
    <w:rPr>
      <w:rFonts w:asciiTheme="majorHAnsi" w:hAnsiTheme="majorHAnsi" w:cs="Arial"/>
      <w:b/>
      <w:bCs/>
      <w:sz w:val="60"/>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ormallessspace">
    <w:name w:val="Normal less space"/>
    <w:basedOn w:val="Normal"/>
    <w:rsid w:val="002D6A64"/>
    <w:pPr>
      <w:spacing w:before="1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eader" Target="header1.xml"/><Relationship Id="rId26" Type="http://schemas.openxmlformats.org/officeDocument/2006/relationships/hyperlink" Target="https://www.doherty.edu.au/wp-content/uploads/2026/01/National_Surveillance_for_Hepatitis_B_Indicators_2023_Final_with_cover.pdf" TargetMode="External"/><Relationship Id="rId39" Type="http://schemas.openxmlformats.org/officeDocument/2006/relationships/hyperlink" Target="https://www.health.vic.gov.au/site-4/publications/notification-of-hepatitis-c" TargetMode="External"/><Relationship Id="rId21" Type="http://schemas.openxmlformats.org/officeDocument/2006/relationships/header" Target="header2.xml"/><Relationship Id="rId34" Type="http://schemas.openxmlformats.org/officeDocument/2006/relationships/hyperlink" Target="https://ashm.org.au/resources/viral-hepatitis-mapping-project/" TargetMode="External"/><Relationship Id="rId42" Type="http://schemas.openxmlformats.org/officeDocument/2006/relationships/hyperlink" Target="https://ashm.org.au/resources/viral-hepatitis-mapping-project/"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www.hepcguidelines.org.au/wp-content/uploads/2022/11/hepatitis-C-virus-infection-a-consensus-statement-202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image" Target="media/image3.jpg"/><Relationship Id="rId32" Type="http://schemas.openxmlformats.org/officeDocument/2006/relationships/hyperlink" Target="https://www.health.gov.au/resources/publications/draft-fourth-national-hepatitis-b-strategy-2023-2030-for-public-consultation" TargetMode="External"/><Relationship Id="rId37" Type="http://schemas.openxmlformats.org/officeDocument/2006/relationships/hyperlink" Target="https://doi.org/10.1111/1753-6405.12934" TargetMode="External"/><Relationship Id="rId40" Type="http://schemas.openxmlformats.org/officeDocument/2006/relationships/hyperlink" Target="https://www.health.vic.gov.au/infectious-diseases/interactive-infectious-disease-reports" TargetMode="External"/><Relationship Id="rId45" Type="http://schemas.openxmlformats.org/officeDocument/2006/relationships/hyperlink" Target="https://doi.org/10.1111/1753-6405.12434" TargetMode="Externa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image" Target="media/image2.jpg"/><Relationship Id="rId28" Type="http://schemas.openxmlformats.org/officeDocument/2006/relationships/hyperlink" Target="https://doi.org/10.5694/mja2.51430" TargetMode="External"/><Relationship Id="rId36" Type="http://schemas.openxmlformats.org/officeDocument/2006/relationships/hyperlink" Target="https://doi.org/10.33321/cdi.2025.49.035" TargetMode="External"/><Relationship Id="rId10" Type="http://schemas.openxmlformats.org/officeDocument/2006/relationships/hyperlink" Target="https://www.cdc.gov.au/cdi" TargetMode="External"/><Relationship Id="rId19" Type="http://schemas.openxmlformats.org/officeDocument/2006/relationships/footer" Target="footer1.xml"/><Relationship Id="rId31" Type="http://schemas.openxmlformats.org/officeDocument/2006/relationships/hyperlink" Target="https://www.health.gov.au/resources/publications/draft-sixth-national-hepatitis-c-strategy-2023-2030-for-public-consultation" TargetMode="External"/><Relationship Id="rId44" Type="http://schemas.openxmlformats.org/officeDocument/2006/relationships/hyperlink" Target="https://doi.org/10.1177/003335491877664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footer" Target="footer3.xml"/><Relationship Id="rId27" Type="http://schemas.openxmlformats.org/officeDocument/2006/relationships/hyperlink" Target="https://www.kirby.unsw.edu.au/sites/default/files/documents/Annual-Surveillance-Report-2024-HCV.pdf" TargetMode="External"/><Relationship Id="rId30" Type="http://schemas.openxmlformats.org/officeDocument/2006/relationships/hyperlink" Target="https://doi.org/10.1111/jvh.13881" TargetMode="External"/><Relationship Id="rId35" Type="http://schemas.openxmlformats.org/officeDocument/2006/relationships/hyperlink" Target="https://ashm.org.au/resources/viral-hepatitis-mapping-project/" TargetMode="External"/><Relationship Id="rId43" Type="http://schemas.openxmlformats.org/officeDocument/2006/relationships/hyperlink" Target="https://doi.org/10.1016/j.anzjph.2025.100272"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mailto:Jennifer.maclachlan@vidrl.org.au" TargetMode="External"/><Relationship Id="rId33" Type="http://schemas.openxmlformats.org/officeDocument/2006/relationships/hyperlink" Target="https://www.cdc.gov.au/resources/collections/cdna-surveillance-case-definitions" TargetMode="External"/><Relationship Id="rId38" Type="http://schemas.openxmlformats.org/officeDocument/2006/relationships/hyperlink" Target="https://www.health.vic.gov.au/site-4/publications/notification-of-hepatitis-b" TargetMode="External"/><Relationship Id="rId46" Type="http://schemas.openxmlformats.org/officeDocument/2006/relationships/hyperlink" Target="https://doi.org/10.1016/j.drugpo.2023.104184" TargetMode="External"/><Relationship Id="rId20" Type="http://schemas.openxmlformats.org/officeDocument/2006/relationships/footer" Target="footer2.xml"/><Relationship Id="rId41" Type="http://schemas.openxmlformats.org/officeDocument/2006/relationships/hyperlink" Target="https://ashm.org.au/resources/viral-hepatitis-mapping-projec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4</TotalTime>
  <Pages>20</Pages>
  <Words>5815</Words>
  <Characters>32567</Characters>
  <Application>Microsoft Office Word</Application>
  <DocSecurity>0</DocSecurity>
  <Lines>930</Lines>
  <Paragraphs>650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Communicable Diseases Intelligence - Enhanced surveillance for hepatitis B and C: insights into clinical care after diagnosis</vt:lpstr>
      <vt:lpstr>Contents</vt:lpstr>
      <vt:lpstr>Abstract</vt:lpstr>
      <vt:lpstr>    Background</vt:lpstr>
      <vt:lpstr>    Methods</vt:lpstr>
      <vt:lpstr>    Results</vt:lpstr>
      <vt:lpstr>    Discussion</vt:lpstr>
      <vt:lpstr>Introduction</vt:lpstr>
      <vt:lpstr>Methods</vt:lpstr>
      <vt:lpstr>Results</vt:lpstr>
      <vt:lpstr>    Summary and demographics</vt:lpstr>
      <vt:lpstr>    Cascade of care completeness</vt:lpstr>
      <vt:lpstr>    Reported care provision</vt:lpstr>
      <vt:lpstr>        HBV</vt:lpstr>
      <vt:lpstr>        HCV</vt:lpstr>
      <vt:lpstr>    Variations in reported care provision</vt:lpstr>
      <vt:lpstr>Discussion</vt:lpstr>
      <vt:lpstr>Acknowledgments</vt:lpstr>
      <vt:lpstr>    Funding</vt:lpstr>
      <vt:lpstr>    Competing interests</vt:lpstr>
      <vt:lpstr>    Ethical statement</vt:lpstr>
      <vt:lpstr>Author details</vt:lpstr>
      <vt:lpstr>    Corresponding author</vt:lpstr>
      <vt:lpstr>References</vt:lpstr>
    </vt:vector>
  </TitlesOfParts>
  <Company/>
  <LinksUpToDate>false</LinksUpToDate>
  <CharactersWithSpaces>37732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Enhanced surveillance for hepatitis B and C: insights into clinical care after diagnosis</dc:title>
  <dc:subject>This article assesses the utility of enhanced surveillance data in measuring care provision in newly diagnosed HBV and HCV. Care provision information was reported for two-thirds of cases for both conditions, and there was relatively high uptake of reported clinical follow-up, with opportunities identified for cases requiring additional support.</dc:subject>
  <dc:creator>Jennifer H MacLachlan;Nicole R Romero;Nasra Higgins;Amelia Savage;Irene Guan</dc:creator>
  <cp:keywords>hepatitis B; hepatitis C; linkage to care; surveillance; antiviral treatment</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2026-07-08T05:45:00Z</dcterms:created>
  <dcterms:modified xsi:type="dcterms:W3CDTF">2026-07-16T01:24:00Z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21.07.2026</vt:lpwstr>
  </property>
  <property fmtid="{D5CDD505-2E9C-101B-9397-08002B2CF9AE}" pid="5" name="DOI">
    <vt:lpwstr>doi.org/10.33321/cdi.2026.50.047</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