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167D9" w14:textId="6FCF2D13"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9094F23" wp14:editId="5AF9B6C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7870AB">
          <w:t>2026</w:t>
        </w:r>
      </w:fldSimple>
      <w:r w:rsidR="00D22CC8" w:rsidRPr="00B85B74">
        <w:t xml:space="preserve"> • Volume </w:t>
      </w:r>
      <w:fldSimple w:instr=" DOCPROPERTY  Vol  \* MERGEFORMAT ">
        <w:r w:rsidR="007870AB">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7870AB">
          <w:t>21.07.2026</w:t>
        </w:r>
      </w:fldSimple>
      <w:r w:rsidR="00700338">
        <w:t xml:space="preserve"> </w:t>
      </w:r>
      <w:r w:rsidR="00700338" w:rsidRPr="00B85B74">
        <w:t xml:space="preserve">• </w:t>
      </w:r>
      <w:fldSimple w:instr=" DOCPROPERTY  DOI  \* MERGEFORMAT ">
        <w:r w:rsidR="007870AB">
          <w:t>doi.org/10.33321/cdi.2026.50.042</w:t>
        </w:r>
      </w:fldSimple>
    </w:p>
    <w:p w14:paraId="59D9E83E" w14:textId="7542FE95" w:rsidR="006B16A5" w:rsidRPr="007870AB" w:rsidRDefault="007870AB" w:rsidP="007870AB">
      <w:pPr>
        <w:pStyle w:val="Title"/>
      </w:pPr>
      <w:r w:rsidRPr="007870AB">
        <w:t>Investigation of a norovirus outbreak at a catered social event, Australian Capital Territory, 2024</w:t>
      </w:r>
    </w:p>
    <w:p w14:paraId="17AF6865" w14:textId="3836A85E" w:rsidR="00013B65" w:rsidRDefault="007870AB" w:rsidP="00BB3320">
      <w:pPr>
        <w:pStyle w:val="Subtitle"/>
      </w:pPr>
      <w:r w:rsidRPr="007870AB">
        <w:t>Clare L Kinnear, Timothy Sloan-Gardner, Natasha Waters, Victoria Wansink, Lyndell Hudson, Jenny Post</w:t>
      </w:r>
      <w:r w:rsidR="00013B65">
        <w:br w:type="page"/>
      </w:r>
    </w:p>
    <w:p w14:paraId="3F44A450"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7870AB">
          <w:t>2026</w:t>
        </w:r>
      </w:fldSimple>
      <w:r w:rsidRPr="0089025E">
        <w:t xml:space="preserve"> Commonwealth of Australia as represented by the </w:t>
      </w:r>
      <w:r w:rsidR="00C722FD">
        <w:t>Australian Centre for Disease Control</w:t>
      </w:r>
    </w:p>
    <w:p w14:paraId="47605EB0" w14:textId="77777777" w:rsidR="00B52457" w:rsidRPr="0089025E" w:rsidRDefault="00B52457" w:rsidP="00087CC4">
      <w:pPr>
        <w:pStyle w:val="CDICopyright"/>
      </w:pPr>
      <w:r w:rsidRPr="0089025E">
        <w:t>ISSN: 2209-6051 Online</w:t>
      </w:r>
    </w:p>
    <w:p w14:paraId="571D66AB" w14:textId="77777777" w:rsidR="00B52457" w:rsidRDefault="00B52457" w:rsidP="00087CC4">
      <w:pPr>
        <w:pStyle w:val="CDICopyright"/>
      </w:pPr>
      <w:r w:rsidRPr="0089025E">
        <w:t>This journal is indexed by Index Medicus and Medline.</w:t>
      </w:r>
    </w:p>
    <w:p w14:paraId="1DF89B12" w14:textId="77777777" w:rsidR="00B52457" w:rsidRPr="007F2B27" w:rsidRDefault="00B52457" w:rsidP="00CC3648">
      <w:pPr>
        <w:pStyle w:val="CDICopyrightHeading"/>
      </w:pPr>
      <w:r w:rsidRPr="007F2B27">
        <w:t>Creative Commons Licence</w:t>
      </w:r>
    </w:p>
    <w:p w14:paraId="6561B90F"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71056524" w14:textId="77777777" w:rsidR="00B52457" w:rsidRPr="007F2B27" w:rsidRDefault="00B52457" w:rsidP="00CC3648">
      <w:pPr>
        <w:pStyle w:val="CDICopyrightHeading"/>
      </w:pPr>
      <w:r w:rsidRPr="007F2B27">
        <w:t>Restrictions</w:t>
      </w:r>
    </w:p>
    <w:p w14:paraId="7705F71B"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3AE5CFB4"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1D5E00D6"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3A52E06B" w14:textId="77777777" w:rsidR="00B52457" w:rsidRPr="00E9313B" w:rsidRDefault="00B52457" w:rsidP="00E9313B">
      <w:pPr>
        <w:pStyle w:val="CDICopyrightBullets"/>
      </w:pPr>
      <w:r w:rsidRPr="00E9313B">
        <w:t xml:space="preserve">any photographs and images; </w:t>
      </w:r>
    </w:p>
    <w:p w14:paraId="18783813" w14:textId="77777777" w:rsidR="00B52457" w:rsidRPr="00E9313B" w:rsidRDefault="00B52457" w:rsidP="00E9313B">
      <w:pPr>
        <w:pStyle w:val="CDICopyrightBullets"/>
      </w:pPr>
      <w:r w:rsidRPr="00E9313B">
        <w:t>any signatures; and</w:t>
      </w:r>
    </w:p>
    <w:p w14:paraId="570BE427" w14:textId="77777777" w:rsidR="00B52457" w:rsidRPr="003C23C9" w:rsidRDefault="00B52457" w:rsidP="00E9313B">
      <w:pPr>
        <w:pStyle w:val="CDICopyrightBullets"/>
      </w:pPr>
      <w:r w:rsidRPr="00E9313B">
        <w:t>any</w:t>
      </w:r>
      <w:r w:rsidRPr="003C23C9">
        <w:t xml:space="preserve"> material belonging to third parties.</w:t>
      </w:r>
    </w:p>
    <w:p w14:paraId="7E3C8F4B" w14:textId="77777777" w:rsidR="00B52457" w:rsidRPr="00CC3648" w:rsidRDefault="00B52457" w:rsidP="00CC3648">
      <w:pPr>
        <w:pStyle w:val="CDICopyrightHeading"/>
      </w:pPr>
      <w:r w:rsidRPr="00CC3648">
        <w:t>Disclaimer</w:t>
      </w:r>
    </w:p>
    <w:p w14:paraId="74523C5C"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11E2890A" w14:textId="77777777" w:rsidR="00B52457" w:rsidRPr="007F2B27" w:rsidRDefault="00B52457" w:rsidP="00CC3648">
      <w:pPr>
        <w:pStyle w:val="CDICopyrightHeading"/>
      </w:pPr>
      <w:r w:rsidRPr="007F2B27">
        <w:t>Enquiries</w:t>
      </w:r>
    </w:p>
    <w:p w14:paraId="3AB00299"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0D6089BE" w14:textId="77777777" w:rsidR="00B52457" w:rsidRPr="00A65DFA" w:rsidRDefault="00B52457" w:rsidP="00B52457">
      <w:pPr>
        <w:pStyle w:val="CDIAbout"/>
      </w:pPr>
      <w:bookmarkStart w:id="1" w:name="_Toc190257376"/>
      <w:r>
        <w:t xml:space="preserve">About </w:t>
      </w:r>
      <w:bookmarkEnd w:id="1"/>
      <w:r w:rsidR="0022524E">
        <w:t>CDI</w:t>
      </w:r>
    </w:p>
    <w:p w14:paraId="4B90EF8D"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1242D08A"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2846E938"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36DCDD4"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667E189A"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0E82BCF1"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489719BB" w14:textId="77777777" w:rsidR="00B52457" w:rsidRPr="00B87589" w:rsidRDefault="00B52457" w:rsidP="00B87589">
      <w:pPr>
        <w:pStyle w:val="CDIAbouttext"/>
        <w:rPr>
          <w:b/>
          <w:bCs/>
        </w:rPr>
      </w:pPr>
      <w:r w:rsidRPr="00B87589">
        <w:rPr>
          <w:b/>
          <w:bCs/>
        </w:rPr>
        <w:t>Contact us</w:t>
      </w:r>
    </w:p>
    <w:p w14:paraId="67C2ECE7" w14:textId="77777777" w:rsidR="00B52457" w:rsidRPr="00087CC4" w:rsidRDefault="00B52457" w:rsidP="00360B3A">
      <w:pPr>
        <w:pStyle w:val="CDIAbouttextLess"/>
      </w:pPr>
      <w:r w:rsidRPr="009572C6">
        <w:t>Communicable Diseases Intelligence</w:t>
      </w:r>
      <w:r w:rsidRPr="00087CC4">
        <w:t xml:space="preserve"> (CDI)</w:t>
      </w:r>
    </w:p>
    <w:p w14:paraId="3C074F2E" w14:textId="77777777" w:rsidR="00B52457" w:rsidRPr="00087CC4" w:rsidRDefault="009572C6" w:rsidP="00360B3A">
      <w:pPr>
        <w:pStyle w:val="CDIAbouttextLess"/>
      </w:pPr>
      <w:r>
        <w:t>Australian Centre for Disease Control</w:t>
      </w:r>
    </w:p>
    <w:p w14:paraId="7F757BD0" w14:textId="5F989DAC" w:rsidR="00B52457" w:rsidRPr="0089025E" w:rsidRDefault="002A54B1" w:rsidP="00360B3A">
      <w:pPr>
        <w:pStyle w:val="CDIAbouttextLess"/>
      </w:pPr>
      <w:r>
        <w:t>G</w:t>
      </w:r>
      <w:r w:rsidR="00B52457" w:rsidRPr="00087CC4">
        <w:t xml:space="preserve">PO Box </w:t>
      </w:r>
      <w:r w:rsidR="0010368E">
        <w:t>79</w:t>
      </w:r>
      <w:r w:rsidR="004E5D74">
        <w:t>5</w:t>
      </w:r>
      <w:r w:rsidR="00B52457" w:rsidRPr="00087CC4">
        <w:t>, C</w:t>
      </w:r>
      <w:r w:rsidR="004E5D74">
        <w:t>anberra</w:t>
      </w:r>
      <w:r w:rsidR="00B52457" w:rsidRPr="0089025E">
        <w:t xml:space="preserve"> ACT 2601</w:t>
      </w:r>
      <w:r w:rsidR="004E5D74">
        <w:t>, Australia</w:t>
      </w:r>
    </w:p>
    <w:p w14:paraId="591BCE2D"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1AC178AE"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0B3F6702"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34393541"/>
      <w:bookmarkStart w:id="7" w:name="_Toc234394460"/>
      <w:bookmarkStart w:id="8" w:name="_Toc195530496"/>
      <w:r>
        <w:t>Contents</w:t>
      </w:r>
      <w:bookmarkEnd w:id="2"/>
      <w:bookmarkEnd w:id="3"/>
      <w:bookmarkEnd w:id="4"/>
      <w:bookmarkEnd w:id="5"/>
      <w:bookmarkEnd w:id="6"/>
      <w:bookmarkEnd w:id="7"/>
    </w:p>
    <w:p w14:paraId="6D14BE35" w14:textId="0165BD46" w:rsidR="000D13D9" w:rsidRPr="000D13D9" w:rsidRDefault="005A4E9D" w:rsidP="000D13D9">
      <w:pPr>
        <w:pStyle w:val="TOC1"/>
        <w:spacing w:before="360"/>
        <w:rPr>
          <w:lang w:eastAsia="en-AU"/>
        </w:rPr>
      </w:pPr>
      <w:r>
        <w:fldChar w:fldCharType="begin"/>
      </w:r>
      <w:r>
        <w:instrText xml:space="preserve"> TOC \o "1-1" \h \z \t "Heading 2,2,Heading 2 - no space before,2,Heading 2 - less space before,2,Heading 2 - new page,2" </w:instrText>
      </w:r>
      <w:r>
        <w:fldChar w:fldCharType="separate"/>
      </w:r>
      <w:hyperlink w:anchor="_Toc234394461" w:history="1">
        <w:r w:rsidR="000D13D9" w:rsidRPr="007E3707">
          <w:rPr>
            <w:rStyle w:val="Hyperlink"/>
            <w:noProof/>
          </w:rPr>
          <w:t>Abstract</w:t>
        </w:r>
        <w:r w:rsidR="000D13D9">
          <w:rPr>
            <w:noProof/>
            <w:webHidden/>
          </w:rPr>
          <w:tab/>
        </w:r>
        <w:r w:rsidR="000D13D9">
          <w:rPr>
            <w:noProof/>
            <w:webHidden/>
          </w:rPr>
          <w:fldChar w:fldCharType="begin"/>
        </w:r>
        <w:r w:rsidR="000D13D9">
          <w:rPr>
            <w:noProof/>
            <w:webHidden/>
          </w:rPr>
          <w:instrText xml:space="preserve"> PAGEREF _Toc234394461 \h </w:instrText>
        </w:r>
        <w:r w:rsidR="000D13D9">
          <w:rPr>
            <w:noProof/>
            <w:webHidden/>
          </w:rPr>
        </w:r>
        <w:r w:rsidR="000D13D9">
          <w:rPr>
            <w:noProof/>
            <w:webHidden/>
          </w:rPr>
          <w:fldChar w:fldCharType="separate"/>
        </w:r>
        <w:r w:rsidR="000D13D9">
          <w:rPr>
            <w:noProof/>
            <w:webHidden/>
          </w:rPr>
          <w:t>4</w:t>
        </w:r>
        <w:r w:rsidR="000D13D9">
          <w:rPr>
            <w:noProof/>
            <w:webHidden/>
          </w:rPr>
          <w:fldChar w:fldCharType="end"/>
        </w:r>
      </w:hyperlink>
    </w:p>
    <w:p w14:paraId="4FD1DB0F" w14:textId="40EBEA22" w:rsidR="000D13D9" w:rsidRPr="000D13D9" w:rsidRDefault="000D13D9">
      <w:pPr>
        <w:pStyle w:val="TOC2"/>
        <w:tabs>
          <w:tab w:val="right" w:leader="dot" w:pos="9629"/>
        </w:tabs>
        <w:rPr>
          <w:lang w:eastAsia="en-AU"/>
        </w:rPr>
      </w:pPr>
      <w:hyperlink w:anchor="_Toc234394462" w:history="1">
        <w:r w:rsidRPr="007E3707">
          <w:rPr>
            <w:rStyle w:val="Hyperlink"/>
            <w:noProof/>
            <w:lang w:val="en-GB"/>
          </w:rPr>
          <w:t>Background</w:t>
        </w:r>
        <w:r>
          <w:rPr>
            <w:noProof/>
            <w:webHidden/>
          </w:rPr>
          <w:tab/>
        </w:r>
        <w:r>
          <w:rPr>
            <w:noProof/>
            <w:webHidden/>
          </w:rPr>
          <w:fldChar w:fldCharType="begin"/>
        </w:r>
        <w:r>
          <w:rPr>
            <w:noProof/>
            <w:webHidden/>
          </w:rPr>
          <w:instrText xml:space="preserve"> PAGEREF _Toc234394462 \h </w:instrText>
        </w:r>
        <w:r>
          <w:rPr>
            <w:noProof/>
            <w:webHidden/>
          </w:rPr>
        </w:r>
        <w:r>
          <w:rPr>
            <w:noProof/>
            <w:webHidden/>
          </w:rPr>
          <w:fldChar w:fldCharType="separate"/>
        </w:r>
        <w:r>
          <w:rPr>
            <w:noProof/>
            <w:webHidden/>
          </w:rPr>
          <w:t>4</w:t>
        </w:r>
        <w:r>
          <w:rPr>
            <w:noProof/>
            <w:webHidden/>
          </w:rPr>
          <w:fldChar w:fldCharType="end"/>
        </w:r>
      </w:hyperlink>
    </w:p>
    <w:p w14:paraId="40CDA631" w14:textId="535146B1" w:rsidR="000D13D9" w:rsidRPr="000D13D9" w:rsidRDefault="000D13D9">
      <w:pPr>
        <w:pStyle w:val="TOC2"/>
        <w:tabs>
          <w:tab w:val="right" w:leader="dot" w:pos="9629"/>
        </w:tabs>
        <w:rPr>
          <w:lang w:eastAsia="en-AU"/>
        </w:rPr>
      </w:pPr>
      <w:hyperlink w:anchor="_Toc234394463" w:history="1">
        <w:r w:rsidRPr="007E3707">
          <w:rPr>
            <w:rStyle w:val="Hyperlink"/>
            <w:noProof/>
            <w:lang w:val="en-GB"/>
          </w:rPr>
          <w:t>Methods</w:t>
        </w:r>
        <w:r>
          <w:rPr>
            <w:noProof/>
            <w:webHidden/>
          </w:rPr>
          <w:tab/>
        </w:r>
        <w:r>
          <w:rPr>
            <w:noProof/>
            <w:webHidden/>
          </w:rPr>
          <w:fldChar w:fldCharType="begin"/>
        </w:r>
        <w:r>
          <w:rPr>
            <w:noProof/>
            <w:webHidden/>
          </w:rPr>
          <w:instrText xml:space="preserve"> PAGEREF _Toc234394463 \h </w:instrText>
        </w:r>
        <w:r>
          <w:rPr>
            <w:noProof/>
            <w:webHidden/>
          </w:rPr>
        </w:r>
        <w:r>
          <w:rPr>
            <w:noProof/>
            <w:webHidden/>
          </w:rPr>
          <w:fldChar w:fldCharType="separate"/>
        </w:r>
        <w:r>
          <w:rPr>
            <w:noProof/>
            <w:webHidden/>
          </w:rPr>
          <w:t>4</w:t>
        </w:r>
        <w:r>
          <w:rPr>
            <w:noProof/>
            <w:webHidden/>
          </w:rPr>
          <w:fldChar w:fldCharType="end"/>
        </w:r>
      </w:hyperlink>
    </w:p>
    <w:p w14:paraId="2C6D742D" w14:textId="75BF3104" w:rsidR="000D13D9" w:rsidRPr="000D13D9" w:rsidRDefault="000D13D9">
      <w:pPr>
        <w:pStyle w:val="TOC2"/>
        <w:tabs>
          <w:tab w:val="right" w:leader="dot" w:pos="9629"/>
        </w:tabs>
        <w:rPr>
          <w:lang w:eastAsia="en-AU"/>
        </w:rPr>
      </w:pPr>
      <w:hyperlink w:anchor="_Toc234394464" w:history="1">
        <w:r w:rsidRPr="007E3707">
          <w:rPr>
            <w:rStyle w:val="Hyperlink"/>
            <w:noProof/>
            <w:lang w:val="en-GB"/>
          </w:rPr>
          <w:t>Results</w:t>
        </w:r>
        <w:r>
          <w:rPr>
            <w:noProof/>
            <w:webHidden/>
          </w:rPr>
          <w:tab/>
        </w:r>
        <w:r>
          <w:rPr>
            <w:noProof/>
            <w:webHidden/>
          </w:rPr>
          <w:fldChar w:fldCharType="begin"/>
        </w:r>
        <w:r>
          <w:rPr>
            <w:noProof/>
            <w:webHidden/>
          </w:rPr>
          <w:instrText xml:space="preserve"> PAGEREF _Toc234394464 \h </w:instrText>
        </w:r>
        <w:r>
          <w:rPr>
            <w:noProof/>
            <w:webHidden/>
          </w:rPr>
        </w:r>
        <w:r>
          <w:rPr>
            <w:noProof/>
            <w:webHidden/>
          </w:rPr>
          <w:fldChar w:fldCharType="separate"/>
        </w:r>
        <w:r>
          <w:rPr>
            <w:noProof/>
            <w:webHidden/>
          </w:rPr>
          <w:t>4</w:t>
        </w:r>
        <w:r>
          <w:rPr>
            <w:noProof/>
            <w:webHidden/>
          </w:rPr>
          <w:fldChar w:fldCharType="end"/>
        </w:r>
      </w:hyperlink>
    </w:p>
    <w:p w14:paraId="7E0EBC09" w14:textId="1A6AEB8F" w:rsidR="000D13D9" w:rsidRPr="000D13D9" w:rsidRDefault="000D13D9">
      <w:pPr>
        <w:pStyle w:val="TOC2"/>
        <w:tabs>
          <w:tab w:val="right" w:leader="dot" w:pos="9629"/>
        </w:tabs>
        <w:rPr>
          <w:lang w:eastAsia="en-AU"/>
        </w:rPr>
      </w:pPr>
      <w:hyperlink w:anchor="_Toc234394465" w:history="1">
        <w:r w:rsidRPr="007E3707">
          <w:rPr>
            <w:rStyle w:val="Hyperlink"/>
            <w:noProof/>
            <w:lang w:val="en-GB"/>
          </w:rPr>
          <w:t>Conclusion</w:t>
        </w:r>
        <w:r>
          <w:rPr>
            <w:noProof/>
            <w:webHidden/>
          </w:rPr>
          <w:tab/>
        </w:r>
        <w:r>
          <w:rPr>
            <w:noProof/>
            <w:webHidden/>
          </w:rPr>
          <w:fldChar w:fldCharType="begin"/>
        </w:r>
        <w:r>
          <w:rPr>
            <w:noProof/>
            <w:webHidden/>
          </w:rPr>
          <w:instrText xml:space="preserve"> PAGEREF _Toc234394465 \h </w:instrText>
        </w:r>
        <w:r>
          <w:rPr>
            <w:noProof/>
            <w:webHidden/>
          </w:rPr>
        </w:r>
        <w:r>
          <w:rPr>
            <w:noProof/>
            <w:webHidden/>
          </w:rPr>
          <w:fldChar w:fldCharType="separate"/>
        </w:r>
        <w:r>
          <w:rPr>
            <w:noProof/>
            <w:webHidden/>
          </w:rPr>
          <w:t>4</w:t>
        </w:r>
        <w:r>
          <w:rPr>
            <w:noProof/>
            <w:webHidden/>
          </w:rPr>
          <w:fldChar w:fldCharType="end"/>
        </w:r>
      </w:hyperlink>
    </w:p>
    <w:p w14:paraId="16508F5F" w14:textId="0E165684" w:rsidR="000D13D9" w:rsidRPr="000D13D9" w:rsidRDefault="000D13D9">
      <w:pPr>
        <w:pStyle w:val="TOC1"/>
        <w:rPr>
          <w:lang w:eastAsia="en-AU"/>
        </w:rPr>
      </w:pPr>
      <w:hyperlink w:anchor="_Toc234394466" w:history="1">
        <w:r w:rsidRPr="007E3707">
          <w:rPr>
            <w:rStyle w:val="Hyperlink"/>
            <w:noProof/>
          </w:rPr>
          <w:t>Introduction</w:t>
        </w:r>
        <w:r>
          <w:rPr>
            <w:noProof/>
            <w:webHidden/>
          </w:rPr>
          <w:tab/>
        </w:r>
        <w:r>
          <w:rPr>
            <w:noProof/>
            <w:webHidden/>
          </w:rPr>
          <w:fldChar w:fldCharType="begin"/>
        </w:r>
        <w:r>
          <w:rPr>
            <w:noProof/>
            <w:webHidden/>
          </w:rPr>
          <w:instrText xml:space="preserve"> PAGEREF _Toc234394466 \h </w:instrText>
        </w:r>
        <w:r>
          <w:rPr>
            <w:noProof/>
            <w:webHidden/>
          </w:rPr>
        </w:r>
        <w:r>
          <w:rPr>
            <w:noProof/>
            <w:webHidden/>
          </w:rPr>
          <w:fldChar w:fldCharType="separate"/>
        </w:r>
        <w:r>
          <w:rPr>
            <w:noProof/>
            <w:webHidden/>
          </w:rPr>
          <w:t>5</w:t>
        </w:r>
        <w:r>
          <w:rPr>
            <w:noProof/>
            <w:webHidden/>
          </w:rPr>
          <w:fldChar w:fldCharType="end"/>
        </w:r>
      </w:hyperlink>
    </w:p>
    <w:p w14:paraId="2B98EAC8" w14:textId="0205022D" w:rsidR="000D13D9" w:rsidRPr="000D13D9" w:rsidRDefault="000D13D9">
      <w:pPr>
        <w:pStyle w:val="TOC1"/>
        <w:rPr>
          <w:lang w:eastAsia="en-AU"/>
        </w:rPr>
      </w:pPr>
      <w:hyperlink w:anchor="_Toc234394467" w:history="1">
        <w:r w:rsidRPr="007E3707">
          <w:rPr>
            <w:rStyle w:val="Hyperlink"/>
            <w:noProof/>
            <w:lang w:val="en-GB"/>
          </w:rPr>
          <w:t>Methods</w:t>
        </w:r>
        <w:r>
          <w:rPr>
            <w:noProof/>
            <w:webHidden/>
          </w:rPr>
          <w:tab/>
        </w:r>
        <w:r>
          <w:rPr>
            <w:noProof/>
            <w:webHidden/>
          </w:rPr>
          <w:fldChar w:fldCharType="begin"/>
        </w:r>
        <w:r>
          <w:rPr>
            <w:noProof/>
            <w:webHidden/>
          </w:rPr>
          <w:instrText xml:space="preserve"> PAGEREF _Toc234394467 \h </w:instrText>
        </w:r>
        <w:r>
          <w:rPr>
            <w:noProof/>
            <w:webHidden/>
          </w:rPr>
        </w:r>
        <w:r>
          <w:rPr>
            <w:noProof/>
            <w:webHidden/>
          </w:rPr>
          <w:fldChar w:fldCharType="separate"/>
        </w:r>
        <w:r>
          <w:rPr>
            <w:noProof/>
            <w:webHidden/>
          </w:rPr>
          <w:t>6</w:t>
        </w:r>
        <w:r>
          <w:rPr>
            <w:noProof/>
            <w:webHidden/>
          </w:rPr>
          <w:fldChar w:fldCharType="end"/>
        </w:r>
      </w:hyperlink>
    </w:p>
    <w:p w14:paraId="2473C822" w14:textId="1A906DA6" w:rsidR="000D13D9" w:rsidRPr="000D13D9" w:rsidRDefault="000D13D9">
      <w:pPr>
        <w:pStyle w:val="TOC2"/>
        <w:tabs>
          <w:tab w:val="right" w:leader="dot" w:pos="9629"/>
        </w:tabs>
        <w:rPr>
          <w:lang w:eastAsia="en-AU"/>
        </w:rPr>
      </w:pPr>
      <w:hyperlink w:anchor="_Toc234394468" w:history="1">
        <w:r w:rsidRPr="007E3707">
          <w:rPr>
            <w:rStyle w:val="Hyperlink"/>
            <w:noProof/>
            <w:lang w:val="en-GB"/>
          </w:rPr>
          <w:t>Environmental health investigation</w:t>
        </w:r>
        <w:r>
          <w:rPr>
            <w:noProof/>
            <w:webHidden/>
          </w:rPr>
          <w:tab/>
        </w:r>
        <w:r>
          <w:rPr>
            <w:noProof/>
            <w:webHidden/>
          </w:rPr>
          <w:fldChar w:fldCharType="begin"/>
        </w:r>
        <w:r>
          <w:rPr>
            <w:noProof/>
            <w:webHidden/>
          </w:rPr>
          <w:instrText xml:space="preserve"> PAGEREF _Toc234394468 \h </w:instrText>
        </w:r>
        <w:r>
          <w:rPr>
            <w:noProof/>
            <w:webHidden/>
          </w:rPr>
        </w:r>
        <w:r>
          <w:rPr>
            <w:noProof/>
            <w:webHidden/>
          </w:rPr>
          <w:fldChar w:fldCharType="separate"/>
        </w:r>
        <w:r>
          <w:rPr>
            <w:noProof/>
            <w:webHidden/>
          </w:rPr>
          <w:t>6</w:t>
        </w:r>
        <w:r>
          <w:rPr>
            <w:noProof/>
            <w:webHidden/>
          </w:rPr>
          <w:fldChar w:fldCharType="end"/>
        </w:r>
      </w:hyperlink>
    </w:p>
    <w:p w14:paraId="08D19327" w14:textId="5B9B79A7" w:rsidR="000D13D9" w:rsidRPr="000D13D9" w:rsidRDefault="000D13D9">
      <w:pPr>
        <w:pStyle w:val="TOC2"/>
        <w:tabs>
          <w:tab w:val="right" w:leader="dot" w:pos="9629"/>
        </w:tabs>
        <w:rPr>
          <w:lang w:eastAsia="en-AU"/>
        </w:rPr>
      </w:pPr>
      <w:hyperlink w:anchor="_Toc234394469" w:history="1">
        <w:r w:rsidRPr="007E3707">
          <w:rPr>
            <w:rStyle w:val="Hyperlink"/>
            <w:noProof/>
            <w:lang w:val="en-GB"/>
          </w:rPr>
          <w:t>Laboratory investigation</w:t>
        </w:r>
        <w:r>
          <w:rPr>
            <w:noProof/>
            <w:webHidden/>
          </w:rPr>
          <w:tab/>
        </w:r>
        <w:r>
          <w:rPr>
            <w:noProof/>
            <w:webHidden/>
          </w:rPr>
          <w:fldChar w:fldCharType="begin"/>
        </w:r>
        <w:r>
          <w:rPr>
            <w:noProof/>
            <w:webHidden/>
          </w:rPr>
          <w:instrText xml:space="preserve"> PAGEREF _Toc234394469 \h </w:instrText>
        </w:r>
        <w:r>
          <w:rPr>
            <w:noProof/>
            <w:webHidden/>
          </w:rPr>
        </w:r>
        <w:r>
          <w:rPr>
            <w:noProof/>
            <w:webHidden/>
          </w:rPr>
          <w:fldChar w:fldCharType="separate"/>
        </w:r>
        <w:r>
          <w:rPr>
            <w:noProof/>
            <w:webHidden/>
          </w:rPr>
          <w:t>6</w:t>
        </w:r>
        <w:r>
          <w:rPr>
            <w:noProof/>
            <w:webHidden/>
          </w:rPr>
          <w:fldChar w:fldCharType="end"/>
        </w:r>
      </w:hyperlink>
    </w:p>
    <w:p w14:paraId="6B06E7A0" w14:textId="16300F61" w:rsidR="000D13D9" w:rsidRPr="000D13D9" w:rsidRDefault="000D13D9">
      <w:pPr>
        <w:pStyle w:val="TOC2"/>
        <w:tabs>
          <w:tab w:val="right" w:leader="dot" w:pos="9629"/>
        </w:tabs>
        <w:rPr>
          <w:lang w:eastAsia="en-AU"/>
        </w:rPr>
      </w:pPr>
      <w:hyperlink w:anchor="_Toc234394470" w:history="1">
        <w:r w:rsidRPr="007E3707">
          <w:rPr>
            <w:rStyle w:val="Hyperlink"/>
            <w:noProof/>
            <w:lang w:val="en-GB"/>
          </w:rPr>
          <w:t>Epidemiological investigation</w:t>
        </w:r>
        <w:r>
          <w:rPr>
            <w:noProof/>
            <w:webHidden/>
          </w:rPr>
          <w:tab/>
        </w:r>
        <w:r>
          <w:rPr>
            <w:noProof/>
            <w:webHidden/>
          </w:rPr>
          <w:fldChar w:fldCharType="begin"/>
        </w:r>
        <w:r>
          <w:rPr>
            <w:noProof/>
            <w:webHidden/>
          </w:rPr>
          <w:instrText xml:space="preserve"> PAGEREF _Toc234394470 \h </w:instrText>
        </w:r>
        <w:r>
          <w:rPr>
            <w:noProof/>
            <w:webHidden/>
          </w:rPr>
        </w:r>
        <w:r>
          <w:rPr>
            <w:noProof/>
            <w:webHidden/>
          </w:rPr>
          <w:fldChar w:fldCharType="separate"/>
        </w:r>
        <w:r>
          <w:rPr>
            <w:noProof/>
            <w:webHidden/>
          </w:rPr>
          <w:t>6</w:t>
        </w:r>
        <w:r>
          <w:rPr>
            <w:noProof/>
            <w:webHidden/>
          </w:rPr>
          <w:fldChar w:fldCharType="end"/>
        </w:r>
      </w:hyperlink>
    </w:p>
    <w:p w14:paraId="02F0E8A1" w14:textId="1A72A6BC" w:rsidR="000D13D9" w:rsidRPr="000D13D9" w:rsidRDefault="000D13D9">
      <w:pPr>
        <w:pStyle w:val="TOC1"/>
        <w:rPr>
          <w:lang w:eastAsia="en-AU"/>
        </w:rPr>
      </w:pPr>
      <w:hyperlink w:anchor="_Toc234394471" w:history="1">
        <w:r w:rsidRPr="007E3707">
          <w:rPr>
            <w:rStyle w:val="Hyperlink"/>
            <w:noProof/>
          </w:rPr>
          <w:t>Results</w:t>
        </w:r>
        <w:r>
          <w:rPr>
            <w:noProof/>
            <w:webHidden/>
          </w:rPr>
          <w:tab/>
        </w:r>
        <w:r>
          <w:rPr>
            <w:noProof/>
            <w:webHidden/>
          </w:rPr>
          <w:fldChar w:fldCharType="begin"/>
        </w:r>
        <w:r>
          <w:rPr>
            <w:noProof/>
            <w:webHidden/>
          </w:rPr>
          <w:instrText xml:space="preserve"> PAGEREF _Toc234394471 \h </w:instrText>
        </w:r>
        <w:r>
          <w:rPr>
            <w:noProof/>
            <w:webHidden/>
          </w:rPr>
        </w:r>
        <w:r>
          <w:rPr>
            <w:noProof/>
            <w:webHidden/>
          </w:rPr>
          <w:fldChar w:fldCharType="separate"/>
        </w:r>
        <w:r>
          <w:rPr>
            <w:noProof/>
            <w:webHidden/>
          </w:rPr>
          <w:t>9</w:t>
        </w:r>
        <w:r>
          <w:rPr>
            <w:noProof/>
            <w:webHidden/>
          </w:rPr>
          <w:fldChar w:fldCharType="end"/>
        </w:r>
      </w:hyperlink>
    </w:p>
    <w:p w14:paraId="6F191392" w14:textId="510564AE" w:rsidR="000D13D9" w:rsidRPr="000D13D9" w:rsidRDefault="000D13D9">
      <w:pPr>
        <w:pStyle w:val="TOC2"/>
        <w:tabs>
          <w:tab w:val="right" w:leader="dot" w:pos="9629"/>
        </w:tabs>
        <w:rPr>
          <w:lang w:eastAsia="en-AU"/>
        </w:rPr>
      </w:pPr>
      <w:hyperlink w:anchor="_Toc234394472" w:history="1">
        <w:r w:rsidRPr="007E3707">
          <w:rPr>
            <w:rStyle w:val="Hyperlink"/>
            <w:noProof/>
            <w:lang w:val="en-GB"/>
          </w:rPr>
          <w:t>Environmental health investigation</w:t>
        </w:r>
        <w:r>
          <w:rPr>
            <w:noProof/>
            <w:webHidden/>
          </w:rPr>
          <w:tab/>
        </w:r>
        <w:r>
          <w:rPr>
            <w:noProof/>
            <w:webHidden/>
          </w:rPr>
          <w:fldChar w:fldCharType="begin"/>
        </w:r>
        <w:r>
          <w:rPr>
            <w:noProof/>
            <w:webHidden/>
          </w:rPr>
          <w:instrText xml:space="preserve"> PAGEREF _Toc234394472 \h </w:instrText>
        </w:r>
        <w:r>
          <w:rPr>
            <w:noProof/>
            <w:webHidden/>
          </w:rPr>
        </w:r>
        <w:r>
          <w:rPr>
            <w:noProof/>
            <w:webHidden/>
          </w:rPr>
          <w:fldChar w:fldCharType="separate"/>
        </w:r>
        <w:r>
          <w:rPr>
            <w:noProof/>
            <w:webHidden/>
          </w:rPr>
          <w:t>9</w:t>
        </w:r>
        <w:r>
          <w:rPr>
            <w:noProof/>
            <w:webHidden/>
          </w:rPr>
          <w:fldChar w:fldCharType="end"/>
        </w:r>
      </w:hyperlink>
    </w:p>
    <w:p w14:paraId="3010B2E4" w14:textId="7672BEBB" w:rsidR="000D13D9" w:rsidRPr="000D13D9" w:rsidRDefault="000D13D9">
      <w:pPr>
        <w:pStyle w:val="TOC2"/>
        <w:tabs>
          <w:tab w:val="right" w:leader="dot" w:pos="9629"/>
        </w:tabs>
        <w:rPr>
          <w:lang w:eastAsia="en-AU"/>
        </w:rPr>
      </w:pPr>
      <w:hyperlink w:anchor="_Toc234394473" w:history="1">
        <w:r w:rsidRPr="007E3707">
          <w:rPr>
            <w:rStyle w:val="Hyperlink"/>
            <w:noProof/>
            <w:lang w:val="en-GB"/>
          </w:rPr>
          <w:t>Laboratory investigation</w:t>
        </w:r>
        <w:r>
          <w:rPr>
            <w:noProof/>
            <w:webHidden/>
          </w:rPr>
          <w:tab/>
        </w:r>
        <w:r>
          <w:rPr>
            <w:noProof/>
            <w:webHidden/>
          </w:rPr>
          <w:fldChar w:fldCharType="begin"/>
        </w:r>
        <w:r>
          <w:rPr>
            <w:noProof/>
            <w:webHidden/>
          </w:rPr>
          <w:instrText xml:space="preserve"> PAGEREF _Toc234394473 \h </w:instrText>
        </w:r>
        <w:r>
          <w:rPr>
            <w:noProof/>
            <w:webHidden/>
          </w:rPr>
        </w:r>
        <w:r>
          <w:rPr>
            <w:noProof/>
            <w:webHidden/>
          </w:rPr>
          <w:fldChar w:fldCharType="separate"/>
        </w:r>
        <w:r>
          <w:rPr>
            <w:noProof/>
            <w:webHidden/>
          </w:rPr>
          <w:t>9</w:t>
        </w:r>
        <w:r>
          <w:rPr>
            <w:noProof/>
            <w:webHidden/>
          </w:rPr>
          <w:fldChar w:fldCharType="end"/>
        </w:r>
      </w:hyperlink>
    </w:p>
    <w:p w14:paraId="0BABA022" w14:textId="095F9F46" w:rsidR="000D13D9" w:rsidRPr="000D13D9" w:rsidRDefault="000D13D9">
      <w:pPr>
        <w:pStyle w:val="TOC2"/>
        <w:tabs>
          <w:tab w:val="right" w:leader="dot" w:pos="9629"/>
        </w:tabs>
        <w:rPr>
          <w:lang w:eastAsia="en-AU"/>
        </w:rPr>
      </w:pPr>
      <w:hyperlink w:anchor="_Toc234394474" w:history="1">
        <w:r w:rsidRPr="007E3707">
          <w:rPr>
            <w:rStyle w:val="Hyperlink"/>
            <w:noProof/>
            <w:lang w:val="en-GB"/>
          </w:rPr>
          <w:t>Epidemiological investigation</w:t>
        </w:r>
        <w:r>
          <w:rPr>
            <w:noProof/>
            <w:webHidden/>
          </w:rPr>
          <w:tab/>
        </w:r>
        <w:r>
          <w:rPr>
            <w:noProof/>
            <w:webHidden/>
          </w:rPr>
          <w:fldChar w:fldCharType="begin"/>
        </w:r>
        <w:r>
          <w:rPr>
            <w:noProof/>
            <w:webHidden/>
          </w:rPr>
          <w:instrText xml:space="preserve"> PAGEREF _Toc234394474 \h </w:instrText>
        </w:r>
        <w:r>
          <w:rPr>
            <w:noProof/>
            <w:webHidden/>
          </w:rPr>
        </w:r>
        <w:r>
          <w:rPr>
            <w:noProof/>
            <w:webHidden/>
          </w:rPr>
          <w:fldChar w:fldCharType="separate"/>
        </w:r>
        <w:r>
          <w:rPr>
            <w:noProof/>
            <w:webHidden/>
          </w:rPr>
          <w:t>9</w:t>
        </w:r>
        <w:r>
          <w:rPr>
            <w:noProof/>
            <w:webHidden/>
          </w:rPr>
          <w:fldChar w:fldCharType="end"/>
        </w:r>
      </w:hyperlink>
    </w:p>
    <w:p w14:paraId="522B00E2" w14:textId="7A6C2EDA" w:rsidR="000D13D9" w:rsidRPr="000D13D9" w:rsidRDefault="000D13D9">
      <w:pPr>
        <w:pStyle w:val="TOC1"/>
        <w:rPr>
          <w:lang w:eastAsia="en-AU"/>
        </w:rPr>
      </w:pPr>
      <w:hyperlink w:anchor="_Toc234394475" w:history="1">
        <w:r w:rsidRPr="007E3707">
          <w:rPr>
            <w:rStyle w:val="Hyperlink"/>
            <w:noProof/>
          </w:rPr>
          <w:t>Discussion</w:t>
        </w:r>
        <w:r>
          <w:rPr>
            <w:noProof/>
            <w:webHidden/>
          </w:rPr>
          <w:tab/>
        </w:r>
        <w:r>
          <w:rPr>
            <w:noProof/>
            <w:webHidden/>
          </w:rPr>
          <w:fldChar w:fldCharType="begin"/>
        </w:r>
        <w:r>
          <w:rPr>
            <w:noProof/>
            <w:webHidden/>
          </w:rPr>
          <w:instrText xml:space="preserve"> PAGEREF _Toc234394475 \h </w:instrText>
        </w:r>
        <w:r>
          <w:rPr>
            <w:noProof/>
            <w:webHidden/>
          </w:rPr>
        </w:r>
        <w:r>
          <w:rPr>
            <w:noProof/>
            <w:webHidden/>
          </w:rPr>
          <w:fldChar w:fldCharType="separate"/>
        </w:r>
        <w:r>
          <w:rPr>
            <w:noProof/>
            <w:webHidden/>
          </w:rPr>
          <w:t>14</w:t>
        </w:r>
        <w:r>
          <w:rPr>
            <w:noProof/>
            <w:webHidden/>
          </w:rPr>
          <w:fldChar w:fldCharType="end"/>
        </w:r>
      </w:hyperlink>
    </w:p>
    <w:p w14:paraId="56CDB159" w14:textId="12966563" w:rsidR="000D13D9" w:rsidRPr="000D13D9" w:rsidRDefault="000D13D9">
      <w:pPr>
        <w:pStyle w:val="TOC1"/>
        <w:rPr>
          <w:lang w:eastAsia="en-AU"/>
        </w:rPr>
      </w:pPr>
      <w:hyperlink w:anchor="_Toc234394476" w:history="1">
        <w:r w:rsidRPr="007E3707">
          <w:rPr>
            <w:rStyle w:val="Hyperlink"/>
            <w:noProof/>
          </w:rPr>
          <w:t>Conclusion</w:t>
        </w:r>
        <w:r>
          <w:rPr>
            <w:noProof/>
            <w:webHidden/>
          </w:rPr>
          <w:tab/>
        </w:r>
        <w:r>
          <w:rPr>
            <w:noProof/>
            <w:webHidden/>
          </w:rPr>
          <w:fldChar w:fldCharType="begin"/>
        </w:r>
        <w:r>
          <w:rPr>
            <w:noProof/>
            <w:webHidden/>
          </w:rPr>
          <w:instrText xml:space="preserve"> PAGEREF _Toc234394476 \h </w:instrText>
        </w:r>
        <w:r>
          <w:rPr>
            <w:noProof/>
            <w:webHidden/>
          </w:rPr>
        </w:r>
        <w:r>
          <w:rPr>
            <w:noProof/>
            <w:webHidden/>
          </w:rPr>
          <w:fldChar w:fldCharType="separate"/>
        </w:r>
        <w:r>
          <w:rPr>
            <w:noProof/>
            <w:webHidden/>
          </w:rPr>
          <w:t>15</w:t>
        </w:r>
        <w:r>
          <w:rPr>
            <w:noProof/>
            <w:webHidden/>
          </w:rPr>
          <w:fldChar w:fldCharType="end"/>
        </w:r>
      </w:hyperlink>
    </w:p>
    <w:p w14:paraId="2C19759B" w14:textId="060C7360" w:rsidR="000D13D9" w:rsidRPr="000D13D9" w:rsidRDefault="000D13D9">
      <w:pPr>
        <w:pStyle w:val="TOC1"/>
        <w:rPr>
          <w:lang w:eastAsia="en-AU"/>
        </w:rPr>
      </w:pPr>
      <w:hyperlink w:anchor="_Toc234394477" w:history="1">
        <w:r w:rsidRPr="007E3707">
          <w:rPr>
            <w:rStyle w:val="Hyperlink"/>
            <w:noProof/>
          </w:rPr>
          <w:t>Acknowledgments</w:t>
        </w:r>
        <w:r>
          <w:rPr>
            <w:noProof/>
            <w:webHidden/>
          </w:rPr>
          <w:tab/>
        </w:r>
        <w:r>
          <w:rPr>
            <w:noProof/>
            <w:webHidden/>
          </w:rPr>
          <w:fldChar w:fldCharType="begin"/>
        </w:r>
        <w:r>
          <w:rPr>
            <w:noProof/>
            <w:webHidden/>
          </w:rPr>
          <w:instrText xml:space="preserve"> PAGEREF _Toc234394477 \h </w:instrText>
        </w:r>
        <w:r>
          <w:rPr>
            <w:noProof/>
            <w:webHidden/>
          </w:rPr>
        </w:r>
        <w:r>
          <w:rPr>
            <w:noProof/>
            <w:webHidden/>
          </w:rPr>
          <w:fldChar w:fldCharType="separate"/>
        </w:r>
        <w:r>
          <w:rPr>
            <w:noProof/>
            <w:webHidden/>
          </w:rPr>
          <w:t>15</w:t>
        </w:r>
        <w:r>
          <w:rPr>
            <w:noProof/>
            <w:webHidden/>
          </w:rPr>
          <w:fldChar w:fldCharType="end"/>
        </w:r>
      </w:hyperlink>
    </w:p>
    <w:p w14:paraId="67C17FB7" w14:textId="342816CB" w:rsidR="000D13D9" w:rsidRPr="000D13D9" w:rsidRDefault="000D13D9">
      <w:pPr>
        <w:pStyle w:val="TOC1"/>
        <w:rPr>
          <w:lang w:eastAsia="en-AU"/>
        </w:rPr>
      </w:pPr>
      <w:hyperlink w:anchor="_Toc234394478" w:history="1">
        <w:r w:rsidRPr="007E3707">
          <w:rPr>
            <w:rStyle w:val="Hyperlink"/>
            <w:noProof/>
          </w:rPr>
          <w:t>Author details</w:t>
        </w:r>
        <w:r>
          <w:rPr>
            <w:noProof/>
            <w:webHidden/>
          </w:rPr>
          <w:tab/>
        </w:r>
        <w:r>
          <w:rPr>
            <w:noProof/>
            <w:webHidden/>
          </w:rPr>
          <w:fldChar w:fldCharType="begin"/>
        </w:r>
        <w:r>
          <w:rPr>
            <w:noProof/>
            <w:webHidden/>
          </w:rPr>
          <w:instrText xml:space="preserve"> PAGEREF _Toc234394478 \h </w:instrText>
        </w:r>
        <w:r>
          <w:rPr>
            <w:noProof/>
            <w:webHidden/>
          </w:rPr>
        </w:r>
        <w:r>
          <w:rPr>
            <w:noProof/>
            <w:webHidden/>
          </w:rPr>
          <w:fldChar w:fldCharType="separate"/>
        </w:r>
        <w:r>
          <w:rPr>
            <w:noProof/>
            <w:webHidden/>
          </w:rPr>
          <w:t>16</w:t>
        </w:r>
        <w:r>
          <w:rPr>
            <w:noProof/>
            <w:webHidden/>
          </w:rPr>
          <w:fldChar w:fldCharType="end"/>
        </w:r>
      </w:hyperlink>
    </w:p>
    <w:p w14:paraId="054D8978" w14:textId="5C57BD16" w:rsidR="000D13D9" w:rsidRPr="000D13D9" w:rsidRDefault="000D13D9">
      <w:pPr>
        <w:pStyle w:val="TOC1"/>
        <w:rPr>
          <w:lang w:eastAsia="en-AU"/>
        </w:rPr>
      </w:pPr>
      <w:hyperlink w:anchor="_Toc234394479" w:history="1">
        <w:r w:rsidRPr="007E3707">
          <w:rPr>
            <w:rStyle w:val="Hyperlink"/>
            <w:noProof/>
          </w:rPr>
          <w:t>References</w:t>
        </w:r>
        <w:r>
          <w:rPr>
            <w:noProof/>
            <w:webHidden/>
          </w:rPr>
          <w:tab/>
        </w:r>
        <w:r>
          <w:rPr>
            <w:noProof/>
            <w:webHidden/>
          </w:rPr>
          <w:fldChar w:fldCharType="begin"/>
        </w:r>
        <w:r>
          <w:rPr>
            <w:noProof/>
            <w:webHidden/>
          </w:rPr>
          <w:instrText xml:space="preserve"> PAGEREF _Toc234394479 \h </w:instrText>
        </w:r>
        <w:r>
          <w:rPr>
            <w:noProof/>
            <w:webHidden/>
          </w:rPr>
        </w:r>
        <w:r>
          <w:rPr>
            <w:noProof/>
            <w:webHidden/>
          </w:rPr>
          <w:fldChar w:fldCharType="separate"/>
        </w:r>
        <w:r>
          <w:rPr>
            <w:noProof/>
            <w:webHidden/>
          </w:rPr>
          <w:t>17</w:t>
        </w:r>
        <w:r>
          <w:rPr>
            <w:noProof/>
            <w:webHidden/>
          </w:rPr>
          <w:fldChar w:fldCharType="end"/>
        </w:r>
      </w:hyperlink>
    </w:p>
    <w:p w14:paraId="202E4672" w14:textId="0A9F68FC" w:rsidR="00F216F0" w:rsidRPr="00F216F0" w:rsidRDefault="005A4E9D" w:rsidP="00F216F0">
      <w:r>
        <w:rPr>
          <w:rFonts w:eastAsiaTheme="minorHAnsi" w:cstheme="minorHAnsi"/>
          <w:szCs w:val="24"/>
          <w:lang w:eastAsia="en-US"/>
        </w:rPr>
        <w:fldChar w:fldCharType="end"/>
      </w:r>
    </w:p>
    <w:p w14:paraId="7493853F" w14:textId="77777777" w:rsidR="00F25C00" w:rsidRDefault="0098426C" w:rsidP="00A24E95">
      <w:pPr>
        <w:pStyle w:val="Heading1"/>
      </w:pPr>
      <w:bookmarkStart w:id="9" w:name="_Toc195530498"/>
      <w:bookmarkStart w:id="10" w:name="_Toc234394461"/>
      <w:bookmarkEnd w:id="8"/>
      <w:r>
        <w:t>Abstract</w:t>
      </w:r>
      <w:bookmarkEnd w:id="9"/>
      <w:bookmarkEnd w:id="10"/>
    </w:p>
    <w:p w14:paraId="2C5BA28D" w14:textId="77777777" w:rsidR="00321AC7" w:rsidRPr="00321AC7" w:rsidRDefault="00321AC7" w:rsidP="00321AC7">
      <w:pPr>
        <w:pStyle w:val="Heading2"/>
        <w:rPr>
          <w:lang w:val="en-GB"/>
        </w:rPr>
      </w:pPr>
      <w:bookmarkStart w:id="11" w:name="_Toc234394462"/>
      <w:r w:rsidRPr="00321AC7">
        <w:rPr>
          <w:lang w:val="en-GB"/>
        </w:rPr>
        <w:t>Background</w:t>
      </w:r>
      <w:bookmarkEnd w:id="11"/>
    </w:p>
    <w:p w14:paraId="5277BB49" w14:textId="77777777" w:rsidR="00321AC7" w:rsidRPr="00321AC7" w:rsidRDefault="00321AC7" w:rsidP="00321AC7">
      <w:pPr>
        <w:rPr>
          <w:lang w:val="en-GB"/>
        </w:rPr>
      </w:pPr>
      <w:r w:rsidRPr="00321AC7">
        <w:rPr>
          <w:lang w:val="en-GB"/>
        </w:rPr>
        <w:t>An outbreak of gastrointestinal illness was notified, affecting attendees at a private function in the Australian Capital Territory (ACT) in 2024. Investigations were conducted to determine the infectious agent, source of illness and mode of transmission, as well as to determine any public health actions required to prevent further illness.</w:t>
      </w:r>
    </w:p>
    <w:p w14:paraId="5658C4F9" w14:textId="77777777" w:rsidR="00321AC7" w:rsidRPr="00321AC7" w:rsidRDefault="00321AC7" w:rsidP="00321AC7">
      <w:pPr>
        <w:pStyle w:val="Heading2"/>
        <w:rPr>
          <w:lang w:val="en-GB"/>
        </w:rPr>
      </w:pPr>
      <w:bookmarkStart w:id="12" w:name="_Toc234394463"/>
      <w:r w:rsidRPr="00321AC7">
        <w:rPr>
          <w:lang w:val="en-GB"/>
        </w:rPr>
        <w:t>Methods</w:t>
      </w:r>
      <w:bookmarkEnd w:id="12"/>
    </w:p>
    <w:p w14:paraId="26895C0D" w14:textId="0A6EA42D" w:rsidR="00321AC7" w:rsidRPr="00321AC7" w:rsidRDefault="00321AC7" w:rsidP="00321AC7">
      <w:pPr>
        <w:rPr>
          <w:lang w:val="en-GB"/>
        </w:rPr>
      </w:pPr>
      <w:r w:rsidRPr="00321AC7">
        <w:rPr>
          <w:lang w:val="en-GB"/>
        </w:rPr>
        <w:t>Function attendees were surveyed using a modified standard gastroenteritis questionnaire. A</w:t>
      </w:r>
      <w:r>
        <w:rPr>
          <w:lang w:val="en-GB"/>
        </w:rPr>
        <w:t> </w:t>
      </w:r>
      <w:r w:rsidRPr="00321AC7">
        <w:rPr>
          <w:lang w:val="en-GB"/>
        </w:rPr>
        <w:t xml:space="preserve">confirmed outbreak case was defined as an individual who was unwell after attending the event and had a norovirus-positive clinical sample; a probable outbreak case was defined as an individual who was unwell with clinically compatible symptoms after attending the event. A case-control study was conducted to identify food items associated with illness. Food safety inspections were performed, and food samples were tested at the ACT Government Analytical Laboratory. Clinical samples were collected from unwell attendees and from an asymptomatic food handler. </w:t>
      </w:r>
    </w:p>
    <w:p w14:paraId="7E9D1F28" w14:textId="77777777" w:rsidR="00321AC7" w:rsidRPr="00321AC7" w:rsidRDefault="00321AC7" w:rsidP="00321AC7">
      <w:pPr>
        <w:pStyle w:val="Heading2"/>
        <w:rPr>
          <w:lang w:val="en-GB"/>
        </w:rPr>
      </w:pPr>
      <w:bookmarkStart w:id="13" w:name="_Toc234394464"/>
      <w:r w:rsidRPr="00321AC7">
        <w:rPr>
          <w:lang w:val="en-GB"/>
        </w:rPr>
        <w:t>Results</w:t>
      </w:r>
      <w:bookmarkEnd w:id="13"/>
    </w:p>
    <w:p w14:paraId="6CC149D3" w14:textId="0F85265F" w:rsidR="00321AC7" w:rsidRPr="00321AC7" w:rsidRDefault="00321AC7" w:rsidP="00321AC7">
      <w:pPr>
        <w:rPr>
          <w:lang w:val="en-GB"/>
        </w:rPr>
      </w:pPr>
      <w:r w:rsidRPr="00321AC7">
        <w:rPr>
          <w:lang w:val="en-GB"/>
        </w:rPr>
        <w:t>There were approximately 250–500 attendees at the function; 224 attendees completed the questionnaire and there were 65 cases (5 confirmed and 60 probable). A food handler who had previously been unwell, and who prepared fruit and meat platters for the function more than 96</w:t>
      </w:r>
      <w:r>
        <w:rPr>
          <w:lang w:val="en-GB"/>
        </w:rPr>
        <w:t> </w:t>
      </w:r>
      <w:r w:rsidRPr="00321AC7">
        <w:rPr>
          <w:lang w:val="en-GB"/>
        </w:rPr>
        <w:t xml:space="preserve">hours after their symptoms had resolved, subsequently tested positive for norovirus. Environmental Health investigations showed the venue had good food practices and handwashing; the investigation identified no ongoing risks to the public. Testing of food samples did not detect any bacterial foodborne pathogens. Epidemiological investigations identified consumption of fresh fruit (odds ratio [OR]: 5.3; 95% confidence interval [95% CI]: 2.4–12.6; </w:t>
      </w:r>
      <w:r w:rsidRPr="00321AC7">
        <w:rPr>
          <w:i/>
          <w:iCs/>
          <w:lang w:val="en-GB"/>
        </w:rPr>
        <w:t>p</w:t>
      </w:r>
      <w:r w:rsidRPr="00321AC7">
        <w:rPr>
          <w:lang w:val="en-GB"/>
        </w:rPr>
        <w:t xml:space="preserve"> &lt; 0.001) and cured meat (OR: 2.7; 95% CI: 1.2–6.2; </w:t>
      </w:r>
      <w:r w:rsidRPr="00321AC7">
        <w:rPr>
          <w:i/>
          <w:iCs/>
          <w:lang w:val="en-GB"/>
        </w:rPr>
        <w:t>p</w:t>
      </w:r>
      <w:r w:rsidRPr="00321AC7">
        <w:rPr>
          <w:lang w:val="en-GB"/>
        </w:rPr>
        <w:t xml:space="preserve"> = 0.02) as significantly associated with disease. </w:t>
      </w:r>
    </w:p>
    <w:p w14:paraId="4E3A0D13" w14:textId="77777777" w:rsidR="00321AC7" w:rsidRPr="00321AC7" w:rsidRDefault="00321AC7" w:rsidP="00321AC7">
      <w:pPr>
        <w:pStyle w:val="Heading2"/>
        <w:rPr>
          <w:lang w:val="en-GB"/>
        </w:rPr>
      </w:pPr>
      <w:bookmarkStart w:id="14" w:name="_Toc234394465"/>
      <w:r w:rsidRPr="00321AC7">
        <w:rPr>
          <w:lang w:val="en-GB"/>
        </w:rPr>
        <w:t>Conclusion</w:t>
      </w:r>
      <w:bookmarkEnd w:id="14"/>
    </w:p>
    <w:p w14:paraId="2414819F" w14:textId="77777777" w:rsidR="00321AC7" w:rsidRPr="00321AC7" w:rsidRDefault="00321AC7" w:rsidP="00321AC7">
      <w:pPr>
        <w:pStyle w:val="Normal-morespaceafter"/>
        <w:rPr>
          <w:lang w:val="en-GB"/>
        </w:rPr>
      </w:pPr>
      <w:r w:rsidRPr="00321AC7">
        <w:rPr>
          <w:lang w:val="en-GB"/>
        </w:rPr>
        <w:t>Epidemiological and clinical evidence indicates that norovirus was transmitted via contaminated fresh fruit and cured meat platters. Despite the venue having good food handling and handwashing practices, it was likely due to a food handler who had been unwell in the week prior to the function and prepared the implicated foods more than 96 hours after their symptoms resolved. This outbreak investigation shows that safe food practices and exclusion periods reduce but do not eliminate risk completely. Our findings highlight the need for continued education on effective hand hygiene in food preparation settings, especially following gastrointestinal illness.</w:t>
      </w:r>
    </w:p>
    <w:p w14:paraId="4E4CDE6D" w14:textId="69232C7F" w:rsidR="00B73144" w:rsidRDefault="00B73144" w:rsidP="00E61A68">
      <w:pPr>
        <w:pStyle w:val="CDIBoxText"/>
        <w:rPr>
          <w:lang w:val="en-GB"/>
        </w:rPr>
      </w:pPr>
      <w:r w:rsidRPr="00E61A68">
        <w:t>Keywords</w:t>
      </w:r>
      <w:r w:rsidR="00BF1476">
        <w:t xml:space="preserve">: </w:t>
      </w:r>
      <w:r w:rsidR="00321AC7" w:rsidRPr="00321AC7">
        <w:t>outbreak; norovirus; gastroenteritis; foodborne disease; hand hygiene; food handler</w:t>
      </w:r>
    </w:p>
    <w:p w14:paraId="75FDE338" w14:textId="77777777" w:rsidR="0037146D" w:rsidRDefault="00B73144" w:rsidP="00B73144">
      <w:pPr>
        <w:pStyle w:val="Heading1"/>
      </w:pPr>
      <w:bookmarkStart w:id="15" w:name="_Toc195530501"/>
      <w:bookmarkStart w:id="16" w:name="_Toc234394466"/>
      <w:r>
        <w:t>Introduction</w:t>
      </w:r>
      <w:bookmarkEnd w:id="15"/>
      <w:bookmarkEnd w:id="16"/>
    </w:p>
    <w:p w14:paraId="49157BB9" w14:textId="3527B6CA" w:rsidR="00321AC7" w:rsidRPr="00321AC7" w:rsidRDefault="00321AC7" w:rsidP="00321AC7">
      <w:pPr>
        <w:pStyle w:val="Normal-Opening"/>
        <w:rPr>
          <w:lang w:val="en-GB"/>
        </w:rPr>
      </w:pPr>
      <w:r w:rsidRPr="00321AC7">
        <w:rPr>
          <w:lang w:val="en-GB"/>
        </w:rPr>
        <w:t>Acute gastroenteritis is a major cause of morbidity and mortality worldwide and results in significant economic costs. Estimates of gastroenteritis rates in Australia range from 0.74 to 0.92</w:t>
      </w:r>
      <w:r>
        <w:rPr>
          <w:lang w:val="en-GB"/>
        </w:rPr>
        <w:t> </w:t>
      </w:r>
      <w:r w:rsidRPr="00321AC7">
        <w:rPr>
          <w:lang w:val="en-GB"/>
        </w:rPr>
        <w:t>cases/person per year, with a quarter of these attributed to contaminated food.</w:t>
      </w:r>
      <w:r w:rsidRPr="00321AC7">
        <w:rPr>
          <w:vertAlign w:val="superscript"/>
          <w:lang w:val="en-GB"/>
        </w:rPr>
        <w:t>1–3</w:t>
      </w:r>
      <w:r w:rsidRPr="00321AC7">
        <w:rPr>
          <w:lang w:val="en-GB"/>
        </w:rPr>
        <w:t xml:space="preserve"> Foodborne disease costs Australia an estimated 2.81 billion Australian dollars (AUD) a year due to healthcare related costs, premature mortality, pain and suffering and lost productivity.</w:t>
      </w:r>
      <w:r w:rsidRPr="00321AC7">
        <w:rPr>
          <w:vertAlign w:val="superscript"/>
          <w:lang w:val="en-GB"/>
        </w:rPr>
        <w:t>4</w:t>
      </w:r>
      <w:r w:rsidRPr="00321AC7">
        <w:rPr>
          <w:lang w:val="en-GB"/>
        </w:rPr>
        <w:t xml:space="preserve"> </w:t>
      </w:r>
    </w:p>
    <w:p w14:paraId="58383AB4" w14:textId="77777777" w:rsidR="00321AC7" w:rsidRPr="00321AC7" w:rsidRDefault="00321AC7" w:rsidP="00321AC7">
      <w:pPr>
        <w:rPr>
          <w:lang w:val="en-GB"/>
        </w:rPr>
      </w:pPr>
      <w:r w:rsidRPr="00321AC7">
        <w:rPr>
          <w:lang w:val="en-GB"/>
        </w:rPr>
        <w:t>Norovirus is regularly identified as the main non-bacterial cause of gastroenteritis outbreaks in developed countries including Australia,</w:t>
      </w:r>
      <w:r w:rsidRPr="00321AC7">
        <w:rPr>
          <w:vertAlign w:val="superscript"/>
          <w:lang w:val="en-GB"/>
        </w:rPr>
        <w:t>2,5–7</w:t>
      </w:r>
      <w:r w:rsidRPr="00321AC7">
        <w:rPr>
          <w:lang w:val="en-GB"/>
        </w:rPr>
        <w:t xml:space="preserve"> and the main cause of food-related illness in the United States of America.</w:t>
      </w:r>
      <w:r w:rsidRPr="00321AC7">
        <w:rPr>
          <w:vertAlign w:val="superscript"/>
          <w:lang w:val="en-GB"/>
        </w:rPr>
        <w:t>8</w:t>
      </w:r>
      <w:r w:rsidRPr="00321AC7">
        <w:rPr>
          <w:lang w:val="en-GB"/>
        </w:rPr>
        <w:t xml:space="preserve"> Infections with norovirus are characterised by gastrointestinal illness with high rates of vomiting compared to fever, absence of bloody stool, and a mean incubation period of 24–48 hours.</w:t>
      </w:r>
      <w:r w:rsidRPr="00321AC7">
        <w:rPr>
          <w:vertAlign w:val="superscript"/>
          <w:lang w:val="en-GB"/>
        </w:rPr>
        <w:t>9,10</w:t>
      </w:r>
      <w:r w:rsidRPr="00321AC7">
        <w:rPr>
          <w:lang w:val="en-GB"/>
        </w:rPr>
        <w:t xml:space="preserve"> Norovirus is spread faecal-orally through direct contact, through contaminated food and water, or through environmental and fomite contamination.</w:t>
      </w:r>
      <w:r w:rsidRPr="00321AC7">
        <w:rPr>
          <w:vertAlign w:val="superscript"/>
          <w:lang w:val="en-GB"/>
        </w:rPr>
        <w:t>11</w:t>
      </w:r>
      <w:r w:rsidRPr="00321AC7">
        <w:rPr>
          <w:lang w:val="en-GB"/>
        </w:rPr>
        <w:t xml:space="preserve"> </w:t>
      </w:r>
    </w:p>
    <w:p w14:paraId="0030E4B6" w14:textId="77777777" w:rsidR="00321AC7" w:rsidRPr="00321AC7" w:rsidRDefault="00321AC7" w:rsidP="00321AC7">
      <w:pPr>
        <w:rPr>
          <w:lang w:val="en-GB"/>
        </w:rPr>
      </w:pPr>
      <w:r w:rsidRPr="00321AC7">
        <w:rPr>
          <w:lang w:val="en-GB"/>
        </w:rPr>
        <w:t>Three factors make norovirus well adapted to cause large outbreaks. Firstly, norovirus particles are highly infectious with a low infectious dose.</w:t>
      </w:r>
      <w:r w:rsidRPr="00321AC7">
        <w:rPr>
          <w:vertAlign w:val="superscript"/>
          <w:lang w:val="en-GB"/>
        </w:rPr>
        <w:t>7,12</w:t>
      </w:r>
      <w:r w:rsidRPr="00321AC7">
        <w:rPr>
          <w:lang w:val="en-GB"/>
        </w:rPr>
        <w:t xml:space="preserve"> Secondly, norovirus has been demonstrated to be shed for up to eight weeks after infection, with peak titres commonly found in samples collected after the resolution of symptoms.</w:t>
      </w:r>
      <w:r w:rsidRPr="00321AC7">
        <w:rPr>
          <w:vertAlign w:val="superscript"/>
          <w:lang w:val="en-GB"/>
        </w:rPr>
        <w:t>13</w:t>
      </w:r>
      <w:r w:rsidRPr="00321AC7">
        <w:rPr>
          <w:lang w:val="en-GB"/>
        </w:rPr>
        <w:t xml:space="preserve"> Finally, norovirus can survive for long periods in the environment.</w:t>
      </w:r>
      <w:r w:rsidRPr="00321AC7">
        <w:rPr>
          <w:vertAlign w:val="superscript"/>
          <w:lang w:val="en-GB"/>
        </w:rPr>
        <w:t>14</w:t>
      </w:r>
      <w:r w:rsidRPr="00321AC7">
        <w:rPr>
          <w:lang w:val="en-GB"/>
        </w:rPr>
        <w:t xml:space="preserve"> Hygiene measures including hand washing and surface cleaning are highly effective at reducing transmission.</w:t>
      </w:r>
      <w:r w:rsidRPr="00321AC7">
        <w:rPr>
          <w:vertAlign w:val="superscript"/>
          <w:lang w:val="en-GB"/>
        </w:rPr>
        <w:t>15</w:t>
      </w:r>
    </w:p>
    <w:p w14:paraId="6EC2BB02" w14:textId="77777777" w:rsidR="00321AC7" w:rsidRPr="00321AC7" w:rsidRDefault="00321AC7" w:rsidP="00321AC7">
      <w:pPr>
        <w:rPr>
          <w:lang w:val="en-GB"/>
        </w:rPr>
      </w:pPr>
      <w:r w:rsidRPr="00321AC7">
        <w:rPr>
          <w:lang w:val="en-GB"/>
        </w:rPr>
        <w:t>Foodborne transmission of norovirus can occur via contamination at the food source: common examples are contamination of oysters due to poor sanitation around farming estuaries,</w:t>
      </w:r>
      <w:r w:rsidRPr="00321AC7">
        <w:rPr>
          <w:vertAlign w:val="superscript"/>
          <w:lang w:val="en-GB"/>
        </w:rPr>
        <w:t>16</w:t>
      </w:r>
      <w:r w:rsidRPr="00321AC7">
        <w:rPr>
          <w:lang w:val="en-GB"/>
        </w:rPr>
        <w:t xml:space="preserve"> and contamination of berries due to poor sanitation of irrigation water.</w:t>
      </w:r>
      <w:r w:rsidRPr="00321AC7">
        <w:rPr>
          <w:vertAlign w:val="superscript"/>
          <w:lang w:val="en-GB"/>
        </w:rPr>
        <w:t>17</w:t>
      </w:r>
      <w:r w:rsidRPr="00321AC7">
        <w:rPr>
          <w:lang w:val="en-GB"/>
        </w:rPr>
        <w:t xml:space="preserve"> However, around half of all foodborne norovirus outbreaks specifically implicate food handler contamination as the source of infection,</w:t>
      </w:r>
      <w:r w:rsidRPr="00321AC7">
        <w:rPr>
          <w:vertAlign w:val="superscript"/>
          <w:lang w:val="en-GB"/>
        </w:rPr>
        <w:t>18,19</w:t>
      </w:r>
      <w:r w:rsidRPr="00321AC7">
        <w:rPr>
          <w:lang w:val="en-GB"/>
        </w:rPr>
        <w:t xml:space="preserve"> with up to 90% noting food handlers as the possible source.</w:t>
      </w:r>
      <w:r w:rsidRPr="00321AC7">
        <w:rPr>
          <w:vertAlign w:val="superscript"/>
          <w:lang w:val="en-GB"/>
        </w:rPr>
        <w:t>20</w:t>
      </w:r>
      <w:r w:rsidRPr="00321AC7">
        <w:rPr>
          <w:lang w:val="en-GB"/>
        </w:rPr>
        <w:t xml:space="preserve"> As a result, in the Australian Capital Territory (ACT), it is recommended that any food handler suffering from vomiting or diarrhoea does not work for at least 48 hours after cessation of symptoms.</w:t>
      </w:r>
      <w:r w:rsidRPr="00321AC7">
        <w:rPr>
          <w:vertAlign w:val="superscript"/>
          <w:lang w:val="en-GB"/>
        </w:rPr>
        <w:t>21</w:t>
      </w:r>
    </w:p>
    <w:p w14:paraId="2802E391" w14:textId="4F9C2206" w:rsidR="00AC46DC" w:rsidRPr="00AC46DC" w:rsidRDefault="00321AC7" w:rsidP="00AC46DC">
      <w:r w:rsidRPr="00321AC7">
        <w:rPr>
          <w:lang w:val="en-GB"/>
        </w:rPr>
        <w:t>In 2024, the ACT Health Directorate (ACT Health) received a report of an outbreak of gastroenteritis from an organiser of a private function. The organiser stated that approximately 20</w:t>
      </w:r>
      <w:r>
        <w:rPr>
          <w:lang w:val="en-GB"/>
        </w:rPr>
        <w:t> </w:t>
      </w:r>
      <w:r w:rsidRPr="00321AC7">
        <w:rPr>
          <w:lang w:val="en-GB"/>
        </w:rPr>
        <w:t>individuals who attended a catered function two days prior were unwell with a gastrointestinal illness. An outbreak investigation was conducted to determine the cause of the illnesses and to assess and respond to any ongoing risk to the public.</w:t>
      </w:r>
    </w:p>
    <w:p w14:paraId="11E0EDD9" w14:textId="77777777" w:rsidR="00A24E95" w:rsidRDefault="00B73144" w:rsidP="00B73144">
      <w:pPr>
        <w:pStyle w:val="Heading1"/>
        <w:rPr>
          <w:lang w:val="en-GB"/>
        </w:rPr>
      </w:pPr>
      <w:bookmarkStart w:id="17" w:name="_Toc195530502"/>
      <w:bookmarkStart w:id="18" w:name="_Toc234394467"/>
      <w:r>
        <w:rPr>
          <w:lang w:val="en-GB"/>
        </w:rPr>
        <w:t>Methods</w:t>
      </w:r>
      <w:bookmarkEnd w:id="17"/>
      <w:bookmarkEnd w:id="18"/>
    </w:p>
    <w:p w14:paraId="4837752A" w14:textId="77777777" w:rsidR="00321AC7" w:rsidRPr="00321AC7" w:rsidRDefault="00321AC7" w:rsidP="00321AC7">
      <w:pPr>
        <w:pStyle w:val="Heading2"/>
        <w:rPr>
          <w:lang w:val="en-GB"/>
        </w:rPr>
      </w:pPr>
      <w:bookmarkStart w:id="19" w:name="_Toc234394468"/>
      <w:r w:rsidRPr="00321AC7">
        <w:rPr>
          <w:lang w:val="en-GB"/>
        </w:rPr>
        <w:t>Environmental health investigation</w:t>
      </w:r>
      <w:bookmarkEnd w:id="19"/>
    </w:p>
    <w:p w14:paraId="1296B34A" w14:textId="77777777" w:rsidR="00321AC7" w:rsidRPr="00321AC7" w:rsidRDefault="00321AC7" w:rsidP="00321AC7">
      <w:pPr>
        <w:rPr>
          <w:lang w:val="en-GB"/>
        </w:rPr>
      </w:pPr>
      <w:r w:rsidRPr="00321AC7">
        <w:rPr>
          <w:lang w:val="en-GB"/>
        </w:rPr>
        <w:t xml:space="preserve">Environmental Health Officers (EHOs) from ACT Health attended the venue three days after the function and conducted a food safety inspection. Details of the function, and other functions held on the same weekend, were collected. Samples of retained food served at the function were taken for laboratory analysis as required by the </w:t>
      </w:r>
      <w:r w:rsidRPr="00321AC7">
        <w:rPr>
          <w:i/>
          <w:iCs/>
          <w:lang w:val="en-GB"/>
        </w:rPr>
        <w:t>Food Act 2001</w:t>
      </w:r>
      <w:r w:rsidRPr="00321AC7">
        <w:rPr>
          <w:lang w:val="en-GB"/>
        </w:rPr>
        <w:t xml:space="preserve"> (ACT). </w:t>
      </w:r>
    </w:p>
    <w:p w14:paraId="3A68C7FE" w14:textId="77777777" w:rsidR="00321AC7" w:rsidRPr="00321AC7" w:rsidRDefault="00321AC7" w:rsidP="00321AC7">
      <w:pPr>
        <w:pStyle w:val="Heading2"/>
        <w:rPr>
          <w:lang w:val="en-GB"/>
        </w:rPr>
      </w:pPr>
      <w:bookmarkStart w:id="20" w:name="_Toc234394469"/>
      <w:r w:rsidRPr="00321AC7">
        <w:rPr>
          <w:lang w:val="en-GB"/>
        </w:rPr>
        <w:t>Laboratory investigation</w:t>
      </w:r>
      <w:bookmarkEnd w:id="20"/>
    </w:p>
    <w:p w14:paraId="60CD3842" w14:textId="77777777" w:rsidR="00321AC7" w:rsidRPr="00321AC7" w:rsidRDefault="00321AC7" w:rsidP="00321AC7">
      <w:pPr>
        <w:pStyle w:val="Heading3-lessspacebefore"/>
        <w:rPr>
          <w:lang w:val="en-GB"/>
        </w:rPr>
      </w:pPr>
      <w:r w:rsidRPr="00321AC7">
        <w:rPr>
          <w:lang w:val="en-GB"/>
        </w:rPr>
        <w:t>Food and environment samples</w:t>
      </w:r>
    </w:p>
    <w:p w14:paraId="3BF425C7" w14:textId="0416534A" w:rsidR="00321AC7" w:rsidRPr="00321AC7" w:rsidRDefault="00321AC7" w:rsidP="00321AC7">
      <w:pPr>
        <w:rPr>
          <w:lang w:val="en-GB"/>
        </w:rPr>
      </w:pPr>
      <w:r w:rsidRPr="00321AC7">
        <w:rPr>
          <w:lang w:val="en-GB"/>
        </w:rPr>
        <w:t xml:space="preserve">Food samples were processed and tested by the ACT Government Analytical Laboratory (ACTGAL). Samples were tested by preliminary screening using polymerase chain reaction (PCR) for </w:t>
      </w:r>
      <w:r w:rsidRPr="00321AC7">
        <w:rPr>
          <w:i/>
          <w:iCs/>
          <w:lang w:val="en-GB"/>
        </w:rPr>
        <w:t>Salmonella</w:t>
      </w:r>
      <w:r w:rsidRPr="00321AC7">
        <w:rPr>
          <w:lang w:val="en-GB"/>
        </w:rPr>
        <w:t xml:space="preserve"> spp. and </w:t>
      </w:r>
      <w:r w:rsidRPr="00321AC7">
        <w:rPr>
          <w:i/>
          <w:iCs/>
          <w:lang w:val="en-GB"/>
        </w:rPr>
        <w:t>Listeria monocytogenes</w:t>
      </w:r>
      <w:r w:rsidRPr="00321AC7">
        <w:rPr>
          <w:lang w:val="en-GB"/>
        </w:rPr>
        <w:t xml:space="preserve">; by enumerative culture analysis for </w:t>
      </w:r>
      <w:r w:rsidRPr="00321AC7">
        <w:rPr>
          <w:i/>
          <w:iCs/>
          <w:lang w:val="en-GB"/>
        </w:rPr>
        <w:t>Escherichia coli</w:t>
      </w:r>
      <w:r w:rsidRPr="00321AC7">
        <w:rPr>
          <w:lang w:val="en-GB"/>
        </w:rPr>
        <w:t xml:space="preserve"> (</w:t>
      </w:r>
      <w:r w:rsidRPr="00321AC7">
        <w:rPr>
          <w:i/>
          <w:iCs/>
          <w:lang w:val="en-GB"/>
        </w:rPr>
        <w:t>E. coli</w:t>
      </w:r>
      <w:r w:rsidRPr="00321AC7">
        <w:rPr>
          <w:lang w:val="en-GB"/>
        </w:rPr>
        <w:t>); and by standard plate counts. Results were compared to the Food Standards Australia and New Zealand (FSANZ) Compendium for the Microbiological Criteria for Food.</w:t>
      </w:r>
      <w:r w:rsidRPr="00321AC7">
        <w:rPr>
          <w:vertAlign w:val="superscript"/>
          <w:lang w:val="en-GB"/>
        </w:rPr>
        <w:t>22</w:t>
      </w:r>
      <w:r w:rsidRPr="00321AC7">
        <w:rPr>
          <w:lang w:val="en-GB"/>
        </w:rPr>
        <w:t xml:space="preserve"> Food</w:t>
      </w:r>
      <w:r>
        <w:rPr>
          <w:lang w:val="en-GB"/>
        </w:rPr>
        <w:t> </w:t>
      </w:r>
      <w:r w:rsidRPr="00321AC7">
        <w:rPr>
          <w:lang w:val="en-GB"/>
        </w:rPr>
        <w:t>and environmental samples were not tested for norovirus, as this is not available at ACTGAL.</w:t>
      </w:r>
    </w:p>
    <w:p w14:paraId="205A090E" w14:textId="77777777" w:rsidR="00321AC7" w:rsidRPr="00321AC7" w:rsidRDefault="00321AC7" w:rsidP="00321AC7">
      <w:pPr>
        <w:pStyle w:val="Heading3"/>
        <w:rPr>
          <w:lang w:val="en-GB"/>
        </w:rPr>
      </w:pPr>
      <w:r w:rsidRPr="00321AC7">
        <w:rPr>
          <w:lang w:val="en-GB"/>
        </w:rPr>
        <w:t>Clinical samples</w:t>
      </w:r>
    </w:p>
    <w:p w14:paraId="391A15AF" w14:textId="77777777" w:rsidR="00321AC7" w:rsidRPr="00321AC7" w:rsidRDefault="00321AC7" w:rsidP="00321AC7">
      <w:pPr>
        <w:rPr>
          <w:lang w:val="en-GB"/>
        </w:rPr>
      </w:pPr>
      <w:r w:rsidRPr="00321AC7">
        <w:rPr>
          <w:lang w:val="en-GB"/>
        </w:rPr>
        <w:t>Faecal samples were tested for bacterial pathogens (</w:t>
      </w:r>
      <w:r w:rsidRPr="00321AC7">
        <w:rPr>
          <w:i/>
          <w:iCs/>
          <w:lang w:val="en-GB"/>
        </w:rPr>
        <w:t>Campylobacter</w:t>
      </w:r>
      <w:r w:rsidRPr="00321AC7">
        <w:rPr>
          <w:lang w:val="en-GB"/>
        </w:rPr>
        <w:t xml:space="preserve">, </w:t>
      </w:r>
      <w:r w:rsidRPr="00321AC7">
        <w:rPr>
          <w:i/>
          <w:iCs/>
          <w:lang w:val="en-GB"/>
        </w:rPr>
        <w:t>Shigella</w:t>
      </w:r>
      <w:r w:rsidRPr="00321AC7">
        <w:rPr>
          <w:lang w:val="en-GB"/>
        </w:rPr>
        <w:t xml:space="preserve"> and </w:t>
      </w:r>
      <w:r w:rsidRPr="00321AC7">
        <w:rPr>
          <w:i/>
          <w:iCs/>
          <w:lang w:val="en-GB"/>
        </w:rPr>
        <w:t>Salmonella</w:t>
      </w:r>
      <w:r w:rsidRPr="00321AC7">
        <w:rPr>
          <w:lang w:val="en-GB"/>
        </w:rPr>
        <w:t xml:space="preserve">) by culture, and for norovirus by nucleic acid testing (NAT). Dependent on the laboratory, some samples were tested for protozoan parasites by microscopy or bacterial and viral PCR panels, and for </w:t>
      </w:r>
      <w:r w:rsidRPr="00321AC7">
        <w:rPr>
          <w:i/>
          <w:iCs/>
          <w:lang w:val="en-GB"/>
        </w:rPr>
        <w:t>Clostridium difficile</w:t>
      </w:r>
      <w:r w:rsidRPr="00321AC7">
        <w:rPr>
          <w:lang w:val="en-GB"/>
        </w:rPr>
        <w:t>. Samples positive for norovirus were sequenced at New South Wales Health Pathology.</w:t>
      </w:r>
    </w:p>
    <w:p w14:paraId="1275DE80" w14:textId="77777777" w:rsidR="00321AC7" w:rsidRPr="00321AC7" w:rsidRDefault="00321AC7" w:rsidP="00321AC7">
      <w:pPr>
        <w:pStyle w:val="Heading2"/>
        <w:rPr>
          <w:lang w:val="en-GB"/>
        </w:rPr>
      </w:pPr>
      <w:bookmarkStart w:id="21" w:name="_Toc234394470"/>
      <w:r w:rsidRPr="00321AC7">
        <w:rPr>
          <w:lang w:val="en-GB"/>
        </w:rPr>
        <w:t>Epidemiological investigation</w:t>
      </w:r>
      <w:bookmarkEnd w:id="21"/>
    </w:p>
    <w:p w14:paraId="4EE59DB4" w14:textId="77777777" w:rsidR="00321AC7" w:rsidRPr="00321AC7" w:rsidRDefault="00321AC7" w:rsidP="00321AC7">
      <w:pPr>
        <w:pStyle w:val="Heading3-lessspacebefore"/>
        <w:rPr>
          <w:lang w:val="en-GB"/>
        </w:rPr>
      </w:pPr>
      <w:r w:rsidRPr="00321AC7">
        <w:rPr>
          <w:lang w:val="en-GB"/>
        </w:rPr>
        <w:t>Study design</w:t>
      </w:r>
    </w:p>
    <w:p w14:paraId="59DFEDFD" w14:textId="77777777" w:rsidR="00321AC7" w:rsidRPr="00321AC7" w:rsidRDefault="00321AC7" w:rsidP="00321AC7">
      <w:pPr>
        <w:rPr>
          <w:lang w:val="en-GB"/>
        </w:rPr>
      </w:pPr>
      <w:r w:rsidRPr="00321AC7">
        <w:rPr>
          <w:lang w:val="en-GB"/>
        </w:rPr>
        <w:t xml:space="preserve">A descriptive analysis of the outbreak was performed to define and characterise the outbreak, and to determine the likely pathogen responsible for the outbreak. Subsequently, a case-control study was conducted to assess the likely source of infection. </w:t>
      </w:r>
    </w:p>
    <w:p w14:paraId="7EB9D674" w14:textId="77777777" w:rsidR="00321AC7" w:rsidRPr="00321AC7" w:rsidRDefault="00321AC7" w:rsidP="00D37C38">
      <w:pPr>
        <w:pStyle w:val="Heading3"/>
        <w:rPr>
          <w:lang w:val="en-GB"/>
        </w:rPr>
      </w:pPr>
      <w:r w:rsidRPr="00321AC7">
        <w:rPr>
          <w:lang w:val="en-GB"/>
        </w:rPr>
        <w:t>Data collection</w:t>
      </w:r>
    </w:p>
    <w:p w14:paraId="3A650E49" w14:textId="011F401A" w:rsidR="00321AC7" w:rsidRPr="00321AC7" w:rsidRDefault="00321AC7" w:rsidP="00321AC7">
      <w:pPr>
        <w:rPr>
          <w:lang w:val="en-GB"/>
        </w:rPr>
      </w:pPr>
      <w:r w:rsidRPr="00321AC7">
        <w:rPr>
          <w:lang w:val="en-GB"/>
        </w:rPr>
        <w:t>Function attendees were surveyed via REDCap</w:t>
      </w:r>
      <w:r w:rsidRPr="00321AC7">
        <w:rPr>
          <w:vertAlign w:val="superscript"/>
          <w:lang w:val="en-GB"/>
        </w:rPr>
        <w:footnoteReference w:id="2"/>
      </w:r>
      <w:r w:rsidRPr="00321AC7">
        <w:rPr>
          <w:lang w:val="en-GB"/>
        </w:rPr>
        <w:t xml:space="preserve"> using a standard gastrointestinal outbreak questionnaire adapted to the catered </w:t>
      </w:r>
      <w:proofErr w:type="gramStart"/>
      <w:r w:rsidRPr="00321AC7">
        <w:rPr>
          <w:lang w:val="en-GB"/>
        </w:rPr>
        <w:t>menu, and</w:t>
      </w:r>
      <w:proofErr w:type="gramEnd"/>
      <w:r w:rsidRPr="00321AC7">
        <w:rPr>
          <w:lang w:val="en-GB"/>
        </w:rPr>
        <w:t xml:space="preserve"> were questioned regarding their interaction with other attendees in the two weeks prior to the function. Individuals invited to the function were sent a link to the REDCap survey by the function organiser, with the survey open to anyone with the attached link, as not all attendees would have received a direct invitation to the event. ACT Health was not provided with a full list of attendees and therefore could not contact cases directly. ACT</w:t>
      </w:r>
      <w:r w:rsidR="00D37C38">
        <w:rPr>
          <w:lang w:val="en-GB"/>
        </w:rPr>
        <w:t> </w:t>
      </w:r>
      <w:r w:rsidRPr="00321AC7">
        <w:rPr>
          <w:lang w:val="en-GB"/>
        </w:rPr>
        <w:t xml:space="preserve">Health contacted organisers of other functions at the venue on the same weekend, to determine if illness was reported among attendees at those events. </w:t>
      </w:r>
    </w:p>
    <w:p w14:paraId="51E1E0F5" w14:textId="77777777" w:rsidR="00321AC7" w:rsidRPr="00321AC7" w:rsidRDefault="00321AC7" w:rsidP="00D37C38">
      <w:pPr>
        <w:pStyle w:val="Heading3"/>
        <w:rPr>
          <w:lang w:val="en-GB"/>
        </w:rPr>
      </w:pPr>
      <w:r w:rsidRPr="00321AC7">
        <w:rPr>
          <w:lang w:val="en-GB"/>
        </w:rPr>
        <w:t>Case definition</w:t>
      </w:r>
    </w:p>
    <w:p w14:paraId="617FFA0F" w14:textId="1A122D1A" w:rsidR="00321AC7" w:rsidRPr="00321AC7" w:rsidRDefault="00321AC7" w:rsidP="00321AC7">
      <w:pPr>
        <w:rPr>
          <w:lang w:val="en-GB"/>
        </w:rPr>
      </w:pPr>
      <w:r w:rsidRPr="00321AC7">
        <w:rPr>
          <w:lang w:val="en-GB"/>
        </w:rPr>
        <w:t>A probable case was defined as a person who reported gastrointestinal symptoms (vomiting and/or diarrhoea and/or abdominal pain) commencing 6–72 hours after attending the private function. A</w:t>
      </w:r>
      <w:r w:rsidR="00D37C38">
        <w:rPr>
          <w:lang w:val="en-GB"/>
        </w:rPr>
        <w:t> </w:t>
      </w:r>
      <w:r w:rsidRPr="00321AC7">
        <w:rPr>
          <w:lang w:val="en-GB"/>
        </w:rPr>
        <w:t xml:space="preserve">confirmed case met the probable case definition and returned a norovirus-positive stool sample. A secondary case was defined as a person who reported gastrointestinal symptoms with an incubation period greater than 72 hours and who was a household contact of a probable or confirmed case. Controls were persons who attended the function and reported having no gastrointestinal symptoms. </w:t>
      </w:r>
    </w:p>
    <w:p w14:paraId="05A8F03D" w14:textId="77777777" w:rsidR="00321AC7" w:rsidRPr="00321AC7" w:rsidRDefault="00321AC7" w:rsidP="00D37C38">
      <w:pPr>
        <w:pStyle w:val="Heading3"/>
        <w:rPr>
          <w:lang w:val="en-GB"/>
        </w:rPr>
      </w:pPr>
      <w:r w:rsidRPr="00321AC7">
        <w:rPr>
          <w:lang w:val="en-GB"/>
        </w:rPr>
        <w:t>Case-control inclusion criteria</w:t>
      </w:r>
    </w:p>
    <w:p w14:paraId="7D114BD6" w14:textId="4658F27C" w:rsidR="00BE73E6" w:rsidRDefault="00321AC7" w:rsidP="00BE73E6">
      <w:pPr>
        <w:rPr>
          <w:lang w:val="en-GB"/>
        </w:rPr>
      </w:pPr>
      <w:r w:rsidRPr="00321AC7">
        <w:rPr>
          <w:lang w:val="en-GB"/>
        </w:rPr>
        <w:t>Individuals were excluded from the analysis if they reported being unwell with gastrointestinal symptoms in the two weeks prior to the function, if they were identified as a secondary case on the basis of an incubation period exceeding 72 hours, or if they were unwell after attending the event but did not provide enough details about the time of symptom onset to categorise them as a case (Figure 1). Probable and confirmed cases were included as cases in the case-control study.</w:t>
      </w:r>
    </w:p>
    <w:p w14:paraId="628106D4" w14:textId="77777777" w:rsidR="00D37C38" w:rsidRPr="00D37C38" w:rsidRDefault="00D37C38" w:rsidP="00D37C38">
      <w:pPr>
        <w:pStyle w:val="CDIFigure-Title"/>
        <w:rPr>
          <w:lang w:val="en-GB"/>
        </w:rPr>
      </w:pPr>
      <w:bookmarkStart w:id="22" w:name="_Toc234390982"/>
      <w:r w:rsidRPr="00D37C38">
        <w:rPr>
          <w:lang w:val="en-GB"/>
        </w:rPr>
        <w:t>Figure 1: Case-control study inclusion criteria for cases and controls, norovirus outbreak, Australian Capital Territory, 2024</w:t>
      </w:r>
      <w:bookmarkEnd w:id="22"/>
    </w:p>
    <w:p w14:paraId="59FAD65D" w14:textId="1E802E27" w:rsidR="00D37C38" w:rsidRDefault="00D37C38" w:rsidP="00D37C38">
      <w:pPr>
        <w:pStyle w:val="CDIFigure-Placeholder"/>
        <w:rPr>
          <w:lang w:val="en-GB"/>
        </w:rPr>
      </w:pPr>
      <w:r>
        <w:rPr>
          <w:noProof/>
          <w:lang w:val="en-GB"/>
          <w14:ligatures w14:val="none"/>
        </w:rPr>
        <w:drawing>
          <wp:inline distT="0" distB="0" distL="0" distR="0" wp14:anchorId="6928EFBE" wp14:editId="29C16882">
            <wp:extent cx="5166360" cy="3241548"/>
            <wp:effectExtent l="0" t="0" r="0" b="0"/>
            <wp:docPr id="1243371045" name="Picture 1" descr="A flow diagram showing the inclusion of survey respondents as cases and controls in the outbreak investigation. The chart shows the total number of survey respondents, the number that did and didn’t experience any gastrointestinal symptoms following the event and the exclusion of individuals due to missing data, symptoms not matching the case definition, extended incubation period and prior il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71045" name="Picture 1" descr="A flow diagram showing the inclusion of survey respondents as cases and controls in the outbreak investigation. The chart shows the total number of survey respondents, the number that did and didn’t experience any gastrointestinal symptoms following the event and the exclusion of individuals due to missing data, symptoms not matching the case definition, extended incubation period and prior illness."/>
                    <pic:cNvPicPr/>
                  </pic:nvPicPr>
                  <pic:blipFill>
                    <a:blip r:embed="rId18">
                      <a:extLst>
                        <a:ext uri="{28A0092B-C50C-407E-A947-70E740481C1C}">
                          <a14:useLocalDpi xmlns:a14="http://schemas.microsoft.com/office/drawing/2010/main" val="0"/>
                        </a:ext>
                      </a:extLst>
                    </a:blip>
                    <a:stretch>
                      <a:fillRect/>
                    </a:stretch>
                  </pic:blipFill>
                  <pic:spPr>
                    <a:xfrm>
                      <a:off x="0" y="0"/>
                      <a:ext cx="5166360" cy="3241548"/>
                    </a:xfrm>
                    <a:prstGeom prst="rect">
                      <a:avLst/>
                    </a:prstGeom>
                  </pic:spPr>
                </pic:pic>
              </a:graphicData>
            </a:graphic>
          </wp:inline>
        </w:drawing>
      </w:r>
      <w:r>
        <w:rPr>
          <w:lang w:val="en-GB"/>
        </w:rPr>
        <w:br w:type="page"/>
      </w:r>
    </w:p>
    <w:p w14:paraId="2A7B24BC" w14:textId="77777777" w:rsidR="00D37C38" w:rsidRPr="00D37C38" w:rsidRDefault="00D37C38" w:rsidP="00D37C38">
      <w:pPr>
        <w:pStyle w:val="Heading3"/>
        <w:rPr>
          <w:lang w:val="en-GB"/>
        </w:rPr>
      </w:pPr>
      <w:r w:rsidRPr="00D37C38">
        <w:rPr>
          <w:lang w:val="en-GB"/>
        </w:rPr>
        <w:t>Statistical analysis</w:t>
      </w:r>
    </w:p>
    <w:p w14:paraId="513D077A" w14:textId="77777777" w:rsidR="00D37C38" w:rsidRPr="00D37C38" w:rsidRDefault="00D37C38" w:rsidP="00D37C38">
      <w:pPr>
        <w:rPr>
          <w:lang w:val="en-GB"/>
        </w:rPr>
      </w:pPr>
      <w:r w:rsidRPr="00D37C38">
        <w:rPr>
          <w:lang w:val="en-GB"/>
        </w:rPr>
        <w:t xml:space="preserve">Data were analysed in Microsoft Excel and R Statistical Software (v4.4.0; R Core Team 2024). Age group and gender of cases and controls were compared using chi-squared analysis. Univariate (Fisher’s exact test) and multivariable (logistic regression) analyses of exposures were performed. The multivariable analysis included age, as well as any food exposure from the univariate analyses that had a </w:t>
      </w:r>
      <w:r w:rsidRPr="00D37C38">
        <w:rPr>
          <w:i/>
          <w:iCs/>
          <w:lang w:val="en-GB"/>
        </w:rPr>
        <w:t>p</w:t>
      </w:r>
      <w:r w:rsidRPr="00D37C38">
        <w:rPr>
          <w:lang w:val="en-GB"/>
        </w:rPr>
        <w:t>-value &lt; 0.2 and an odds ratio (OR) &gt; 1. All individual variables and interactions of age group with each of the food exposure variables were included in the full model. Non-statistically significant variables were removed in a backwards stepwise elimination method. Akaike information criteria were used to assess goodness of fit for each model. Adjusted odds ratios for each variable of the final model are reported.</w:t>
      </w:r>
    </w:p>
    <w:p w14:paraId="2D54C297" w14:textId="77777777" w:rsidR="00D37C38" w:rsidRPr="00D37C38" w:rsidRDefault="00D37C38" w:rsidP="00D37C38">
      <w:pPr>
        <w:pStyle w:val="Heading3"/>
        <w:rPr>
          <w:lang w:val="en-GB"/>
        </w:rPr>
      </w:pPr>
      <w:r w:rsidRPr="00D37C38">
        <w:rPr>
          <w:lang w:val="en-GB"/>
        </w:rPr>
        <w:t>Ethical considerations</w:t>
      </w:r>
    </w:p>
    <w:p w14:paraId="27B9EA95" w14:textId="77777777" w:rsidR="00D37C38" w:rsidRPr="00D37C38" w:rsidRDefault="00D37C38" w:rsidP="00D37C38">
      <w:pPr>
        <w:rPr>
          <w:lang w:val="en-GB"/>
        </w:rPr>
      </w:pPr>
      <w:r w:rsidRPr="00D37C38">
        <w:rPr>
          <w:lang w:val="en-GB"/>
        </w:rPr>
        <w:t xml:space="preserve">Ethics approval was not required for this outbreak, as it fell under the </w:t>
      </w:r>
      <w:r w:rsidRPr="00D37C38">
        <w:rPr>
          <w:i/>
          <w:iCs/>
          <w:lang w:val="en-GB"/>
        </w:rPr>
        <w:t>Public Health Act 1997</w:t>
      </w:r>
      <w:r w:rsidRPr="00D37C38">
        <w:rPr>
          <w:lang w:val="en-GB"/>
        </w:rPr>
        <w:t xml:space="preserve"> (ACT) as a public health investigation. This work also falls under the Australian National University (ANU) waiver of consent protocol: 2017/909 for research performed as part of an outbreak investigation.</w:t>
      </w:r>
    </w:p>
    <w:p w14:paraId="1B973ED0" w14:textId="77777777" w:rsidR="008A0736" w:rsidRDefault="000073ED" w:rsidP="005A4E9D">
      <w:pPr>
        <w:pStyle w:val="Heading1"/>
      </w:pPr>
      <w:bookmarkStart w:id="23" w:name="_Toc195530503"/>
      <w:bookmarkStart w:id="24" w:name="_Toc234394471"/>
      <w:r>
        <w:t>Results</w:t>
      </w:r>
      <w:bookmarkEnd w:id="23"/>
      <w:bookmarkEnd w:id="24"/>
    </w:p>
    <w:p w14:paraId="0D95CFC0" w14:textId="77777777" w:rsidR="00D37C38" w:rsidRPr="00D37C38" w:rsidRDefault="00D37C38" w:rsidP="00D37C38">
      <w:pPr>
        <w:pStyle w:val="Heading2"/>
        <w:rPr>
          <w:lang w:val="en-GB"/>
        </w:rPr>
      </w:pPr>
      <w:bookmarkStart w:id="25" w:name="_Toc234394472"/>
      <w:r w:rsidRPr="00D37C38">
        <w:rPr>
          <w:lang w:val="en-GB"/>
        </w:rPr>
        <w:t>Environmental health investigation</w:t>
      </w:r>
      <w:bookmarkEnd w:id="25"/>
    </w:p>
    <w:p w14:paraId="474FBE6F" w14:textId="77777777" w:rsidR="00D37C38" w:rsidRPr="00D37C38" w:rsidRDefault="00D37C38" w:rsidP="00D37C38">
      <w:pPr>
        <w:rPr>
          <w:lang w:val="en-GB"/>
        </w:rPr>
      </w:pPr>
      <w:r w:rsidRPr="00D37C38">
        <w:rPr>
          <w:lang w:val="en-GB"/>
        </w:rPr>
        <w:t xml:space="preserve">A review of the food preparation areas, food storage facilities and conditions, and handwashing stations did not identify any areas of non-compliance. Eight food samples were collected: four cured and dried meats; three commercially prepared dips; and one tartare sauce. Any remaining food that had been received and/or prepared for the function was discarded and therefore did not present an ongoing risk to the public. Venue staff noted that catering for the event was provided by the venue in a private room, though attendees could also purchase food from a restaurant which was open to the public. </w:t>
      </w:r>
    </w:p>
    <w:p w14:paraId="59497F51" w14:textId="77777777" w:rsidR="00D37C38" w:rsidRPr="00D37C38" w:rsidRDefault="00D37C38" w:rsidP="00D37C38">
      <w:pPr>
        <w:rPr>
          <w:lang w:val="en-GB"/>
        </w:rPr>
      </w:pPr>
      <w:r w:rsidRPr="00D37C38">
        <w:rPr>
          <w:lang w:val="en-GB"/>
        </w:rPr>
        <w:t>Venue staff described the venue’s staff illness and exclusion policy (a requirement under the Australia New Zealand Food Standard Code (FSC), Standard 3.2.2, Division 4 (Health and hygiene requirements).</w:t>
      </w:r>
      <w:r w:rsidRPr="00D37C38">
        <w:rPr>
          <w:vertAlign w:val="superscript"/>
          <w:lang w:val="en-GB"/>
        </w:rPr>
        <w:t>23</w:t>
      </w:r>
      <w:r w:rsidRPr="00D37C38">
        <w:rPr>
          <w:lang w:val="en-GB"/>
        </w:rPr>
        <w:t xml:space="preserve"> Despite this, it appeared this was being applied inconsistently across the venue, as there were reports of staff returning to work within 48 hours of their last symptom of gastrointestinal illness. </w:t>
      </w:r>
    </w:p>
    <w:p w14:paraId="73A61BD7" w14:textId="77777777" w:rsidR="00D37C38" w:rsidRPr="00D37C38" w:rsidRDefault="00D37C38" w:rsidP="00D37C38">
      <w:pPr>
        <w:rPr>
          <w:lang w:val="en-GB"/>
        </w:rPr>
      </w:pPr>
      <w:r w:rsidRPr="00D37C38">
        <w:rPr>
          <w:lang w:val="en-GB"/>
        </w:rPr>
        <w:t xml:space="preserve">One food handler was identified as having been unwell five days prior to the event, and subsequently prepared fruit platters and cured and dried meat platters for the event but did not work at the event. This food preparation occurred two days after the recommended </w:t>
      </w:r>
      <w:proofErr w:type="gramStart"/>
      <w:r w:rsidRPr="00D37C38">
        <w:rPr>
          <w:lang w:val="en-GB"/>
        </w:rPr>
        <w:t>48 hour</w:t>
      </w:r>
      <w:proofErr w:type="gramEnd"/>
      <w:r w:rsidRPr="00D37C38">
        <w:rPr>
          <w:lang w:val="en-GB"/>
        </w:rPr>
        <w:t xml:space="preserve"> exclusion period for gastrointestinal symptoms. The food handler provided a stool sample four days after the event.</w:t>
      </w:r>
    </w:p>
    <w:p w14:paraId="46870A01" w14:textId="77777777" w:rsidR="00D37C38" w:rsidRPr="00D37C38" w:rsidRDefault="00D37C38" w:rsidP="00D37C38">
      <w:pPr>
        <w:pStyle w:val="Heading2"/>
        <w:rPr>
          <w:lang w:val="en-GB"/>
        </w:rPr>
      </w:pPr>
      <w:bookmarkStart w:id="26" w:name="_Toc234394473"/>
      <w:r w:rsidRPr="00D37C38">
        <w:rPr>
          <w:lang w:val="en-GB"/>
        </w:rPr>
        <w:t>Laboratory investigation</w:t>
      </w:r>
      <w:bookmarkEnd w:id="26"/>
    </w:p>
    <w:p w14:paraId="4597AECA" w14:textId="77777777" w:rsidR="00D37C38" w:rsidRPr="00D37C38" w:rsidRDefault="00D37C38" w:rsidP="00D37C38">
      <w:pPr>
        <w:pStyle w:val="Heading3-lessspacebefore"/>
        <w:rPr>
          <w:lang w:val="en-GB"/>
        </w:rPr>
      </w:pPr>
      <w:r w:rsidRPr="00D37C38">
        <w:rPr>
          <w:lang w:val="en-GB"/>
        </w:rPr>
        <w:t>Food samples</w:t>
      </w:r>
    </w:p>
    <w:p w14:paraId="671960D5" w14:textId="77777777" w:rsidR="00D37C38" w:rsidRPr="00D37C38" w:rsidRDefault="00D37C38" w:rsidP="00D37C38">
      <w:pPr>
        <w:rPr>
          <w:lang w:val="en-GB"/>
        </w:rPr>
      </w:pPr>
      <w:r w:rsidRPr="00D37C38">
        <w:rPr>
          <w:i/>
          <w:iCs/>
          <w:lang w:val="en-GB"/>
        </w:rPr>
        <w:t>Listeria monocytogenes</w:t>
      </w:r>
      <w:r w:rsidRPr="00D37C38">
        <w:rPr>
          <w:lang w:val="en-GB"/>
        </w:rPr>
        <w:t xml:space="preserve"> and </w:t>
      </w:r>
      <w:r w:rsidRPr="00D37C38">
        <w:rPr>
          <w:i/>
          <w:iCs/>
          <w:lang w:val="en-GB"/>
        </w:rPr>
        <w:t>Salmonella</w:t>
      </w:r>
      <w:r w:rsidRPr="00D37C38">
        <w:rPr>
          <w:lang w:val="en-GB"/>
        </w:rPr>
        <w:t xml:space="preserve"> spp. </w:t>
      </w:r>
      <w:proofErr w:type="spellStart"/>
      <w:r w:rsidRPr="00D37C38">
        <w:rPr>
          <w:lang w:val="en-GB"/>
        </w:rPr>
        <w:t>were</w:t>
      </w:r>
      <w:proofErr w:type="spellEnd"/>
      <w:r w:rsidRPr="00D37C38">
        <w:rPr>
          <w:lang w:val="en-GB"/>
        </w:rPr>
        <w:t xml:space="preserve"> not detected in any food samples, and </w:t>
      </w:r>
      <w:r w:rsidRPr="00D37C38">
        <w:rPr>
          <w:i/>
          <w:iCs/>
          <w:lang w:val="en-GB"/>
        </w:rPr>
        <w:t>E. coli</w:t>
      </w:r>
      <w:r w:rsidRPr="00D37C38">
        <w:rPr>
          <w:lang w:val="en-GB"/>
        </w:rPr>
        <w:t xml:space="preserve"> was within allowable detectable limits for all samples. Standard plate count results were within the expected range for all samples except the tzatziki dip, which was in the marginal range (11,000,000 colony forming units per gram [</w:t>
      </w:r>
      <w:proofErr w:type="spellStart"/>
      <w:r w:rsidRPr="00D37C38">
        <w:rPr>
          <w:lang w:val="en-GB"/>
        </w:rPr>
        <w:t>cfu</w:t>
      </w:r>
      <w:proofErr w:type="spellEnd"/>
      <w:r w:rsidRPr="00D37C38">
        <w:rPr>
          <w:lang w:val="en-GB"/>
        </w:rPr>
        <w:t>/g]).</w:t>
      </w:r>
    </w:p>
    <w:p w14:paraId="53A4C955" w14:textId="77777777" w:rsidR="00D37C38" w:rsidRPr="00D37C38" w:rsidRDefault="00D37C38" w:rsidP="00D37C38">
      <w:pPr>
        <w:pStyle w:val="Heading3"/>
        <w:rPr>
          <w:lang w:val="en-GB"/>
        </w:rPr>
      </w:pPr>
      <w:r w:rsidRPr="00D37C38">
        <w:rPr>
          <w:lang w:val="en-GB"/>
        </w:rPr>
        <w:t>Clinical samples</w:t>
      </w:r>
    </w:p>
    <w:p w14:paraId="73CCA8AD" w14:textId="28C5681B" w:rsidR="008E2919" w:rsidRDefault="00D37C38" w:rsidP="00D37C38">
      <w:pPr>
        <w:rPr>
          <w:lang w:val="en-GB"/>
        </w:rPr>
      </w:pPr>
      <w:r w:rsidRPr="00D37C38">
        <w:rPr>
          <w:lang w:val="en-GB"/>
        </w:rPr>
        <w:t xml:space="preserve">Norovirus was detected in all six clinical samples (five attendees and the food handler who prepared the fruit and meat platters), with genotyping determining all to be </w:t>
      </w:r>
      <w:r w:rsidRPr="00D37C38">
        <w:rPr>
          <w:i/>
          <w:iCs/>
          <w:lang w:val="en-GB"/>
        </w:rPr>
        <w:t>Norovirus</w:t>
      </w:r>
      <w:r w:rsidRPr="00D37C38">
        <w:rPr>
          <w:lang w:val="en-GB"/>
        </w:rPr>
        <w:t xml:space="preserve"> GII.6 type. No</w:t>
      </w:r>
      <w:r>
        <w:rPr>
          <w:lang w:val="en-GB"/>
        </w:rPr>
        <w:t> </w:t>
      </w:r>
      <w:r w:rsidRPr="00D37C38">
        <w:rPr>
          <w:lang w:val="en-GB"/>
        </w:rPr>
        <w:t xml:space="preserve">bacterial pathogens were isolated from the clinical samples. </w:t>
      </w:r>
    </w:p>
    <w:p w14:paraId="0D6FFD25" w14:textId="77777777" w:rsidR="00D37C38" w:rsidRPr="00D37C38" w:rsidRDefault="00D37C38" w:rsidP="00D37C38">
      <w:pPr>
        <w:pStyle w:val="Heading2"/>
        <w:rPr>
          <w:lang w:val="en-GB"/>
        </w:rPr>
      </w:pPr>
      <w:bookmarkStart w:id="27" w:name="_Toc234394474"/>
      <w:r w:rsidRPr="00D37C38">
        <w:rPr>
          <w:lang w:val="en-GB"/>
        </w:rPr>
        <w:t>Epidemiological investigation</w:t>
      </w:r>
      <w:bookmarkEnd w:id="27"/>
    </w:p>
    <w:p w14:paraId="1C4F3781" w14:textId="77777777" w:rsidR="00D37C38" w:rsidRPr="00D37C38" w:rsidRDefault="00D37C38" w:rsidP="00D37C38">
      <w:pPr>
        <w:pStyle w:val="Heading3-lessspacebefore"/>
        <w:rPr>
          <w:lang w:val="en-GB"/>
        </w:rPr>
      </w:pPr>
      <w:r w:rsidRPr="00D37C38">
        <w:rPr>
          <w:lang w:val="en-GB"/>
        </w:rPr>
        <w:t>Descriptive analysis</w:t>
      </w:r>
    </w:p>
    <w:p w14:paraId="26111925" w14:textId="77777777" w:rsidR="00D37C38" w:rsidRPr="00D37C38" w:rsidRDefault="00D37C38" w:rsidP="00D37C38">
      <w:pPr>
        <w:rPr>
          <w:lang w:val="en-GB"/>
        </w:rPr>
      </w:pPr>
      <w:r w:rsidRPr="00D37C38">
        <w:rPr>
          <w:lang w:val="en-GB"/>
        </w:rPr>
        <w:t xml:space="preserve">The total number of attendees at the function is unknown but was estimated to be between 250 (estimated by the event manager at the venue) and 500 (estimated as the number of invitees by the function organiser). The REDCap survey was completed by 224 individuals between three and five days post function. Seventy-five individuals (33%) reported being unwell following the function; of these, 60 were probable cases and five were confirmed cases. Of the ten ill people who did not meet the outbreak case definition: one individual was excluded as they reported also being unwell prior to the event; three were excluded due to missing onset time information; five were excluded as they reported symptoms but did not meet the case definition; and one was determined to be a secondary case (Figure 1). Controls included 147 individuals who attended the function and reported having no gastrointestinal symptoms following the event. Two individuals were excluded from the control group, as they had been ill with gastrointestinal symptoms prior to attending the function. The secondary case was assumed to have resulted from transmission among household members. This case reported an incubation period of 83 hours from the start of the function; prior to their onset, at least one other member of their household was ill after attending the function. </w:t>
      </w:r>
    </w:p>
    <w:p w14:paraId="78FE6CA4" w14:textId="77777777" w:rsidR="00D37C38" w:rsidRPr="00D37C38" w:rsidRDefault="00D37C38" w:rsidP="00D37C38">
      <w:pPr>
        <w:rPr>
          <w:lang w:val="en-GB"/>
        </w:rPr>
      </w:pPr>
      <w:r w:rsidRPr="00D37C38">
        <w:rPr>
          <w:lang w:val="en-GB"/>
        </w:rPr>
        <w:t>There were no unwell individuals reported by the organisers of other events held on the same weekend. Several news articles were published in the days following the notification of the outbreak and this did not result in further reports of illness associated with the venue.</w:t>
      </w:r>
    </w:p>
    <w:p w14:paraId="539AC55D" w14:textId="50760706" w:rsidR="00D37C38" w:rsidRPr="00D37C38" w:rsidRDefault="00D37C38" w:rsidP="00D37C38">
      <w:pPr>
        <w:rPr>
          <w:lang w:val="en-GB"/>
        </w:rPr>
      </w:pPr>
      <w:r w:rsidRPr="00D37C38">
        <w:rPr>
          <w:lang w:val="en-GB"/>
        </w:rPr>
        <w:t>The median incubation period was 37.8 hours (range: 6.0–63.0 hours; interquartile range [IQR]: 34.3–42.5 hours; Figure 2). The median duration of symptoms was 27.3 hours (range: 0.3–56.0 hours; IQR: 12.8–32.4 hours); however, the duration of illness was only available for 16 cases, due to most cases reporting still being unwell when the survey was completed. Vomiting (n = 51/65; 78%), nausea (n = 49/65; 75%) and abdominal pain (n = 44/65; 68%) were the most common symptoms reported, followed by headache, diarrhoea, and fever in more than half the cases. No</w:t>
      </w:r>
      <w:r w:rsidR="008E2919">
        <w:rPr>
          <w:lang w:val="en-GB"/>
        </w:rPr>
        <w:t> </w:t>
      </w:r>
      <w:r w:rsidRPr="00D37C38">
        <w:rPr>
          <w:lang w:val="en-GB"/>
        </w:rPr>
        <w:t>cases reported blood in the stool. Four cases attended the Emergency Department; however, none were hospitalised. The ANU FSANZ calculator estimated the financial burden of the outbreak at $29,800 (AUD) in direct medical costs, lost productivity and pain and suffering.</w:t>
      </w:r>
      <w:r w:rsidRPr="00D37C38">
        <w:rPr>
          <w:vertAlign w:val="superscript"/>
          <w:lang w:val="en-GB"/>
        </w:rPr>
        <w:t>24</w:t>
      </w:r>
    </w:p>
    <w:p w14:paraId="73926F4D" w14:textId="77777777" w:rsidR="00D37C38" w:rsidRPr="00D37C38" w:rsidRDefault="00D37C38" w:rsidP="008E2919">
      <w:pPr>
        <w:pStyle w:val="CDIFigure-Title"/>
        <w:rPr>
          <w:lang w:val="en-GB"/>
        </w:rPr>
      </w:pPr>
      <w:bookmarkStart w:id="28" w:name="_Toc234390983"/>
      <w:r w:rsidRPr="00D37C38">
        <w:rPr>
          <w:lang w:val="en-GB"/>
        </w:rPr>
        <w:t>Figure 2: Epidemic curve of symptom onset day and time of cases, norovirus outbreak, Australian Capital Territory, 2024</w:t>
      </w:r>
      <w:bookmarkEnd w:id="28"/>
    </w:p>
    <w:p w14:paraId="7A8C9C0C" w14:textId="6DB3D1BE" w:rsidR="00AC46DC" w:rsidRDefault="008E2919" w:rsidP="008E2919">
      <w:pPr>
        <w:pStyle w:val="CDIFigure-Placeholder"/>
        <w:rPr>
          <w:lang w:val="en-GB"/>
        </w:rPr>
      </w:pPr>
      <w:r>
        <w:rPr>
          <w:noProof/>
          <w:lang w:val="en-GB"/>
          <w14:ligatures w14:val="none"/>
        </w:rPr>
        <w:drawing>
          <wp:inline distT="0" distB="0" distL="0" distR="0" wp14:anchorId="2682482E" wp14:editId="7C8757AE">
            <wp:extent cx="6120765" cy="3510280"/>
            <wp:effectExtent l="0" t="0" r="0" b="0"/>
            <wp:docPr id="978264924" name="Picture 2" descr="An epidemic curve showing the onset of symptoms in six hour windows following attendance at a catered social function. The peak of onset was between 6:00am and 12:00pm on Day 2 following an event commencing at 5:00pm on Day 0. The epidemic curve has a single peak and indicates a point source outbreak. A single secondary infection occurred between 12:00am and 6:00am on Day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64924" name="Picture 2" descr="An epidemic curve showing the onset of symptoms in six hour windows following attendance at a catered social function. The peak of onset was between 6:00am and 12:00pm on Day 2 following an event commencing at 5:00pm on Day 0. The epidemic curve has a single peak and indicates a point source outbreak. A single secondary infection occurred between 12:00am and 6:00am on Day 4."/>
                    <pic:cNvPicPr/>
                  </pic:nvPicPr>
                  <pic:blipFill>
                    <a:blip r:embed="rId19">
                      <a:extLst>
                        <a:ext uri="{28A0092B-C50C-407E-A947-70E740481C1C}">
                          <a14:useLocalDpi xmlns:a14="http://schemas.microsoft.com/office/drawing/2010/main" val="0"/>
                        </a:ext>
                      </a:extLst>
                    </a:blip>
                    <a:stretch>
                      <a:fillRect/>
                    </a:stretch>
                  </pic:blipFill>
                  <pic:spPr>
                    <a:xfrm>
                      <a:off x="0" y="0"/>
                      <a:ext cx="6120765" cy="3510280"/>
                    </a:xfrm>
                    <a:prstGeom prst="rect">
                      <a:avLst/>
                    </a:prstGeom>
                  </pic:spPr>
                </pic:pic>
              </a:graphicData>
            </a:graphic>
          </wp:inline>
        </w:drawing>
      </w:r>
    </w:p>
    <w:p w14:paraId="65A30328" w14:textId="77777777" w:rsidR="008E2919" w:rsidRPr="008E2919" w:rsidRDefault="008E2919" w:rsidP="008E2919">
      <w:pPr>
        <w:pStyle w:val="Heading3"/>
        <w:rPr>
          <w:lang w:val="en-GB"/>
        </w:rPr>
      </w:pPr>
      <w:r w:rsidRPr="008E2919">
        <w:rPr>
          <w:lang w:val="en-GB"/>
        </w:rPr>
        <w:t>Statistical analysis / case-control study</w:t>
      </w:r>
    </w:p>
    <w:p w14:paraId="39BD07CC" w14:textId="51B1AD6C" w:rsidR="008E2919" w:rsidRDefault="008E2919" w:rsidP="008E2919">
      <w:pPr>
        <w:rPr>
          <w:lang w:val="en-GB"/>
        </w:rPr>
      </w:pPr>
      <w:r w:rsidRPr="008E2919">
        <w:rPr>
          <w:lang w:val="en-GB"/>
        </w:rPr>
        <w:t>Initial analysis included all cases and control and there was no difference in gender between these groups (χ</w:t>
      </w:r>
      <w:r w:rsidRPr="008E2919">
        <w:rPr>
          <w:vertAlign w:val="superscript"/>
          <w:lang w:val="en-GB"/>
        </w:rPr>
        <w:t>2</w:t>
      </w:r>
      <w:r w:rsidRPr="008E2919">
        <w:rPr>
          <w:lang w:val="en-GB"/>
        </w:rPr>
        <w:t xml:space="preserve"> = 2.4; degrees of freedom [</w:t>
      </w:r>
      <w:proofErr w:type="spellStart"/>
      <w:r w:rsidRPr="008E2919">
        <w:rPr>
          <w:lang w:val="en-GB"/>
        </w:rPr>
        <w:t>df</w:t>
      </w:r>
      <w:proofErr w:type="spellEnd"/>
      <w:r w:rsidRPr="008E2919">
        <w:rPr>
          <w:lang w:val="en-GB"/>
        </w:rPr>
        <w:t xml:space="preserve">] = 1; </w:t>
      </w:r>
      <w:r w:rsidRPr="008E2919">
        <w:rPr>
          <w:i/>
          <w:iCs/>
          <w:lang w:val="en-GB"/>
        </w:rPr>
        <w:t>p</w:t>
      </w:r>
      <w:r w:rsidRPr="008E2919">
        <w:rPr>
          <w:lang w:val="en-GB"/>
        </w:rPr>
        <w:t xml:space="preserve"> = 0.12). The representation of different age groups in cases and controls varied significantly (χ</w:t>
      </w:r>
      <w:r w:rsidRPr="008E2919">
        <w:rPr>
          <w:vertAlign w:val="superscript"/>
          <w:lang w:val="en-GB"/>
        </w:rPr>
        <w:t>2</w:t>
      </w:r>
      <w:r w:rsidRPr="008E2919">
        <w:rPr>
          <w:lang w:val="en-GB"/>
        </w:rPr>
        <w:t xml:space="preserve"> = 13.4; </w:t>
      </w:r>
      <w:proofErr w:type="spellStart"/>
      <w:r w:rsidRPr="008E2919">
        <w:rPr>
          <w:lang w:val="en-GB"/>
        </w:rPr>
        <w:t>df</w:t>
      </w:r>
      <w:proofErr w:type="spellEnd"/>
      <w:r w:rsidRPr="008E2919">
        <w:rPr>
          <w:lang w:val="en-GB"/>
        </w:rPr>
        <w:t xml:space="preserve"> = 2; </w:t>
      </w:r>
      <w:r w:rsidRPr="008E2919">
        <w:rPr>
          <w:i/>
          <w:iCs/>
          <w:lang w:val="en-GB"/>
        </w:rPr>
        <w:t>p</w:t>
      </w:r>
      <w:r w:rsidRPr="008E2919">
        <w:rPr>
          <w:lang w:val="en-GB"/>
        </w:rPr>
        <w:t xml:space="preserve"> = 0.001): overall, cases were younger (median age = 16 years; range = 9–53 years) than controls (median age = 34 years; range = 9–80</w:t>
      </w:r>
      <w:r>
        <w:rPr>
          <w:lang w:val="en-GB"/>
        </w:rPr>
        <w:t xml:space="preserve"> </w:t>
      </w:r>
      <w:r w:rsidRPr="008E2919">
        <w:rPr>
          <w:lang w:val="en-GB"/>
        </w:rPr>
        <w:t xml:space="preserve">years; Table 1). </w:t>
      </w:r>
    </w:p>
    <w:p w14:paraId="27454CEE" w14:textId="77777777" w:rsidR="008E2919" w:rsidRPr="008E2919" w:rsidRDefault="008E2919" w:rsidP="008E2919">
      <w:pPr>
        <w:pStyle w:val="CDITable-Title"/>
        <w:rPr>
          <w:lang w:val="en-GB"/>
        </w:rPr>
      </w:pPr>
      <w:bookmarkStart w:id="29" w:name="_Toc234390984"/>
      <w:r w:rsidRPr="008E2919">
        <w:rPr>
          <w:lang w:val="en-GB"/>
        </w:rPr>
        <w:t>Table 1: Age and gender of all cases and controls, norovirus outbreak, Australia Capital Territory, 2024</w:t>
      </w:r>
      <w:bookmarkEnd w:id="29"/>
    </w:p>
    <w:tbl>
      <w:tblPr>
        <w:tblW w:w="0" w:type="auto"/>
        <w:tblLayout w:type="fixed"/>
        <w:tblCellMar>
          <w:left w:w="0" w:type="dxa"/>
          <w:right w:w="0" w:type="dxa"/>
        </w:tblCellMar>
        <w:tblLook w:val="0000" w:firstRow="0" w:lastRow="0" w:firstColumn="0" w:lastColumn="0" w:noHBand="0" w:noVBand="0"/>
        <w:tblCaption w:val="Table 1: Age and gender of all cases and controls, norovirus outbreak, Australia Capital Territory, 2024"/>
        <w:tblDescription w:val="The table provides a summary of the gender and ages of cases and controls for all individuals that completed the outbreak questionnaire. Cases were younger and more commonly female than controls."/>
      </w:tblPr>
      <w:tblGrid>
        <w:gridCol w:w="1531"/>
        <w:gridCol w:w="1644"/>
        <w:gridCol w:w="1077"/>
        <w:gridCol w:w="1077"/>
        <w:gridCol w:w="1077"/>
        <w:gridCol w:w="1077"/>
        <w:gridCol w:w="1078"/>
        <w:gridCol w:w="1077"/>
      </w:tblGrid>
      <w:tr w:rsidR="008E2919" w:rsidRPr="008E2919" w14:paraId="29CFE4E7" w14:textId="77777777" w:rsidTr="002225DB">
        <w:trPr>
          <w:trHeight w:val="60"/>
          <w:tblHeader/>
        </w:trPr>
        <w:tc>
          <w:tcPr>
            <w:tcW w:w="1531" w:type="dxa"/>
            <w:vMerge w:val="restart"/>
            <w:tcBorders>
              <w:top w:val="nil"/>
              <w:left w:val="nil"/>
              <w:bottom w:val="single" w:sz="6" w:space="0" w:color="FFFFFF" w:themeColor="background1"/>
            </w:tcBorders>
            <w:shd w:val="clear" w:color="auto" w:fill="1E4496" w:themeFill="text2"/>
            <w:tcMar>
              <w:top w:w="85" w:type="dxa"/>
              <w:left w:w="85" w:type="dxa"/>
              <w:bottom w:w="85" w:type="dxa"/>
              <w:right w:w="85" w:type="dxa"/>
            </w:tcMar>
            <w:vAlign w:val="bottom"/>
          </w:tcPr>
          <w:p w14:paraId="0F6BB92B" w14:textId="77777777" w:rsidR="008E2919" w:rsidRPr="008E2919" w:rsidRDefault="008E2919" w:rsidP="008E2919">
            <w:pPr>
              <w:pStyle w:val="CDITable-HeaderRowLeft"/>
              <w:rPr>
                <w:lang w:val="en-GB"/>
              </w:rPr>
            </w:pPr>
            <w:r w:rsidRPr="008E2919">
              <w:rPr>
                <w:lang w:val="en-GB"/>
              </w:rPr>
              <w:t>Category</w:t>
            </w:r>
          </w:p>
        </w:tc>
        <w:tc>
          <w:tcPr>
            <w:tcW w:w="1644" w:type="dxa"/>
            <w:vMerge w:val="restart"/>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32AB6470" w14:textId="77777777" w:rsidR="008E2919" w:rsidRPr="008E2919" w:rsidRDefault="008E2919" w:rsidP="00D1326D">
            <w:pPr>
              <w:pStyle w:val="CDITable-HeaderRowLeft"/>
            </w:pPr>
            <w:r w:rsidRPr="008E2919">
              <w:t>Characteristic</w:t>
            </w:r>
          </w:p>
        </w:tc>
        <w:tc>
          <w:tcPr>
            <w:tcW w:w="2154" w:type="dxa"/>
            <w:gridSpan w:val="2"/>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7438F0E7" w14:textId="77777777" w:rsidR="008E2919" w:rsidRPr="008E2919" w:rsidRDefault="008E2919" w:rsidP="008E2919">
            <w:pPr>
              <w:pStyle w:val="CDITable-HeaderRowCentre"/>
            </w:pPr>
            <w:r w:rsidRPr="008E2919">
              <w:t>Cases</w:t>
            </w:r>
          </w:p>
        </w:tc>
        <w:tc>
          <w:tcPr>
            <w:tcW w:w="2154" w:type="dxa"/>
            <w:gridSpan w:val="2"/>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477ED46A" w14:textId="77777777" w:rsidR="008E2919" w:rsidRPr="008E2919" w:rsidRDefault="008E2919" w:rsidP="008E2919">
            <w:pPr>
              <w:pStyle w:val="CDITable-HeaderRowCentre"/>
            </w:pPr>
            <w:r w:rsidRPr="008E2919">
              <w:t>Controls</w:t>
            </w:r>
          </w:p>
        </w:tc>
        <w:tc>
          <w:tcPr>
            <w:tcW w:w="2155" w:type="dxa"/>
            <w:gridSpan w:val="2"/>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67A7C225" w14:textId="77777777" w:rsidR="008E2919" w:rsidRPr="008E2919" w:rsidRDefault="008E2919" w:rsidP="008E2919">
            <w:pPr>
              <w:pStyle w:val="CDITable-HeaderRowCentre"/>
            </w:pPr>
            <w:r w:rsidRPr="008E2919">
              <w:t>Total</w:t>
            </w:r>
          </w:p>
        </w:tc>
      </w:tr>
      <w:tr w:rsidR="008E2919" w:rsidRPr="008E2919" w14:paraId="4841F08B" w14:textId="77777777" w:rsidTr="00F15F01">
        <w:trPr>
          <w:trHeight w:val="60"/>
          <w:tblHeader/>
        </w:trPr>
        <w:tc>
          <w:tcPr>
            <w:tcW w:w="1531" w:type="dxa"/>
            <w:vMerge/>
            <w:tcBorders>
              <w:top w:val="single" w:sz="6" w:space="0" w:color="FFFFFF" w:themeColor="background1"/>
              <w:left w:val="nil"/>
            </w:tcBorders>
            <w:shd w:val="clear" w:color="auto" w:fill="1E4496" w:themeFill="text2"/>
            <w:tcMar>
              <w:top w:w="85" w:type="dxa"/>
              <w:left w:w="85" w:type="dxa"/>
              <w:bottom w:w="85" w:type="dxa"/>
              <w:right w:w="85" w:type="dxa"/>
            </w:tcMar>
          </w:tcPr>
          <w:p w14:paraId="278D3521" w14:textId="77777777" w:rsidR="008E2919" w:rsidRPr="008E2919" w:rsidRDefault="008E2919" w:rsidP="008E2919">
            <w:pPr>
              <w:pStyle w:val="CDITable-RowCentre"/>
            </w:pPr>
          </w:p>
        </w:tc>
        <w:tc>
          <w:tcPr>
            <w:tcW w:w="1644" w:type="dxa"/>
            <w:vMerge/>
            <w:tcBorders>
              <w:top w:val="single" w:sz="6" w:space="0" w:color="FFFFFF" w:themeColor="background1"/>
            </w:tcBorders>
            <w:shd w:val="clear" w:color="auto" w:fill="1E4496" w:themeFill="text2"/>
            <w:tcMar>
              <w:top w:w="85" w:type="dxa"/>
              <w:left w:w="85" w:type="dxa"/>
              <w:bottom w:w="85" w:type="dxa"/>
              <w:right w:w="85" w:type="dxa"/>
            </w:tcMar>
          </w:tcPr>
          <w:p w14:paraId="6F3C0A34" w14:textId="77777777" w:rsidR="008E2919" w:rsidRPr="008E2919" w:rsidRDefault="008E2919" w:rsidP="008E2919">
            <w:pPr>
              <w:pStyle w:val="CDITable-RowCentre"/>
            </w:pPr>
          </w:p>
        </w:tc>
        <w:tc>
          <w:tcPr>
            <w:tcW w:w="1077"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6D605736" w14:textId="77777777" w:rsidR="008E2919" w:rsidRPr="008E2919" w:rsidRDefault="008E2919" w:rsidP="008E2919">
            <w:pPr>
              <w:pStyle w:val="CDITable-HeaderRowCentre"/>
            </w:pPr>
            <w:r w:rsidRPr="008E2919">
              <w:t>n</w:t>
            </w:r>
          </w:p>
        </w:tc>
        <w:tc>
          <w:tcPr>
            <w:tcW w:w="1077"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23FEA93B" w14:textId="77777777" w:rsidR="008E2919" w:rsidRPr="008E2919" w:rsidRDefault="008E2919" w:rsidP="008E2919">
            <w:pPr>
              <w:pStyle w:val="CDITable-HeaderRowCentre"/>
            </w:pPr>
            <w:r w:rsidRPr="008E2919">
              <w:t>%</w:t>
            </w:r>
          </w:p>
        </w:tc>
        <w:tc>
          <w:tcPr>
            <w:tcW w:w="1077"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7BAF0496" w14:textId="77777777" w:rsidR="008E2919" w:rsidRPr="008E2919" w:rsidRDefault="008E2919" w:rsidP="008E2919">
            <w:pPr>
              <w:pStyle w:val="CDITable-HeaderRowCentre"/>
            </w:pPr>
            <w:r w:rsidRPr="008E2919">
              <w:t>n</w:t>
            </w:r>
          </w:p>
        </w:tc>
        <w:tc>
          <w:tcPr>
            <w:tcW w:w="1077"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044FEBA0" w14:textId="77777777" w:rsidR="008E2919" w:rsidRPr="008E2919" w:rsidRDefault="008E2919" w:rsidP="008E2919">
            <w:pPr>
              <w:pStyle w:val="CDITable-HeaderRowCentre"/>
            </w:pPr>
            <w:r w:rsidRPr="008E2919">
              <w:t>%</w:t>
            </w:r>
          </w:p>
        </w:tc>
        <w:tc>
          <w:tcPr>
            <w:tcW w:w="1078"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090F19CB" w14:textId="77777777" w:rsidR="008E2919" w:rsidRPr="008E2919" w:rsidRDefault="008E2919" w:rsidP="008E2919">
            <w:pPr>
              <w:pStyle w:val="CDITable-HeaderRowCentre"/>
            </w:pPr>
            <w:r w:rsidRPr="008E2919">
              <w:t>n</w:t>
            </w:r>
          </w:p>
        </w:tc>
        <w:tc>
          <w:tcPr>
            <w:tcW w:w="1077" w:type="dxa"/>
            <w:tcBorders>
              <w:top w:val="single" w:sz="6" w:space="0" w:color="FFFFFF" w:themeColor="background1"/>
              <w:right w:val="nil"/>
            </w:tcBorders>
            <w:shd w:val="clear" w:color="auto" w:fill="1E4496" w:themeFill="text2"/>
            <w:tcMar>
              <w:top w:w="85" w:type="dxa"/>
              <w:left w:w="85" w:type="dxa"/>
              <w:bottom w:w="85" w:type="dxa"/>
              <w:right w:w="85" w:type="dxa"/>
            </w:tcMar>
            <w:vAlign w:val="bottom"/>
          </w:tcPr>
          <w:p w14:paraId="235D2ADC" w14:textId="77777777" w:rsidR="008E2919" w:rsidRPr="008E2919" w:rsidRDefault="008E2919" w:rsidP="008E2919">
            <w:pPr>
              <w:pStyle w:val="CDITable-HeaderRowCentre"/>
            </w:pPr>
            <w:r w:rsidRPr="008E2919">
              <w:t>%</w:t>
            </w:r>
          </w:p>
        </w:tc>
      </w:tr>
      <w:tr w:rsidR="008E2919" w:rsidRPr="008E2919" w14:paraId="0401E157" w14:textId="77777777" w:rsidTr="00F15F01">
        <w:trPr>
          <w:trHeight w:val="60"/>
        </w:trPr>
        <w:tc>
          <w:tcPr>
            <w:tcW w:w="1531" w:type="dxa"/>
            <w:tcBorders>
              <w:left w:val="nil"/>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24B5EE4C" w14:textId="77777777" w:rsidR="008E2919" w:rsidRPr="00D1326D" w:rsidRDefault="008E2919" w:rsidP="00D1326D">
            <w:pPr>
              <w:pStyle w:val="CDITable-RowLeft"/>
              <w:rPr>
                <w:b/>
                <w:bCs/>
                <w:lang w:val="en-GB"/>
              </w:rPr>
            </w:pPr>
            <w:r w:rsidRPr="00D1326D">
              <w:rPr>
                <w:b/>
                <w:bCs/>
                <w:lang w:val="en-GB"/>
              </w:rPr>
              <w:t>Total</w:t>
            </w:r>
          </w:p>
        </w:tc>
        <w:tc>
          <w:tcPr>
            <w:tcW w:w="1644" w:type="dxa"/>
            <w:tcBorders>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72839F5D" w14:textId="77777777" w:rsidR="008E2919" w:rsidRPr="00D1326D" w:rsidRDefault="008E2919" w:rsidP="00D1326D">
            <w:pPr>
              <w:pStyle w:val="CDITable-RowLeft"/>
              <w:rPr>
                <w:b/>
                <w:bCs/>
                <w:lang w:val="en-GB"/>
              </w:rPr>
            </w:pPr>
            <w:r w:rsidRPr="00D1326D">
              <w:rPr>
                <w:b/>
                <w:bCs/>
                <w:lang w:val="en-GB"/>
              </w:rPr>
              <w:t>—</w:t>
            </w:r>
          </w:p>
        </w:tc>
        <w:tc>
          <w:tcPr>
            <w:tcW w:w="1077" w:type="dxa"/>
            <w:tcBorders>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3E85B71C" w14:textId="77777777" w:rsidR="008E2919" w:rsidRPr="00D1326D" w:rsidRDefault="008E2919" w:rsidP="00D1326D">
            <w:pPr>
              <w:pStyle w:val="CDITable-RowCentre"/>
              <w:rPr>
                <w:b/>
                <w:bCs/>
                <w:lang w:val="en-GB"/>
              </w:rPr>
            </w:pPr>
            <w:r w:rsidRPr="00D1326D">
              <w:rPr>
                <w:b/>
                <w:bCs/>
                <w:lang w:val="en-GB"/>
              </w:rPr>
              <w:t>65</w:t>
            </w:r>
          </w:p>
        </w:tc>
        <w:tc>
          <w:tcPr>
            <w:tcW w:w="1077" w:type="dxa"/>
            <w:tcBorders>
              <w:bottom w:val="single" w:sz="6" w:space="0" w:color="1E4496" w:themeColor="text2"/>
              <w:right w:val="single" w:sz="6" w:space="0" w:color="1E4496" w:themeColor="text2"/>
            </w:tcBorders>
            <w:shd w:val="clear" w:color="auto" w:fill="DCF4FC" w:themeFill="background2" w:themeFillTint="33"/>
            <w:tcMar>
              <w:top w:w="85" w:type="dxa"/>
              <w:left w:w="85" w:type="dxa"/>
              <w:bottom w:w="85" w:type="dxa"/>
              <w:right w:w="85" w:type="dxa"/>
            </w:tcMar>
            <w:vAlign w:val="center"/>
          </w:tcPr>
          <w:p w14:paraId="2ACE7E9F" w14:textId="77777777" w:rsidR="008E2919" w:rsidRPr="00D1326D" w:rsidRDefault="008E2919" w:rsidP="00D1326D">
            <w:pPr>
              <w:pStyle w:val="CDITable-RowCentre"/>
              <w:rPr>
                <w:b/>
                <w:bCs/>
                <w:lang w:val="en-GB"/>
              </w:rPr>
            </w:pPr>
            <w:r w:rsidRPr="00D1326D">
              <w:rPr>
                <w:b/>
                <w:bCs/>
                <w:lang w:val="en-GB"/>
              </w:rPr>
              <w:t>—</w:t>
            </w:r>
          </w:p>
        </w:tc>
        <w:tc>
          <w:tcPr>
            <w:tcW w:w="1077" w:type="dxa"/>
            <w:tcBorders>
              <w:left w:val="single" w:sz="6" w:space="0" w:color="1E4496" w:themeColor="text2"/>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4EDC5E3F" w14:textId="77777777" w:rsidR="008E2919" w:rsidRPr="00D1326D" w:rsidRDefault="008E2919" w:rsidP="00D1326D">
            <w:pPr>
              <w:pStyle w:val="CDITable-RowCentre"/>
              <w:rPr>
                <w:b/>
                <w:bCs/>
                <w:lang w:val="en-GB"/>
              </w:rPr>
            </w:pPr>
            <w:r w:rsidRPr="00D1326D">
              <w:rPr>
                <w:b/>
                <w:bCs/>
                <w:lang w:val="en-GB"/>
              </w:rPr>
              <w:t>147</w:t>
            </w:r>
          </w:p>
        </w:tc>
        <w:tc>
          <w:tcPr>
            <w:tcW w:w="1077" w:type="dxa"/>
            <w:tcBorders>
              <w:bottom w:val="single" w:sz="6" w:space="0" w:color="1E4496" w:themeColor="text2"/>
              <w:right w:val="single" w:sz="6" w:space="0" w:color="1E4496" w:themeColor="text2"/>
            </w:tcBorders>
            <w:shd w:val="clear" w:color="auto" w:fill="DCF4FC" w:themeFill="background2" w:themeFillTint="33"/>
            <w:tcMar>
              <w:top w:w="85" w:type="dxa"/>
              <w:left w:w="85" w:type="dxa"/>
              <w:bottom w:w="85" w:type="dxa"/>
              <w:right w:w="85" w:type="dxa"/>
            </w:tcMar>
            <w:vAlign w:val="center"/>
          </w:tcPr>
          <w:p w14:paraId="77187179" w14:textId="77777777" w:rsidR="008E2919" w:rsidRPr="00D1326D" w:rsidRDefault="008E2919" w:rsidP="00D1326D">
            <w:pPr>
              <w:pStyle w:val="CDITable-RowCentre"/>
              <w:rPr>
                <w:b/>
                <w:bCs/>
                <w:lang w:val="en-GB"/>
              </w:rPr>
            </w:pPr>
            <w:r w:rsidRPr="00D1326D">
              <w:rPr>
                <w:b/>
                <w:bCs/>
                <w:lang w:val="en-GB"/>
              </w:rPr>
              <w:t>—</w:t>
            </w:r>
          </w:p>
        </w:tc>
        <w:tc>
          <w:tcPr>
            <w:tcW w:w="1078" w:type="dxa"/>
            <w:tcBorders>
              <w:left w:val="single" w:sz="6" w:space="0" w:color="1E4496" w:themeColor="text2"/>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7FC61FF2" w14:textId="77777777" w:rsidR="008E2919" w:rsidRPr="00D1326D" w:rsidRDefault="008E2919" w:rsidP="00D1326D">
            <w:pPr>
              <w:pStyle w:val="CDITable-RowCentre"/>
              <w:rPr>
                <w:b/>
                <w:bCs/>
                <w:lang w:val="en-GB"/>
              </w:rPr>
            </w:pPr>
            <w:r w:rsidRPr="00D1326D">
              <w:rPr>
                <w:b/>
                <w:bCs/>
                <w:lang w:val="en-GB"/>
              </w:rPr>
              <w:t>212</w:t>
            </w:r>
          </w:p>
        </w:tc>
        <w:tc>
          <w:tcPr>
            <w:tcW w:w="1077" w:type="dxa"/>
            <w:tcBorders>
              <w:bottom w:val="single" w:sz="6" w:space="0" w:color="1E4496" w:themeColor="text2"/>
              <w:right w:val="nil"/>
            </w:tcBorders>
            <w:shd w:val="clear" w:color="auto" w:fill="DCF4FC" w:themeFill="background2" w:themeFillTint="33"/>
            <w:tcMar>
              <w:top w:w="85" w:type="dxa"/>
              <w:left w:w="85" w:type="dxa"/>
              <w:bottom w:w="85" w:type="dxa"/>
              <w:right w:w="85" w:type="dxa"/>
            </w:tcMar>
            <w:vAlign w:val="center"/>
          </w:tcPr>
          <w:p w14:paraId="6EC483D1" w14:textId="77777777" w:rsidR="008E2919" w:rsidRPr="00D1326D" w:rsidRDefault="008E2919" w:rsidP="00D1326D">
            <w:pPr>
              <w:pStyle w:val="CDITable-RowCentre"/>
              <w:rPr>
                <w:b/>
                <w:bCs/>
                <w:lang w:val="en-GB"/>
              </w:rPr>
            </w:pPr>
            <w:r w:rsidRPr="00D1326D">
              <w:rPr>
                <w:b/>
                <w:bCs/>
                <w:lang w:val="en-GB"/>
              </w:rPr>
              <w:t>—</w:t>
            </w:r>
          </w:p>
        </w:tc>
      </w:tr>
      <w:tr w:rsidR="008E2919" w:rsidRPr="008E2919" w14:paraId="5F4269ED" w14:textId="77777777" w:rsidTr="00F15F01">
        <w:trPr>
          <w:trHeight w:val="60"/>
        </w:trPr>
        <w:tc>
          <w:tcPr>
            <w:tcW w:w="1531" w:type="dxa"/>
            <w:vMerge w:val="restart"/>
            <w:tcBorders>
              <w:top w:val="single" w:sz="6" w:space="0" w:color="1E4496" w:themeColor="text2"/>
              <w:left w:val="nil"/>
              <w:bottom w:val="single" w:sz="6" w:space="0" w:color="1E4496" w:themeColor="text2"/>
            </w:tcBorders>
            <w:tcMar>
              <w:top w:w="85" w:type="dxa"/>
              <w:left w:w="85" w:type="dxa"/>
              <w:bottom w:w="85" w:type="dxa"/>
              <w:right w:w="85" w:type="dxa"/>
            </w:tcMar>
            <w:vAlign w:val="center"/>
          </w:tcPr>
          <w:p w14:paraId="572E762F" w14:textId="77777777" w:rsidR="008E2919" w:rsidRPr="008E2919" w:rsidRDefault="008E2919" w:rsidP="008E2919">
            <w:pPr>
              <w:pStyle w:val="CDITable-RowLeft"/>
              <w:rPr>
                <w:lang w:val="en-GB"/>
              </w:rPr>
            </w:pPr>
            <w:r w:rsidRPr="008E2919">
              <w:rPr>
                <w:lang w:val="en-GB"/>
              </w:rPr>
              <w:t>Gender</w:t>
            </w: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C78D007" w14:textId="77777777" w:rsidR="008E2919" w:rsidRPr="008E2919" w:rsidRDefault="008E2919" w:rsidP="00D1326D">
            <w:pPr>
              <w:pStyle w:val="CDITable-RowLeft"/>
              <w:rPr>
                <w:lang w:val="en-GB"/>
              </w:rPr>
            </w:pPr>
            <w:r w:rsidRPr="008E2919">
              <w:rPr>
                <w:lang w:val="en-GB"/>
              </w:rPr>
              <w:t>Male</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1D1660C" w14:textId="77777777" w:rsidR="008E2919" w:rsidRPr="008E2919" w:rsidRDefault="008E2919" w:rsidP="008E2919">
            <w:pPr>
              <w:pStyle w:val="CDITable-RowCentre"/>
              <w:rPr>
                <w:lang w:val="en-GB"/>
              </w:rPr>
            </w:pPr>
            <w:r w:rsidRPr="008E2919">
              <w:rPr>
                <w:lang w:val="en-GB"/>
              </w:rPr>
              <w:t>29</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4944BB77" w14:textId="77777777" w:rsidR="008E2919" w:rsidRPr="008E2919" w:rsidRDefault="008E2919" w:rsidP="008E2919">
            <w:pPr>
              <w:pStyle w:val="CDITable-RowCentre"/>
              <w:rPr>
                <w:lang w:val="en-GB"/>
              </w:rPr>
            </w:pPr>
            <w:r w:rsidRPr="008E2919">
              <w:rPr>
                <w:lang w:val="en-GB"/>
              </w:rPr>
              <w:t>44.6</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6CD8ADA7" w14:textId="77777777" w:rsidR="008E2919" w:rsidRPr="008E2919" w:rsidRDefault="008E2919" w:rsidP="008E2919">
            <w:pPr>
              <w:pStyle w:val="CDITable-RowCentre"/>
              <w:rPr>
                <w:lang w:val="en-GB"/>
              </w:rPr>
            </w:pPr>
            <w:r w:rsidRPr="008E2919">
              <w:rPr>
                <w:lang w:val="en-GB"/>
              </w:rPr>
              <w:t>84</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4F8ACF4F" w14:textId="77777777" w:rsidR="008E2919" w:rsidRPr="008E2919" w:rsidRDefault="008E2919" w:rsidP="008E2919">
            <w:pPr>
              <w:pStyle w:val="CDITable-RowCentre"/>
              <w:rPr>
                <w:lang w:val="en-GB"/>
              </w:rPr>
            </w:pPr>
            <w:r w:rsidRPr="008E2919">
              <w:rPr>
                <w:lang w:val="en-GB"/>
              </w:rPr>
              <w:t>57.1</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B3FFC6B" w14:textId="77777777" w:rsidR="008E2919" w:rsidRPr="008E2919" w:rsidRDefault="008E2919" w:rsidP="008E2919">
            <w:pPr>
              <w:pStyle w:val="CDITable-RowCentre"/>
              <w:rPr>
                <w:lang w:val="en-GB"/>
              </w:rPr>
            </w:pPr>
            <w:r w:rsidRPr="008E2919">
              <w:rPr>
                <w:lang w:val="en-GB"/>
              </w:rPr>
              <w:t>113</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00C34BDF" w14:textId="77777777" w:rsidR="008E2919" w:rsidRPr="008E2919" w:rsidRDefault="008E2919" w:rsidP="008E2919">
            <w:pPr>
              <w:pStyle w:val="CDITable-RowCentre"/>
              <w:rPr>
                <w:lang w:val="en-GB"/>
              </w:rPr>
            </w:pPr>
            <w:r w:rsidRPr="008E2919">
              <w:rPr>
                <w:lang w:val="en-GB"/>
              </w:rPr>
              <w:t>53.3</w:t>
            </w:r>
          </w:p>
        </w:tc>
      </w:tr>
      <w:tr w:rsidR="008E2919" w:rsidRPr="008E2919" w14:paraId="1E9EDCF6" w14:textId="77777777" w:rsidTr="00F15F01">
        <w:trPr>
          <w:trHeight w:val="60"/>
        </w:trPr>
        <w:tc>
          <w:tcPr>
            <w:tcW w:w="1531" w:type="dxa"/>
            <w:vMerge/>
            <w:tcBorders>
              <w:top w:val="single" w:sz="6" w:space="0" w:color="1E4496" w:themeColor="text2"/>
              <w:left w:val="nil"/>
              <w:bottom w:val="single" w:sz="6" w:space="0" w:color="1E4496" w:themeColor="text2"/>
            </w:tcBorders>
            <w:tcMar>
              <w:top w:w="85" w:type="dxa"/>
              <w:left w:w="85" w:type="dxa"/>
              <w:bottom w:w="85" w:type="dxa"/>
              <w:right w:w="85" w:type="dxa"/>
            </w:tcMar>
          </w:tcPr>
          <w:p w14:paraId="11E6809E" w14:textId="77777777" w:rsidR="008E2919" w:rsidRPr="008E2919" w:rsidRDefault="008E2919" w:rsidP="008E2919">
            <w:pPr>
              <w:pStyle w:val="CDITable-RowLeft"/>
            </w:pP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2E0F255" w14:textId="77777777" w:rsidR="008E2919" w:rsidRPr="008E2919" w:rsidRDefault="008E2919" w:rsidP="00D1326D">
            <w:pPr>
              <w:pStyle w:val="CDITable-RowLeft"/>
              <w:rPr>
                <w:lang w:val="en-GB"/>
              </w:rPr>
            </w:pPr>
            <w:r w:rsidRPr="008E2919">
              <w:rPr>
                <w:lang w:val="en-GB"/>
              </w:rPr>
              <w:t>Female</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ABD84EB" w14:textId="77777777" w:rsidR="008E2919" w:rsidRPr="008E2919" w:rsidRDefault="008E2919" w:rsidP="008E2919">
            <w:pPr>
              <w:pStyle w:val="CDITable-RowCentre"/>
              <w:rPr>
                <w:lang w:val="en-GB"/>
              </w:rPr>
            </w:pPr>
            <w:r w:rsidRPr="008E2919">
              <w:rPr>
                <w:lang w:val="en-GB"/>
              </w:rPr>
              <w:t>36</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73A0DD45" w14:textId="77777777" w:rsidR="008E2919" w:rsidRPr="008E2919" w:rsidRDefault="008E2919" w:rsidP="008E2919">
            <w:pPr>
              <w:pStyle w:val="CDITable-RowCentre"/>
              <w:rPr>
                <w:lang w:val="en-GB"/>
              </w:rPr>
            </w:pPr>
            <w:r w:rsidRPr="008E2919">
              <w:rPr>
                <w:lang w:val="en-GB"/>
              </w:rPr>
              <w:t>55.4</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7D559F37" w14:textId="77777777" w:rsidR="008E2919" w:rsidRPr="008E2919" w:rsidRDefault="008E2919" w:rsidP="008E2919">
            <w:pPr>
              <w:pStyle w:val="CDITable-RowCentre"/>
              <w:rPr>
                <w:lang w:val="en-GB"/>
              </w:rPr>
            </w:pPr>
            <w:r w:rsidRPr="008E2919">
              <w:rPr>
                <w:lang w:val="en-GB"/>
              </w:rPr>
              <w:t>63</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58CA0A9F" w14:textId="77777777" w:rsidR="008E2919" w:rsidRPr="008E2919" w:rsidRDefault="008E2919" w:rsidP="008E2919">
            <w:pPr>
              <w:pStyle w:val="CDITable-RowCentre"/>
              <w:rPr>
                <w:lang w:val="en-GB"/>
              </w:rPr>
            </w:pPr>
            <w:r w:rsidRPr="008E2919">
              <w:rPr>
                <w:lang w:val="en-GB"/>
              </w:rPr>
              <w:t>42.9</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5A066986" w14:textId="77777777" w:rsidR="008E2919" w:rsidRPr="008E2919" w:rsidRDefault="008E2919" w:rsidP="008E2919">
            <w:pPr>
              <w:pStyle w:val="CDITable-RowCentre"/>
              <w:rPr>
                <w:lang w:val="en-GB"/>
              </w:rPr>
            </w:pPr>
            <w:r w:rsidRPr="008E2919">
              <w:rPr>
                <w:lang w:val="en-GB"/>
              </w:rPr>
              <w:t>99</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430B2BDF" w14:textId="77777777" w:rsidR="008E2919" w:rsidRPr="008E2919" w:rsidRDefault="008E2919" w:rsidP="008E2919">
            <w:pPr>
              <w:pStyle w:val="CDITable-RowCentre"/>
              <w:rPr>
                <w:lang w:val="en-GB"/>
              </w:rPr>
            </w:pPr>
            <w:r w:rsidRPr="008E2919">
              <w:rPr>
                <w:lang w:val="en-GB"/>
              </w:rPr>
              <w:t>46.7</w:t>
            </w:r>
          </w:p>
        </w:tc>
      </w:tr>
      <w:tr w:rsidR="008E2919" w:rsidRPr="008E2919" w14:paraId="4DDD8A62" w14:textId="77777777" w:rsidTr="00F15F01">
        <w:trPr>
          <w:trHeight w:val="60"/>
        </w:trPr>
        <w:tc>
          <w:tcPr>
            <w:tcW w:w="1531" w:type="dxa"/>
            <w:vMerge w:val="restart"/>
            <w:tcBorders>
              <w:top w:val="single" w:sz="6" w:space="0" w:color="1E4496" w:themeColor="text2"/>
              <w:left w:val="nil"/>
              <w:bottom w:val="single" w:sz="6" w:space="0" w:color="1E4496" w:themeColor="text2"/>
            </w:tcBorders>
            <w:tcMar>
              <w:top w:w="85" w:type="dxa"/>
              <w:left w:w="85" w:type="dxa"/>
              <w:bottom w:w="85" w:type="dxa"/>
              <w:right w:w="85" w:type="dxa"/>
            </w:tcMar>
            <w:vAlign w:val="center"/>
          </w:tcPr>
          <w:p w14:paraId="4F8F7FC4" w14:textId="77777777" w:rsidR="008E2919" w:rsidRPr="008E2919" w:rsidRDefault="008E2919" w:rsidP="008E2919">
            <w:pPr>
              <w:pStyle w:val="CDITable-RowLeft"/>
              <w:rPr>
                <w:lang w:val="en-GB"/>
              </w:rPr>
            </w:pPr>
            <w:r w:rsidRPr="008E2919">
              <w:rPr>
                <w:lang w:val="en-GB"/>
              </w:rPr>
              <w:t>Age group (years)</w:t>
            </w: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F255719" w14:textId="77777777" w:rsidR="008E2919" w:rsidRPr="008E2919" w:rsidRDefault="008E2919" w:rsidP="00D1326D">
            <w:pPr>
              <w:pStyle w:val="CDITable-RowLeft"/>
              <w:rPr>
                <w:lang w:val="en-GB"/>
              </w:rPr>
            </w:pPr>
            <w:r w:rsidRPr="008E2919">
              <w:rPr>
                <w:lang w:val="en-GB"/>
              </w:rPr>
              <w:t>0–17</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68B2C34" w14:textId="77777777" w:rsidR="008E2919" w:rsidRPr="008E2919" w:rsidRDefault="008E2919" w:rsidP="008E2919">
            <w:pPr>
              <w:pStyle w:val="CDITable-RowCentre"/>
              <w:rPr>
                <w:lang w:val="en-GB"/>
              </w:rPr>
            </w:pPr>
            <w:r w:rsidRPr="008E2919">
              <w:rPr>
                <w:lang w:val="en-GB"/>
              </w:rPr>
              <w:t>37</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42BA3BB" w14:textId="77777777" w:rsidR="008E2919" w:rsidRPr="008E2919" w:rsidRDefault="008E2919" w:rsidP="008E2919">
            <w:pPr>
              <w:pStyle w:val="CDITable-RowCentre"/>
              <w:rPr>
                <w:lang w:val="en-GB"/>
              </w:rPr>
            </w:pPr>
            <w:r w:rsidRPr="008E2919">
              <w:rPr>
                <w:lang w:val="en-GB"/>
              </w:rPr>
              <w:t>56.9</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934F26F" w14:textId="77777777" w:rsidR="008E2919" w:rsidRPr="008E2919" w:rsidRDefault="008E2919" w:rsidP="008E2919">
            <w:pPr>
              <w:pStyle w:val="CDITable-RowCentre"/>
              <w:rPr>
                <w:lang w:val="en-GB"/>
              </w:rPr>
            </w:pPr>
            <w:r w:rsidRPr="008E2919">
              <w:rPr>
                <w:lang w:val="en-GB"/>
              </w:rPr>
              <w:t>49</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1F455A54" w14:textId="77777777" w:rsidR="008E2919" w:rsidRPr="008E2919" w:rsidRDefault="008E2919" w:rsidP="008E2919">
            <w:pPr>
              <w:pStyle w:val="CDITable-RowCentre"/>
              <w:rPr>
                <w:lang w:val="en-GB"/>
              </w:rPr>
            </w:pPr>
            <w:r w:rsidRPr="008E2919">
              <w:rPr>
                <w:lang w:val="en-GB"/>
              </w:rPr>
              <w:t>33.3</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42A6FF5D" w14:textId="77777777" w:rsidR="008E2919" w:rsidRPr="008E2919" w:rsidRDefault="008E2919" w:rsidP="008E2919">
            <w:pPr>
              <w:pStyle w:val="CDITable-RowCentre"/>
              <w:rPr>
                <w:lang w:val="en-GB"/>
              </w:rPr>
            </w:pPr>
            <w:r w:rsidRPr="008E2919">
              <w:rPr>
                <w:lang w:val="en-GB"/>
              </w:rPr>
              <w:t>86</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1B9F6B21" w14:textId="77777777" w:rsidR="008E2919" w:rsidRPr="008E2919" w:rsidRDefault="008E2919" w:rsidP="008E2919">
            <w:pPr>
              <w:pStyle w:val="CDITable-RowCentre"/>
              <w:rPr>
                <w:lang w:val="en-GB"/>
              </w:rPr>
            </w:pPr>
            <w:r w:rsidRPr="008E2919">
              <w:rPr>
                <w:lang w:val="en-GB"/>
              </w:rPr>
              <w:t>40.6</w:t>
            </w:r>
          </w:p>
        </w:tc>
      </w:tr>
      <w:tr w:rsidR="008E2919" w:rsidRPr="008E2919" w14:paraId="541FC456" w14:textId="77777777" w:rsidTr="00F15F01">
        <w:trPr>
          <w:trHeight w:val="60"/>
        </w:trPr>
        <w:tc>
          <w:tcPr>
            <w:tcW w:w="1531" w:type="dxa"/>
            <w:vMerge/>
            <w:tcBorders>
              <w:top w:val="single" w:sz="6" w:space="0" w:color="1E4496" w:themeColor="text2"/>
              <w:left w:val="nil"/>
              <w:bottom w:val="single" w:sz="6" w:space="0" w:color="1E4496" w:themeColor="text2"/>
            </w:tcBorders>
            <w:tcMar>
              <w:top w:w="85" w:type="dxa"/>
              <w:left w:w="85" w:type="dxa"/>
              <w:bottom w:w="85" w:type="dxa"/>
              <w:right w:w="85" w:type="dxa"/>
            </w:tcMar>
          </w:tcPr>
          <w:p w14:paraId="4712B0AF" w14:textId="77777777" w:rsidR="008E2919" w:rsidRPr="008E2919" w:rsidRDefault="008E2919" w:rsidP="008E2919">
            <w:pPr>
              <w:pStyle w:val="CDITable-RowCentre"/>
            </w:pP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31116AC" w14:textId="77777777" w:rsidR="008E2919" w:rsidRPr="008E2919" w:rsidRDefault="008E2919" w:rsidP="00D1326D">
            <w:pPr>
              <w:pStyle w:val="CDITable-RowLeft"/>
              <w:rPr>
                <w:lang w:val="en-GB"/>
              </w:rPr>
            </w:pPr>
            <w:r w:rsidRPr="008E2919">
              <w:rPr>
                <w:lang w:val="en-GB"/>
              </w:rPr>
              <w:t>18–39</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19F89F2" w14:textId="77777777" w:rsidR="008E2919" w:rsidRPr="008E2919" w:rsidRDefault="008E2919" w:rsidP="008E2919">
            <w:pPr>
              <w:pStyle w:val="CDITable-RowCentre"/>
              <w:rPr>
                <w:lang w:val="en-GB"/>
              </w:rPr>
            </w:pPr>
            <w:r w:rsidRPr="008E2919">
              <w:rPr>
                <w:lang w:val="en-GB"/>
              </w:rPr>
              <w:t>13</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507BCB00" w14:textId="77777777" w:rsidR="008E2919" w:rsidRPr="008E2919" w:rsidRDefault="008E2919" w:rsidP="008E2919">
            <w:pPr>
              <w:pStyle w:val="CDITable-RowCentre"/>
              <w:rPr>
                <w:lang w:val="en-GB"/>
              </w:rPr>
            </w:pPr>
            <w:r w:rsidRPr="008E2919">
              <w:rPr>
                <w:lang w:val="en-GB"/>
              </w:rPr>
              <w:t>20.0</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3827A0C8" w14:textId="77777777" w:rsidR="008E2919" w:rsidRPr="008E2919" w:rsidRDefault="008E2919" w:rsidP="008E2919">
            <w:pPr>
              <w:pStyle w:val="CDITable-RowCentre"/>
              <w:rPr>
                <w:lang w:val="en-GB"/>
              </w:rPr>
            </w:pPr>
            <w:r w:rsidRPr="008E2919">
              <w:rPr>
                <w:lang w:val="en-GB"/>
              </w:rPr>
              <w:t>28</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634FF411" w14:textId="77777777" w:rsidR="008E2919" w:rsidRPr="008E2919" w:rsidRDefault="008E2919" w:rsidP="008E2919">
            <w:pPr>
              <w:pStyle w:val="CDITable-RowCentre"/>
              <w:rPr>
                <w:lang w:val="en-GB"/>
              </w:rPr>
            </w:pPr>
            <w:r w:rsidRPr="008E2919">
              <w:rPr>
                <w:lang w:val="en-GB"/>
              </w:rPr>
              <w:t>19.0</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0D532119" w14:textId="77777777" w:rsidR="008E2919" w:rsidRPr="008E2919" w:rsidRDefault="008E2919" w:rsidP="008E2919">
            <w:pPr>
              <w:pStyle w:val="CDITable-RowCentre"/>
              <w:rPr>
                <w:lang w:val="en-GB"/>
              </w:rPr>
            </w:pPr>
            <w:r w:rsidRPr="008E2919">
              <w:rPr>
                <w:lang w:val="en-GB"/>
              </w:rPr>
              <w:t>41</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4929654B" w14:textId="77777777" w:rsidR="008E2919" w:rsidRPr="008E2919" w:rsidRDefault="008E2919" w:rsidP="008E2919">
            <w:pPr>
              <w:pStyle w:val="CDITable-RowCentre"/>
              <w:rPr>
                <w:lang w:val="en-GB"/>
              </w:rPr>
            </w:pPr>
            <w:r w:rsidRPr="008E2919">
              <w:rPr>
                <w:lang w:val="en-GB"/>
              </w:rPr>
              <w:t>19.3</w:t>
            </w:r>
          </w:p>
        </w:tc>
      </w:tr>
      <w:tr w:rsidR="008E2919" w:rsidRPr="008E2919" w14:paraId="2EF427B9" w14:textId="77777777" w:rsidTr="00F15F01">
        <w:trPr>
          <w:trHeight w:val="60"/>
        </w:trPr>
        <w:tc>
          <w:tcPr>
            <w:tcW w:w="1531" w:type="dxa"/>
            <w:vMerge/>
            <w:tcBorders>
              <w:top w:val="single" w:sz="6" w:space="0" w:color="1E4496" w:themeColor="text2"/>
              <w:left w:val="nil"/>
              <w:bottom w:val="single" w:sz="6" w:space="0" w:color="1E4496" w:themeColor="text2"/>
            </w:tcBorders>
            <w:tcMar>
              <w:top w:w="85" w:type="dxa"/>
              <w:left w:w="85" w:type="dxa"/>
              <w:bottom w:w="85" w:type="dxa"/>
              <w:right w:w="85" w:type="dxa"/>
            </w:tcMar>
          </w:tcPr>
          <w:p w14:paraId="61BC0C21" w14:textId="77777777" w:rsidR="008E2919" w:rsidRPr="008E2919" w:rsidRDefault="008E2919" w:rsidP="008E2919">
            <w:pPr>
              <w:pStyle w:val="CDITable-RowCentre"/>
            </w:pP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62A359E" w14:textId="77777777" w:rsidR="008E2919" w:rsidRPr="008E2919" w:rsidRDefault="008E2919" w:rsidP="00D1326D">
            <w:pPr>
              <w:pStyle w:val="CDITable-RowLeft"/>
              <w:rPr>
                <w:lang w:val="en-GB"/>
              </w:rPr>
            </w:pPr>
            <w:r w:rsidRPr="008E2919">
              <w:rPr>
                <w:lang w:val="en-GB"/>
              </w:rPr>
              <w:t>40+</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C57A9E5" w14:textId="77777777" w:rsidR="008E2919" w:rsidRPr="008E2919" w:rsidRDefault="008E2919" w:rsidP="008E2919">
            <w:pPr>
              <w:pStyle w:val="CDITable-RowCentre"/>
              <w:rPr>
                <w:lang w:val="en-GB"/>
              </w:rPr>
            </w:pPr>
            <w:r w:rsidRPr="008E2919">
              <w:rPr>
                <w:lang w:val="en-GB"/>
              </w:rPr>
              <w:t>13</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6A1D7235" w14:textId="77777777" w:rsidR="008E2919" w:rsidRPr="008E2919" w:rsidRDefault="008E2919" w:rsidP="008E2919">
            <w:pPr>
              <w:pStyle w:val="CDITable-RowCentre"/>
              <w:rPr>
                <w:lang w:val="en-GB"/>
              </w:rPr>
            </w:pPr>
            <w:r w:rsidRPr="008E2919">
              <w:rPr>
                <w:lang w:val="en-GB"/>
              </w:rPr>
              <w:t>20.0</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06B3480E" w14:textId="77777777" w:rsidR="008E2919" w:rsidRPr="008E2919" w:rsidRDefault="008E2919" w:rsidP="008E2919">
            <w:pPr>
              <w:pStyle w:val="CDITable-RowCentre"/>
              <w:rPr>
                <w:lang w:val="en-GB"/>
              </w:rPr>
            </w:pPr>
            <w:r w:rsidRPr="008E2919">
              <w:rPr>
                <w:lang w:val="en-GB"/>
              </w:rPr>
              <w:t>65</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26DFEAAC" w14:textId="77777777" w:rsidR="008E2919" w:rsidRPr="008E2919" w:rsidRDefault="008E2919" w:rsidP="008E2919">
            <w:pPr>
              <w:pStyle w:val="CDITable-RowCentre"/>
              <w:rPr>
                <w:lang w:val="en-GB"/>
              </w:rPr>
            </w:pPr>
            <w:r w:rsidRPr="008E2919">
              <w:rPr>
                <w:lang w:val="en-GB"/>
              </w:rPr>
              <w:t>44.2</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773A9B0D" w14:textId="77777777" w:rsidR="008E2919" w:rsidRPr="008E2919" w:rsidRDefault="008E2919" w:rsidP="008E2919">
            <w:pPr>
              <w:pStyle w:val="CDITable-RowCentre"/>
              <w:rPr>
                <w:lang w:val="en-GB"/>
              </w:rPr>
            </w:pPr>
            <w:r w:rsidRPr="008E2919">
              <w:rPr>
                <w:lang w:val="en-GB"/>
              </w:rPr>
              <w:t>78</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1E5B485F" w14:textId="77777777" w:rsidR="008E2919" w:rsidRPr="008E2919" w:rsidRDefault="008E2919" w:rsidP="008E2919">
            <w:pPr>
              <w:pStyle w:val="CDITable-RowCentre"/>
              <w:rPr>
                <w:lang w:val="en-GB"/>
              </w:rPr>
            </w:pPr>
            <w:r w:rsidRPr="008E2919">
              <w:rPr>
                <w:lang w:val="en-GB"/>
              </w:rPr>
              <w:t>36.8</w:t>
            </w:r>
          </w:p>
        </w:tc>
      </w:tr>
      <w:tr w:rsidR="008E2919" w:rsidRPr="008E2919" w14:paraId="4E78FF0C" w14:textId="77777777" w:rsidTr="00F15F01">
        <w:trPr>
          <w:trHeight w:val="60"/>
        </w:trPr>
        <w:tc>
          <w:tcPr>
            <w:tcW w:w="1531" w:type="dxa"/>
            <w:vMerge/>
            <w:tcBorders>
              <w:top w:val="single" w:sz="6" w:space="0" w:color="1E4496" w:themeColor="text2"/>
              <w:left w:val="nil"/>
              <w:bottom w:val="single" w:sz="6" w:space="0" w:color="1E4496" w:themeColor="text2"/>
            </w:tcBorders>
            <w:tcMar>
              <w:top w:w="85" w:type="dxa"/>
              <w:left w:w="85" w:type="dxa"/>
              <w:bottom w:w="85" w:type="dxa"/>
              <w:right w:w="85" w:type="dxa"/>
            </w:tcMar>
          </w:tcPr>
          <w:p w14:paraId="67A4BB6C" w14:textId="77777777" w:rsidR="008E2919" w:rsidRPr="008E2919" w:rsidRDefault="008E2919" w:rsidP="008E2919">
            <w:pPr>
              <w:pStyle w:val="CDITable-RowCentre"/>
            </w:pP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5B7088F" w14:textId="77777777" w:rsidR="008E2919" w:rsidRPr="008E2919" w:rsidRDefault="008E2919" w:rsidP="00D1326D">
            <w:pPr>
              <w:pStyle w:val="CDITable-RowLeft"/>
              <w:rPr>
                <w:lang w:val="en-GB"/>
              </w:rPr>
            </w:pPr>
            <w:r w:rsidRPr="008E2919">
              <w:rPr>
                <w:lang w:val="en-GB"/>
              </w:rPr>
              <w:t>Missing</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9D0261F" w14:textId="77777777" w:rsidR="008E2919" w:rsidRPr="008E2919" w:rsidRDefault="008E2919" w:rsidP="008E2919">
            <w:pPr>
              <w:pStyle w:val="CDITable-RowCentre"/>
              <w:rPr>
                <w:lang w:val="en-GB"/>
              </w:rPr>
            </w:pPr>
            <w:r w:rsidRPr="008E2919">
              <w:rPr>
                <w:lang w:val="en-GB"/>
              </w:rPr>
              <w:t>2</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51535ABD" w14:textId="77777777" w:rsidR="008E2919" w:rsidRPr="008E2919" w:rsidRDefault="008E2919" w:rsidP="008E2919">
            <w:pPr>
              <w:pStyle w:val="CDITable-RowCentre"/>
              <w:rPr>
                <w:lang w:val="en-GB"/>
              </w:rPr>
            </w:pPr>
            <w:r w:rsidRPr="008E2919">
              <w:rPr>
                <w:lang w:val="en-GB"/>
              </w:rPr>
              <w:t>3.1</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05CCD895" w14:textId="77777777" w:rsidR="008E2919" w:rsidRPr="008E2919" w:rsidRDefault="008E2919" w:rsidP="008E2919">
            <w:pPr>
              <w:pStyle w:val="CDITable-RowCentre"/>
              <w:rPr>
                <w:lang w:val="en-GB"/>
              </w:rPr>
            </w:pPr>
            <w:r w:rsidRPr="008E2919">
              <w:rPr>
                <w:lang w:val="en-GB"/>
              </w:rPr>
              <w:t>5</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1E9D9064" w14:textId="77777777" w:rsidR="008E2919" w:rsidRPr="008E2919" w:rsidRDefault="008E2919" w:rsidP="008E2919">
            <w:pPr>
              <w:pStyle w:val="CDITable-RowCentre"/>
              <w:rPr>
                <w:lang w:val="en-GB"/>
              </w:rPr>
            </w:pPr>
            <w:r w:rsidRPr="008E2919">
              <w:rPr>
                <w:lang w:val="en-GB"/>
              </w:rPr>
              <w:t>3.4</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DB91204" w14:textId="77777777" w:rsidR="008E2919" w:rsidRPr="008E2919" w:rsidRDefault="008E2919" w:rsidP="008E2919">
            <w:pPr>
              <w:pStyle w:val="CDITable-RowCentre"/>
              <w:rPr>
                <w:lang w:val="en-GB"/>
              </w:rPr>
            </w:pPr>
            <w:r w:rsidRPr="008E2919">
              <w:rPr>
                <w:lang w:val="en-GB"/>
              </w:rPr>
              <w:t>7</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5FF4D414" w14:textId="77777777" w:rsidR="008E2919" w:rsidRPr="008E2919" w:rsidRDefault="008E2919" w:rsidP="008E2919">
            <w:pPr>
              <w:pStyle w:val="CDITable-RowCentre"/>
              <w:rPr>
                <w:lang w:val="en-GB"/>
              </w:rPr>
            </w:pPr>
            <w:r w:rsidRPr="008E2919">
              <w:rPr>
                <w:lang w:val="en-GB"/>
              </w:rPr>
              <w:t>3.3</w:t>
            </w:r>
          </w:p>
        </w:tc>
      </w:tr>
    </w:tbl>
    <w:p w14:paraId="24AAAB70" w14:textId="77777777" w:rsidR="009E649F" w:rsidRDefault="008E2919" w:rsidP="009E649F">
      <w:pPr>
        <w:pStyle w:val="Normal-morespacebefore"/>
        <w:rPr>
          <w:lang w:val="en-GB"/>
        </w:rPr>
      </w:pPr>
      <w:r w:rsidRPr="008E2919">
        <w:rPr>
          <w:lang w:val="en-GB"/>
        </w:rPr>
        <w:t>Consumption of any food at the event was significantly associated with illness (OR: 57.8; 95% CI:</w:t>
      </w:r>
      <w:r>
        <w:rPr>
          <w:lang w:val="en-GB"/>
        </w:rPr>
        <w:t> </w:t>
      </w:r>
      <w:r w:rsidRPr="008E2919">
        <w:rPr>
          <w:lang w:val="en-GB"/>
        </w:rPr>
        <w:t xml:space="preserve">12.4–1368.3; </w:t>
      </w:r>
      <w:r w:rsidRPr="008E2919">
        <w:rPr>
          <w:i/>
          <w:iCs/>
          <w:lang w:val="en-GB"/>
        </w:rPr>
        <w:t>p</w:t>
      </w:r>
      <w:r w:rsidRPr="008E2919">
        <w:rPr>
          <w:lang w:val="en-GB"/>
        </w:rPr>
        <w:t xml:space="preserve"> &lt; 0.001; Table 2). There was no significant association between illness and socialising with other attendees prior to the function (OR: 1.0; 95% CI: 0.6–1.9; </w:t>
      </w:r>
      <w:r w:rsidRPr="008E2919">
        <w:rPr>
          <w:i/>
          <w:iCs/>
          <w:lang w:val="en-GB"/>
        </w:rPr>
        <w:t>p</w:t>
      </w:r>
      <w:r w:rsidRPr="008E2919">
        <w:rPr>
          <w:lang w:val="en-GB"/>
        </w:rPr>
        <w:t xml:space="preserve"> = 1; Table 2). Of</w:t>
      </w:r>
      <w:r>
        <w:rPr>
          <w:lang w:val="en-GB"/>
        </w:rPr>
        <w:t> </w:t>
      </w:r>
      <w:r w:rsidRPr="008E2919">
        <w:rPr>
          <w:lang w:val="en-GB"/>
        </w:rPr>
        <w:t xml:space="preserve">the cases that ate food at the venue, 61 out of 64 (95%) reported eating food catered for the event (OR: 10.2; 95% CI: 3.3–46.8; </w:t>
      </w:r>
      <w:r w:rsidRPr="008E2919">
        <w:rPr>
          <w:i/>
          <w:iCs/>
          <w:lang w:val="en-GB"/>
        </w:rPr>
        <w:t>p</w:t>
      </w:r>
      <w:r w:rsidRPr="008E2919">
        <w:rPr>
          <w:lang w:val="en-GB"/>
        </w:rPr>
        <w:t xml:space="preserve"> &lt; 0.001; Table 2), while consumption of food from the public restaurant was not associated with illness (OR: 0.7; 95% CI: 0.3–1.3; </w:t>
      </w:r>
      <w:r w:rsidRPr="008E2919">
        <w:rPr>
          <w:i/>
          <w:iCs/>
          <w:lang w:val="en-GB"/>
        </w:rPr>
        <w:t>p</w:t>
      </w:r>
      <w:r w:rsidRPr="008E2919">
        <w:rPr>
          <w:lang w:val="en-GB"/>
        </w:rPr>
        <w:t xml:space="preserve"> = 0.30; Table 2).</w:t>
      </w:r>
    </w:p>
    <w:p w14:paraId="395B7349" w14:textId="74DDDADE" w:rsidR="00F15F01" w:rsidRDefault="00F15F01" w:rsidP="00F15F01">
      <w:pPr>
        <w:rPr>
          <w:lang w:val="en-GB"/>
        </w:rPr>
      </w:pPr>
      <w:r w:rsidRPr="009E649F">
        <w:rPr>
          <w:lang w:val="en-GB"/>
        </w:rPr>
        <w:t xml:space="preserve">Following the initial analysis, cases and controls were restricted to those that had consumed food at the venue to determine the likely source of infection. Within this group, there was no significant difference in gender between cases and controls (OR: 1.3; 95% CI: 0.6–3.1; </w:t>
      </w:r>
      <w:r w:rsidRPr="009E649F">
        <w:rPr>
          <w:i/>
          <w:iCs/>
          <w:lang w:val="en-GB"/>
        </w:rPr>
        <w:t>p</w:t>
      </w:r>
      <w:r w:rsidRPr="009E649F">
        <w:rPr>
          <w:lang w:val="en-GB"/>
        </w:rPr>
        <w:t xml:space="preserve"> = 0.56); however, as seen for the full case-control group, the case group was younger (median age = 16 years) than the control group (median age = 39.5 years; </w:t>
      </w:r>
      <w:r w:rsidRPr="009E649F">
        <w:rPr>
          <w:i/>
          <w:iCs/>
          <w:lang w:val="en-GB"/>
        </w:rPr>
        <w:t>t</w:t>
      </w:r>
      <w:r w:rsidRPr="009E649F">
        <w:rPr>
          <w:lang w:val="en-GB"/>
        </w:rPr>
        <w:t xml:space="preserve">-value: -3.9; </w:t>
      </w:r>
      <w:proofErr w:type="spellStart"/>
      <w:r w:rsidRPr="009E649F">
        <w:rPr>
          <w:lang w:val="en-GB"/>
        </w:rPr>
        <w:t>df</w:t>
      </w:r>
      <w:proofErr w:type="spellEnd"/>
      <w:r w:rsidRPr="009E649F">
        <w:rPr>
          <w:lang w:val="en-GB"/>
        </w:rPr>
        <w:t xml:space="preserve"> = 93.8; </w:t>
      </w:r>
      <w:r w:rsidRPr="009E649F">
        <w:rPr>
          <w:i/>
          <w:iCs/>
          <w:lang w:val="en-GB"/>
        </w:rPr>
        <w:t>p</w:t>
      </w:r>
      <w:r w:rsidRPr="009E649F">
        <w:rPr>
          <w:lang w:val="en-GB"/>
        </w:rPr>
        <w:t xml:space="preserve"> &lt; 0.001; Table 3).</w:t>
      </w:r>
    </w:p>
    <w:p w14:paraId="2C4F5FD7" w14:textId="77777777" w:rsidR="00F15F01" w:rsidRDefault="00F15F01" w:rsidP="00F15F01">
      <w:pPr>
        <w:rPr>
          <w:lang w:val="en-GB"/>
        </w:rPr>
        <w:sectPr w:rsidR="00F15F01" w:rsidSect="001E3ECB">
          <w:headerReference w:type="even" r:id="rId20"/>
          <w:footerReference w:type="even" r:id="rId21"/>
          <w:footerReference w:type="default" r:id="rId22"/>
          <w:headerReference w:type="first" r:id="rId23"/>
          <w:footerReference w:type="first" r:id="rId24"/>
          <w:footnotePr>
            <w:numFmt w:val="lowerRoman"/>
          </w:footnotePr>
          <w:pgSz w:w="11907" w:h="16840" w:code="9"/>
          <w:pgMar w:top="1134" w:right="1134" w:bottom="1134" w:left="1134" w:header="709" w:footer="567" w:gutter="0"/>
          <w:cols w:space="708"/>
          <w:docGrid w:linePitch="360"/>
        </w:sectPr>
      </w:pPr>
    </w:p>
    <w:p w14:paraId="15BE0AE7" w14:textId="77777777" w:rsidR="009E649F" w:rsidRPr="009E649F" w:rsidRDefault="009E649F" w:rsidP="009E649F">
      <w:pPr>
        <w:pStyle w:val="CDITable-Title"/>
        <w:spacing w:before="0"/>
        <w:rPr>
          <w:lang w:val="en-GB"/>
        </w:rPr>
      </w:pPr>
      <w:bookmarkStart w:id="30" w:name="_Toc234390985"/>
      <w:r w:rsidRPr="009E649F">
        <w:rPr>
          <w:lang w:val="en-GB"/>
        </w:rPr>
        <w:t>Table 2: Summary of attack rates and odds ratios for univariate analysis of function and food exposures, norovirus outbreak, Australian Capital Territory, 2024</w:t>
      </w:r>
      <w:bookmarkEnd w:id="30"/>
    </w:p>
    <w:tbl>
      <w:tblPr>
        <w:tblW w:w="0" w:type="auto"/>
        <w:tblLayout w:type="fixed"/>
        <w:tblCellMar>
          <w:left w:w="0" w:type="dxa"/>
          <w:right w:w="0" w:type="dxa"/>
        </w:tblCellMar>
        <w:tblLook w:val="0000" w:firstRow="0" w:lastRow="0" w:firstColumn="0" w:lastColumn="0" w:noHBand="0" w:noVBand="0"/>
        <w:tblCaption w:val="Table 2: Summary of attack rates and odds ratios for univariate analysis of function and food exposures, norovirus outbreak, Australian Capital Territory, 2024"/>
        <w:tblDescription w:val="The table displays a summary of the outcomes of the univariate analyses of exposures tested for association with illness. Eating food at the venue was the most strongly associated with illness, with fruit and cured or dried meat being the individual items associated with illness."/>
      </w:tblPr>
      <w:tblGrid>
        <w:gridCol w:w="2721"/>
        <w:gridCol w:w="2211"/>
        <w:gridCol w:w="1021"/>
        <w:gridCol w:w="1020"/>
        <w:gridCol w:w="1021"/>
        <w:gridCol w:w="1020"/>
        <w:gridCol w:w="1021"/>
        <w:gridCol w:w="1020"/>
        <w:gridCol w:w="1021"/>
        <w:gridCol w:w="1247"/>
        <w:gridCol w:w="1020"/>
      </w:tblGrid>
      <w:tr w:rsidR="002225DB" w:rsidRPr="002225DB" w14:paraId="06BC2B42" w14:textId="77777777" w:rsidTr="00D1326D">
        <w:trPr>
          <w:trHeight w:val="60"/>
          <w:tblHeader/>
        </w:trPr>
        <w:tc>
          <w:tcPr>
            <w:tcW w:w="2721" w:type="dxa"/>
            <w:vMerge w:val="restart"/>
            <w:tcBorders>
              <w:top w:val="nil"/>
              <w:left w:val="nil"/>
              <w:bottom w:val="single" w:sz="6" w:space="0" w:color="FFFFFF" w:themeColor="background1"/>
            </w:tcBorders>
            <w:shd w:val="clear" w:color="auto" w:fill="1E4496" w:themeFill="text2"/>
            <w:tcMar>
              <w:top w:w="85" w:type="dxa"/>
              <w:left w:w="85" w:type="dxa"/>
              <w:bottom w:w="85" w:type="dxa"/>
              <w:right w:w="85" w:type="dxa"/>
            </w:tcMar>
            <w:vAlign w:val="bottom"/>
          </w:tcPr>
          <w:p w14:paraId="16349BEE" w14:textId="77777777" w:rsidR="002225DB" w:rsidRPr="002225DB" w:rsidRDefault="002225DB" w:rsidP="002225DB">
            <w:pPr>
              <w:pStyle w:val="CDITable-HeaderRowLeft"/>
              <w:rPr>
                <w:lang w:val="en-GB"/>
              </w:rPr>
            </w:pPr>
            <w:r w:rsidRPr="002225DB">
              <w:rPr>
                <w:lang w:val="en-GB"/>
              </w:rPr>
              <w:t>Exposure category</w:t>
            </w:r>
          </w:p>
        </w:tc>
        <w:tc>
          <w:tcPr>
            <w:tcW w:w="2211" w:type="dxa"/>
            <w:vMerge w:val="restart"/>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7B4EABA9" w14:textId="77777777" w:rsidR="002225DB" w:rsidRPr="002225DB" w:rsidRDefault="002225DB" w:rsidP="002225DB">
            <w:pPr>
              <w:pStyle w:val="CDITable-HeaderRowLeft"/>
              <w:rPr>
                <w:lang w:val="en-GB"/>
              </w:rPr>
            </w:pPr>
            <w:r w:rsidRPr="002225DB">
              <w:rPr>
                <w:lang w:val="en-GB"/>
              </w:rPr>
              <w:t>Detail</w:t>
            </w:r>
          </w:p>
        </w:tc>
        <w:tc>
          <w:tcPr>
            <w:tcW w:w="3062" w:type="dxa"/>
            <w:gridSpan w:val="3"/>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141C6710" w14:textId="77777777" w:rsidR="002225DB" w:rsidRPr="002225DB" w:rsidRDefault="002225DB" w:rsidP="002225DB">
            <w:pPr>
              <w:pStyle w:val="CDITable-HeaderRowCentre"/>
            </w:pPr>
            <w:r w:rsidRPr="002225DB">
              <w:t>Cases</w:t>
            </w:r>
          </w:p>
        </w:tc>
        <w:tc>
          <w:tcPr>
            <w:tcW w:w="3061" w:type="dxa"/>
            <w:gridSpan w:val="3"/>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20AA7D3F" w14:textId="77777777" w:rsidR="002225DB" w:rsidRPr="002225DB" w:rsidRDefault="002225DB" w:rsidP="002225DB">
            <w:pPr>
              <w:pStyle w:val="CDITable-HeaderRowCentre"/>
            </w:pPr>
            <w:r w:rsidRPr="002225DB">
              <w:t>Controls</w:t>
            </w:r>
          </w:p>
        </w:tc>
        <w:tc>
          <w:tcPr>
            <w:tcW w:w="3288" w:type="dxa"/>
            <w:gridSpan w:val="3"/>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4793A8B6" w14:textId="77777777" w:rsidR="002225DB" w:rsidRPr="002225DB" w:rsidRDefault="002225DB" w:rsidP="002225DB">
            <w:pPr>
              <w:pStyle w:val="CDITable-HeaderRowCentre"/>
            </w:pPr>
            <w:r w:rsidRPr="002225DB">
              <w:t xml:space="preserve">Univariate </w:t>
            </w:r>
            <w:proofErr w:type="spellStart"/>
            <w:r w:rsidRPr="002225DB">
              <w:t>analysis</w:t>
            </w:r>
            <w:r w:rsidRPr="002225DB">
              <w:rPr>
                <w:vertAlign w:val="superscript"/>
              </w:rPr>
              <w:t>a</w:t>
            </w:r>
            <w:proofErr w:type="spellEnd"/>
          </w:p>
        </w:tc>
      </w:tr>
      <w:tr w:rsidR="002225DB" w:rsidRPr="002225DB" w14:paraId="0AC71FA2" w14:textId="77777777" w:rsidTr="003047C2">
        <w:trPr>
          <w:trHeight w:val="60"/>
          <w:tblHeader/>
        </w:trPr>
        <w:tc>
          <w:tcPr>
            <w:tcW w:w="2721" w:type="dxa"/>
            <w:vMerge/>
            <w:tcBorders>
              <w:top w:val="single" w:sz="6" w:space="0" w:color="FFFFFF" w:themeColor="background1"/>
              <w:left w:val="nil"/>
            </w:tcBorders>
            <w:shd w:val="clear" w:color="auto" w:fill="1E4496" w:themeFill="text2"/>
            <w:tcMar>
              <w:top w:w="85" w:type="dxa"/>
              <w:left w:w="85" w:type="dxa"/>
              <w:bottom w:w="85" w:type="dxa"/>
              <w:right w:w="85" w:type="dxa"/>
            </w:tcMar>
          </w:tcPr>
          <w:p w14:paraId="7BD42DFB" w14:textId="77777777" w:rsidR="002225DB" w:rsidRPr="002225DB" w:rsidRDefault="002225DB" w:rsidP="002225DB">
            <w:pPr>
              <w:pStyle w:val="CDITable-RowCentre"/>
            </w:pPr>
          </w:p>
        </w:tc>
        <w:tc>
          <w:tcPr>
            <w:tcW w:w="2211" w:type="dxa"/>
            <w:vMerge/>
            <w:tcBorders>
              <w:top w:val="single" w:sz="6" w:space="0" w:color="FFFFFF" w:themeColor="background1"/>
            </w:tcBorders>
            <w:shd w:val="clear" w:color="auto" w:fill="1E4496" w:themeFill="text2"/>
            <w:tcMar>
              <w:top w:w="85" w:type="dxa"/>
              <w:left w:w="85" w:type="dxa"/>
              <w:bottom w:w="85" w:type="dxa"/>
              <w:right w:w="85" w:type="dxa"/>
            </w:tcMar>
          </w:tcPr>
          <w:p w14:paraId="15F5006E" w14:textId="77777777" w:rsidR="002225DB" w:rsidRPr="002225DB" w:rsidRDefault="002225DB" w:rsidP="002225DB">
            <w:pPr>
              <w:pStyle w:val="CDITable-RowCentre"/>
            </w:pPr>
          </w:p>
        </w:tc>
        <w:tc>
          <w:tcPr>
            <w:tcW w:w="1021"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731E3461" w14:textId="77777777" w:rsidR="002225DB" w:rsidRPr="002225DB" w:rsidRDefault="002225DB" w:rsidP="002225DB">
            <w:pPr>
              <w:pStyle w:val="CDITable-HeaderRowCentre"/>
            </w:pPr>
            <w:r w:rsidRPr="002225DB">
              <w:t>n</w:t>
            </w:r>
          </w:p>
        </w:tc>
        <w:tc>
          <w:tcPr>
            <w:tcW w:w="1020"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68CC64D2" w14:textId="77777777" w:rsidR="002225DB" w:rsidRPr="002225DB" w:rsidRDefault="002225DB" w:rsidP="002225DB">
            <w:pPr>
              <w:pStyle w:val="CDITable-HeaderRowCentre"/>
            </w:pPr>
            <w:r w:rsidRPr="002225DB">
              <w:t>Total</w:t>
            </w:r>
          </w:p>
        </w:tc>
        <w:tc>
          <w:tcPr>
            <w:tcW w:w="1021"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0444C899" w14:textId="77777777" w:rsidR="002225DB" w:rsidRPr="002225DB" w:rsidRDefault="002225DB" w:rsidP="002225DB">
            <w:pPr>
              <w:pStyle w:val="CDITable-HeaderRowCentre"/>
            </w:pPr>
            <w:r w:rsidRPr="002225DB">
              <w:t>%</w:t>
            </w:r>
          </w:p>
        </w:tc>
        <w:tc>
          <w:tcPr>
            <w:tcW w:w="1020"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5DD0562B" w14:textId="77777777" w:rsidR="002225DB" w:rsidRPr="002225DB" w:rsidRDefault="002225DB" w:rsidP="002225DB">
            <w:pPr>
              <w:pStyle w:val="CDITable-HeaderRowCentre"/>
            </w:pPr>
            <w:r w:rsidRPr="002225DB">
              <w:t>n</w:t>
            </w:r>
          </w:p>
        </w:tc>
        <w:tc>
          <w:tcPr>
            <w:tcW w:w="1021"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1C869F7E" w14:textId="77777777" w:rsidR="002225DB" w:rsidRPr="002225DB" w:rsidRDefault="002225DB" w:rsidP="002225DB">
            <w:pPr>
              <w:pStyle w:val="CDITable-HeaderRowCentre"/>
            </w:pPr>
            <w:r w:rsidRPr="002225DB">
              <w:t>Total</w:t>
            </w:r>
          </w:p>
        </w:tc>
        <w:tc>
          <w:tcPr>
            <w:tcW w:w="1020"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73A15F84" w14:textId="77777777" w:rsidR="002225DB" w:rsidRPr="002225DB" w:rsidRDefault="002225DB" w:rsidP="002225DB">
            <w:pPr>
              <w:pStyle w:val="CDITable-HeaderRowCentre"/>
            </w:pPr>
            <w:r w:rsidRPr="002225DB">
              <w:t>%</w:t>
            </w:r>
          </w:p>
        </w:tc>
        <w:tc>
          <w:tcPr>
            <w:tcW w:w="1021"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10DA3461" w14:textId="77777777" w:rsidR="002225DB" w:rsidRPr="002225DB" w:rsidRDefault="002225DB" w:rsidP="002225DB">
            <w:pPr>
              <w:pStyle w:val="CDITable-HeaderRowCentre"/>
            </w:pPr>
            <w:r w:rsidRPr="002225DB">
              <w:t>OR</w:t>
            </w:r>
          </w:p>
        </w:tc>
        <w:tc>
          <w:tcPr>
            <w:tcW w:w="1247"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1E183698" w14:textId="77777777" w:rsidR="002225DB" w:rsidRPr="002225DB" w:rsidRDefault="002225DB" w:rsidP="002225DB">
            <w:pPr>
              <w:pStyle w:val="CDITable-HeaderRowCentre"/>
            </w:pPr>
            <w:r w:rsidRPr="002225DB">
              <w:t>95% CI</w:t>
            </w:r>
          </w:p>
        </w:tc>
        <w:tc>
          <w:tcPr>
            <w:tcW w:w="1020" w:type="dxa"/>
            <w:tcBorders>
              <w:top w:val="single" w:sz="6" w:space="0" w:color="FFFFFF" w:themeColor="background1"/>
              <w:right w:val="nil"/>
            </w:tcBorders>
            <w:shd w:val="clear" w:color="auto" w:fill="1E4496" w:themeFill="text2"/>
            <w:tcMar>
              <w:top w:w="85" w:type="dxa"/>
              <w:left w:w="85" w:type="dxa"/>
              <w:bottom w:w="85" w:type="dxa"/>
              <w:right w:w="85" w:type="dxa"/>
            </w:tcMar>
            <w:vAlign w:val="bottom"/>
          </w:tcPr>
          <w:p w14:paraId="21F33864" w14:textId="77777777" w:rsidR="002225DB" w:rsidRPr="002225DB" w:rsidRDefault="002225DB" w:rsidP="002225DB">
            <w:pPr>
              <w:pStyle w:val="CDITable-HeaderRowCentre"/>
            </w:pPr>
            <w:r w:rsidRPr="002225DB">
              <w:rPr>
                <w:i/>
                <w:iCs/>
              </w:rPr>
              <w:t>p</w:t>
            </w:r>
          </w:p>
        </w:tc>
      </w:tr>
      <w:tr w:rsidR="002225DB" w:rsidRPr="002225DB" w14:paraId="31E12EA5" w14:textId="77777777" w:rsidTr="003047C2">
        <w:trPr>
          <w:trHeight w:val="60"/>
        </w:trPr>
        <w:tc>
          <w:tcPr>
            <w:tcW w:w="2721" w:type="dxa"/>
            <w:tcBorders>
              <w:left w:val="nil"/>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14155263" w14:textId="128A4157" w:rsidR="002225DB" w:rsidRPr="002225DB" w:rsidRDefault="002225DB" w:rsidP="002225DB">
            <w:pPr>
              <w:pStyle w:val="CDITable-RowLeft"/>
              <w:rPr>
                <w:b/>
                <w:bCs/>
                <w:lang w:val="en-GB"/>
              </w:rPr>
            </w:pPr>
            <w:r w:rsidRPr="002225DB">
              <w:rPr>
                <w:b/>
                <w:bCs/>
                <w:lang w:val="en-GB"/>
              </w:rPr>
              <w:t>Attended other group social</w:t>
            </w:r>
            <w:r w:rsidR="00D1326D">
              <w:rPr>
                <w:b/>
                <w:bCs/>
                <w:lang w:val="en-GB"/>
              </w:rPr>
              <w:t> </w:t>
            </w:r>
            <w:r w:rsidRPr="002225DB">
              <w:rPr>
                <w:b/>
                <w:bCs/>
                <w:lang w:val="en-GB"/>
              </w:rPr>
              <w:t>events prior</w:t>
            </w:r>
          </w:p>
        </w:tc>
        <w:tc>
          <w:tcPr>
            <w:tcW w:w="2211" w:type="dxa"/>
            <w:tcBorders>
              <w:bottom w:val="single" w:sz="6" w:space="0" w:color="1E4496" w:themeColor="text2"/>
            </w:tcBorders>
            <w:shd w:val="solid" w:color="FFFFFF" w:fill="auto"/>
            <w:tcMar>
              <w:top w:w="85" w:type="dxa"/>
              <w:left w:w="85" w:type="dxa"/>
              <w:bottom w:w="85" w:type="dxa"/>
              <w:right w:w="85" w:type="dxa"/>
            </w:tcMar>
            <w:vAlign w:val="center"/>
          </w:tcPr>
          <w:p w14:paraId="11064CDA" w14:textId="77777777" w:rsidR="002225DB" w:rsidRPr="002225DB" w:rsidRDefault="002225DB" w:rsidP="002225DB">
            <w:pPr>
              <w:pStyle w:val="CDITable-RowLeft"/>
              <w:rPr>
                <w:lang w:val="en-GB"/>
              </w:rPr>
            </w:pPr>
            <w:r w:rsidRPr="002225DB">
              <w:rPr>
                <w:lang w:val="en-GB"/>
              </w:rPr>
              <w:t>—</w:t>
            </w:r>
          </w:p>
        </w:tc>
        <w:tc>
          <w:tcPr>
            <w:tcW w:w="1021" w:type="dxa"/>
            <w:tcBorders>
              <w:bottom w:val="single" w:sz="6" w:space="0" w:color="1E4496" w:themeColor="text2"/>
            </w:tcBorders>
            <w:shd w:val="solid" w:color="FFFFFF" w:fill="auto"/>
            <w:tcMar>
              <w:top w:w="85" w:type="dxa"/>
              <w:left w:w="85" w:type="dxa"/>
              <w:bottom w:w="85" w:type="dxa"/>
              <w:right w:w="85" w:type="dxa"/>
            </w:tcMar>
            <w:vAlign w:val="center"/>
          </w:tcPr>
          <w:p w14:paraId="39BEF31B" w14:textId="77777777" w:rsidR="002225DB" w:rsidRPr="002225DB" w:rsidRDefault="002225DB" w:rsidP="002225DB">
            <w:pPr>
              <w:pStyle w:val="CDITable-RowCentre"/>
              <w:rPr>
                <w:lang w:val="en-GB"/>
              </w:rPr>
            </w:pPr>
            <w:r w:rsidRPr="002225DB">
              <w:rPr>
                <w:lang w:val="en-GB"/>
              </w:rPr>
              <w:t>25</w:t>
            </w:r>
          </w:p>
        </w:tc>
        <w:tc>
          <w:tcPr>
            <w:tcW w:w="1020" w:type="dxa"/>
            <w:tcBorders>
              <w:bottom w:val="single" w:sz="6" w:space="0" w:color="1E4496" w:themeColor="text2"/>
            </w:tcBorders>
            <w:shd w:val="solid" w:color="FFFFFF" w:fill="auto"/>
            <w:tcMar>
              <w:top w:w="85" w:type="dxa"/>
              <w:left w:w="85" w:type="dxa"/>
              <w:bottom w:w="85" w:type="dxa"/>
              <w:right w:w="85" w:type="dxa"/>
            </w:tcMar>
            <w:vAlign w:val="center"/>
          </w:tcPr>
          <w:p w14:paraId="6D811737" w14:textId="77777777" w:rsidR="002225DB" w:rsidRPr="002225DB" w:rsidRDefault="002225DB" w:rsidP="002225DB">
            <w:pPr>
              <w:pStyle w:val="CDITable-RowCentre"/>
              <w:rPr>
                <w:lang w:val="en-GB"/>
              </w:rPr>
            </w:pPr>
            <w:r w:rsidRPr="002225DB">
              <w:rPr>
                <w:lang w:val="en-GB"/>
              </w:rPr>
              <w:t>65</w:t>
            </w:r>
          </w:p>
        </w:tc>
        <w:tc>
          <w:tcPr>
            <w:tcW w:w="1021" w:type="dxa"/>
            <w:tcBorders>
              <w:bottom w:val="single" w:sz="6" w:space="0" w:color="1E4496" w:themeColor="text2"/>
              <w:right w:val="single" w:sz="6" w:space="0" w:color="1E4496" w:themeColor="text2"/>
            </w:tcBorders>
            <w:shd w:val="solid" w:color="FFFFFF" w:fill="auto"/>
            <w:tcMar>
              <w:top w:w="85" w:type="dxa"/>
              <w:left w:w="85" w:type="dxa"/>
              <w:bottom w:w="85" w:type="dxa"/>
              <w:right w:w="85" w:type="dxa"/>
            </w:tcMar>
            <w:vAlign w:val="center"/>
          </w:tcPr>
          <w:p w14:paraId="0C6492F8" w14:textId="77777777" w:rsidR="002225DB" w:rsidRPr="002225DB" w:rsidRDefault="002225DB" w:rsidP="002225DB">
            <w:pPr>
              <w:pStyle w:val="CDITable-RowCentre"/>
              <w:rPr>
                <w:lang w:val="en-GB"/>
              </w:rPr>
            </w:pPr>
            <w:r w:rsidRPr="002225DB">
              <w:rPr>
                <w:lang w:val="en-GB"/>
              </w:rPr>
              <w:t>38.5</w:t>
            </w:r>
          </w:p>
        </w:tc>
        <w:tc>
          <w:tcPr>
            <w:tcW w:w="1020" w:type="dxa"/>
            <w:tcBorders>
              <w:left w:val="single" w:sz="6" w:space="0" w:color="1E4496" w:themeColor="text2"/>
              <w:bottom w:val="single" w:sz="6" w:space="0" w:color="1E4496" w:themeColor="text2"/>
            </w:tcBorders>
            <w:shd w:val="solid" w:color="FFFFFF" w:fill="auto"/>
            <w:tcMar>
              <w:top w:w="85" w:type="dxa"/>
              <w:left w:w="85" w:type="dxa"/>
              <w:bottom w:w="85" w:type="dxa"/>
              <w:right w:w="85" w:type="dxa"/>
            </w:tcMar>
            <w:vAlign w:val="center"/>
          </w:tcPr>
          <w:p w14:paraId="0966DC7C" w14:textId="77777777" w:rsidR="002225DB" w:rsidRPr="002225DB" w:rsidRDefault="002225DB" w:rsidP="002225DB">
            <w:pPr>
              <w:pStyle w:val="CDITable-RowCentre"/>
              <w:rPr>
                <w:lang w:val="en-GB"/>
              </w:rPr>
            </w:pPr>
            <w:r w:rsidRPr="002225DB">
              <w:rPr>
                <w:lang w:val="en-GB"/>
              </w:rPr>
              <w:t>56</w:t>
            </w:r>
          </w:p>
        </w:tc>
        <w:tc>
          <w:tcPr>
            <w:tcW w:w="1021" w:type="dxa"/>
            <w:tcBorders>
              <w:bottom w:val="single" w:sz="6" w:space="0" w:color="1E4496" w:themeColor="text2"/>
            </w:tcBorders>
            <w:shd w:val="solid" w:color="FFFFFF" w:fill="auto"/>
            <w:tcMar>
              <w:top w:w="85" w:type="dxa"/>
              <w:left w:w="85" w:type="dxa"/>
              <w:bottom w:w="85" w:type="dxa"/>
              <w:right w:w="85" w:type="dxa"/>
            </w:tcMar>
            <w:vAlign w:val="center"/>
          </w:tcPr>
          <w:p w14:paraId="4A2530DA" w14:textId="77777777" w:rsidR="002225DB" w:rsidRPr="002225DB" w:rsidRDefault="002225DB" w:rsidP="002225DB">
            <w:pPr>
              <w:pStyle w:val="CDITable-RowCentre"/>
              <w:rPr>
                <w:lang w:val="en-GB"/>
              </w:rPr>
            </w:pPr>
            <w:r w:rsidRPr="002225DB">
              <w:rPr>
                <w:lang w:val="en-GB"/>
              </w:rPr>
              <w:t>147</w:t>
            </w:r>
          </w:p>
        </w:tc>
        <w:tc>
          <w:tcPr>
            <w:tcW w:w="1020" w:type="dxa"/>
            <w:tcBorders>
              <w:bottom w:val="single" w:sz="6" w:space="0" w:color="1E4496" w:themeColor="text2"/>
              <w:right w:val="single" w:sz="6" w:space="0" w:color="1E4496" w:themeColor="text2"/>
            </w:tcBorders>
            <w:shd w:val="solid" w:color="FFFFFF" w:fill="auto"/>
            <w:tcMar>
              <w:top w:w="85" w:type="dxa"/>
              <w:left w:w="85" w:type="dxa"/>
              <w:bottom w:w="85" w:type="dxa"/>
              <w:right w:w="85" w:type="dxa"/>
            </w:tcMar>
            <w:vAlign w:val="center"/>
          </w:tcPr>
          <w:p w14:paraId="0FCFF0B1" w14:textId="77777777" w:rsidR="002225DB" w:rsidRPr="002225DB" w:rsidRDefault="002225DB" w:rsidP="002225DB">
            <w:pPr>
              <w:pStyle w:val="CDITable-RowCentre"/>
              <w:rPr>
                <w:lang w:val="en-GB"/>
              </w:rPr>
            </w:pPr>
            <w:r w:rsidRPr="002225DB">
              <w:rPr>
                <w:lang w:val="en-GB"/>
              </w:rPr>
              <w:t>38.1</w:t>
            </w:r>
          </w:p>
        </w:tc>
        <w:tc>
          <w:tcPr>
            <w:tcW w:w="1021" w:type="dxa"/>
            <w:tcBorders>
              <w:left w:val="single" w:sz="6" w:space="0" w:color="1E4496" w:themeColor="text2"/>
              <w:bottom w:val="single" w:sz="6" w:space="0" w:color="1E4496" w:themeColor="text2"/>
            </w:tcBorders>
            <w:shd w:val="solid" w:color="FFFFFF" w:fill="auto"/>
            <w:tcMar>
              <w:top w:w="85" w:type="dxa"/>
              <w:left w:w="85" w:type="dxa"/>
              <w:bottom w:w="85" w:type="dxa"/>
              <w:right w:w="85" w:type="dxa"/>
            </w:tcMar>
            <w:vAlign w:val="center"/>
          </w:tcPr>
          <w:p w14:paraId="37517371" w14:textId="77777777" w:rsidR="002225DB" w:rsidRPr="002225DB" w:rsidRDefault="002225DB" w:rsidP="002225DB">
            <w:pPr>
              <w:pStyle w:val="CDITable-RowCentre"/>
              <w:rPr>
                <w:lang w:val="en-GB"/>
              </w:rPr>
            </w:pPr>
            <w:r w:rsidRPr="002225DB">
              <w:rPr>
                <w:lang w:val="en-GB"/>
              </w:rPr>
              <w:t>1.0</w:t>
            </w:r>
          </w:p>
        </w:tc>
        <w:tc>
          <w:tcPr>
            <w:tcW w:w="1247" w:type="dxa"/>
            <w:tcBorders>
              <w:bottom w:val="single" w:sz="6" w:space="0" w:color="1E4496" w:themeColor="text2"/>
            </w:tcBorders>
            <w:shd w:val="solid" w:color="FFFFFF" w:fill="auto"/>
            <w:tcMar>
              <w:top w:w="85" w:type="dxa"/>
              <w:left w:w="85" w:type="dxa"/>
              <w:bottom w:w="85" w:type="dxa"/>
              <w:right w:w="85" w:type="dxa"/>
            </w:tcMar>
            <w:vAlign w:val="center"/>
          </w:tcPr>
          <w:p w14:paraId="4AC69848" w14:textId="77777777" w:rsidR="002225DB" w:rsidRPr="002225DB" w:rsidRDefault="002225DB" w:rsidP="002225DB">
            <w:pPr>
              <w:pStyle w:val="CDITable-RowCentre"/>
              <w:rPr>
                <w:lang w:val="en-GB"/>
              </w:rPr>
            </w:pPr>
            <w:r w:rsidRPr="002225DB">
              <w:rPr>
                <w:lang w:val="en-GB"/>
              </w:rPr>
              <w:t>0.6–1.9</w:t>
            </w:r>
          </w:p>
        </w:tc>
        <w:tc>
          <w:tcPr>
            <w:tcW w:w="1020" w:type="dxa"/>
            <w:tcBorders>
              <w:bottom w:val="single" w:sz="6" w:space="0" w:color="1E4496" w:themeColor="text2"/>
              <w:right w:val="nil"/>
            </w:tcBorders>
            <w:shd w:val="solid" w:color="FFFFFF" w:fill="auto"/>
            <w:tcMar>
              <w:top w:w="85" w:type="dxa"/>
              <w:left w:w="85" w:type="dxa"/>
              <w:bottom w:w="85" w:type="dxa"/>
              <w:right w:w="85" w:type="dxa"/>
            </w:tcMar>
            <w:vAlign w:val="center"/>
          </w:tcPr>
          <w:p w14:paraId="3FCCE104" w14:textId="77777777" w:rsidR="002225DB" w:rsidRPr="002225DB" w:rsidRDefault="002225DB" w:rsidP="002225DB">
            <w:pPr>
              <w:pStyle w:val="CDITable-RowCentre"/>
              <w:rPr>
                <w:lang w:val="en-GB"/>
              </w:rPr>
            </w:pPr>
            <w:r w:rsidRPr="002225DB">
              <w:rPr>
                <w:lang w:val="en-GB"/>
              </w:rPr>
              <w:t>1</w:t>
            </w:r>
          </w:p>
        </w:tc>
      </w:tr>
      <w:tr w:rsidR="002225DB" w:rsidRPr="002225DB" w14:paraId="1C9A1876" w14:textId="77777777" w:rsidTr="003047C2">
        <w:trPr>
          <w:trHeight w:val="60"/>
        </w:trPr>
        <w:tc>
          <w:tcPr>
            <w:tcW w:w="2721" w:type="dxa"/>
            <w:vMerge w:val="restart"/>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26C741C4" w14:textId="77777777" w:rsidR="002225DB" w:rsidRPr="002225DB" w:rsidRDefault="002225DB" w:rsidP="002225DB">
            <w:pPr>
              <w:pStyle w:val="CDITable-RowLeft"/>
              <w:rPr>
                <w:b/>
                <w:bCs/>
                <w:lang w:val="en-GB"/>
              </w:rPr>
            </w:pPr>
            <w:r w:rsidRPr="002225DB">
              <w:rPr>
                <w:b/>
                <w:bCs/>
                <w:lang w:val="en-GB"/>
              </w:rPr>
              <w:t>Ate food at the venue</w:t>
            </w: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532BD2A" w14:textId="77777777" w:rsidR="002225DB" w:rsidRPr="002225DB" w:rsidRDefault="002225DB" w:rsidP="002225DB">
            <w:pPr>
              <w:pStyle w:val="CDITable-RowLeft"/>
              <w:rPr>
                <w:lang w:val="en-GB"/>
              </w:rPr>
            </w:pPr>
            <w:r w:rsidRPr="002225DB">
              <w:rPr>
                <w:lang w:val="en-GB"/>
              </w:rPr>
              <w:t>Total</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68FE09B" w14:textId="77777777" w:rsidR="002225DB" w:rsidRPr="002225DB" w:rsidRDefault="002225DB" w:rsidP="002225DB">
            <w:pPr>
              <w:pStyle w:val="CDITable-RowCentre"/>
              <w:rPr>
                <w:lang w:val="en-GB"/>
              </w:rPr>
            </w:pPr>
            <w:r w:rsidRPr="002225DB">
              <w:rPr>
                <w:lang w:val="en-GB"/>
              </w:rPr>
              <w:t>64</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8A866D0" w14:textId="77777777" w:rsidR="002225DB" w:rsidRPr="002225DB" w:rsidRDefault="002225DB" w:rsidP="002225DB">
            <w:pPr>
              <w:pStyle w:val="CDITable-RowCentre"/>
              <w:rPr>
                <w:lang w:val="en-GB"/>
              </w:rPr>
            </w:pPr>
            <w:r w:rsidRPr="002225DB">
              <w:rPr>
                <w:lang w:val="en-GB"/>
              </w:rPr>
              <w:t>65</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F7CFE80" w14:textId="77777777" w:rsidR="002225DB" w:rsidRPr="002225DB" w:rsidRDefault="002225DB" w:rsidP="002225DB">
            <w:pPr>
              <w:pStyle w:val="CDITable-RowCentre"/>
              <w:rPr>
                <w:lang w:val="en-GB"/>
              </w:rPr>
            </w:pPr>
            <w:r w:rsidRPr="002225DB">
              <w:rPr>
                <w:lang w:val="en-GB"/>
              </w:rPr>
              <w:t>98.5</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493C2C2C" w14:textId="77777777" w:rsidR="002225DB" w:rsidRPr="002225DB" w:rsidRDefault="002225DB" w:rsidP="002225DB">
            <w:pPr>
              <w:pStyle w:val="CDITable-RowCentre"/>
              <w:rPr>
                <w:lang w:val="en-GB"/>
              </w:rPr>
            </w:pPr>
            <w:r w:rsidRPr="002225DB">
              <w:rPr>
                <w:lang w:val="en-GB"/>
              </w:rPr>
              <w:t>72</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4776C40" w14:textId="77777777" w:rsidR="002225DB" w:rsidRPr="002225DB" w:rsidRDefault="002225DB" w:rsidP="002225DB">
            <w:pPr>
              <w:pStyle w:val="CDITable-RowCentre"/>
              <w:rPr>
                <w:lang w:val="en-GB"/>
              </w:rPr>
            </w:pPr>
            <w:r w:rsidRPr="002225DB">
              <w:rPr>
                <w:lang w:val="en-GB"/>
              </w:rPr>
              <w:t>147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1480AC0B" w14:textId="77777777" w:rsidR="002225DB" w:rsidRPr="002225DB" w:rsidRDefault="002225DB" w:rsidP="002225DB">
            <w:pPr>
              <w:pStyle w:val="CDITable-RowCentre"/>
              <w:rPr>
                <w:lang w:val="en-GB"/>
              </w:rPr>
            </w:pPr>
            <w:r w:rsidRPr="002225DB">
              <w:rPr>
                <w:lang w:val="en-GB"/>
              </w:rPr>
              <w:t>49.0</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2754DED7" w14:textId="77777777" w:rsidR="002225DB" w:rsidRPr="002225DB" w:rsidRDefault="002225DB" w:rsidP="002225DB">
            <w:pPr>
              <w:pStyle w:val="CDITable-RowCentre"/>
              <w:rPr>
                <w:lang w:val="en-GB"/>
              </w:rPr>
            </w:pPr>
            <w:r w:rsidRPr="002225DB">
              <w:rPr>
                <w:lang w:val="en-GB"/>
              </w:rPr>
              <w:t>57.8</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DF5A476" w14:textId="77777777" w:rsidR="002225DB" w:rsidRPr="002225DB" w:rsidRDefault="002225DB" w:rsidP="002225DB">
            <w:pPr>
              <w:pStyle w:val="CDITable-RowCentre"/>
              <w:rPr>
                <w:lang w:val="en-GB"/>
              </w:rPr>
            </w:pPr>
            <w:r w:rsidRPr="002225DB">
              <w:rPr>
                <w:lang w:val="en-GB"/>
              </w:rPr>
              <w:t>12.4–1368.3</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53B33236" w14:textId="77777777" w:rsidR="002225DB" w:rsidRPr="002225DB" w:rsidRDefault="002225DB" w:rsidP="002225DB">
            <w:pPr>
              <w:pStyle w:val="CDITable-RowCentre"/>
              <w:rPr>
                <w:lang w:val="en-GB"/>
              </w:rPr>
            </w:pPr>
            <w:r w:rsidRPr="002225DB">
              <w:rPr>
                <w:lang w:val="en-GB"/>
              </w:rPr>
              <w:t>&lt; 0.001</w:t>
            </w:r>
          </w:p>
        </w:tc>
      </w:tr>
      <w:tr w:rsidR="002225DB" w:rsidRPr="002225DB" w14:paraId="68CD89FB"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5EA92E59" w14:textId="77777777" w:rsidR="002225DB" w:rsidRPr="002225DB" w:rsidRDefault="002225DB" w:rsidP="002225DB">
            <w:pPr>
              <w:pStyle w:val="CDITable-RowLeft"/>
              <w:rPr>
                <w:b/>
                <w:bCs/>
              </w:rPr>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B63F11D" w14:textId="77777777" w:rsidR="002225DB" w:rsidRPr="002225DB" w:rsidRDefault="002225DB" w:rsidP="002225DB">
            <w:pPr>
              <w:pStyle w:val="CDITable-RowLeft"/>
              <w:rPr>
                <w:lang w:val="en-GB"/>
              </w:rPr>
            </w:pPr>
            <w:r w:rsidRPr="002225DB">
              <w:rPr>
                <w:lang w:val="en-GB"/>
              </w:rPr>
              <w:t>Ate at the restaurant</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425A4C6" w14:textId="77777777" w:rsidR="002225DB" w:rsidRPr="002225DB" w:rsidRDefault="002225DB" w:rsidP="002225DB">
            <w:pPr>
              <w:pStyle w:val="CDITable-RowCentre"/>
              <w:rPr>
                <w:lang w:val="en-GB"/>
              </w:rPr>
            </w:pPr>
            <w:r w:rsidRPr="002225DB">
              <w:rPr>
                <w:lang w:val="en-GB"/>
              </w:rPr>
              <w:t>24</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32F2576" w14:textId="77777777" w:rsidR="002225DB" w:rsidRPr="002225DB" w:rsidRDefault="002225DB" w:rsidP="002225DB">
            <w:pPr>
              <w:pStyle w:val="CDITable-RowCentre"/>
              <w:rPr>
                <w:lang w:val="en-GB"/>
              </w:rPr>
            </w:pPr>
            <w:r w:rsidRPr="002225DB">
              <w:rPr>
                <w:lang w:val="en-GB"/>
              </w:rPr>
              <w:t>64</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12BCD811" w14:textId="77777777" w:rsidR="002225DB" w:rsidRPr="002225DB" w:rsidRDefault="002225DB" w:rsidP="002225DB">
            <w:pPr>
              <w:pStyle w:val="CDITable-RowCentre"/>
              <w:rPr>
                <w:lang w:val="en-GB"/>
              </w:rPr>
            </w:pPr>
            <w:r w:rsidRPr="002225DB">
              <w:rPr>
                <w:lang w:val="en-GB"/>
              </w:rPr>
              <w:t>37.5</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71B9C07E" w14:textId="77777777" w:rsidR="002225DB" w:rsidRPr="002225DB" w:rsidRDefault="002225DB" w:rsidP="002225DB">
            <w:pPr>
              <w:pStyle w:val="CDITable-RowCentre"/>
              <w:rPr>
                <w:lang w:val="en-GB"/>
              </w:rPr>
            </w:pPr>
            <w:r w:rsidRPr="002225DB">
              <w:rPr>
                <w:lang w:val="en-GB"/>
              </w:rPr>
              <w:t>34</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E1A8413" w14:textId="77777777" w:rsidR="002225DB" w:rsidRPr="002225DB" w:rsidRDefault="002225DB" w:rsidP="002225DB">
            <w:pPr>
              <w:pStyle w:val="CDITable-RowCentre"/>
              <w:rPr>
                <w:lang w:val="en-GB"/>
              </w:rPr>
            </w:pPr>
            <w:r w:rsidRPr="002225DB">
              <w:rPr>
                <w:lang w:val="en-GB"/>
              </w:rPr>
              <w:t>72</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5A49D918" w14:textId="77777777" w:rsidR="002225DB" w:rsidRPr="002225DB" w:rsidRDefault="002225DB" w:rsidP="002225DB">
            <w:pPr>
              <w:pStyle w:val="CDITable-RowCentre"/>
              <w:rPr>
                <w:lang w:val="en-GB"/>
              </w:rPr>
            </w:pPr>
            <w:r w:rsidRPr="002225DB">
              <w:rPr>
                <w:lang w:val="en-GB"/>
              </w:rPr>
              <w:t>47.2</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5E1A41DD" w14:textId="77777777" w:rsidR="002225DB" w:rsidRPr="002225DB" w:rsidRDefault="002225DB" w:rsidP="002225DB">
            <w:pPr>
              <w:pStyle w:val="CDITable-RowCentre"/>
              <w:rPr>
                <w:lang w:val="en-GB"/>
              </w:rPr>
            </w:pPr>
            <w:r w:rsidRPr="002225DB">
              <w:rPr>
                <w:lang w:val="en-GB"/>
              </w:rPr>
              <w:t>0.7</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05D9473" w14:textId="77777777" w:rsidR="002225DB" w:rsidRPr="002225DB" w:rsidRDefault="002225DB" w:rsidP="002225DB">
            <w:pPr>
              <w:pStyle w:val="CDITable-RowCentre"/>
              <w:rPr>
                <w:lang w:val="en-GB"/>
              </w:rPr>
            </w:pPr>
            <w:r w:rsidRPr="002225DB">
              <w:rPr>
                <w:lang w:val="en-GB"/>
              </w:rPr>
              <w:t>0.3–1.3</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1114DF77" w14:textId="77777777" w:rsidR="002225DB" w:rsidRPr="002225DB" w:rsidRDefault="002225DB" w:rsidP="002225DB">
            <w:pPr>
              <w:pStyle w:val="CDITable-RowCentre"/>
              <w:rPr>
                <w:lang w:val="en-GB"/>
              </w:rPr>
            </w:pPr>
            <w:r w:rsidRPr="002225DB">
              <w:rPr>
                <w:lang w:val="en-GB"/>
              </w:rPr>
              <w:t>0.30</w:t>
            </w:r>
          </w:p>
        </w:tc>
      </w:tr>
      <w:tr w:rsidR="002225DB" w:rsidRPr="002225DB" w14:paraId="5ECBAD34"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30335367" w14:textId="77777777" w:rsidR="002225DB" w:rsidRPr="002225DB" w:rsidRDefault="002225DB" w:rsidP="002225DB">
            <w:pPr>
              <w:pStyle w:val="CDITable-RowLeft"/>
              <w:rPr>
                <w:b/>
                <w:bCs/>
              </w:rPr>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C135B81" w14:textId="77777777" w:rsidR="002225DB" w:rsidRPr="002225DB" w:rsidRDefault="002225DB" w:rsidP="002225DB">
            <w:pPr>
              <w:pStyle w:val="CDITable-RowLeft"/>
              <w:rPr>
                <w:lang w:val="en-GB"/>
              </w:rPr>
            </w:pPr>
            <w:r w:rsidRPr="002225DB">
              <w:rPr>
                <w:lang w:val="en-GB"/>
              </w:rPr>
              <w:t>Ate in function room</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DAA2979" w14:textId="77777777" w:rsidR="002225DB" w:rsidRPr="002225DB" w:rsidRDefault="002225DB" w:rsidP="002225DB">
            <w:pPr>
              <w:pStyle w:val="CDITable-RowCentre"/>
              <w:rPr>
                <w:lang w:val="en-GB"/>
              </w:rPr>
            </w:pPr>
            <w:r w:rsidRPr="002225DB">
              <w:rPr>
                <w:lang w:val="en-GB"/>
              </w:rPr>
              <w:t>61</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405D6FC" w14:textId="77777777" w:rsidR="002225DB" w:rsidRPr="002225DB" w:rsidRDefault="002225DB" w:rsidP="002225DB">
            <w:pPr>
              <w:pStyle w:val="CDITable-RowCentre"/>
              <w:rPr>
                <w:lang w:val="en-GB"/>
              </w:rPr>
            </w:pPr>
            <w:r w:rsidRPr="002225DB">
              <w:rPr>
                <w:lang w:val="en-GB"/>
              </w:rPr>
              <w:t>64</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3F1534B9" w14:textId="77777777" w:rsidR="002225DB" w:rsidRPr="002225DB" w:rsidRDefault="002225DB" w:rsidP="002225DB">
            <w:pPr>
              <w:pStyle w:val="CDITable-RowCentre"/>
              <w:rPr>
                <w:lang w:val="en-GB"/>
              </w:rPr>
            </w:pPr>
            <w:r w:rsidRPr="002225DB">
              <w:rPr>
                <w:lang w:val="en-GB"/>
              </w:rPr>
              <w:t>95.3</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2B94795F" w14:textId="77777777" w:rsidR="002225DB" w:rsidRPr="002225DB" w:rsidRDefault="002225DB" w:rsidP="002225DB">
            <w:pPr>
              <w:pStyle w:val="CDITable-RowCentre"/>
              <w:rPr>
                <w:lang w:val="en-GB"/>
              </w:rPr>
            </w:pPr>
            <w:r w:rsidRPr="002225DB">
              <w:rPr>
                <w:lang w:val="en-GB"/>
              </w:rPr>
              <w:t>47</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A00F505" w14:textId="77777777" w:rsidR="002225DB" w:rsidRPr="002225DB" w:rsidRDefault="002225DB" w:rsidP="002225DB">
            <w:pPr>
              <w:pStyle w:val="CDITable-RowCentre"/>
              <w:rPr>
                <w:lang w:val="en-GB"/>
              </w:rPr>
            </w:pPr>
            <w:r w:rsidRPr="002225DB">
              <w:rPr>
                <w:lang w:val="en-GB"/>
              </w:rPr>
              <w:t>72</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11C4B3E9" w14:textId="77777777" w:rsidR="002225DB" w:rsidRPr="002225DB" w:rsidRDefault="002225DB" w:rsidP="002225DB">
            <w:pPr>
              <w:pStyle w:val="CDITable-RowCentre"/>
              <w:rPr>
                <w:lang w:val="en-GB"/>
              </w:rPr>
            </w:pPr>
            <w:r w:rsidRPr="002225DB">
              <w:rPr>
                <w:lang w:val="en-GB"/>
              </w:rPr>
              <w:t>65.3</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4236A51F" w14:textId="77777777" w:rsidR="002225DB" w:rsidRPr="002225DB" w:rsidRDefault="002225DB" w:rsidP="002225DB">
            <w:pPr>
              <w:pStyle w:val="CDITable-RowCentre"/>
              <w:rPr>
                <w:lang w:val="en-GB"/>
              </w:rPr>
            </w:pPr>
            <w:r w:rsidRPr="002225DB">
              <w:rPr>
                <w:lang w:val="en-GB"/>
              </w:rPr>
              <w:t>10.2</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56967EF" w14:textId="77777777" w:rsidR="002225DB" w:rsidRPr="002225DB" w:rsidRDefault="002225DB" w:rsidP="002225DB">
            <w:pPr>
              <w:pStyle w:val="CDITable-RowCentre"/>
              <w:rPr>
                <w:lang w:val="en-GB"/>
              </w:rPr>
            </w:pPr>
            <w:r w:rsidRPr="002225DB">
              <w:rPr>
                <w:lang w:val="en-GB"/>
              </w:rPr>
              <w:t>3.3–46.8</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77C51536" w14:textId="77777777" w:rsidR="002225DB" w:rsidRPr="002225DB" w:rsidRDefault="002225DB" w:rsidP="002225DB">
            <w:pPr>
              <w:pStyle w:val="CDITable-RowCentre"/>
              <w:rPr>
                <w:lang w:val="en-GB"/>
              </w:rPr>
            </w:pPr>
            <w:r w:rsidRPr="002225DB">
              <w:rPr>
                <w:lang w:val="en-GB"/>
              </w:rPr>
              <w:t>&lt; 0.001</w:t>
            </w:r>
          </w:p>
        </w:tc>
      </w:tr>
      <w:tr w:rsidR="002225DB" w:rsidRPr="002225DB" w14:paraId="71381B2C" w14:textId="77777777" w:rsidTr="003047C2">
        <w:trPr>
          <w:trHeight w:val="60"/>
        </w:trPr>
        <w:tc>
          <w:tcPr>
            <w:tcW w:w="2721" w:type="dxa"/>
            <w:vMerge w:val="restart"/>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46C09602" w14:textId="66AB1629" w:rsidR="002225DB" w:rsidRPr="002225DB" w:rsidRDefault="002225DB" w:rsidP="002225DB">
            <w:pPr>
              <w:pStyle w:val="CDITable-RowLeft"/>
              <w:rPr>
                <w:b/>
                <w:bCs/>
                <w:lang w:val="en-GB"/>
              </w:rPr>
            </w:pPr>
            <w:r w:rsidRPr="002225DB">
              <w:rPr>
                <w:b/>
                <w:bCs/>
                <w:lang w:val="en-GB"/>
              </w:rPr>
              <w:t>Catered foods in the function</w:t>
            </w:r>
            <w:r w:rsidR="00D1326D">
              <w:rPr>
                <w:b/>
                <w:bCs/>
                <w:lang w:val="en-GB"/>
              </w:rPr>
              <w:t> </w:t>
            </w:r>
            <w:r w:rsidRPr="002225DB">
              <w:rPr>
                <w:b/>
                <w:bCs/>
                <w:lang w:val="en-GB"/>
              </w:rPr>
              <w:t>room</w:t>
            </w: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54796B4" w14:textId="77777777" w:rsidR="002225DB" w:rsidRPr="002225DB" w:rsidRDefault="002225DB" w:rsidP="002225DB">
            <w:pPr>
              <w:pStyle w:val="CDITable-RowLeft"/>
              <w:rPr>
                <w:lang w:val="en-GB"/>
              </w:rPr>
            </w:pPr>
            <w:r w:rsidRPr="002225DB">
              <w:rPr>
                <w:lang w:val="en-GB"/>
              </w:rPr>
              <w:t>Turkish bread</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66D5847" w14:textId="77777777" w:rsidR="002225DB" w:rsidRPr="002225DB" w:rsidRDefault="002225DB" w:rsidP="002225DB">
            <w:pPr>
              <w:pStyle w:val="CDITable-RowCentre"/>
              <w:rPr>
                <w:lang w:val="en-GB"/>
              </w:rPr>
            </w:pPr>
            <w:r w:rsidRPr="002225DB">
              <w:rPr>
                <w:lang w:val="en-GB"/>
              </w:rPr>
              <w:t>18</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BE049F3"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5681C4EB" w14:textId="77777777" w:rsidR="002225DB" w:rsidRPr="002225DB" w:rsidRDefault="002225DB" w:rsidP="002225DB">
            <w:pPr>
              <w:pStyle w:val="CDITable-RowCentre"/>
              <w:rPr>
                <w:lang w:val="en-GB"/>
              </w:rPr>
            </w:pPr>
            <w:r w:rsidRPr="002225DB">
              <w:rPr>
                <w:lang w:val="en-GB"/>
              </w:rPr>
              <w:t>29.5</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4B6C5CD0" w14:textId="77777777" w:rsidR="002225DB" w:rsidRPr="002225DB" w:rsidRDefault="002225DB" w:rsidP="002225DB">
            <w:pPr>
              <w:pStyle w:val="CDITable-RowCentre"/>
              <w:rPr>
                <w:lang w:val="en-GB"/>
              </w:rPr>
            </w:pPr>
            <w:r w:rsidRPr="002225DB">
              <w:rPr>
                <w:lang w:val="en-GB"/>
              </w:rPr>
              <w:t>12</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731718E"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5EDE0DD4" w14:textId="77777777" w:rsidR="002225DB" w:rsidRPr="002225DB" w:rsidRDefault="002225DB" w:rsidP="002225DB">
            <w:pPr>
              <w:pStyle w:val="CDITable-RowCentre"/>
              <w:rPr>
                <w:lang w:val="en-GB"/>
              </w:rPr>
            </w:pPr>
            <w:r w:rsidRPr="002225DB">
              <w:rPr>
                <w:lang w:val="en-GB"/>
              </w:rPr>
              <w:t>25.5</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07C57588" w14:textId="77777777" w:rsidR="002225DB" w:rsidRPr="002225DB" w:rsidRDefault="002225DB" w:rsidP="002225DB">
            <w:pPr>
              <w:pStyle w:val="CDITable-RowCentre"/>
              <w:rPr>
                <w:lang w:val="en-GB"/>
              </w:rPr>
            </w:pPr>
            <w:r w:rsidRPr="002225DB">
              <w:rPr>
                <w:lang w:val="en-GB"/>
              </w:rPr>
              <w:t>1.2</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D3A8B05" w14:textId="77777777" w:rsidR="002225DB" w:rsidRPr="002225DB" w:rsidRDefault="002225DB" w:rsidP="002225DB">
            <w:pPr>
              <w:pStyle w:val="CDITable-RowCentre"/>
              <w:rPr>
                <w:lang w:val="en-GB"/>
              </w:rPr>
            </w:pPr>
            <w:r w:rsidRPr="002225DB">
              <w:rPr>
                <w:lang w:val="en-GB"/>
              </w:rPr>
              <w:t>0.5–2.9</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09F40387" w14:textId="77777777" w:rsidR="002225DB" w:rsidRPr="002225DB" w:rsidRDefault="002225DB" w:rsidP="002225DB">
            <w:pPr>
              <w:pStyle w:val="CDITable-RowCentre"/>
              <w:rPr>
                <w:lang w:val="en-GB"/>
              </w:rPr>
            </w:pPr>
            <w:r w:rsidRPr="002225DB">
              <w:rPr>
                <w:lang w:val="en-GB"/>
              </w:rPr>
              <w:t>0.67</w:t>
            </w:r>
          </w:p>
        </w:tc>
      </w:tr>
      <w:tr w:rsidR="002225DB" w:rsidRPr="002225DB" w14:paraId="0D7B7DB8"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10774B9E"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B9C9DC7" w14:textId="77777777" w:rsidR="002225DB" w:rsidRPr="002225DB" w:rsidRDefault="002225DB" w:rsidP="002225DB">
            <w:pPr>
              <w:pStyle w:val="CDITable-RowLeft"/>
              <w:rPr>
                <w:lang w:val="en-GB"/>
              </w:rPr>
            </w:pPr>
            <w:r w:rsidRPr="002225DB">
              <w:rPr>
                <w:lang w:val="en-GB"/>
              </w:rPr>
              <w:t>Dip</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25DA9AB" w14:textId="77777777" w:rsidR="002225DB" w:rsidRPr="002225DB" w:rsidRDefault="002225DB" w:rsidP="002225DB">
            <w:pPr>
              <w:pStyle w:val="CDITable-RowCentre"/>
              <w:rPr>
                <w:lang w:val="en-GB"/>
              </w:rPr>
            </w:pPr>
            <w:r w:rsidRPr="002225DB">
              <w:rPr>
                <w:lang w:val="en-GB"/>
              </w:rPr>
              <w:t>11</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E42DECF"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166A954D" w14:textId="77777777" w:rsidR="002225DB" w:rsidRPr="002225DB" w:rsidRDefault="002225DB" w:rsidP="002225DB">
            <w:pPr>
              <w:pStyle w:val="CDITable-RowCentre"/>
              <w:rPr>
                <w:lang w:val="en-GB"/>
              </w:rPr>
            </w:pPr>
            <w:r w:rsidRPr="002225DB">
              <w:rPr>
                <w:lang w:val="en-GB"/>
              </w:rPr>
              <w:t>18.0</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1EE663E" w14:textId="77777777" w:rsidR="002225DB" w:rsidRPr="002225DB" w:rsidRDefault="002225DB" w:rsidP="002225DB">
            <w:pPr>
              <w:pStyle w:val="CDITable-RowCentre"/>
              <w:rPr>
                <w:lang w:val="en-GB"/>
              </w:rPr>
            </w:pPr>
            <w:r w:rsidRPr="002225DB">
              <w:rPr>
                <w:lang w:val="en-GB"/>
              </w:rPr>
              <w:t>14</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1D52601"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691FA0CB" w14:textId="77777777" w:rsidR="002225DB" w:rsidRPr="002225DB" w:rsidRDefault="002225DB" w:rsidP="002225DB">
            <w:pPr>
              <w:pStyle w:val="CDITable-RowCentre"/>
              <w:rPr>
                <w:lang w:val="en-GB"/>
              </w:rPr>
            </w:pPr>
            <w:r w:rsidRPr="002225DB">
              <w:rPr>
                <w:lang w:val="en-GB"/>
              </w:rPr>
              <w:t>29.8</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7D6880EF" w14:textId="77777777" w:rsidR="002225DB" w:rsidRPr="002225DB" w:rsidRDefault="002225DB" w:rsidP="002225DB">
            <w:pPr>
              <w:pStyle w:val="CDITable-RowCentre"/>
              <w:rPr>
                <w:lang w:val="en-GB"/>
              </w:rPr>
            </w:pPr>
            <w:r w:rsidRPr="002225DB">
              <w:rPr>
                <w:lang w:val="en-GB"/>
              </w:rPr>
              <w:t>0.5</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D2744F7" w14:textId="77777777" w:rsidR="002225DB" w:rsidRPr="002225DB" w:rsidRDefault="002225DB" w:rsidP="002225DB">
            <w:pPr>
              <w:pStyle w:val="CDITable-RowCentre"/>
              <w:rPr>
                <w:lang w:val="en-GB"/>
              </w:rPr>
            </w:pPr>
            <w:r w:rsidRPr="002225DB">
              <w:rPr>
                <w:lang w:val="en-GB"/>
              </w:rPr>
              <w:t>0.2–1.3</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568D802F" w14:textId="77777777" w:rsidR="002225DB" w:rsidRPr="002225DB" w:rsidRDefault="002225DB" w:rsidP="002225DB">
            <w:pPr>
              <w:pStyle w:val="CDITable-RowCentre"/>
              <w:rPr>
                <w:lang w:val="en-GB"/>
              </w:rPr>
            </w:pPr>
            <w:r w:rsidRPr="002225DB">
              <w:rPr>
                <w:lang w:val="en-GB"/>
              </w:rPr>
              <w:t>0.17</w:t>
            </w:r>
          </w:p>
        </w:tc>
      </w:tr>
      <w:tr w:rsidR="002225DB" w:rsidRPr="002225DB" w14:paraId="6DD9BD2F"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5592ABDF"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6D87468" w14:textId="77777777" w:rsidR="002225DB" w:rsidRPr="002225DB" w:rsidRDefault="002225DB" w:rsidP="002225DB">
            <w:pPr>
              <w:pStyle w:val="CDITable-RowLeft"/>
              <w:rPr>
                <w:lang w:val="en-GB"/>
              </w:rPr>
            </w:pPr>
            <w:r w:rsidRPr="002225DB">
              <w:rPr>
                <w:lang w:val="en-GB"/>
              </w:rPr>
              <w:t>Cheese</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8F6B749" w14:textId="77777777" w:rsidR="002225DB" w:rsidRPr="002225DB" w:rsidRDefault="002225DB" w:rsidP="002225DB">
            <w:pPr>
              <w:pStyle w:val="CDITable-RowCentre"/>
              <w:rPr>
                <w:lang w:val="en-GB"/>
              </w:rPr>
            </w:pPr>
            <w:r w:rsidRPr="002225DB">
              <w:rPr>
                <w:lang w:val="en-GB"/>
              </w:rPr>
              <w:t>5</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BE24EF3"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13FB9B8B" w14:textId="77777777" w:rsidR="002225DB" w:rsidRPr="002225DB" w:rsidRDefault="002225DB" w:rsidP="002225DB">
            <w:pPr>
              <w:pStyle w:val="CDITable-RowCentre"/>
              <w:rPr>
                <w:lang w:val="en-GB"/>
              </w:rPr>
            </w:pPr>
            <w:r w:rsidRPr="002225DB">
              <w:rPr>
                <w:lang w:val="en-GB"/>
              </w:rPr>
              <w:t>8.2</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368AE01D" w14:textId="77777777" w:rsidR="002225DB" w:rsidRPr="002225DB" w:rsidRDefault="002225DB" w:rsidP="002225DB">
            <w:pPr>
              <w:pStyle w:val="CDITable-RowCentre"/>
              <w:rPr>
                <w:lang w:val="en-GB"/>
              </w:rPr>
            </w:pPr>
            <w:r w:rsidRPr="002225DB">
              <w:rPr>
                <w:lang w:val="en-GB"/>
              </w:rPr>
              <w:t>6</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8C4905B"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77E2A209" w14:textId="77777777" w:rsidR="002225DB" w:rsidRPr="002225DB" w:rsidRDefault="002225DB" w:rsidP="002225DB">
            <w:pPr>
              <w:pStyle w:val="CDITable-RowCentre"/>
              <w:rPr>
                <w:lang w:val="en-GB"/>
              </w:rPr>
            </w:pPr>
            <w:r w:rsidRPr="002225DB">
              <w:rPr>
                <w:lang w:val="en-GB"/>
              </w:rPr>
              <w:t>12.8</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4C6F2F33" w14:textId="77777777" w:rsidR="002225DB" w:rsidRPr="002225DB" w:rsidRDefault="002225DB" w:rsidP="002225DB">
            <w:pPr>
              <w:pStyle w:val="CDITable-RowCentre"/>
              <w:rPr>
                <w:lang w:val="en-GB"/>
              </w:rPr>
            </w:pPr>
            <w:r w:rsidRPr="002225DB">
              <w:rPr>
                <w:lang w:val="en-GB"/>
              </w:rPr>
              <w:t>0.6</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072A226" w14:textId="77777777" w:rsidR="002225DB" w:rsidRPr="002225DB" w:rsidRDefault="002225DB" w:rsidP="002225DB">
            <w:pPr>
              <w:pStyle w:val="CDITable-RowCentre"/>
              <w:rPr>
                <w:lang w:val="en-GB"/>
              </w:rPr>
            </w:pPr>
            <w:r w:rsidRPr="002225DB">
              <w:rPr>
                <w:lang w:val="en-GB"/>
              </w:rPr>
              <w:t>0.2–2.2</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28C377DA" w14:textId="77777777" w:rsidR="002225DB" w:rsidRPr="002225DB" w:rsidRDefault="002225DB" w:rsidP="002225DB">
            <w:pPr>
              <w:pStyle w:val="CDITable-RowCentre"/>
              <w:rPr>
                <w:lang w:val="en-GB"/>
              </w:rPr>
            </w:pPr>
            <w:r w:rsidRPr="002225DB">
              <w:rPr>
                <w:lang w:val="en-GB"/>
              </w:rPr>
              <w:t>0.53</w:t>
            </w:r>
          </w:p>
        </w:tc>
      </w:tr>
      <w:tr w:rsidR="002225DB" w:rsidRPr="002225DB" w14:paraId="7140047D"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553BAFDB"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DD64118" w14:textId="77777777" w:rsidR="002225DB" w:rsidRPr="002225DB" w:rsidRDefault="002225DB" w:rsidP="002225DB">
            <w:pPr>
              <w:pStyle w:val="CDITable-RowLeft"/>
              <w:rPr>
                <w:lang w:val="en-GB"/>
              </w:rPr>
            </w:pPr>
            <w:r w:rsidRPr="002225DB">
              <w:rPr>
                <w:lang w:val="en-GB"/>
              </w:rPr>
              <w:t>Fruit</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F8C1C12" w14:textId="77777777" w:rsidR="002225DB" w:rsidRPr="002225DB" w:rsidRDefault="002225DB" w:rsidP="002225DB">
            <w:pPr>
              <w:pStyle w:val="CDITable-RowCentre"/>
              <w:rPr>
                <w:lang w:val="en-GB"/>
              </w:rPr>
            </w:pPr>
            <w:r w:rsidRPr="002225DB">
              <w:rPr>
                <w:lang w:val="en-GB"/>
              </w:rPr>
              <w:t>45</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D1DBD2C"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8EF2AA3" w14:textId="77777777" w:rsidR="002225DB" w:rsidRPr="002225DB" w:rsidRDefault="002225DB" w:rsidP="002225DB">
            <w:pPr>
              <w:pStyle w:val="CDITable-RowCentre"/>
              <w:rPr>
                <w:lang w:val="en-GB"/>
              </w:rPr>
            </w:pPr>
            <w:r w:rsidRPr="002225DB">
              <w:rPr>
                <w:lang w:val="en-GB"/>
              </w:rPr>
              <w:t>73.8</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5A436709" w14:textId="77777777" w:rsidR="002225DB" w:rsidRPr="002225DB" w:rsidRDefault="002225DB" w:rsidP="002225DB">
            <w:pPr>
              <w:pStyle w:val="CDITable-RowCentre"/>
              <w:rPr>
                <w:lang w:val="en-GB"/>
              </w:rPr>
            </w:pPr>
            <w:r w:rsidRPr="002225DB">
              <w:rPr>
                <w:lang w:val="en-GB"/>
              </w:rPr>
              <w:t>16</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6D4AA78"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79CB482" w14:textId="77777777" w:rsidR="002225DB" w:rsidRPr="002225DB" w:rsidRDefault="002225DB" w:rsidP="002225DB">
            <w:pPr>
              <w:pStyle w:val="CDITable-RowCentre"/>
              <w:rPr>
                <w:lang w:val="en-GB"/>
              </w:rPr>
            </w:pPr>
            <w:r w:rsidRPr="002225DB">
              <w:rPr>
                <w:lang w:val="en-GB"/>
              </w:rPr>
              <w:t>34.0</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21C59CD2" w14:textId="77777777" w:rsidR="002225DB" w:rsidRPr="002225DB" w:rsidRDefault="002225DB" w:rsidP="002225DB">
            <w:pPr>
              <w:pStyle w:val="CDITable-RowCentre"/>
              <w:rPr>
                <w:lang w:val="en-GB"/>
              </w:rPr>
            </w:pPr>
            <w:r w:rsidRPr="002225DB">
              <w:rPr>
                <w:lang w:val="en-GB"/>
              </w:rPr>
              <w:t>5.3</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51DE39B" w14:textId="77777777" w:rsidR="002225DB" w:rsidRPr="002225DB" w:rsidRDefault="002225DB" w:rsidP="002225DB">
            <w:pPr>
              <w:pStyle w:val="CDITable-RowCentre"/>
              <w:rPr>
                <w:lang w:val="en-GB"/>
              </w:rPr>
            </w:pPr>
            <w:r w:rsidRPr="002225DB">
              <w:rPr>
                <w:lang w:val="en-GB"/>
              </w:rPr>
              <w:t>2.4–12.6</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56B17771" w14:textId="77777777" w:rsidR="002225DB" w:rsidRPr="002225DB" w:rsidRDefault="002225DB" w:rsidP="002225DB">
            <w:pPr>
              <w:pStyle w:val="CDITable-RowCentre"/>
              <w:rPr>
                <w:lang w:val="en-GB"/>
              </w:rPr>
            </w:pPr>
            <w:r w:rsidRPr="002225DB">
              <w:rPr>
                <w:lang w:val="en-GB"/>
              </w:rPr>
              <w:t>&lt; 0.001</w:t>
            </w:r>
          </w:p>
        </w:tc>
      </w:tr>
      <w:tr w:rsidR="002225DB" w:rsidRPr="002225DB" w14:paraId="04F06DA4"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3FF91277"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1463E2A" w14:textId="77777777" w:rsidR="002225DB" w:rsidRPr="002225DB" w:rsidRDefault="002225DB" w:rsidP="002225DB">
            <w:pPr>
              <w:pStyle w:val="CDITable-RowLeft"/>
              <w:rPr>
                <w:lang w:val="en-GB"/>
              </w:rPr>
            </w:pPr>
            <w:r w:rsidRPr="002225DB">
              <w:rPr>
                <w:lang w:val="en-GB"/>
              </w:rPr>
              <w:t>Semi-dried tomato</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ECBB06C" w14:textId="77777777" w:rsidR="002225DB" w:rsidRPr="002225DB" w:rsidRDefault="002225DB" w:rsidP="002225DB">
            <w:pPr>
              <w:pStyle w:val="CDITable-RowCentre"/>
              <w:rPr>
                <w:lang w:val="en-GB"/>
              </w:rPr>
            </w:pPr>
            <w:r w:rsidRPr="002225DB">
              <w:rPr>
                <w:lang w:val="en-GB"/>
              </w:rPr>
              <w:t>2</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73BC693"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B3DB6BE" w14:textId="77777777" w:rsidR="002225DB" w:rsidRPr="002225DB" w:rsidRDefault="002225DB" w:rsidP="002225DB">
            <w:pPr>
              <w:pStyle w:val="CDITable-RowCentre"/>
              <w:rPr>
                <w:lang w:val="en-GB"/>
              </w:rPr>
            </w:pPr>
            <w:r w:rsidRPr="002225DB">
              <w:rPr>
                <w:lang w:val="en-GB"/>
              </w:rPr>
              <w:t>3.3</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5998597C" w14:textId="77777777" w:rsidR="002225DB" w:rsidRPr="002225DB" w:rsidRDefault="002225DB" w:rsidP="002225DB">
            <w:pPr>
              <w:pStyle w:val="CDITable-RowCentre"/>
              <w:rPr>
                <w:lang w:val="en-GB"/>
              </w:rPr>
            </w:pPr>
            <w:r w:rsidRPr="002225DB">
              <w:rPr>
                <w:lang w:val="en-GB"/>
              </w:rPr>
              <w:t>2</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4ADC84F"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59EA4581" w14:textId="77777777" w:rsidR="002225DB" w:rsidRPr="002225DB" w:rsidRDefault="002225DB" w:rsidP="002225DB">
            <w:pPr>
              <w:pStyle w:val="CDITable-RowCentre"/>
              <w:rPr>
                <w:lang w:val="en-GB"/>
              </w:rPr>
            </w:pPr>
            <w:r w:rsidRPr="002225DB">
              <w:rPr>
                <w:lang w:val="en-GB"/>
              </w:rPr>
              <w:t>4.3</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0B7958A8" w14:textId="77777777" w:rsidR="002225DB" w:rsidRPr="002225DB" w:rsidRDefault="002225DB" w:rsidP="002225DB">
            <w:pPr>
              <w:pStyle w:val="CDITable-RowCentre"/>
              <w:rPr>
                <w:lang w:val="en-GB"/>
              </w:rPr>
            </w:pPr>
            <w:r w:rsidRPr="002225DB">
              <w:rPr>
                <w:lang w:val="en-GB"/>
              </w:rPr>
              <w:t>0.8</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94AE2FF" w14:textId="77777777" w:rsidR="002225DB" w:rsidRPr="002225DB" w:rsidRDefault="002225DB" w:rsidP="002225DB">
            <w:pPr>
              <w:pStyle w:val="CDITable-RowCentre"/>
              <w:rPr>
                <w:lang w:val="en-GB"/>
              </w:rPr>
            </w:pPr>
            <w:r w:rsidRPr="002225DB">
              <w:rPr>
                <w:lang w:val="en-GB"/>
              </w:rPr>
              <w:t>0.1–7.6</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58F332CB" w14:textId="77777777" w:rsidR="002225DB" w:rsidRPr="002225DB" w:rsidRDefault="002225DB" w:rsidP="002225DB">
            <w:pPr>
              <w:pStyle w:val="CDITable-RowCentre"/>
              <w:rPr>
                <w:lang w:val="en-GB"/>
              </w:rPr>
            </w:pPr>
            <w:r w:rsidRPr="002225DB">
              <w:rPr>
                <w:lang w:val="en-GB"/>
              </w:rPr>
              <w:t>1</w:t>
            </w:r>
          </w:p>
        </w:tc>
      </w:tr>
      <w:tr w:rsidR="002225DB" w:rsidRPr="002225DB" w14:paraId="5CACF604"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16AAE288"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4C1267E" w14:textId="77777777" w:rsidR="002225DB" w:rsidRPr="002225DB" w:rsidRDefault="002225DB" w:rsidP="002225DB">
            <w:pPr>
              <w:pStyle w:val="CDITable-RowLeft"/>
              <w:rPr>
                <w:lang w:val="en-GB"/>
              </w:rPr>
            </w:pPr>
            <w:r w:rsidRPr="002225DB">
              <w:rPr>
                <w:lang w:val="en-GB"/>
              </w:rPr>
              <w:t>Cured or dried meat</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0EE7441" w14:textId="77777777" w:rsidR="002225DB" w:rsidRPr="002225DB" w:rsidRDefault="002225DB" w:rsidP="002225DB">
            <w:pPr>
              <w:pStyle w:val="CDITable-RowCentre"/>
              <w:rPr>
                <w:lang w:val="en-GB"/>
              </w:rPr>
            </w:pPr>
            <w:r w:rsidRPr="002225DB">
              <w:rPr>
                <w:lang w:val="en-GB"/>
              </w:rPr>
              <w:t>31</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6EEE292"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15769F62" w14:textId="77777777" w:rsidR="002225DB" w:rsidRPr="002225DB" w:rsidRDefault="002225DB" w:rsidP="002225DB">
            <w:pPr>
              <w:pStyle w:val="CDITable-RowCentre"/>
              <w:rPr>
                <w:lang w:val="en-GB"/>
              </w:rPr>
            </w:pPr>
            <w:r w:rsidRPr="002225DB">
              <w:rPr>
                <w:lang w:val="en-GB"/>
              </w:rPr>
              <w:t>50.8</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02CD29C1" w14:textId="77777777" w:rsidR="002225DB" w:rsidRPr="002225DB" w:rsidRDefault="002225DB" w:rsidP="002225DB">
            <w:pPr>
              <w:pStyle w:val="CDITable-RowCentre"/>
              <w:rPr>
                <w:lang w:val="en-GB"/>
              </w:rPr>
            </w:pPr>
            <w:r w:rsidRPr="002225DB">
              <w:rPr>
                <w:lang w:val="en-GB"/>
              </w:rPr>
              <w:t>13</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3C7789B"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666A7B38" w14:textId="77777777" w:rsidR="002225DB" w:rsidRPr="002225DB" w:rsidRDefault="002225DB" w:rsidP="002225DB">
            <w:pPr>
              <w:pStyle w:val="CDITable-RowCentre"/>
              <w:rPr>
                <w:lang w:val="en-GB"/>
              </w:rPr>
            </w:pPr>
            <w:r w:rsidRPr="002225DB">
              <w:rPr>
                <w:lang w:val="en-GB"/>
              </w:rPr>
              <w:t>27.7</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E060AEF" w14:textId="77777777" w:rsidR="002225DB" w:rsidRPr="002225DB" w:rsidRDefault="002225DB" w:rsidP="002225DB">
            <w:pPr>
              <w:pStyle w:val="CDITable-RowCentre"/>
              <w:rPr>
                <w:lang w:val="en-GB"/>
              </w:rPr>
            </w:pPr>
            <w:r w:rsidRPr="002225DB">
              <w:rPr>
                <w:lang w:val="en-GB"/>
              </w:rPr>
              <w:t>2.7</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8DE2267" w14:textId="77777777" w:rsidR="002225DB" w:rsidRPr="002225DB" w:rsidRDefault="002225DB" w:rsidP="002225DB">
            <w:pPr>
              <w:pStyle w:val="CDITable-RowCentre"/>
              <w:rPr>
                <w:lang w:val="en-GB"/>
              </w:rPr>
            </w:pPr>
            <w:r w:rsidRPr="002225DB">
              <w:rPr>
                <w:lang w:val="en-GB"/>
              </w:rPr>
              <w:t>1.2–6.2</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2CDAB05F" w14:textId="77777777" w:rsidR="002225DB" w:rsidRPr="002225DB" w:rsidRDefault="002225DB" w:rsidP="002225DB">
            <w:pPr>
              <w:pStyle w:val="CDITable-RowCentre"/>
              <w:rPr>
                <w:lang w:val="en-GB"/>
              </w:rPr>
            </w:pPr>
            <w:r w:rsidRPr="002225DB">
              <w:rPr>
                <w:lang w:val="en-GB"/>
              </w:rPr>
              <w:t>0.02</w:t>
            </w:r>
          </w:p>
        </w:tc>
      </w:tr>
      <w:tr w:rsidR="002225DB" w:rsidRPr="002225DB" w14:paraId="661A8ABB"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7266D88F"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E8ECF5F" w14:textId="77777777" w:rsidR="002225DB" w:rsidRPr="002225DB" w:rsidRDefault="002225DB" w:rsidP="002225DB">
            <w:pPr>
              <w:pStyle w:val="CDITable-RowLeft"/>
              <w:rPr>
                <w:lang w:val="en-GB"/>
              </w:rPr>
            </w:pPr>
            <w:r w:rsidRPr="002225DB">
              <w:rPr>
                <w:lang w:val="en-GB"/>
              </w:rPr>
              <w:t>Olives</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7B65F3A" w14:textId="77777777" w:rsidR="002225DB" w:rsidRPr="002225DB" w:rsidRDefault="002225DB" w:rsidP="002225DB">
            <w:pPr>
              <w:pStyle w:val="CDITable-RowCentre"/>
              <w:rPr>
                <w:lang w:val="en-GB"/>
              </w:rPr>
            </w:pPr>
            <w:r w:rsidRPr="002225DB">
              <w:rPr>
                <w:lang w:val="en-GB"/>
              </w:rPr>
              <w:t>6</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A702DAE"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2C953E8F" w14:textId="77777777" w:rsidR="002225DB" w:rsidRPr="002225DB" w:rsidRDefault="002225DB" w:rsidP="002225DB">
            <w:pPr>
              <w:pStyle w:val="CDITable-RowCentre"/>
              <w:rPr>
                <w:lang w:val="en-GB"/>
              </w:rPr>
            </w:pPr>
            <w:r w:rsidRPr="002225DB">
              <w:rPr>
                <w:lang w:val="en-GB"/>
              </w:rPr>
              <w:t>9.8</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748DBF53" w14:textId="77777777" w:rsidR="002225DB" w:rsidRPr="002225DB" w:rsidRDefault="002225DB" w:rsidP="002225DB">
            <w:pPr>
              <w:pStyle w:val="CDITable-RowCentre"/>
              <w:rPr>
                <w:lang w:val="en-GB"/>
              </w:rPr>
            </w:pPr>
            <w:r w:rsidRPr="002225DB">
              <w:rPr>
                <w:lang w:val="en-GB"/>
              </w:rPr>
              <w:t>4</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CF1C903"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62B96DA7" w14:textId="77777777" w:rsidR="002225DB" w:rsidRPr="002225DB" w:rsidRDefault="002225DB" w:rsidP="002225DB">
            <w:pPr>
              <w:pStyle w:val="CDITable-RowCentre"/>
              <w:rPr>
                <w:lang w:val="en-GB"/>
              </w:rPr>
            </w:pPr>
            <w:r w:rsidRPr="002225DB">
              <w:rPr>
                <w:lang w:val="en-GB"/>
              </w:rPr>
              <w:t>8.5</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7EB0795B" w14:textId="77777777" w:rsidR="002225DB" w:rsidRPr="002225DB" w:rsidRDefault="002225DB" w:rsidP="002225DB">
            <w:pPr>
              <w:pStyle w:val="CDITable-RowCentre"/>
              <w:rPr>
                <w:lang w:val="en-GB"/>
              </w:rPr>
            </w:pPr>
            <w:r w:rsidRPr="002225DB">
              <w:rPr>
                <w:lang w:val="en-GB"/>
              </w:rPr>
              <w:t>1.2</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32C8228" w14:textId="77777777" w:rsidR="002225DB" w:rsidRPr="002225DB" w:rsidRDefault="002225DB" w:rsidP="002225DB">
            <w:pPr>
              <w:pStyle w:val="CDITable-RowCentre"/>
              <w:rPr>
                <w:lang w:val="en-GB"/>
              </w:rPr>
            </w:pPr>
            <w:r w:rsidRPr="002225DB">
              <w:rPr>
                <w:lang w:val="en-GB"/>
              </w:rPr>
              <w:t>0.3–5.0</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6D8A1A29" w14:textId="77777777" w:rsidR="002225DB" w:rsidRPr="002225DB" w:rsidRDefault="002225DB" w:rsidP="002225DB">
            <w:pPr>
              <w:pStyle w:val="CDITable-RowCentre"/>
              <w:rPr>
                <w:lang w:val="en-GB"/>
              </w:rPr>
            </w:pPr>
            <w:r w:rsidRPr="002225DB">
              <w:rPr>
                <w:lang w:val="en-GB"/>
              </w:rPr>
              <w:t>1</w:t>
            </w:r>
          </w:p>
        </w:tc>
      </w:tr>
      <w:tr w:rsidR="002225DB" w:rsidRPr="002225DB" w14:paraId="6F3BD038"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2349213F"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78D2449" w14:textId="77777777" w:rsidR="002225DB" w:rsidRPr="002225DB" w:rsidRDefault="002225DB" w:rsidP="002225DB">
            <w:pPr>
              <w:pStyle w:val="CDITable-RowLeft"/>
              <w:rPr>
                <w:lang w:val="en-GB"/>
              </w:rPr>
            </w:pPr>
            <w:r w:rsidRPr="002225DB">
              <w:rPr>
                <w:lang w:val="en-GB"/>
              </w:rPr>
              <w:t>Quiche</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CB5D96B" w14:textId="77777777" w:rsidR="002225DB" w:rsidRPr="002225DB" w:rsidRDefault="002225DB" w:rsidP="002225DB">
            <w:pPr>
              <w:pStyle w:val="CDITable-RowCentre"/>
              <w:rPr>
                <w:lang w:val="en-GB"/>
              </w:rPr>
            </w:pPr>
            <w:r w:rsidRPr="002225DB">
              <w:rPr>
                <w:lang w:val="en-GB"/>
              </w:rPr>
              <w:t>18</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76289A1"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5A46C253" w14:textId="77777777" w:rsidR="002225DB" w:rsidRPr="002225DB" w:rsidRDefault="002225DB" w:rsidP="002225DB">
            <w:pPr>
              <w:pStyle w:val="CDITable-RowCentre"/>
              <w:rPr>
                <w:lang w:val="en-GB"/>
              </w:rPr>
            </w:pPr>
            <w:r w:rsidRPr="002225DB">
              <w:rPr>
                <w:lang w:val="en-GB"/>
              </w:rPr>
              <w:t>29.5</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6799C603" w14:textId="77777777" w:rsidR="002225DB" w:rsidRPr="002225DB" w:rsidRDefault="002225DB" w:rsidP="002225DB">
            <w:pPr>
              <w:pStyle w:val="CDITable-RowCentre"/>
              <w:rPr>
                <w:lang w:val="en-GB"/>
              </w:rPr>
            </w:pPr>
            <w:r w:rsidRPr="002225DB">
              <w:rPr>
                <w:lang w:val="en-GB"/>
              </w:rPr>
              <w:t>22</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14E5575"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531205B" w14:textId="77777777" w:rsidR="002225DB" w:rsidRPr="002225DB" w:rsidRDefault="002225DB" w:rsidP="002225DB">
            <w:pPr>
              <w:pStyle w:val="CDITable-RowCentre"/>
              <w:rPr>
                <w:lang w:val="en-GB"/>
              </w:rPr>
            </w:pPr>
            <w:r w:rsidRPr="002225DB">
              <w:rPr>
                <w:lang w:val="en-GB"/>
              </w:rPr>
              <w:t>46.8</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48B2F509" w14:textId="77777777" w:rsidR="002225DB" w:rsidRPr="002225DB" w:rsidRDefault="002225DB" w:rsidP="002225DB">
            <w:pPr>
              <w:pStyle w:val="CDITable-RowCentre"/>
              <w:rPr>
                <w:lang w:val="en-GB"/>
              </w:rPr>
            </w:pPr>
            <w:r w:rsidRPr="002225DB">
              <w:rPr>
                <w:lang w:val="en-GB"/>
              </w:rPr>
              <w:t>0.5</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46F3A08" w14:textId="77777777" w:rsidR="002225DB" w:rsidRPr="002225DB" w:rsidRDefault="002225DB" w:rsidP="002225DB">
            <w:pPr>
              <w:pStyle w:val="CDITable-RowCentre"/>
              <w:rPr>
                <w:lang w:val="en-GB"/>
              </w:rPr>
            </w:pPr>
            <w:r w:rsidRPr="002225DB">
              <w:rPr>
                <w:lang w:val="en-GB"/>
              </w:rPr>
              <w:t>0.2–1.1</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0A11FDA1" w14:textId="77777777" w:rsidR="002225DB" w:rsidRPr="002225DB" w:rsidRDefault="002225DB" w:rsidP="002225DB">
            <w:pPr>
              <w:pStyle w:val="CDITable-RowCentre"/>
              <w:rPr>
                <w:lang w:val="en-GB"/>
              </w:rPr>
            </w:pPr>
            <w:r w:rsidRPr="002225DB">
              <w:rPr>
                <w:lang w:val="en-GB"/>
              </w:rPr>
              <w:t>0.07</w:t>
            </w:r>
          </w:p>
        </w:tc>
      </w:tr>
      <w:tr w:rsidR="002225DB" w:rsidRPr="002225DB" w14:paraId="69E7C24B"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64AFE02A"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A3793C8" w14:textId="77777777" w:rsidR="002225DB" w:rsidRPr="002225DB" w:rsidRDefault="002225DB" w:rsidP="002225DB">
            <w:pPr>
              <w:pStyle w:val="CDITable-RowLeft"/>
              <w:rPr>
                <w:lang w:val="en-GB"/>
              </w:rPr>
            </w:pPr>
            <w:r w:rsidRPr="002225DB">
              <w:rPr>
                <w:lang w:val="en-GB"/>
              </w:rPr>
              <w:t>Party pie</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12D4868" w14:textId="77777777" w:rsidR="002225DB" w:rsidRPr="002225DB" w:rsidRDefault="002225DB" w:rsidP="002225DB">
            <w:pPr>
              <w:pStyle w:val="CDITable-RowCentre"/>
              <w:rPr>
                <w:lang w:val="en-GB"/>
              </w:rPr>
            </w:pPr>
            <w:r w:rsidRPr="002225DB">
              <w:rPr>
                <w:lang w:val="en-GB"/>
              </w:rPr>
              <w:t>20</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13F9512"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F46C4D5" w14:textId="77777777" w:rsidR="002225DB" w:rsidRPr="002225DB" w:rsidRDefault="002225DB" w:rsidP="002225DB">
            <w:pPr>
              <w:pStyle w:val="CDITable-RowCentre"/>
              <w:rPr>
                <w:lang w:val="en-GB"/>
              </w:rPr>
            </w:pPr>
            <w:r w:rsidRPr="002225DB">
              <w:rPr>
                <w:lang w:val="en-GB"/>
              </w:rPr>
              <w:t>32.8</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28F9EB6F" w14:textId="77777777" w:rsidR="002225DB" w:rsidRPr="002225DB" w:rsidRDefault="002225DB" w:rsidP="002225DB">
            <w:pPr>
              <w:pStyle w:val="CDITable-RowCentre"/>
              <w:rPr>
                <w:lang w:val="en-GB"/>
              </w:rPr>
            </w:pPr>
            <w:r w:rsidRPr="002225DB">
              <w:rPr>
                <w:lang w:val="en-GB"/>
              </w:rPr>
              <w:t>15</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6C9C2D0"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554375F6" w14:textId="77777777" w:rsidR="002225DB" w:rsidRPr="002225DB" w:rsidRDefault="002225DB" w:rsidP="002225DB">
            <w:pPr>
              <w:pStyle w:val="CDITable-RowCentre"/>
              <w:rPr>
                <w:lang w:val="en-GB"/>
              </w:rPr>
            </w:pPr>
            <w:r w:rsidRPr="002225DB">
              <w:rPr>
                <w:lang w:val="en-GB"/>
              </w:rPr>
              <w:t>31.9</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8113463" w14:textId="77777777" w:rsidR="002225DB" w:rsidRPr="002225DB" w:rsidRDefault="002225DB" w:rsidP="002225DB">
            <w:pPr>
              <w:pStyle w:val="CDITable-RowCentre"/>
              <w:rPr>
                <w:lang w:val="en-GB"/>
              </w:rPr>
            </w:pPr>
            <w:r w:rsidRPr="002225DB">
              <w:rPr>
                <w:lang w:val="en-GB"/>
              </w:rPr>
              <w:t>1.0</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7138185" w14:textId="77777777" w:rsidR="002225DB" w:rsidRPr="002225DB" w:rsidRDefault="002225DB" w:rsidP="002225DB">
            <w:pPr>
              <w:pStyle w:val="CDITable-RowCentre"/>
              <w:rPr>
                <w:lang w:val="en-GB"/>
              </w:rPr>
            </w:pPr>
            <w:r w:rsidRPr="002225DB">
              <w:rPr>
                <w:lang w:val="en-GB"/>
              </w:rPr>
              <w:t>0.5–2.4</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725CB70F" w14:textId="77777777" w:rsidR="002225DB" w:rsidRPr="002225DB" w:rsidRDefault="002225DB" w:rsidP="002225DB">
            <w:pPr>
              <w:pStyle w:val="CDITable-RowCentre"/>
              <w:rPr>
                <w:lang w:val="en-GB"/>
              </w:rPr>
            </w:pPr>
            <w:r w:rsidRPr="002225DB">
              <w:rPr>
                <w:lang w:val="en-GB"/>
              </w:rPr>
              <w:t>1</w:t>
            </w:r>
          </w:p>
        </w:tc>
      </w:tr>
      <w:tr w:rsidR="002225DB" w:rsidRPr="002225DB" w14:paraId="323EFF5D"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7B159D38"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73D75B8" w14:textId="77777777" w:rsidR="002225DB" w:rsidRPr="002225DB" w:rsidRDefault="002225DB" w:rsidP="002225DB">
            <w:pPr>
              <w:pStyle w:val="CDITable-RowLeft"/>
              <w:rPr>
                <w:lang w:val="en-GB"/>
              </w:rPr>
            </w:pPr>
            <w:r w:rsidRPr="002225DB">
              <w:rPr>
                <w:lang w:val="en-GB"/>
              </w:rPr>
              <w:t>Sausage roll</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BD9B76F" w14:textId="77777777" w:rsidR="002225DB" w:rsidRPr="002225DB" w:rsidRDefault="002225DB" w:rsidP="002225DB">
            <w:pPr>
              <w:pStyle w:val="CDITable-RowCentre"/>
              <w:rPr>
                <w:lang w:val="en-GB"/>
              </w:rPr>
            </w:pPr>
            <w:r w:rsidRPr="002225DB">
              <w:rPr>
                <w:lang w:val="en-GB"/>
              </w:rPr>
              <w:t>26</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A5F01E1"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39D7E570" w14:textId="77777777" w:rsidR="002225DB" w:rsidRPr="002225DB" w:rsidRDefault="002225DB" w:rsidP="002225DB">
            <w:pPr>
              <w:pStyle w:val="CDITable-RowCentre"/>
              <w:rPr>
                <w:lang w:val="en-GB"/>
              </w:rPr>
            </w:pPr>
            <w:r w:rsidRPr="002225DB">
              <w:rPr>
                <w:lang w:val="en-GB"/>
              </w:rPr>
              <w:t>42.6</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2A89C538" w14:textId="77777777" w:rsidR="002225DB" w:rsidRPr="002225DB" w:rsidRDefault="002225DB" w:rsidP="002225DB">
            <w:pPr>
              <w:pStyle w:val="CDITable-RowCentre"/>
              <w:rPr>
                <w:lang w:val="en-GB"/>
              </w:rPr>
            </w:pPr>
            <w:r w:rsidRPr="002225DB">
              <w:rPr>
                <w:lang w:val="en-GB"/>
              </w:rPr>
              <w:t>17</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25FAC6C"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2B664BC1" w14:textId="77777777" w:rsidR="002225DB" w:rsidRPr="002225DB" w:rsidRDefault="002225DB" w:rsidP="002225DB">
            <w:pPr>
              <w:pStyle w:val="CDITable-RowCentre"/>
              <w:rPr>
                <w:lang w:val="en-GB"/>
              </w:rPr>
            </w:pPr>
            <w:r w:rsidRPr="002225DB">
              <w:rPr>
                <w:lang w:val="en-GB"/>
              </w:rPr>
              <w:t>36.2</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0E74FE84" w14:textId="77777777" w:rsidR="002225DB" w:rsidRPr="002225DB" w:rsidRDefault="002225DB" w:rsidP="002225DB">
            <w:pPr>
              <w:pStyle w:val="CDITable-RowCentre"/>
              <w:rPr>
                <w:lang w:val="en-GB"/>
              </w:rPr>
            </w:pPr>
            <w:r w:rsidRPr="002225DB">
              <w:rPr>
                <w:lang w:val="en-GB"/>
              </w:rPr>
              <w:t>1.3</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954B870" w14:textId="77777777" w:rsidR="002225DB" w:rsidRPr="002225DB" w:rsidRDefault="002225DB" w:rsidP="002225DB">
            <w:pPr>
              <w:pStyle w:val="CDITable-RowCentre"/>
              <w:rPr>
                <w:lang w:val="en-GB"/>
              </w:rPr>
            </w:pPr>
            <w:r w:rsidRPr="002225DB">
              <w:rPr>
                <w:lang w:val="en-GB"/>
              </w:rPr>
              <w:t>0.6–2.9</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02347A28" w14:textId="77777777" w:rsidR="002225DB" w:rsidRPr="002225DB" w:rsidRDefault="002225DB" w:rsidP="002225DB">
            <w:pPr>
              <w:pStyle w:val="CDITable-RowCentre"/>
              <w:rPr>
                <w:lang w:val="en-GB"/>
              </w:rPr>
            </w:pPr>
            <w:r w:rsidRPr="002225DB">
              <w:rPr>
                <w:lang w:val="en-GB"/>
              </w:rPr>
              <w:t>0.56</w:t>
            </w:r>
          </w:p>
        </w:tc>
      </w:tr>
      <w:tr w:rsidR="002225DB" w:rsidRPr="002225DB" w14:paraId="71663343"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35D75A6B"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1B49E3A" w14:textId="77777777" w:rsidR="002225DB" w:rsidRPr="002225DB" w:rsidRDefault="002225DB" w:rsidP="002225DB">
            <w:pPr>
              <w:pStyle w:val="CDITable-RowLeft"/>
              <w:rPr>
                <w:lang w:val="en-GB"/>
              </w:rPr>
            </w:pPr>
            <w:r w:rsidRPr="002225DB">
              <w:rPr>
                <w:lang w:val="en-GB"/>
              </w:rPr>
              <w:t>Meatball</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926EB5E" w14:textId="77777777" w:rsidR="002225DB" w:rsidRPr="002225DB" w:rsidRDefault="002225DB" w:rsidP="002225DB">
            <w:pPr>
              <w:pStyle w:val="CDITable-RowCentre"/>
              <w:rPr>
                <w:lang w:val="en-GB"/>
              </w:rPr>
            </w:pPr>
            <w:r w:rsidRPr="002225DB">
              <w:rPr>
                <w:lang w:val="en-GB"/>
              </w:rPr>
              <w:t>6</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52035E3"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4FC01CE8" w14:textId="77777777" w:rsidR="002225DB" w:rsidRPr="002225DB" w:rsidRDefault="002225DB" w:rsidP="002225DB">
            <w:pPr>
              <w:pStyle w:val="CDITable-RowCentre"/>
              <w:rPr>
                <w:lang w:val="en-GB"/>
              </w:rPr>
            </w:pPr>
            <w:r w:rsidRPr="002225DB">
              <w:rPr>
                <w:lang w:val="en-GB"/>
              </w:rPr>
              <w:t>9.8</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821C926" w14:textId="77777777" w:rsidR="002225DB" w:rsidRPr="002225DB" w:rsidRDefault="002225DB" w:rsidP="002225DB">
            <w:pPr>
              <w:pStyle w:val="CDITable-RowCentre"/>
              <w:rPr>
                <w:lang w:val="en-GB"/>
              </w:rPr>
            </w:pPr>
            <w:r w:rsidRPr="002225DB">
              <w:rPr>
                <w:lang w:val="en-GB"/>
              </w:rPr>
              <w:t>6</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32E7A9D"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922C1A4" w14:textId="77777777" w:rsidR="002225DB" w:rsidRPr="002225DB" w:rsidRDefault="002225DB" w:rsidP="002225DB">
            <w:pPr>
              <w:pStyle w:val="CDITable-RowCentre"/>
              <w:rPr>
                <w:lang w:val="en-GB"/>
              </w:rPr>
            </w:pPr>
            <w:r w:rsidRPr="002225DB">
              <w:rPr>
                <w:lang w:val="en-GB"/>
              </w:rPr>
              <w:t>12.8</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56B5393" w14:textId="77777777" w:rsidR="002225DB" w:rsidRPr="002225DB" w:rsidRDefault="002225DB" w:rsidP="002225DB">
            <w:pPr>
              <w:pStyle w:val="CDITable-RowCentre"/>
              <w:rPr>
                <w:lang w:val="en-GB"/>
              </w:rPr>
            </w:pPr>
            <w:r w:rsidRPr="002225DB">
              <w:rPr>
                <w:lang w:val="en-GB"/>
              </w:rPr>
              <w:t>0.8</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171DB35" w14:textId="77777777" w:rsidR="002225DB" w:rsidRPr="002225DB" w:rsidRDefault="002225DB" w:rsidP="002225DB">
            <w:pPr>
              <w:pStyle w:val="CDITable-RowCentre"/>
              <w:rPr>
                <w:lang w:val="en-GB"/>
              </w:rPr>
            </w:pPr>
            <w:r w:rsidRPr="002225DB">
              <w:rPr>
                <w:lang w:val="en-GB"/>
              </w:rPr>
              <w:t>0.2–2.6</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17F371EC" w14:textId="77777777" w:rsidR="002225DB" w:rsidRPr="002225DB" w:rsidRDefault="002225DB" w:rsidP="002225DB">
            <w:pPr>
              <w:pStyle w:val="CDITable-RowCentre"/>
              <w:rPr>
                <w:lang w:val="en-GB"/>
              </w:rPr>
            </w:pPr>
            <w:r w:rsidRPr="002225DB">
              <w:rPr>
                <w:lang w:val="en-GB"/>
              </w:rPr>
              <w:t>0.76</w:t>
            </w:r>
          </w:p>
        </w:tc>
      </w:tr>
      <w:tr w:rsidR="002225DB" w:rsidRPr="002225DB" w14:paraId="0857B211"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78C98AF2"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6E45E9F" w14:textId="77777777" w:rsidR="002225DB" w:rsidRPr="002225DB" w:rsidRDefault="002225DB" w:rsidP="002225DB">
            <w:pPr>
              <w:pStyle w:val="CDITable-RowLeft"/>
              <w:rPr>
                <w:lang w:val="en-GB"/>
              </w:rPr>
            </w:pPr>
            <w:r w:rsidRPr="002225DB">
              <w:rPr>
                <w:lang w:val="en-GB"/>
              </w:rPr>
              <w:t>Spinach and feta filo</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20EEB93" w14:textId="77777777" w:rsidR="002225DB" w:rsidRPr="002225DB" w:rsidRDefault="002225DB" w:rsidP="002225DB">
            <w:pPr>
              <w:pStyle w:val="CDITable-RowCentre"/>
              <w:rPr>
                <w:lang w:val="en-GB"/>
              </w:rPr>
            </w:pPr>
            <w:r w:rsidRPr="002225DB">
              <w:rPr>
                <w:lang w:val="en-GB"/>
              </w:rPr>
              <w:t>12</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170633B"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7F9BBFCC" w14:textId="77777777" w:rsidR="002225DB" w:rsidRPr="002225DB" w:rsidRDefault="002225DB" w:rsidP="002225DB">
            <w:pPr>
              <w:pStyle w:val="CDITable-RowCentre"/>
              <w:rPr>
                <w:lang w:val="en-GB"/>
              </w:rPr>
            </w:pPr>
            <w:r w:rsidRPr="002225DB">
              <w:rPr>
                <w:lang w:val="en-GB"/>
              </w:rPr>
              <w:t>19.7</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519EE92" w14:textId="77777777" w:rsidR="002225DB" w:rsidRPr="002225DB" w:rsidRDefault="002225DB" w:rsidP="002225DB">
            <w:pPr>
              <w:pStyle w:val="CDITable-RowCentre"/>
              <w:rPr>
                <w:lang w:val="en-GB"/>
              </w:rPr>
            </w:pPr>
            <w:r w:rsidRPr="002225DB">
              <w:rPr>
                <w:lang w:val="en-GB"/>
              </w:rPr>
              <w:t>14</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EE21B73"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6343DE65" w14:textId="77777777" w:rsidR="002225DB" w:rsidRPr="002225DB" w:rsidRDefault="002225DB" w:rsidP="002225DB">
            <w:pPr>
              <w:pStyle w:val="CDITable-RowCentre"/>
              <w:rPr>
                <w:lang w:val="en-GB"/>
              </w:rPr>
            </w:pPr>
            <w:r w:rsidRPr="002225DB">
              <w:rPr>
                <w:lang w:val="en-GB"/>
              </w:rPr>
              <w:t>29.8</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3DB7BDCE" w14:textId="77777777" w:rsidR="002225DB" w:rsidRPr="002225DB" w:rsidRDefault="002225DB" w:rsidP="002225DB">
            <w:pPr>
              <w:pStyle w:val="CDITable-RowCentre"/>
              <w:rPr>
                <w:lang w:val="en-GB"/>
              </w:rPr>
            </w:pPr>
            <w:r w:rsidRPr="002225DB">
              <w:rPr>
                <w:lang w:val="en-GB"/>
              </w:rPr>
              <w:t>0.6</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CF95E01" w14:textId="77777777" w:rsidR="002225DB" w:rsidRPr="002225DB" w:rsidRDefault="002225DB" w:rsidP="002225DB">
            <w:pPr>
              <w:pStyle w:val="CDITable-RowCentre"/>
              <w:rPr>
                <w:lang w:val="en-GB"/>
              </w:rPr>
            </w:pPr>
            <w:r w:rsidRPr="002225DB">
              <w:rPr>
                <w:lang w:val="en-GB"/>
              </w:rPr>
              <w:t>0.2–1.4</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159821DC" w14:textId="77777777" w:rsidR="002225DB" w:rsidRPr="002225DB" w:rsidRDefault="002225DB" w:rsidP="002225DB">
            <w:pPr>
              <w:pStyle w:val="CDITable-RowCentre"/>
              <w:rPr>
                <w:lang w:val="en-GB"/>
              </w:rPr>
            </w:pPr>
            <w:r w:rsidRPr="002225DB">
              <w:rPr>
                <w:lang w:val="en-GB"/>
              </w:rPr>
              <w:t>0.26</w:t>
            </w:r>
          </w:p>
        </w:tc>
      </w:tr>
      <w:tr w:rsidR="002225DB" w:rsidRPr="002225DB" w14:paraId="5EC24897"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2756F20C"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D906EDB" w14:textId="77777777" w:rsidR="002225DB" w:rsidRPr="002225DB" w:rsidRDefault="002225DB" w:rsidP="002225DB">
            <w:pPr>
              <w:pStyle w:val="CDITable-RowLeft"/>
              <w:rPr>
                <w:lang w:val="en-GB"/>
              </w:rPr>
            </w:pPr>
            <w:r w:rsidRPr="002225DB">
              <w:rPr>
                <w:lang w:val="en-GB"/>
              </w:rPr>
              <w:t>Spring roll</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8F99FC0" w14:textId="77777777" w:rsidR="002225DB" w:rsidRPr="002225DB" w:rsidRDefault="002225DB" w:rsidP="002225DB">
            <w:pPr>
              <w:pStyle w:val="CDITable-RowCentre"/>
              <w:rPr>
                <w:lang w:val="en-GB"/>
              </w:rPr>
            </w:pPr>
            <w:r w:rsidRPr="002225DB">
              <w:rPr>
                <w:lang w:val="en-GB"/>
              </w:rPr>
              <w:t>12</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B725A92"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4D097A5D" w14:textId="77777777" w:rsidR="002225DB" w:rsidRPr="002225DB" w:rsidRDefault="002225DB" w:rsidP="002225DB">
            <w:pPr>
              <w:pStyle w:val="CDITable-RowCentre"/>
              <w:rPr>
                <w:lang w:val="en-GB"/>
              </w:rPr>
            </w:pPr>
            <w:r w:rsidRPr="002225DB">
              <w:rPr>
                <w:lang w:val="en-GB"/>
              </w:rPr>
              <w:t>19.7</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7FA82E21" w14:textId="77777777" w:rsidR="002225DB" w:rsidRPr="002225DB" w:rsidRDefault="002225DB" w:rsidP="002225DB">
            <w:pPr>
              <w:pStyle w:val="CDITable-RowCentre"/>
              <w:rPr>
                <w:lang w:val="en-GB"/>
              </w:rPr>
            </w:pPr>
            <w:r w:rsidRPr="002225DB">
              <w:rPr>
                <w:lang w:val="en-GB"/>
              </w:rPr>
              <w:t>13</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1FE9ADA"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4F878891" w14:textId="77777777" w:rsidR="002225DB" w:rsidRPr="002225DB" w:rsidRDefault="002225DB" w:rsidP="002225DB">
            <w:pPr>
              <w:pStyle w:val="CDITable-RowCentre"/>
              <w:rPr>
                <w:lang w:val="en-GB"/>
              </w:rPr>
            </w:pPr>
            <w:r w:rsidRPr="002225DB">
              <w:rPr>
                <w:lang w:val="en-GB"/>
              </w:rPr>
              <w:t>27.7</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D8F07C2" w14:textId="77777777" w:rsidR="002225DB" w:rsidRPr="002225DB" w:rsidRDefault="002225DB" w:rsidP="002225DB">
            <w:pPr>
              <w:pStyle w:val="CDITable-RowCentre"/>
              <w:rPr>
                <w:lang w:val="en-GB"/>
              </w:rPr>
            </w:pPr>
            <w:r w:rsidRPr="002225DB">
              <w:rPr>
                <w:lang w:val="en-GB"/>
              </w:rPr>
              <w:t>0.6</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329523B" w14:textId="77777777" w:rsidR="002225DB" w:rsidRPr="002225DB" w:rsidRDefault="002225DB" w:rsidP="002225DB">
            <w:pPr>
              <w:pStyle w:val="CDITable-RowCentre"/>
              <w:rPr>
                <w:lang w:val="en-GB"/>
              </w:rPr>
            </w:pPr>
            <w:r w:rsidRPr="002225DB">
              <w:rPr>
                <w:lang w:val="en-GB"/>
              </w:rPr>
              <w:t>0.3–1.6</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3344501D" w14:textId="77777777" w:rsidR="002225DB" w:rsidRPr="002225DB" w:rsidRDefault="002225DB" w:rsidP="002225DB">
            <w:pPr>
              <w:pStyle w:val="CDITable-RowCentre"/>
              <w:rPr>
                <w:lang w:val="en-GB"/>
              </w:rPr>
            </w:pPr>
            <w:r w:rsidRPr="002225DB">
              <w:rPr>
                <w:lang w:val="en-GB"/>
              </w:rPr>
              <w:t>0.36</w:t>
            </w:r>
          </w:p>
        </w:tc>
      </w:tr>
      <w:tr w:rsidR="002225DB" w:rsidRPr="002225DB" w14:paraId="444CB375" w14:textId="77777777" w:rsidTr="003047C2">
        <w:trPr>
          <w:trHeight w:val="60"/>
        </w:trPr>
        <w:tc>
          <w:tcPr>
            <w:tcW w:w="2721"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5E67C3D0" w14:textId="77777777" w:rsidR="002225DB" w:rsidRPr="002225DB" w:rsidRDefault="002225DB" w:rsidP="002225DB">
            <w:pPr>
              <w:pStyle w:val="CDITable-RowCentre"/>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DCFDF2C" w14:textId="77777777" w:rsidR="002225DB" w:rsidRPr="002225DB" w:rsidRDefault="002225DB" w:rsidP="002225DB">
            <w:pPr>
              <w:pStyle w:val="CDITable-RowLeft"/>
              <w:rPr>
                <w:lang w:val="en-GB"/>
              </w:rPr>
            </w:pPr>
            <w:r w:rsidRPr="002225DB">
              <w:rPr>
                <w:lang w:val="en-GB"/>
              </w:rPr>
              <w:t>Other</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AB1884E" w14:textId="77777777" w:rsidR="002225DB" w:rsidRPr="002225DB" w:rsidRDefault="002225DB" w:rsidP="002225DB">
            <w:pPr>
              <w:pStyle w:val="CDITable-RowCentre"/>
              <w:rPr>
                <w:lang w:val="en-GB"/>
              </w:rPr>
            </w:pPr>
            <w:r w:rsidRPr="002225DB">
              <w:rPr>
                <w:lang w:val="en-GB"/>
              </w:rPr>
              <w:t>8</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7C6F2B3" w14:textId="77777777" w:rsidR="002225DB" w:rsidRPr="002225DB" w:rsidRDefault="002225DB" w:rsidP="002225DB">
            <w:pPr>
              <w:pStyle w:val="CDITable-RowCentre"/>
              <w:rPr>
                <w:lang w:val="en-GB"/>
              </w:rPr>
            </w:pPr>
            <w:r w:rsidRPr="002225DB">
              <w:rPr>
                <w:lang w:val="en-GB"/>
              </w:rPr>
              <w:t>61</w:t>
            </w:r>
          </w:p>
        </w:tc>
        <w:tc>
          <w:tcPr>
            <w:tcW w:w="1021"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3659991D" w14:textId="77777777" w:rsidR="002225DB" w:rsidRPr="002225DB" w:rsidRDefault="002225DB" w:rsidP="002225DB">
            <w:pPr>
              <w:pStyle w:val="CDITable-RowCentre"/>
              <w:rPr>
                <w:lang w:val="en-GB"/>
              </w:rPr>
            </w:pPr>
            <w:r w:rsidRPr="002225DB">
              <w:rPr>
                <w:lang w:val="en-GB"/>
              </w:rPr>
              <w:t>13.1</w:t>
            </w:r>
          </w:p>
        </w:tc>
        <w:tc>
          <w:tcPr>
            <w:tcW w:w="1020"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2653D071" w14:textId="77777777" w:rsidR="002225DB" w:rsidRPr="002225DB" w:rsidRDefault="002225DB" w:rsidP="002225DB">
            <w:pPr>
              <w:pStyle w:val="CDITable-RowCentre"/>
              <w:rPr>
                <w:lang w:val="en-GB"/>
              </w:rPr>
            </w:pPr>
            <w:r w:rsidRPr="002225DB">
              <w:rPr>
                <w:lang w:val="en-GB"/>
              </w:rPr>
              <w:t>7</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8704FE5" w14:textId="77777777" w:rsidR="002225DB" w:rsidRPr="002225DB" w:rsidRDefault="002225DB" w:rsidP="002225DB">
            <w:pPr>
              <w:pStyle w:val="CDITable-RowCentre"/>
              <w:rPr>
                <w:lang w:val="en-GB"/>
              </w:rPr>
            </w:pPr>
            <w:r w:rsidRPr="002225DB">
              <w:rPr>
                <w:lang w:val="en-GB"/>
              </w:rPr>
              <w:t>47</w:t>
            </w:r>
          </w:p>
        </w:tc>
        <w:tc>
          <w:tcPr>
            <w:tcW w:w="1020"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7B60406" w14:textId="77777777" w:rsidR="002225DB" w:rsidRPr="002225DB" w:rsidRDefault="002225DB" w:rsidP="002225DB">
            <w:pPr>
              <w:pStyle w:val="CDITable-RowCentre"/>
              <w:rPr>
                <w:lang w:val="en-GB"/>
              </w:rPr>
            </w:pPr>
            <w:r w:rsidRPr="002225DB">
              <w:rPr>
                <w:lang w:val="en-GB"/>
              </w:rPr>
              <w:t>14.9</w:t>
            </w:r>
          </w:p>
        </w:tc>
        <w:tc>
          <w:tcPr>
            <w:tcW w:w="1021"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6CC50928" w14:textId="77777777" w:rsidR="002225DB" w:rsidRPr="002225DB" w:rsidRDefault="002225DB" w:rsidP="002225DB">
            <w:pPr>
              <w:pStyle w:val="CDITable-RowCentre"/>
              <w:rPr>
                <w:lang w:val="en-GB"/>
              </w:rPr>
            </w:pPr>
            <w:r w:rsidRPr="002225DB">
              <w:rPr>
                <w:lang w:val="en-GB"/>
              </w:rPr>
              <w:t>0.9</w:t>
            </w:r>
          </w:p>
        </w:tc>
        <w:tc>
          <w:tcPr>
            <w:tcW w:w="124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DFD3F76" w14:textId="77777777" w:rsidR="002225DB" w:rsidRPr="002225DB" w:rsidRDefault="002225DB" w:rsidP="002225DB">
            <w:pPr>
              <w:pStyle w:val="CDITable-RowCentre"/>
              <w:rPr>
                <w:lang w:val="en-GB"/>
              </w:rPr>
            </w:pPr>
            <w:r w:rsidRPr="002225DB">
              <w:rPr>
                <w:lang w:val="en-GB"/>
              </w:rPr>
              <w:t>0.3–2.7</w:t>
            </w:r>
          </w:p>
        </w:tc>
        <w:tc>
          <w:tcPr>
            <w:tcW w:w="1020"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57787C7D" w14:textId="77777777" w:rsidR="002225DB" w:rsidRPr="002225DB" w:rsidRDefault="002225DB" w:rsidP="002225DB">
            <w:pPr>
              <w:pStyle w:val="CDITable-RowCentre"/>
              <w:rPr>
                <w:lang w:val="en-GB"/>
              </w:rPr>
            </w:pPr>
            <w:r w:rsidRPr="002225DB">
              <w:rPr>
                <w:lang w:val="en-GB"/>
              </w:rPr>
              <w:t>0.79</w:t>
            </w:r>
          </w:p>
        </w:tc>
      </w:tr>
    </w:tbl>
    <w:p w14:paraId="472871CE" w14:textId="3200084C" w:rsidR="00D37C38" w:rsidRDefault="009E649F" w:rsidP="002225DB">
      <w:pPr>
        <w:pStyle w:val="CDITable-FirstFootnote"/>
        <w:rPr>
          <w:lang w:val="en-GB"/>
        </w:rPr>
      </w:pPr>
      <w:r w:rsidRPr="009E649F">
        <w:rPr>
          <w:lang w:val="en-GB"/>
        </w:rPr>
        <w:t>a</w:t>
      </w:r>
      <w:r w:rsidRPr="009E649F">
        <w:rPr>
          <w:lang w:val="en-GB"/>
        </w:rPr>
        <w:tab/>
        <w:t>OR: odds ratio; 95% CI: 95% confidence interval.</w:t>
      </w:r>
    </w:p>
    <w:p w14:paraId="7C1C95B1" w14:textId="77777777" w:rsidR="009E649F" w:rsidRDefault="009E649F" w:rsidP="00AC46DC">
      <w:pPr>
        <w:rPr>
          <w:lang w:val="en-GB"/>
        </w:rPr>
        <w:sectPr w:rsidR="009E649F" w:rsidSect="009E649F">
          <w:footnotePr>
            <w:numFmt w:val="lowerRoman"/>
          </w:footnotePr>
          <w:pgSz w:w="16840" w:h="11907" w:orient="landscape" w:code="9"/>
          <w:pgMar w:top="1134" w:right="1134" w:bottom="1134" w:left="1134" w:header="709" w:footer="567" w:gutter="0"/>
          <w:cols w:space="708"/>
          <w:docGrid w:linePitch="360"/>
        </w:sectPr>
      </w:pPr>
    </w:p>
    <w:p w14:paraId="72D0D397" w14:textId="17933792" w:rsidR="009E649F" w:rsidRDefault="009E649F" w:rsidP="00F15F01">
      <w:pPr>
        <w:pStyle w:val="CDITable-Title"/>
        <w:spacing w:before="0"/>
        <w:rPr>
          <w:lang w:val="en-GB"/>
        </w:rPr>
      </w:pPr>
      <w:bookmarkStart w:id="31" w:name="_Toc234390986"/>
      <w:r w:rsidRPr="009E649F">
        <w:rPr>
          <w:lang w:val="en-GB"/>
        </w:rPr>
        <w:t>Table 3: Age and gender of cases and controls who consumed food in the function room, norovirus outbreak, Australian Capital Territory, 2024</w:t>
      </w:r>
      <w:bookmarkEnd w:id="31"/>
    </w:p>
    <w:tbl>
      <w:tblPr>
        <w:tblW w:w="0" w:type="auto"/>
        <w:tblLayout w:type="fixed"/>
        <w:tblCellMar>
          <w:left w:w="0" w:type="dxa"/>
          <w:right w:w="0" w:type="dxa"/>
        </w:tblCellMar>
        <w:tblLook w:val="0000" w:firstRow="0" w:lastRow="0" w:firstColumn="0" w:lastColumn="0" w:noHBand="0" w:noVBand="0"/>
        <w:tblCaption w:val="Table 3: Age and gender of cases and controls who consumed food in the function room, norovirus outbreak, Australian Capital Territory, 2024"/>
        <w:tblDescription w:val="The table provides a summary of the gender and ages of cases and controls who consumed food in the function room and were included in the final case control study of food items associated with illness. Cases were younger and more commonly female than controls."/>
      </w:tblPr>
      <w:tblGrid>
        <w:gridCol w:w="1531"/>
        <w:gridCol w:w="1644"/>
        <w:gridCol w:w="1077"/>
        <w:gridCol w:w="1077"/>
        <w:gridCol w:w="1077"/>
        <w:gridCol w:w="1077"/>
        <w:gridCol w:w="1078"/>
        <w:gridCol w:w="1077"/>
      </w:tblGrid>
      <w:tr w:rsidR="00D1326D" w:rsidRPr="00D1326D" w14:paraId="3EEFB650" w14:textId="77777777" w:rsidTr="00D1326D">
        <w:trPr>
          <w:trHeight w:val="60"/>
          <w:tblHeader/>
        </w:trPr>
        <w:tc>
          <w:tcPr>
            <w:tcW w:w="1531" w:type="dxa"/>
            <w:vMerge w:val="restart"/>
            <w:tcBorders>
              <w:top w:val="nil"/>
              <w:left w:val="nil"/>
              <w:bottom w:val="single" w:sz="6" w:space="0" w:color="FFFFFF" w:themeColor="background1"/>
            </w:tcBorders>
            <w:shd w:val="clear" w:color="auto" w:fill="1E4496" w:themeFill="text2"/>
            <w:tcMar>
              <w:top w:w="85" w:type="dxa"/>
              <w:left w:w="85" w:type="dxa"/>
              <w:bottom w:w="85" w:type="dxa"/>
              <w:right w:w="85" w:type="dxa"/>
            </w:tcMar>
            <w:vAlign w:val="bottom"/>
          </w:tcPr>
          <w:p w14:paraId="35C66BE3" w14:textId="77777777" w:rsidR="00D1326D" w:rsidRPr="00D1326D" w:rsidRDefault="00D1326D" w:rsidP="00D1326D">
            <w:pPr>
              <w:pStyle w:val="CDITable-HeaderRowLeft"/>
              <w:rPr>
                <w:lang w:val="en-GB"/>
              </w:rPr>
            </w:pPr>
            <w:r w:rsidRPr="00D1326D">
              <w:rPr>
                <w:lang w:val="en-GB"/>
              </w:rPr>
              <w:t>Category</w:t>
            </w:r>
          </w:p>
        </w:tc>
        <w:tc>
          <w:tcPr>
            <w:tcW w:w="1644" w:type="dxa"/>
            <w:vMerge w:val="restart"/>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1825A388" w14:textId="77777777" w:rsidR="00D1326D" w:rsidRPr="00D1326D" w:rsidRDefault="00D1326D" w:rsidP="00D1326D">
            <w:pPr>
              <w:pStyle w:val="CDITable-HeaderRowLeft"/>
              <w:rPr>
                <w:lang w:val="en-GB"/>
              </w:rPr>
            </w:pPr>
            <w:r w:rsidRPr="00D1326D">
              <w:rPr>
                <w:lang w:val="en-GB"/>
              </w:rPr>
              <w:t>Characteristic</w:t>
            </w:r>
          </w:p>
        </w:tc>
        <w:tc>
          <w:tcPr>
            <w:tcW w:w="2154" w:type="dxa"/>
            <w:gridSpan w:val="2"/>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76FF577E" w14:textId="77777777" w:rsidR="00D1326D" w:rsidRPr="00D1326D" w:rsidRDefault="00D1326D" w:rsidP="00D1326D">
            <w:pPr>
              <w:pStyle w:val="CDITable-HeaderRowCentre"/>
            </w:pPr>
            <w:r w:rsidRPr="00D1326D">
              <w:t>Cases</w:t>
            </w:r>
          </w:p>
        </w:tc>
        <w:tc>
          <w:tcPr>
            <w:tcW w:w="2154" w:type="dxa"/>
            <w:gridSpan w:val="2"/>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3CCC7ABA" w14:textId="77777777" w:rsidR="00D1326D" w:rsidRPr="00D1326D" w:rsidRDefault="00D1326D" w:rsidP="00D1326D">
            <w:pPr>
              <w:pStyle w:val="CDITable-HeaderRowCentre"/>
            </w:pPr>
            <w:r w:rsidRPr="00D1326D">
              <w:t>Controls</w:t>
            </w:r>
          </w:p>
        </w:tc>
        <w:tc>
          <w:tcPr>
            <w:tcW w:w="2155" w:type="dxa"/>
            <w:gridSpan w:val="2"/>
            <w:tcBorders>
              <w:top w:val="nil"/>
              <w:bottom w:val="single" w:sz="6" w:space="0" w:color="FFFFFF" w:themeColor="background1"/>
              <w:right w:val="single" w:sz="6" w:space="0" w:color="auto"/>
            </w:tcBorders>
            <w:shd w:val="clear" w:color="auto" w:fill="1E4496" w:themeFill="text2"/>
            <w:tcMar>
              <w:top w:w="85" w:type="dxa"/>
              <w:left w:w="85" w:type="dxa"/>
              <w:bottom w:w="85" w:type="dxa"/>
              <w:right w:w="85" w:type="dxa"/>
            </w:tcMar>
            <w:vAlign w:val="bottom"/>
          </w:tcPr>
          <w:p w14:paraId="0B8D1873" w14:textId="77777777" w:rsidR="00D1326D" w:rsidRPr="00D1326D" w:rsidRDefault="00D1326D" w:rsidP="00D1326D">
            <w:pPr>
              <w:pStyle w:val="CDITable-HeaderRowCentre"/>
            </w:pPr>
            <w:r w:rsidRPr="00D1326D">
              <w:t>Total</w:t>
            </w:r>
          </w:p>
        </w:tc>
      </w:tr>
      <w:tr w:rsidR="00D1326D" w:rsidRPr="00D1326D" w14:paraId="759022F8" w14:textId="77777777" w:rsidTr="003047C2">
        <w:trPr>
          <w:trHeight w:val="60"/>
          <w:tblHeader/>
        </w:trPr>
        <w:tc>
          <w:tcPr>
            <w:tcW w:w="1531" w:type="dxa"/>
            <w:vMerge/>
            <w:tcBorders>
              <w:top w:val="single" w:sz="6" w:space="0" w:color="FFFFFF" w:themeColor="background1"/>
              <w:left w:val="nil"/>
            </w:tcBorders>
            <w:shd w:val="clear" w:color="auto" w:fill="1E4496" w:themeFill="text2"/>
            <w:tcMar>
              <w:top w:w="85" w:type="dxa"/>
              <w:left w:w="85" w:type="dxa"/>
              <w:bottom w:w="85" w:type="dxa"/>
              <w:right w:w="85" w:type="dxa"/>
            </w:tcMar>
          </w:tcPr>
          <w:p w14:paraId="0D32004B" w14:textId="77777777" w:rsidR="00D1326D" w:rsidRPr="00D1326D" w:rsidRDefault="00D1326D" w:rsidP="00D1326D">
            <w:pPr>
              <w:pStyle w:val="CDITable-RowCentre"/>
            </w:pPr>
          </w:p>
        </w:tc>
        <w:tc>
          <w:tcPr>
            <w:tcW w:w="1644" w:type="dxa"/>
            <w:vMerge/>
            <w:tcBorders>
              <w:top w:val="single" w:sz="6" w:space="0" w:color="FFFFFF" w:themeColor="background1"/>
            </w:tcBorders>
            <w:shd w:val="clear" w:color="auto" w:fill="1E4496" w:themeFill="text2"/>
            <w:tcMar>
              <w:top w:w="85" w:type="dxa"/>
              <w:left w:w="85" w:type="dxa"/>
              <w:bottom w:w="85" w:type="dxa"/>
              <w:right w:w="85" w:type="dxa"/>
            </w:tcMar>
          </w:tcPr>
          <w:p w14:paraId="5241FFEE" w14:textId="77777777" w:rsidR="00D1326D" w:rsidRPr="00D1326D" w:rsidRDefault="00D1326D" w:rsidP="00D1326D">
            <w:pPr>
              <w:pStyle w:val="CDITable-RowCentre"/>
            </w:pPr>
          </w:p>
        </w:tc>
        <w:tc>
          <w:tcPr>
            <w:tcW w:w="1077"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490440A0" w14:textId="77777777" w:rsidR="00D1326D" w:rsidRPr="00D1326D" w:rsidRDefault="00D1326D" w:rsidP="00D1326D">
            <w:pPr>
              <w:pStyle w:val="CDITable-HeaderRowCentre"/>
            </w:pPr>
            <w:r w:rsidRPr="00D1326D">
              <w:t>n</w:t>
            </w:r>
          </w:p>
        </w:tc>
        <w:tc>
          <w:tcPr>
            <w:tcW w:w="1077"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43301AEF" w14:textId="77777777" w:rsidR="00D1326D" w:rsidRPr="00D1326D" w:rsidRDefault="00D1326D" w:rsidP="00D1326D">
            <w:pPr>
              <w:pStyle w:val="CDITable-HeaderRowCentre"/>
            </w:pPr>
            <w:r w:rsidRPr="00D1326D">
              <w:t>%</w:t>
            </w:r>
          </w:p>
        </w:tc>
        <w:tc>
          <w:tcPr>
            <w:tcW w:w="1077"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27861060" w14:textId="77777777" w:rsidR="00D1326D" w:rsidRPr="00D1326D" w:rsidRDefault="00D1326D" w:rsidP="00D1326D">
            <w:pPr>
              <w:pStyle w:val="CDITable-HeaderRowCentre"/>
            </w:pPr>
            <w:r w:rsidRPr="00D1326D">
              <w:t>n</w:t>
            </w:r>
          </w:p>
        </w:tc>
        <w:tc>
          <w:tcPr>
            <w:tcW w:w="1077"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5D2F0CA3" w14:textId="77777777" w:rsidR="00D1326D" w:rsidRPr="00D1326D" w:rsidRDefault="00D1326D" w:rsidP="00D1326D">
            <w:pPr>
              <w:pStyle w:val="CDITable-HeaderRowCentre"/>
            </w:pPr>
            <w:r w:rsidRPr="00D1326D">
              <w:t>%</w:t>
            </w:r>
          </w:p>
        </w:tc>
        <w:tc>
          <w:tcPr>
            <w:tcW w:w="1078"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7104BA47" w14:textId="77777777" w:rsidR="00D1326D" w:rsidRPr="00D1326D" w:rsidRDefault="00D1326D" w:rsidP="00D1326D">
            <w:pPr>
              <w:pStyle w:val="CDITable-HeaderRowCentre"/>
            </w:pPr>
            <w:r w:rsidRPr="00D1326D">
              <w:t>n</w:t>
            </w:r>
          </w:p>
        </w:tc>
        <w:tc>
          <w:tcPr>
            <w:tcW w:w="1077" w:type="dxa"/>
            <w:tcBorders>
              <w:top w:val="single" w:sz="6" w:space="0" w:color="FFFFFF" w:themeColor="background1"/>
              <w:right w:val="nil"/>
            </w:tcBorders>
            <w:shd w:val="clear" w:color="auto" w:fill="1E4496" w:themeFill="text2"/>
            <w:tcMar>
              <w:top w:w="85" w:type="dxa"/>
              <w:left w:w="85" w:type="dxa"/>
              <w:bottom w:w="85" w:type="dxa"/>
              <w:right w:w="85" w:type="dxa"/>
            </w:tcMar>
            <w:vAlign w:val="bottom"/>
          </w:tcPr>
          <w:p w14:paraId="5D6B39AA" w14:textId="77777777" w:rsidR="00D1326D" w:rsidRPr="00D1326D" w:rsidRDefault="00D1326D" w:rsidP="00D1326D">
            <w:pPr>
              <w:pStyle w:val="CDITable-HeaderRowCentre"/>
            </w:pPr>
            <w:r w:rsidRPr="00D1326D">
              <w:t>%</w:t>
            </w:r>
          </w:p>
        </w:tc>
      </w:tr>
      <w:tr w:rsidR="00D1326D" w:rsidRPr="00D1326D" w14:paraId="541B26DB" w14:textId="77777777" w:rsidTr="003047C2">
        <w:trPr>
          <w:trHeight w:val="60"/>
        </w:trPr>
        <w:tc>
          <w:tcPr>
            <w:tcW w:w="1531" w:type="dxa"/>
            <w:tcBorders>
              <w:left w:val="nil"/>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359A79BB" w14:textId="77777777" w:rsidR="00D1326D" w:rsidRPr="00D1326D" w:rsidRDefault="00D1326D" w:rsidP="00D1326D">
            <w:pPr>
              <w:pStyle w:val="CDITable-RowLeft"/>
              <w:rPr>
                <w:b/>
                <w:bCs/>
                <w:lang w:val="en-GB"/>
              </w:rPr>
            </w:pPr>
            <w:r w:rsidRPr="00D1326D">
              <w:rPr>
                <w:b/>
                <w:bCs/>
                <w:lang w:val="en-GB"/>
              </w:rPr>
              <w:t>Total (N)</w:t>
            </w:r>
          </w:p>
        </w:tc>
        <w:tc>
          <w:tcPr>
            <w:tcW w:w="1644" w:type="dxa"/>
            <w:tcBorders>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023CDBAC" w14:textId="77777777" w:rsidR="00D1326D" w:rsidRPr="00D1326D" w:rsidRDefault="00D1326D" w:rsidP="00D1326D">
            <w:pPr>
              <w:pStyle w:val="CDITable-RowLeft"/>
              <w:rPr>
                <w:b/>
                <w:bCs/>
                <w:lang w:val="en-GB"/>
              </w:rPr>
            </w:pPr>
            <w:r w:rsidRPr="00D1326D">
              <w:rPr>
                <w:b/>
                <w:bCs/>
                <w:lang w:val="en-GB"/>
              </w:rPr>
              <w:t>—</w:t>
            </w:r>
          </w:p>
        </w:tc>
        <w:tc>
          <w:tcPr>
            <w:tcW w:w="1077" w:type="dxa"/>
            <w:tcBorders>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73C3F5B3" w14:textId="77777777" w:rsidR="00D1326D" w:rsidRPr="00D1326D" w:rsidRDefault="00D1326D" w:rsidP="00D1326D">
            <w:pPr>
              <w:pStyle w:val="CDITable-RowCentre"/>
              <w:rPr>
                <w:b/>
                <w:bCs/>
                <w:lang w:val="en-GB"/>
              </w:rPr>
            </w:pPr>
            <w:r w:rsidRPr="00D1326D">
              <w:rPr>
                <w:b/>
                <w:bCs/>
                <w:lang w:val="en-GB"/>
              </w:rPr>
              <w:t>61</w:t>
            </w:r>
          </w:p>
        </w:tc>
        <w:tc>
          <w:tcPr>
            <w:tcW w:w="1077" w:type="dxa"/>
            <w:tcBorders>
              <w:bottom w:val="single" w:sz="6" w:space="0" w:color="1E4496" w:themeColor="text2"/>
              <w:right w:val="single" w:sz="6" w:space="0" w:color="1E4496" w:themeColor="text2"/>
            </w:tcBorders>
            <w:shd w:val="clear" w:color="auto" w:fill="DCF4FC" w:themeFill="background2" w:themeFillTint="33"/>
            <w:tcMar>
              <w:top w:w="85" w:type="dxa"/>
              <w:left w:w="85" w:type="dxa"/>
              <w:bottom w:w="85" w:type="dxa"/>
              <w:right w:w="85" w:type="dxa"/>
            </w:tcMar>
            <w:vAlign w:val="center"/>
          </w:tcPr>
          <w:p w14:paraId="3FB5D847" w14:textId="77777777" w:rsidR="00D1326D" w:rsidRPr="00D1326D" w:rsidRDefault="00D1326D" w:rsidP="00D1326D">
            <w:pPr>
              <w:pStyle w:val="CDITable-RowCentre"/>
              <w:rPr>
                <w:b/>
                <w:bCs/>
                <w:lang w:val="en-GB"/>
              </w:rPr>
            </w:pPr>
            <w:r w:rsidRPr="00D1326D">
              <w:rPr>
                <w:b/>
                <w:bCs/>
                <w:lang w:val="en-GB"/>
              </w:rPr>
              <w:t>—</w:t>
            </w:r>
          </w:p>
        </w:tc>
        <w:tc>
          <w:tcPr>
            <w:tcW w:w="1077" w:type="dxa"/>
            <w:tcBorders>
              <w:left w:val="single" w:sz="6" w:space="0" w:color="1E4496" w:themeColor="text2"/>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3E36FD20" w14:textId="77777777" w:rsidR="00D1326D" w:rsidRPr="00D1326D" w:rsidRDefault="00D1326D" w:rsidP="00D1326D">
            <w:pPr>
              <w:pStyle w:val="CDITable-RowCentre"/>
              <w:rPr>
                <w:b/>
                <w:bCs/>
                <w:lang w:val="en-GB"/>
              </w:rPr>
            </w:pPr>
            <w:r w:rsidRPr="00D1326D">
              <w:rPr>
                <w:b/>
                <w:bCs/>
                <w:lang w:val="en-GB"/>
              </w:rPr>
              <w:t>47</w:t>
            </w:r>
          </w:p>
        </w:tc>
        <w:tc>
          <w:tcPr>
            <w:tcW w:w="1077" w:type="dxa"/>
            <w:tcBorders>
              <w:bottom w:val="single" w:sz="6" w:space="0" w:color="1E4496" w:themeColor="text2"/>
              <w:right w:val="single" w:sz="6" w:space="0" w:color="1E4496" w:themeColor="text2"/>
            </w:tcBorders>
            <w:shd w:val="clear" w:color="auto" w:fill="DCF4FC" w:themeFill="background2" w:themeFillTint="33"/>
            <w:tcMar>
              <w:top w:w="85" w:type="dxa"/>
              <w:left w:w="85" w:type="dxa"/>
              <w:bottom w:w="85" w:type="dxa"/>
              <w:right w:w="85" w:type="dxa"/>
            </w:tcMar>
            <w:vAlign w:val="center"/>
          </w:tcPr>
          <w:p w14:paraId="5E998C97" w14:textId="77777777" w:rsidR="00D1326D" w:rsidRPr="00D1326D" w:rsidRDefault="00D1326D" w:rsidP="00D1326D">
            <w:pPr>
              <w:pStyle w:val="CDITable-RowCentre"/>
              <w:rPr>
                <w:b/>
                <w:bCs/>
                <w:lang w:val="en-GB"/>
              </w:rPr>
            </w:pPr>
            <w:r w:rsidRPr="00D1326D">
              <w:rPr>
                <w:b/>
                <w:bCs/>
                <w:lang w:val="en-GB"/>
              </w:rPr>
              <w:t>—</w:t>
            </w:r>
          </w:p>
        </w:tc>
        <w:tc>
          <w:tcPr>
            <w:tcW w:w="1078" w:type="dxa"/>
            <w:tcBorders>
              <w:left w:val="single" w:sz="6" w:space="0" w:color="1E4496" w:themeColor="text2"/>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43B36023" w14:textId="77777777" w:rsidR="00D1326D" w:rsidRPr="00D1326D" w:rsidRDefault="00D1326D" w:rsidP="00D1326D">
            <w:pPr>
              <w:pStyle w:val="CDITable-RowCentre"/>
              <w:rPr>
                <w:b/>
                <w:bCs/>
                <w:lang w:val="en-GB"/>
              </w:rPr>
            </w:pPr>
            <w:r w:rsidRPr="00D1326D">
              <w:rPr>
                <w:b/>
                <w:bCs/>
                <w:lang w:val="en-GB"/>
              </w:rPr>
              <w:t>108</w:t>
            </w:r>
          </w:p>
        </w:tc>
        <w:tc>
          <w:tcPr>
            <w:tcW w:w="1077" w:type="dxa"/>
            <w:tcBorders>
              <w:bottom w:val="single" w:sz="6" w:space="0" w:color="1E4496" w:themeColor="text2"/>
              <w:right w:val="nil"/>
            </w:tcBorders>
            <w:shd w:val="clear" w:color="auto" w:fill="DCF4FC" w:themeFill="background2" w:themeFillTint="33"/>
            <w:tcMar>
              <w:top w:w="85" w:type="dxa"/>
              <w:left w:w="85" w:type="dxa"/>
              <w:bottom w:w="85" w:type="dxa"/>
              <w:right w:w="85" w:type="dxa"/>
            </w:tcMar>
            <w:vAlign w:val="center"/>
          </w:tcPr>
          <w:p w14:paraId="537BEC0A" w14:textId="77777777" w:rsidR="00D1326D" w:rsidRPr="00D1326D" w:rsidRDefault="00D1326D" w:rsidP="00D1326D">
            <w:pPr>
              <w:pStyle w:val="CDITable-RowCentre"/>
              <w:rPr>
                <w:b/>
                <w:bCs/>
                <w:lang w:val="en-GB"/>
              </w:rPr>
            </w:pPr>
            <w:r w:rsidRPr="00D1326D">
              <w:rPr>
                <w:b/>
                <w:bCs/>
                <w:lang w:val="en-GB"/>
              </w:rPr>
              <w:t>—</w:t>
            </w:r>
          </w:p>
        </w:tc>
      </w:tr>
      <w:tr w:rsidR="00D1326D" w:rsidRPr="00D1326D" w14:paraId="552935A0" w14:textId="77777777" w:rsidTr="003047C2">
        <w:trPr>
          <w:trHeight w:val="60"/>
        </w:trPr>
        <w:tc>
          <w:tcPr>
            <w:tcW w:w="1531" w:type="dxa"/>
            <w:vMerge w:val="restart"/>
            <w:tcBorders>
              <w:top w:val="single" w:sz="6" w:space="0" w:color="1E4496" w:themeColor="text2"/>
              <w:left w:val="nil"/>
              <w:bottom w:val="single" w:sz="6" w:space="0" w:color="1E4496" w:themeColor="text2"/>
            </w:tcBorders>
            <w:tcMar>
              <w:top w:w="85" w:type="dxa"/>
              <w:left w:w="85" w:type="dxa"/>
              <w:bottom w:w="85" w:type="dxa"/>
              <w:right w:w="85" w:type="dxa"/>
            </w:tcMar>
            <w:vAlign w:val="center"/>
          </w:tcPr>
          <w:p w14:paraId="30AE76A0" w14:textId="77777777" w:rsidR="00D1326D" w:rsidRPr="00D1326D" w:rsidRDefault="00D1326D" w:rsidP="00D1326D">
            <w:pPr>
              <w:pStyle w:val="CDITable-RowLeft"/>
              <w:rPr>
                <w:lang w:val="en-GB"/>
              </w:rPr>
            </w:pPr>
            <w:r w:rsidRPr="00D1326D">
              <w:rPr>
                <w:lang w:val="en-GB"/>
              </w:rPr>
              <w:t>Gender</w:t>
            </w: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009B483" w14:textId="77777777" w:rsidR="00D1326D" w:rsidRPr="00D1326D" w:rsidRDefault="00D1326D" w:rsidP="00D1326D">
            <w:pPr>
              <w:pStyle w:val="CDITable-RowLeft"/>
              <w:rPr>
                <w:lang w:val="en-GB"/>
              </w:rPr>
            </w:pPr>
            <w:r w:rsidRPr="00D1326D">
              <w:rPr>
                <w:lang w:val="en-GB"/>
              </w:rPr>
              <w:t>Male</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F5EDE00" w14:textId="77777777" w:rsidR="00D1326D" w:rsidRPr="00D1326D" w:rsidRDefault="00D1326D" w:rsidP="00D1326D">
            <w:pPr>
              <w:pStyle w:val="CDITable-RowCentre"/>
              <w:rPr>
                <w:lang w:val="en-GB"/>
              </w:rPr>
            </w:pPr>
            <w:r w:rsidRPr="00D1326D">
              <w:rPr>
                <w:lang w:val="en-GB"/>
              </w:rPr>
              <w:t>28</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7577B316" w14:textId="77777777" w:rsidR="00D1326D" w:rsidRPr="00D1326D" w:rsidRDefault="00D1326D" w:rsidP="00D1326D">
            <w:pPr>
              <w:pStyle w:val="CDITable-RowCentre"/>
              <w:rPr>
                <w:lang w:val="en-GB"/>
              </w:rPr>
            </w:pPr>
            <w:r w:rsidRPr="00D1326D">
              <w:rPr>
                <w:lang w:val="en-GB"/>
              </w:rPr>
              <w:t>45.9</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0C1E5466" w14:textId="77777777" w:rsidR="00D1326D" w:rsidRPr="00D1326D" w:rsidRDefault="00D1326D" w:rsidP="00D1326D">
            <w:pPr>
              <w:pStyle w:val="CDITable-RowCentre"/>
              <w:rPr>
                <w:lang w:val="en-GB"/>
              </w:rPr>
            </w:pPr>
            <w:r w:rsidRPr="00D1326D">
              <w:rPr>
                <w:lang w:val="en-GB"/>
              </w:rPr>
              <w:t>25</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29874D8" w14:textId="77777777" w:rsidR="00D1326D" w:rsidRPr="00D1326D" w:rsidRDefault="00D1326D" w:rsidP="00D1326D">
            <w:pPr>
              <w:pStyle w:val="CDITable-RowCentre"/>
              <w:rPr>
                <w:lang w:val="en-GB"/>
              </w:rPr>
            </w:pPr>
            <w:r w:rsidRPr="00D1326D">
              <w:rPr>
                <w:lang w:val="en-GB"/>
              </w:rPr>
              <w:t>53.2</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2DC74741" w14:textId="77777777" w:rsidR="00D1326D" w:rsidRPr="00D1326D" w:rsidRDefault="00D1326D" w:rsidP="00D1326D">
            <w:pPr>
              <w:pStyle w:val="CDITable-RowCentre"/>
              <w:rPr>
                <w:lang w:val="en-GB"/>
              </w:rPr>
            </w:pPr>
            <w:r w:rsidRPr="00D1326D">
              <w:rPr>
                <w:lang w:val="en-GB"/>
              </w:rPr>
              <w:t>53</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510558B7" w14:textId="77777777" w:rsidR="00D1326D" w:rsidRPr="00D1326D" w:rsidRDefault="00D1326D" w:rsidP="00D1326D">
            <w:pPr>
              <w:pStyle w:val="CDITable-RowCentre"/>
              <w:rPr>
                <w:lang w:val="en-GB"/>
              </w:rPr>
            </w:pPr>
            <w:r w:rsidRPr="00D1326D">
              <w:rPr>
                <w:lang w:val="en-GB"/>
              </w:rPr>
              <w:t>49.1</w:t>
            </w:r>
          </w:p>
        </w:tc>
      </w:tr>
      <w:tr w:rsidR="00D1326D" w:rsidRPr="00D1326D" w14:paraId="345382CF" w14:textId="77777777" w:rsidTr="003047C2">
        <w:trPr>
          <w:trHeight w:val="60"/>
        </w:trPr>
        <w:tc>
          <w:tcPr>
            <w:tcW w:w="1531" w:type="dxa"/>
            <w:vMerge/>
            <w:tcBorders>
              <w:top w:val="single" w:sz="6" w:space="0" w:color="1E4496" w:themeColor="text2"/>
              <w:left w:val="nil"/>
              <w:bottom w:val="single" w:sz="6" w:space="0" w:color="1E4496" w:themeColor="text2"/>
            </w:tcBorders>
            <w:tcMar>
              <w:top w:w="85" w:type="dxa"/>
              <w:left w:w="85" w:type="dxa"/>
              <w:bottom w:w="85" w:type="dxa"/>
              <w:right w:w="85" w:type="dxa"/>
            </w:tcMar>
          </w:tcPr>
          <w:p w14:paraId="28FB3077" w14:textId="77777777" w:rsidR="00D1326D" w:rsidRPr="00D1326D" w:rsidRDefault="00D1326D" w:rsidP="00D1326D">
            <w:pPr>
              <w:pStyle w:val="CDITable-RowLeft"/>
            </w:pP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77F09F1" w14:textId="77777777" w:rsidR="00D1326D" w:rsidRPr="00D1326D" w:rsidRDefault="00D1326D" w:rsidP="00D1326D">
            <w:pPr>
              <w:pStyle w:val="CDITable-RowLeft"/>
              <w:rPr>
                <w:lang w:val="en-GB"/>
              </w:rPr>
            </w:pPr>
            <w:r w:rsidRPr="00D1326D">
              <w:rPr>
                <w:lang w:val="en-GB"/>
              </w:rPr>
              <w:t>Female</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FAD2BAE" w14:textId="77777777" w:rsidR="00D1326D" w:rsidRPr="00D1326D" w:rsidRDefault="00D1326D" w:rsidP="00D1326D">
            <w:pPr>
              <w:pStyle w:val="CDITable-RowCentre"/>
              <w:rPr>
                <w:lang w:val="en-GB"/>
              </w:rPr>
            </w:pPr>
            <w:r w:rsidRPr="00D1326D">
              <w:rPr>
                <w:lang w:val="en-GB"/>
              </w:rPr>
              <w:t>33</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617196D7" w14:textId="77777777" w:rsidR="00D1326D" w:rsidRPr="00D1326D" w:rsidRDefault="00D1326D" w:rsidP="00D1326D">
            <w:pPr>
              <w:pStyle w:val="CDITable-RowCentre"/>
              <w:rPr>
                <w:lang w:val="en-GB"/>
              </w:rPr>
            </w:pPr>
            <w:r w:rsidRPr="00D1326D">
              <w:rPr>
                <w:lang w:val="en-GB"/>
              </w:rPr>
              <w:t>54.1</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5DB48DD8" w14:textId="77777777" w:rsidR="00D1326D" w:rsidRPr="00D1326D" w:rsidRDefault="00D1326D" w:rsidP="00D1326D">
            <w:pPr>
              <w:pStyle w:val="CDITable-RowCentre"/>
              <w:rPr>
                <w:lang w:val="en-GB"/>
              </w:rPr>
            </w:pPr>
            <w:r w:rsidRPr="00D1326D">
              <w:rPr>
                <w:lang w:val="en-GB"/>
              </w:rPr>
              <w:t>22</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72B28C34" w14:textId="77777777" w:rsidR="00D1326D" w:rsidRPr="00D1326D" w:rsidRDefault="00D1326D" w:rsidP="00D1326D">
            <w:pPr>
              <w:pStyle w:val="CDITable-RowCentre"/>
              <w:rPr>
                <w:lang w:val="en-GB"/>
              </w:rPr>
            </w:pPr>
            <w:r w:rsidRPr="00D1326D">
              <w:rPr>
                <w:lang w:val="en-GB"/>
              </w:rPr>
              <w:t>46.8</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46B9A6F1" w14:textId="77777777" w:rsidR="00D1326D" w:rsidRPr="00D1326D" w:rsidRDefault="00D1326D" w:rsidP="00D1326D">
            <w:pPr>
              <w:pStyle w:val="CDITable-RowCentre"/>
              <w:rPr>
                <w:lang w:val="en-GB"/>
              </w:rPr>
            </w:pPr>
            <w:r w:rsidRPr="00D1326D">
              <w:rPr>
                <w:lang w:val="en-GB"/>
              </w:rPr>
              <w:t>55</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5B4655B9" w14:textId="77777777" w:rsidR="00D1326D" w:rsidRPr="00D1326D" w:rsidRDefault="00D1326D" w:rsidP="00D1326D">
            <w:pPr>
              <w:pStyle w:val="CDITable-RowCentre"/>
              <w:rPr>
                <w:lang w:val="en-GB"/>
              </w:rPr>
            </w:pPr>
            <w:r w:rsidRPr="00D1326D">
              <w:rPr>
                <w:lang w:val="en-GB"/>
              </w:rPr>
              <w:t>50.9</w:t>
            </w:r>
          </w:p>
        </w:tc>
      </w:tr>
      <w:tr w:rsidR="00D1326D" w:rsidRPr="00D1326D" w14:paraId="640FB477" w14:textId="77777777" w:rsidTr="003047C2">
        <w:trPr>
          <w:trHeight w:val="60"/>
        </w:trPr>
        <w:tc>
          <w:tcPr>
            <w:tcW w:w="1531" w:type="dxa"/>
            <w:vMerge w:val="restart"/>
            <w:tcBorders>
              <w:top w:val="single" w:sz="6" w:space="0" w:color="1E4496" w:themeColor="text2"/>
              <w:left w:val="nil"/>
              <w:bottom w:val="single" w:sz="6" w:space="0" w:color="1E4496" w:themeColor="text2"/>
            </w:tcBorders>
            <w:tcMar>
              <w:top w:w="85" w:type="dxa"/>
              <w:left w:w="85" w:type="dxa"/>
              <w:bottom w:w="85" w:type="dxa"/>
              <w:right w:w="85" w:type="dxa"/>
            </w:tcMar>
            <w:vAlign w:val="center"/>
          </w:tcPr>
          <w:p w14:paraId="02CE088F" w14:textId="77777777" w:rsidR="00D1326D" w:rsidRPr="00D1326D" w:rsidRDefault="00D1326D" w:rsidP="00D1326D">
            <w:pPr>
              <w:pStyle w:val="CDITable-RowLeft"/>
              <w:rPr>
                <w:lang w:val="en-GB"/>
              </w:rPr>
            </w:pPr>
            <w:r w:rsidRPr="00D1326D">
              <w:rPr>
                <w:lang w:val="en-GB"/>
              </w:rPr>
              <w:t>Age group</w:t>
            </w: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52B02C2" w14:textId="77777777" w:rsidR="00D1326D" w:rsidRPr="00D1326D" w:rsidRDefault="00D1326D" w:rsidP="00D1326D">
            <w:pPr>
              <w:pStyle w:val="CDITable-RowLeft"/>
              <w:rPr>
                <w:lang w:val="en-GB"/>
              </w:rPr>
            </w:pPr>
            <w:r w:rsidRPr="00D1326D">
              <w:rPr>
                <w:lang w:val="en-GB"/>
              </w:rPr>
              <w:t>0–17 years</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E1597C8" w14:textId="77777777" w:rsidR="00D1326D" w:rsidRPr="00D1326D" w:rsidRDefault="00D1326D" w:rsidP="00D1326D">
            <w:pPr>
              <w:pStyle w:val="CDITable-RowCentre"/>
              <w:rPr>
                <w:lang w:val="en-GB"/>
              </w:rPr>
            </w:pPr>
            <w:r w:rsidRPr="00D1326D">
              <w:rPr>
                <w:lang w:val="en-GB"/>
              </w:rPr>
              <w:t>36</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2D6CB331" w14:textId="77777777" w:rsidR="00D1326D" w:rsidRPr="00D1326D" w:rsidRDefault="00D1326D" w:rsidP="00D1326D">
            <w:pPr>
              <w:pStyle w:val="CDITable-RowCentre"/>
              <w:rPr>
                <w:lang w:val="en-GB"/>
              </w:rPr>
            </w:pPr>
            <w:r w:rsidRPr="00D1326D">
              <w:rPr>
                <w:lang w:val="en-GB"/>
              </w:rPr>
              <w:t>59.0</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3E2328FB" w14:textId="77777777" w:rsidR="00D1326D" w:rsidRPr="00D1326D" w:rsidRDefault="00D1326D" w:rsidP="00D1326D">
            <w:pPr>
              <w:pStyle w:val="CDITable-RowCentre"/>
              <w:rPr>
                <w:lang w:val="en-GB"/>
              </w:rPr>
            </w:pPr>
            <w:r w:rsidRPr="00D1326D">
              <w:rPr>
                <w:lang w:val="en-GB"/>
              </w:rPr>
              <w:t>12</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65E7F847" w14:textId="77777777" w:rsidR="00D1326D" w:rsidRPr="00D1326D" w:rsidRDefault="00D1326D" w:rsidP="00D1326D">
            <w:pPr>
              <w:pStyle w:val="CDITable-RowCentre"/>
              <w:rPr>
                <w:lang w:val="en-GB"/>
              </w:rPr>
            </w:pPr>
            <w:r w:rsidRPr="00D1326D">
              <w:rPr>
                <w:lang w:val="en-GB"/>
              </w:rPr>
              <w:t>25.5</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0F2CA67F" w14:textId="77777777" w:rsidR="00D1326D" w:rsidRPr="00D1326D" w:rsidRDefault="00D1326D" w:rsidP="00D1326D">
            <w:pPr>
              <w:pStyle w:val="CDITable-RowCentre"/>
              <w:rPr>
                <w:lang w:val="en-GB"/>
              </w:rPr>
            </w:pPr>
            <w:r w:rsidRPr="00D1326D">
              <w:rPr>
                <w:lang w:val="en-GB"/>
              </w:rPr>
              <w:t>48</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3EFBFC6D" w14:textId="77777777" w:rsidR="00D1326D" w:rsidRPr="00D1326D" w:rsidRDefault="00D1326D" w:rsidP="00D1326D">
            <w:pPr>
              <w:pStyle w:val="CDITable-RowCentre"/>
              <w:rPr>
                <w:lang w:val="en-GB"/>
              </w:rPr>
            </w:pPr>
            <w:r w:rsidRPr="00D1326D">
              <w:rPr>
                <w:lang w:val="en-GB"/>
              </w:rPr>
              <w:t>50.0</w:t>
            </w:r>
          </w:p>
        </w:tc>
      </w:tr>
      <w:tr w:rsidR="00D1326D" w:rsidRPr="00D1326D" w14:paraId="3474550F" w14:textId="77777777" w:rsidTr="003047C2">
        <w:trPr>
          <w:trHeight w:val="60"/>
        </w:trPr>
        <w:tc>
          <w:tcPr>
            <w:tcW w:w="1531" w:type="dxa"/>
            <w:vMerge/>
            <w:tcBorders>
              <w:top w:val="single" w:sz="6" w:space="0" w:color="1E4496" w:themeColor="text2"/>
              <w:left w:val="nil"/>
              <w:bottom w:val="single" w:sz="6" w:space="0" w:color="1E4496" w:themeColor="text2"/>
            </w:tcBorders>
            <w:tcMar>
              <w:top w:w="85" w:type="dxa"/>
              <w:left w:w="85" w:type="dxa"/>
              <w:bottom w:w="85" w:type="dxa"/>
              <w:right w:w="85" w:type="dxa"/>
            </w:tcMar>
          </w:tcPr>
          <w:p w14:paraId="498B3563" w14:textId="77777777" w:rsidR="00D1326D" w:rsidRPr="00D1326D" w:rsidRDefault="00D1326D" w:rsidP="00D1326D">
            <w:pPr>
              <w:pStyle w:val="CDITable-RowCentre"/>
            </w:pP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C8BEFFA" w14:textId="77777777" w:rsidR="00D1326D" w:rsidRPr="00D1326D" w:rsidRDefault="00D1326D" w:rsidP="00D1326D">
            <w:pPr>
              <w:pStyle w:val="CDITable-RowLeft"/>
              <w:rPr>
                <w:lang w:val="en-GB"/>
              </w:rPr>
            </w:pPr>
            <w:r w:rsidRPr="00D1326D">
              <w:rPr>
                <w:lang w:val="en-GB"/>
              </w:rPr>
              <w:t>18–39 years</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F8241EF" w14:textId="77777777" w:rsidR="00D1326D" w:rsidRPr="00D1326D" w:rsidRDefault="00D1326D" w:rsidP="00D1326D">
            <w:pPr>
              <w:pStyle w:val="CDITable-RowCentre"/>
              <w:rPr>
                <w:lang w:val="en-GB"/>
              </w:rPr>
            </w:pPr>
            <w:r w:rsidRPr="00D1326D">
              <w:rPr>
                <w:lang w:val="en-GB"/>
              </w:rPr>
              <w:t>11</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632827E4" w14:textId="77777777" w:rsidR="00D1326D" w:rsidRPr="00D1326D" w:rsidRDefault="00D1326D" w:rsidP="00D1326D">
            <w:pPr>
              <w:pStyle w:val="CDITable-RowCentre"/>
              <w:rPr>
                <w:lang w:val="en-GB"/>
              </w:rPr>
            </w:pPr>
            <w:r w:rsidRPr="00D1326D">
              <w:rPr>
                <w:lang w:val="en-GB"/>
              </w:rPr>
              <w:t>18.0</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68F4D44" w14:textId="77777777" w:rsidR="00D1326D" w:rsidRPr="00D1326D" w:rsidRDefault="00D1326D" w:rsidP="00D1326D">
            <w:pPr>
              <w:pStyle w:val="CDITable-RowCentre"/>
              <w:rPr>
                <w:lang w:val="en-GB"/>
              </w:rPr>
            </w:pPr>
            <w:r w:rsidRPr="00D1326D">
              <w:rPr>
                <w:lang w:val="en-GB"/>
              </w:rPr>
              <w:t>11</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1293F1B6" w14:textId="77777777" w:rsidR="00D1326D" w:rsidRPr="00D1326D" w:rsidRDefault="00D1326D" w:rsidP="00D1326D">
            <w:pPr>
              <w:pStyle w:val="CDITable-RowCentre"/>
              <w:rPr>
                <w:lang w:val="en-GB"/>
              </w:rPr>
            </w:pPr>
            <w:r w:rsidRPr="00D1326D">
              <w:rPr>
                <w:lang w:val="en-GB"/>
              </w:rPr>
              <w:t>23.4</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50AC9BF2" w14:textId="77777777" w:rsidR="00D1326D" w:rsidRPr="00D1326D" w:rsidRDefault="00D1326D" w:rsidP="00D1326D">
            <w:pPr>
              <w:pStyle w:val="CDITable-RowCentre"/>
              <w:rPr>
                <w:lang w:val="en-GB"/>
              </w:rPr>
            </w:pPr>
            <w:r w:rsidRPr="00D1326D">
              <w:rPr>
                <w:lang w:val="en-GB"/>
              </w:rPr>
              <w:t>22</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08E78209" w14:textId="77777777" w:rsidR="00D1326D" w:rsidRPr="00D1326D" w:rsidRDefault="00D1326D" w:rsidP="00D1326D">
            <w:pPr>
              <w:pStyle w:val="CDITable-RowCentre"/>
              <w:rPr>
                <w:lang w:val="en-GB"/>
              </w:rPr>
            </w:pPr>
            <w:r w:rsidRPr="00D1326D">
              <w:rPr>
                <w:lang w:val="en-GB"/>
              </w:rPr>
              <w:t>14.8</w:t>
            </w:r>
          </w:p>
        </w:tc>
      </w:tr>
      <w:tr w:rsidR="00D1326D" w:rsidRPr="00D1326D" w14:paraId="439A857B" w14:textId="77777777" w:rsidTr="003047C2">
        <w:trPr>
          <w:trHeight w:val="60"/>
        </w:trPr>
        <w:tc>
          <w:tcPr>
            <w:tcW w:w="1531" w:type="dxa"/>
            <w:vMerge/>
            <w:tcBorders>
              <w:top w:val="single" w:sz="6" w:space="0" w:color="1E4496" w:themeColor="text2"/>
              <w:left w:val="nil"/>
              <w:bottom w:val="single" w:sz="6" w:space="0" w:color="1E4496" w:themeColor="text2"/>
            </w:tcBorders>
            <w:tcMar>
              <w:top w:w="85" w:type="dxa"/>
              <w:left w:w="85" w:type="dxa"/>
              <w:bottom w:w="85" w:type="dxa"/>
              <w:right w:w="85" w:type="dxa"/>
            </w:tcMar>
          </w:tcPr>
          <w:p w14:paraId="6DEFE65B" w14:textId="77777777" w:rsidR="00D1326D" w:rsidRPr="00D1326D" w:rsidRDefault="00D1326D" w:rsidP="00D1326D">
            <w:pPr>
              <w:pStyle w:val="CDITable-RowCentre"/>
            </w:pP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7651CF5" w14:textId="77777777" w:rsidR="00D1326D" w:rsidRPr="00D1326D" w:rsidRDefault="00D1326D" w:rsidP="00D1326D">
            <w:pPr>
              <w:pStyle w:val="CDITable-RowLeft"/>
              <w:rPr>
                <w:lang w:val="en-GB"/>
              </w:rPr>
            </w:pPr>
            <w:r w:rsidRPr="00D1326D">
              <w:rPr>
                <w:lang w:val="en-GB"/>
              </w:rPr>
              <w:t>40+ years</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D14AC0E" w14:textId="77777777" w:rsidR="00D1326D" w:rsidRPr="00D1326D" w:rsidRDefault="00D1326D" w:rsidP="00D1326D">
            <w:pPr>
              <w:pStyle w:val="CDITable-RowCentre"/>
              <w:rPr>
                <w:lang w:val="en-GB"/>
              </w:rPr>
            </w:pPr>
            <w:r w:rsidRPr="00D1326D">
              <w:rPr>
                <w:lang w:val="en-GB"/>
              </w:rPr>
              <w:t>12</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4D19991C" w14:textId="77777777" w:rsidR="00D1326D" w:rsidRPr="00D1326D" w:rsidRDefault="00D1326D" w:rsidP="00D1326D">
            <w:pPr>
              <w:pStyle w:val="CDITable-RowCentre"/>
              <w:rPr>
                <w:lang w:val="en-GB"/>
              </w:rPr>
            </w:pPr>
            <w:r w:rsidRPr="00D1326D">
              <w:rPr>
                <w:lang w:val="en-GB"/>
              </w:rPr>
              <w:t>19.7</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6A13A31B" w14:textId="77777777" w:rsidR="00D1326D" w:rsidRPr="00D1326D" w:rsidRDefault="00D1326D" w:rsidP="00D1326D">
            <w:pPr>
              <w:pStyle w:val="CDITable-RowCentre"/>
              <w:rPr>
                <w:lang w:val="en-GB"/>
              </w:rPr>
            </w:pPr>
            <w:r w:rsidRPr="00D1326D">
              <w:rPr>
                <w:lang w:val="en-GB"/>
              </w:rPr>
              <w:t>23</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E653E25" w14:textId="77777777" w:rsidR="00D1326D" w:rsidRPr="00D1326D" w:rsidRDefault="00D1326D" w:rsidP="00D1326D">
            <w:pPr>
              <w:pStyle w:val="CDITable-RowCentre"/>
              <w:rPr>
                <w:lang w:val="en-GB"/>
              </w:rPr>
            </w:pPr>
            <w:r w:rsidRPr="00D1326D">
              <w:rPr>
                <w:lang w:val="en-GB"/>
              </w:rPr>
              <w:t>48.9</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5D0DC42B" w14:textId="77777777" w:rsidR="00D1326D" w:rsidRPr="00D1326D" w:rsidRDefault="00D1326D" w:rsidP="00D1326D">
            <w:pPr>
              <w:pStyle w:val="CDITable-RowCentre"/>
              <w:rPr>
                <w:lang w:val="en-GB"/>
              </w:rPr>
            </w:pPr>
            <w:r w:rsidRPr="00D1326D">
              <w:rPr>
                <w:lang w:val="en-GB"/>
              </w:rPr>
              <w:t>35</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742B7E55" w14:textId="77777777" w:rsidR="00D1326D" w:rsidRPr="00D1326D" w:rsidRDefault="00D1326D" w:rsidP="00D1326D">
            <w:pPr>
              <w:pStyle w:val="CDITable-RowCentre"/>
              <w:rPr>
                <w:lang w:val="en-GB"/>
              </w:rPr>
            </w:pPr>
            <w:r w:rsidRPr="00D1326D">
              <w:rPr>
                <w:lang w:val="en-GB"/>
              </w:rPr>
              <w:t>32.4</w:t>
            </w:r>
          </w:p>
        </w:tc>
      </w:tr>
      <w:tr w:rsidR="00D1326D" w:rsidRPr="00D1326D" w14:paraId="578EEFBD" w14:textId="77777777" w:rsidTr="003047C2">
        <w:trPr>
          <w:trHeight w:val="60"/>
        </w:trPr>
        <w:tc>
          <w:tcPr>
            <w:tcW w:w="1531" w:type="dxa"/>
            <w:vMerge/>
            <w:tcBorders>
              <w:top w:val="single" w:sz="6" w:space="0" w:color="1E4496" w:themeColor="text2"/>
              <w:left w:val="nil"/>
              <w:bottom w:val="single" w:sz="6" w:space="0" w:color="1E4496" w:themeColor="text2"/>
            </w:tcBorders>
            <w:tcMar>
              <w:top w:w="85" w:type="dxa"/>
              <w:left w:w="85" w:type="dxa"/>
              <w:bottom w:w="85" w:type="dxa"/>
              <w:right w:w="85" w:type="dxa"/>
            </w:tcMar>
          </w:tcPr>
          <w:p w14:paraId="19FF8A3D" w14:textId="77777777" w:rsidR="00D1326D" w:rsidRPr="00D1326D" w:rsidRDefault="00D1326D" w:rsidP="00D1326D">
            <w:pPr>
              <w:pStyle w:val="CDITable-RowCentre"/>
            </w:pPr>
          </w:p>
        </w:tc>
        <w:tc>
          <w:tcPr>
            <w:tcW w:w="164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B6715BB" w14:textId="77777777" w:rsidR="00D1326D" w:rsidRPr="00D1326D" w:rsidRDefault="00D1326D" w:rsidP="00D1326D">
            <w:pPr>
              <w:pStyle w:val="CDITable-RowLeft"/>
              <w:rPr>
                <w:lang w:val="en-GB"/>
              </w:rPr>
            </w:pPr>
            <w:r w:rsidRPr="00D1326D">
              <w:rPr>
                <w:lang w:val="en-GB"/>
              </w:rPr>
              <w:t>Missing</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CB9A364" w14:textId="77777777" w:rsidR="00D1326D" w:rsidRPr="00D1326D" w:rsidRDefault="00D1326D" w:rsidP="00D1326D">
            <w:pPr>
              <w:pStyle w:val="CDITable-RowCentre"/>
              <w:rPr>
                <w:lang w:val="en-GB"/>
              </w:rPr>
            </w:pPr>
            <w:r w:rsidRPr="00D1326D">
              <w:rPr>
                <w:lang w:val="en-GB"/>
              </w:rPr>
              <w:t>2</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38BE01EE" w14:textId="77777777" w:rsidR="00D1326D" w:rsidRPr="00D1326D" w:rsidRDefault="00D1326D" w:rsidP="00D1326D">
            <w:pPr>
              <w:pStyle w:val="CDITable-RowCentre"/>
              <w:rPr>
                <w:lang w:val="en-GB"/>
              </w:rPr>
            </w:pPr>
            <w:r w:rsidRPr="00D1326D">
              <w:rPr>
                <w:lang w:val="en-GB"/>
              </w:rPr>
              <w:t>3.3</w:t>
            </w:r>
          </w:p>
        </w:tc>
        <w:tc>
          <w:tcPr>
            <w:tcW w:w="1077"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6C5CCFB0" w14:textId="77777777" w:rsidR="00D1326D" w:rsidRPr="00D1326D" w:rsidRDefault="00D1326D" w:rsidP="00D1326D">
            <w:pPr>
              <w:pStyle w:val="CDITable-RowCentre"/>
              <w:rPr>
                <w:lang w:val="en-GB"/>
              </w:rPr>
            </w:pPr>
            <w:r w:rsidRPr="00D1326D">
              <w:rPr>
                <w:lang w:val="en-GB"/>
              </w:rPr>
              <w:t>1</w:t>
            </w:r>
          </w:p>
        </w:tc>
        <w:tc>
          <w:tcPr>
            <w:tcW w:w="1077"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3F989709" w14:textId="77777777" w:rsidR="00D1326D" w:rsidRPr="00D1326D" w:rsidRDefault="00D1326D" w:rsidP="00D1326D">
            <w:pPr>
              <w:pStyle w:val="CDITable-RowCentre"/>
              <w:rPr>
                <w:lang w:val="en-GB"/>
              </w:rPr>
            </w:pPr>
            <w:r w:rsidRPr="00D1326D">
              <w:rPr>
                <w:lang w:val="en-GB"/>
              </w:rPr>
              <w:t>2.1</w:t>
            </w:r>
          </w:p>
        </w:tc>
        <w:tc>
          <w:tcPr>
            <w:tcW w:w="1078"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5BE71719" w14:textId="77777777" w:rsidR="00D1326D" w:rsidRPr="00D1326D" w:rsidRDefault="00D1326D" w:rsidP="00D1326D">
            <w:pPr>
              <w:pStyle w:val="CDITable-RowCentre"/>
              <w:rPr>
                <w:lang w:val="en-GB"/>
              </w:rPr>
            </w:pPr>
            <w:r w:rsidRPr="00D1326D">
              <w:rPr>
                <w:lang w:val="en-GB"/>
              </w:rPr>
              <w:t>3</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4B6E0A53" w14:textId="77777777" w:rsidR="00D1326D" w:rsidRPr="00D1326D" w:rsidRDefault="00D1326D" w:rsidP="00D1326D">
            <w:pPr>
              <w:pStyle w:val="CDITable-RowCentre"/>
              <w:rPr>
                <w:lang w:val="en-GB"/>
              </w:rPr>
            </w:pPr>
            <w:r w:rsidRPr="00D1326D">
              <w:rPr>
                <w:lang w:val="en-GB"/>
              </w:rPr>
              <w:t>2.8</w:t>
            </w:r>
          </w:p>
        </w:tc>
      </w:tr>
    </w:tbl>
    <w:p w14:paraId="3B3785B6" w14:textId="6806F9DC" w:rsidR="009E649F" w:rsidRDefault="009E649F" w:rsidP="00F15F01">
      <w:pPr>
        <w:pStyle w:val="Normal-morespacebefore"/>
        <w:rPr>
          <w:lang w:val="en-GB"/>
        </w:rPr>
      </w:pPr>
      <w:r w:rsidRPr="009E649F">
        <w:rPr>
          <w:lang w:val="en-GB"/>
        </w:rPr>
        <w:t xml:space="preserve">Univariate analysis of the catered foods provided in the function room found that consumption of fruit (OR: 5.3; 95% CI: 2.4–12.6; </w:t>
      </w:r>
      <w:r w:rsidRPr="009E649F">
        <w:rPr>
          <w:i/>
          <w:iCs/>
          <w:lang w:val="en-GB"/>
        </w:rPr>
        <w:t>p</w:t>
      </w:r>
      <w:r w:rsidRPr="009E649F">
        <w:rPr>
          <w:lang w:val="en-GB"/>
        </w:rPr>
        <w:t xml:space="preserve"> &lt; 0.001; Table 2) and cured or dried meat (OR: 2.7; 95% CI:</w:t>
      </w:r>
      <w:r w:rsidR="00F15F01">
        <w:rPr>
          <w:lang w:val="en-GB"/>
        </w:rPr>
        <w:t> </w:t>
      </w:r>
      <w:r w:rsidRPr="009E649F">
        <w:rPr>
          <w:lang w:val="en-GB"/>
        </w:rPr>
        <w:t xml:space="preserve">1.2–6.2; </w:t>
      </w:r>
      <w:r w:rsidRPr="009E649F">
        <w:rPr>
          <w:i/>
          <w:iCs/>
          <w:lang w:val="en-GB"/>
        </w:rPr>
        <w:t>p</w:t>
      </w:r>
      <w:r w:rsidRPr="009E649F">
        <w:rPr>
          <w:lang w:val="en-GB"/>
        </w:rPr>
        <w:t xml:space="preserve"> = 0.02; Table 2) were the only items significantly associated with illness. The cured or dried meat and age group interaction was excluded from the multivariable analysis, as it resulted in complete separation preventing convergence of a maximum likelihood estimate. The multivariable analysis selected the most appropriate model to include fruit (adjusted odds ratio [</w:t>
      </w:r>
      <w:proofErr w:type="spellStart"/>
      <w:r w:rsidRPr="009E649F">
        <w:rPr>
          <w:lang w:val="en-GB"/>
        </w:rPr>
        <w:t>aOR</w:t>
      </w:r>
      <w:proofErr w:type="spellEnd"/>
      <w:r w:rsidRPr="009E649F">
        <w:rPr>
          <w:lang w:val="en-GB"/>
        </w:rPr>
        <w:t xml:space="preserve">]: 4.4; 95% CI: 1.6–12.6; </w:t>
      </w:r>
      <w:r w:rsidRPr="009E649F">
        <w:rPr>
          <w:i/>
          <w:iCs/>
          <w:lang w:val="en-GB"/>
        </w:rPr>
        <w:t>p</w:t>
      </w:r>
      <w:r w:rsidRPr="009E649F">
        <w:rPr>
          <w:lang w:val="en-GB"/>
        </w:rPr>
        <w:t xml:space="preserve"> &lt; 0.001), cured or dried meat (</w:t>
      </w:r>
      <w:proofErr w:type="spellStart"/>
      <w:r w:rsidRPr="009E649F">
        <w:rPr>
          <w:lang w:val="en-GB"/>
        </w:rPr>
        <w:t>aOR</w:t>
      </w:r>
      <w:proofErr w:type="spellEnd"/>
      <w:r w:rsidRPr="009E649F">
        <w:rPr>
          <w:lang w:val="en-GB"/>
        </w:rPr>
        <w:t xml:space="preserve">: 7.0; 95% CI: 2.4–24.4; </w:t>
      </w:r>
      <w:r w:rsidRPr="009E649F">
        <w:rPr>
          <w:i/>
          <w:iCs/>
          <w:lang w:val="en-GB"/>
        </w:rPr>
        <w:t>p</w:t>
      </w:r>
      <w:r w:rsidR="00F15F01">
        <w:rPr>
          <w:i/>
          <w:iCs/>
          <w:lang w:val="en-GB"/>
        </w:rPr>
        <w:t> </w:t>
      </w:r>
      <w:r w:rsidRPr="009E649F">
        <w:rPr>
          <w:lang w:val="en-GB"/>
        </w:rPr>
        <w:t>&lt;</w:t>
      </w:r>
      <w:r w:rsidR="00F15F01">
        <w:rPr>
          <w:lang w:val="en-GB"/>
        </w:rPr>
        <w:t> </w:t>
      </w:r>
      <w:r w:rsidRPr="009E649F">
        <w:rPr>
          <w:lang w:val="en-GB"/>
        </w:rPr>
        <w:t xml:space="preserve">0.001), and age group (0–17 years: </w:t>
      </w:r>
      <w:proofErr w:type="spellStart"/>
      <w:r w:rsidRPr="009E649F">
        <w:rPr>
          <w:lang w:val="en-GB"/>
        </w:rPr>
        <w:t>aOR</w:t>
      </w:r>
      <w:proofErr w:type="spellEnd"/>
      <w:r w:rsidRPr="009E649F">
        <w:rPr>
          <w:lang w:val="en-GB"/>
        </w:rPr>
        <w:t xml:space="preserve">: 3.9; 95% CI: 1.0–15.7; </w:t>
      </w:r>
      <w:r w:rsidRPr="009E649F">
        <w:rPr>
          <w:i/>
          <w:iCs/>
          <w:lang w:val="en-GB"/>
        </w:rPr>
        <w:t>p</w:t>
      </w:r>
      <w:r w:rsidRPr="009E649F">
        <w:rPr>
          <w:lang w:val="en-GB"/>
        </w:rPr>
        <w:t xml:space="preserve"> = 0.05; &gt; 39 years: </w:t>
      </w:r>
      <w:proofErr w:type="spellStart"/>
      <w:r w:rsidRPr="009E649F">
        <w:rPr>
          <w:lang w:val="en-GB"/>
        </w:rPr>
        <w:t>aOR</w:t>
      </w:r>
      <w:proofErr w:type="spellEnd"/>
      <w:r w:rsidRPr="009E649F">
        <w:rPr>
          <w:lang w:val="en-GB"/>
        </w:rPr>
        <w:t>:</w:t>
      </w:r>
      <w:r w:rsidR="00F15F01">
        <w:rPr>
          <w:lang w:val="en-GB"/>
        </w:rPr>
        <w:t> </w:t>
      </w:r>
      <w:r w:rsidRPr="009E649F">
        <w:rPr>
          <w:lang w:val="en-GB"/>
        </w:rPr>
        <w:t xml:space="preserve">0.6; 95% CI: 0.1–2.1; </w:t>
      </w:r>
      <w:r w:rsidRPr="009E649F">
        <w:rPr>
          <w:i/>
          <w:iCs/>
          <w:lang w:val="en-GB"/>
        </w:rPr>
        <w:t>p</w:t>
      </w:r>
      <w:r>
        <w:rPr>
          <w:i/>
          <w:iCs/>
          <w:lang w:val="en-GB"/>
        </w:rPr>
        <w:t> </w:t>
      </w:r>
      <w:r w:rsidRPr="009E649F">
        <w:rPr>
          <w:lang w:val="en-GB"/>
        </w:rPr>
        <w:t>= 0.4; Table 4). Despite the increased risk of illness in those aged &lt;</w:t>
      </w:r>
      <w:r w:rsidR="00F15F01">
        <w:rPr>
          <w:lang w:val="en-GB"/>
        </w:rPr>
        <w:t> </w:t>
      </w:r>
      <w:r w:rsidRPr="009E649F">
        <w:rPr>
          <w:lang w:val="en-GB"/>
        </w:rPr>
        <w:t>18 years compared to 19–</w:t>
      </w:r>
      <w:proofErr w:type="gramStart"/>
      <w:r w:rsidRPr="009E649F">
        <w:rPr>
          <w:lang w:val="en-GB"/>
        </w:rPr>
        <w:t>39</w:t>
      </w:r>
      <w:r w:rsidR="00F15F01">
        <w:rPr>
          <w:lang w:val="en-GB"/>
        </w:rPr>
        <w:t> </w:t>
      </w:r>
      <w:r w:rsidRPr="009E649F">
        <w:rPr>
          <w:lang w:val="en-GB"/>
        </w:rPr>
        <w:t>year olds</w:t>
      </w:r>
      <w:proofErr w:type="gramEnd"/>
      <w:r w:rsidRPr="009E649F">
        <w:rPr>
          <w:lang w:val="en-GB"/>
        </w:rPr>
        <w:t>, including age group as a main effect in the multivariate model did not change the significance of consumption of fruit or cured and dried meats as independent risk factors associated with being a case.</w:t>
      </w:r>
    </w:p>
    <w:p w14:paraId="063D6179" w14:textId="77777777" w:rsidR="009E649F" w:rsidRPr="009E649F" w:rsidRDefault="009E649F" w:rsidP="009E649F">
      <w:pPr>
        <w:pStyle w:val="CDITable-Title"/>
        <w:rPr>
          <w:lang w:val="en-GB"/>
        </w:rPr>
      </w:pPr>
      <w:bookmarkStart w:id="32" w:name="_Toc234390987"/>
      <w:r w:rsidRPr="009E649F">
        <w:rPr>
          <w:lang w:val="en-GB"/>
        </w:rPr>
        <w:t>Table 4: Summary of multivariable analysis of food exposures and age, norovirus outbreak, Australian Capital Territory, 2024</w:t>
      </w:r>
      <w:bookmarkEnd w:id="32"/>
    </w:p>
    <w:tbl>
      <w:tblPr>
        <w:tblW w:w="0" w:type="auto"/>
        <w:tblLayout w:type="fixed"/>
        <w:tblCellMar>
          <w:left w:w="0" w:type="dxa"/>
          <w:right w:w="0" w:type="dxa"/>
        </w:tblCellMar>
        <w:tblLook w:val="0000" w:firstRow="0" w:lastRow="0" w:firstColumn="0" w:lastColumn="0" w:noHBand="0" w:noVBand="0"/>
        <w:tblCaption w:val="Table 4: Summary of multivariable analysis of food exposures and age, norovirus outbreak, Australian Capital Territory, 2024"/>
        <w:tblDescription w:val="The table provides a summary of the outcome of the multivariable analysis of food exposures and age. Fruit and cured and dried meats were each independently associated with illness and being 17 years or younger increased the risk of illness."/>
      </w:tblPr>
      <w:tblGrid>
        <w:gridCol w:w="1474"/>
        <w:gridCol w:w="1928"/>
        <w:gridCol w:w="623"/>
        <w:gridCol w:w="624"/>
        <w:gridCol w:w="623"/>
        <w:gridCol w:w="624"/>
        <w:gridCol w:w="624"/>
        <w:gridCol w:w="623"/>
        <w:gridCol w:w="624"/>
        <w:gridCol w:w="964"/>
        <w:gridCol w:w="907"/>
      </w:tblGrid>
      <w:tr w:rsidR="00F15F01" w:rsidRPr="00F15F01" w14:paraId="1833AA28" w14:textId="77777777" w:rsidTr="00F15F01">
        <w:trPr>
          <w:trHeight w:val="60"/>
          <w:tblHeader/>
        </w:trPr>
        <w:tc>
          <w:tcPr>
            <w:tcW w:w="1474" w:type="dxa"/>
            <w:vMerge w:val="restart"/>
            <w:tcBorders>
              <w:top w:val="single" w:sz="6" w:space="0" w:color="FFFFFF" w:themeColor="background1"/>
              <w:left w:val="nil"/>
              <w:bottom w:val="single" w:sz="6" w:space="0" w:color="FFFFFF" w:themeColor="background1"/>
            </w:tcBorders>
            <w:shd w:val="clear" w:color="auto" w:fill="1E4496" w:themeFill="text2"/>
            <w:tcMar>
              <w:top w:w="85" w:type="dxa"/>
              <w:left w:w="85" w:type="dxa"/>
              <w:bottom w:w="85" w:type="dxa"/>
              <w:right w:w="85" w:type="dxa"/>
            </w:tcMar>
            <w:vAlign w:val="bottom"/>
          </w:tcPr>
          <w:p w14:paraId="77B3083E" w14:textId="77777777" w:rsidR="00F15F01" w:rsidRPr="00F15F01" w:rsidRDefault="00F15F01" w:rsidP="00F15F01">
            <w:pPr>
              <w:pStyle w:val="CDITable-HeaderRowLeft"/>
              <w:rPr>
                <w:lang w:val="en-GB"/>
              </w:rPr>
            </w:pPr>
            <w:r w:rsidRPr="00F15F01">
              <w:rPr>
                <w:lang w:val="en-GB"/>
              </w:rPr>
              <w:t>Exposure Classification</w:t>
            </w:r>
          </w:p>
        </w:tc>
        <w:tc>
          <w:tcPr>
            <w:tcW w:w="1928" w:type="dxa"/>
            <w:vMerge w:val="restart"/>
            <w:tcBorders>
              <w:top w:val="single" w:sz="6" w:space="0" w:color="FFFFFF" w:themeColor="background1"/>
              <w:bottom w:val="single" w:sz="6" w:space="0" w:color="FFFFFF" w:themeColor="background1"/>
            </w:tcBorders>
            <w:shd w:val="clear" w:color="auto" w:fill="1E4496" w:themeFill="text2"/>
            <w:tcMar>
              <w:top w:w="85" w:type="dxa"/>
              <w:left w:w="85" w:type="dxa"/>
              <w:bottom w:w="85" w:type="dxa"/>
              <w:right w:w="85" w:type="dxa"/>
            </w:tcMar>
            <w:vAlign w:val="bottom"/>
          </w:tcPr>
          <w:p w14:paraId="2A503713" w14:textId="77777777" w:rsidR="00F15F01" w:rsidRPr="00F15F01" w:rsidRDefault="00F15F01" w:rsidP="00F15F01">
            <w:pPr>
              <w:pStyle w:val="CDITable-HeaderRowLeft"/>
              <w:rPr>
                <w:lang w:val="en-GB"/>
              </w:rPr>
            </w:pPr>
            <w:r w:rsidRPr="00F15F01">
              <w:rPr>
                <w:lang w:val="en-GB"/>
              </w:rPr>
              <w:t>Category</w:t>
            </w:r>
          </w:p>
        </w:tc>
        <w:tc>
          <w:tcPr>
            <w:tcW w:w="1870" w:type="dxa"/>
            <w:gridSpan w:val="3"/>
            <w:tcBorders>
              <w:top w:val="single" w:sz="6" w:space="0" w:color="FFFFFF" w:themeColor="background1"/>
              <w:bottom w:val="single" w:sz="6" w:space="0" w:color="FFFFFF" w:themeColor="background1"/>
            </w:tcBorders>
            <w:shd w:val="clear" w:color="auto" w:fill="1E4496" w:themeFill="text2"/>
            <w:tcMar>
              <w:top w:w="85" w:type="dxa"/>
              <w:left w:w="85" w:type="dxa"/>
              <w:bottom w:w="85" w:type="dxa"/>
              <w:right w:w="85" w:type="dxa"/>
            </w:tcMar>
            <w:vAlign w:val="bottom"/>
          </w:tcPr>
          <w:p w14:paraId="625D93D0" w14:textId="77777777" w:rsidR="00F15F01" w:rsidRPr="00F15F01" w:rsidRDefault="00F15F01" w:rsidP="00F15F01">
            <w:pPr>
              <w:pStyle w:val="CDITable-HeaderRowCentre"/>
            </w:pPr>
            <w:proofErr w:type="spellStart"/>
            <w:r w:rsidRPr="00F15F01">
              <w:t>Cases</w:t>
            </w:r>
            <w:r w:rsidRPr="00F15F01">
              <w:rPr>
                <w:vertAlign w:val="superscript"/>
              </w:rPr>
              <w:t>a</w:t>
            </w:r>
            <w:proofErr w:type="spellEnd"/>
          </w:p>
        </w:tc>
        <w:tc>
          <w:tcPr>
            <w:tcW w:w="1871" w:type="dxa"/>
            <w:gridSpan w:val="3"/>
            <w:tcBorders>
              <w:top w:val="single" w:sz="6" w:space="0" w:color="FFFFFF" w:themeColor="background1"/>
              <w:bottom w:val="single" w:sz="6" w:space="0" w:color="FFFFFF" w:themeColor="background1"/>
            </w:tcBorders>
            <w:shd w:val="clear" w:color="auto" w:fill="1E4496" w:themeFill="text2"/>
            <w:tcMar>
              <w:top w:w="85" w:type="dxa"/>
              <w:left w:w="85" w:type="dxa"/>
              <w:bottom w:w="85" w:type="dxa"/>
              <w:right w:w="85" w:type="dxa"/>
            </w:tcMar>
            <w:vAlign w:val="bottom"/>
          </w:tcPr>
          <w:p w14:paraId="3AFC9071" w14:textId="77777777" w:rsidR="00F15F01" w:rsidRPr="00F15F01" w:rsidRDefault="00F15F01" w:rsidP="00F15F01">
            <w:pPr>
              <w:pStyle w:val="CDITable-HeaderRowCentre"/>
            </w:pPr>
            <w:proofErr w:type="spellStart"/>
            <w:r w:rsidRPr="00F15F01">
              <w:t>Controls</w:t>
            </w:r>
            <w:r w:rsidRPr="00F15F01">
              <w:rPr>
                <w:vertAlign w:val="superscript"/>
              </w:rPr>
              <w:t>a</w:t>
            </w:r>
            <w:proofErr w:type="spellEnd"/>
          </w:p>
        </w:tc>
        <w:tc>
          <w:tcPr>
            <w:tcW w:w="2495" w:type="dxa"/>
            <w:gridSpan w:val="3"/>
            <w:tcBorders>
              <w:top w:val="single" w:sz="6" w:space="0" w:color="FFFFFF" w:themeColor="background1"/>
              <w:bottom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063E1EE3" w14:textId="77777777" w:rsidR="00F15F01" w:rsidRPr="00F15F01" w:rsidRDefault="00F15F01" w:rsidP="00F15F01">
            <w:pPr>
              <w:pStyle w:val="CDITable-HeaderRowCentre"/>
            </w:pPr>
            <w:r w:rsidRPr="00F15F01">
              <w:t xml:space="preserve">Multivariable </w:t>
            </w:r>
            <w:proofErr w:type="spellStart"/>
            <w:r w:rsidRPr="00F15F01">
              <w:t>analysis</w:t>
            </w:r>
            <w:r w:rsidRPr="00F15F01">
              <w:rPr>
                <w:vertAlign w:val="superscript"/>
              </w:rPr>
              <w:t>b</w:t>
            </w:r>
            <w:proofErr w:type="spellEnd"/>
          </w:p>
        </w:tc>
      </w:tr>
      <w:tr w:rsidR="00F15F01" w:rsidRPr="00F15F01" w14:paraId="74801F18" w14:textId="77777777" w:rsidTr="003047C2">
        <w:trPr>
          <w:trHeight w:val="60"/>
          <w:tblHeader/>
        </w:trPr>
        <w:tc>
          <w:tcPr>
            <w:tcW w:w="1474" w:type="dxa"/>
            <w:vMerge/>
            <w:tcBorders>
              <w:top w:val="single" w:sz="6" w:space="0" w:color="FFFFFF" w:themeColor="background1"/>
              <w:left w:val="nil"/>
            </w:tcBorders>
            <w:shd w:val="clear" w:color="auto" w:fill="1E4496" w:themeFill="text2"/>
            <w:tcMar>
              <w:top w:w="85" w:type="dxa"/>
              <w:left w:w="85" w:type="dxa"/>
              <w:bottom w:w="85" w:type="dxa"/>
              <w:right w:w="85" w:type="dxa"/>
            </w:tcMar>
          </w:tcPr>
          <w:p w14:paraId="11138325" w14:textId="77777777" w:rsidR="00F15F01" w:rsidRPr="00F15F01" w:rsidRDefault="00F15F01" w:rsidP="00F15F01">
            <w:pPr>
              <w:pStyle w:val="CDITable-RowCentre"/>
            </w:pPr>
          </w:p>
        </w:tc>
        <w:tc>
          <w:tcPr>
            <w:tcW w:w="1928" w:type="dxa"/>
            <w:vMerge/>
            <w:tcBorders>
              <w:top w:val="single" w:sz="6" w:space="0" w:color="FFFFFF" w:themeColor="background1"/>
            </w:tcBorders>
            <w:shd w:val="clear" w:color="auto" w:fill="1E4496" w:themeFill="text2"/>
            <w:tcMar>
              <w:top w:w="85" w:type="dxa"/>
              <w:left w:w="85" w:type="dxa"/>
              <w:bottom w:w="85" w:type="dxa"/>
              <w:right w:w="85" w:type="dxa"/>
            </w:tcMar>
          </w:tcPr>
          <w:p w14:paraId="349AE847" w14:textId="77777777" w:rsidR="00F15F01" w:rsidRPr="00F15F01" w:rsidRDefault="00F15F01" w:rsidP="00F15F01">
            <w:pPr>
              <w:pStyle w:val="CDITable-RowCentre"/>
            </w:pPr>
          </w:p>
        </w:tc>
        <w:tc>
          <w:tcPr>
            <w:tcW w:w="623"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35CDAA5C" w14:textId="77777777" w:rsidR="00F15F01" w:rsidRPr="00F15F01" w:rsidRDefault="00F15F01" w:rsidP="00F15F01">
            <w:pPr>
              <w:pStyle w:val="CDITable-HeaderRowCentre"/>
            </w:pPr>
            <w:r w:rsidRPr="00F15F01">
              <w:t>n</w:t>
            </w:r>
          </w:p>
        </w:tc>
        <w:tc>
          <w:tcPr>
            <w:tcW w:w="624"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2E0D5899" w14:textId="77777777" w:rsidR="00F15F01" w:rsidRPr="00F15F01" w:rsidRDefault="00F15F01" w:rsidP="00F15F01">
            <w:pPr>
              <w:pStyle w:val="CDITable-HeaderRowCentre"/>
            </w:pPr>
            <w:r w:rsidRPr="00F15F01">
              <w:t>N</w:t>
            </w:r>
          </w:p>
        </w:tc>
        <w:tc>
          <w:tcPr>
            <w:tcW w:w="623"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510CC2DE" w14:textId="77777777" w:rsidR="00F15F01" w:rsidRPr="00F15F01" w:rsidRDefault="00F15F01" w:rsidP="00F15F01">
            <w:pPr>
              <w:pStyle w:val="CDITable-HeaderRowCentre"/>
            </w:pPr>
            <w:r w:rsidRPr="00F15F01">
              <w:t>%</w:t>
            </w:r>
          </w:p>
        </w:tc>
        <w:tc>
          <w:tcPr>
            <w:tcW w:w="624"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719C9DF4" w14:textId="77777777" w:rsidR="00F15F01" w:rsidRPr="00F15F01" w:rsidRDefault="00F15F01" w:rsidP="00F15F01">
            <w:pPr>
              <w:pStyle w:val="CDITable-HeaderRowCentre"/>
            </w:pPr>
            <w:r w:rsidRPr="00F15F01">
              <w:t>n</w:t>
            </w:r>
          </w:p>
        </w:tc>
        <w:tc>
          <w:tcPr>
            <w:tcW w:w="624"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20649BA5" w14:textId="77777777" w:rsidR="00F15F01" w:rsidRPr="00F15F01" w:rsidRDefault="00F15F01" w:rsidP="00F15F01">
            <w:pPr>
              <w:pStyle w:val="CDITable-HeaderRowCentre"/>
            </w:pPr>
            <w:r w:rsidRPr="00F15F01">
              <w:t>N</w:t>
            </w:r>
          </w:p>
        </w:tc>
        <w:tc>
          <w:tcPr>
            <w:tcW w:w="623"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4EB3C21C" w14:textId="77777777" w:rsidR="00F15F01" w:rsidRPr="00F15F01" w:rsidRDefault="00F15F01" w:rsidP="00F15F01">
            <w:pPr>
              <w:pStyle w:val="CDITable-HeaderRowCentre"/>
            </w:pPr>
            <w:r w:rsidRPr="00F15F01">
              <w:t>%</w:t>
            </w:r>
          </w:p>
        </w:tc>
        <w:tc>
          <w:tcPr>
            <w:tcW w:w="624"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612A9CB6" w14:textId="77777777" w:rsidR="00F15F01" w:rsidRPr="00F15F01" w:rsidRDefault="00F15F01" w:rsidP="00F15F01">
            <w:pPr>
              <w:pStyle w:val="CDITable-HeaderRowCentre"/>
            </w:pPr>
            <w:proofErr w:type="spellStart"/>
            <w:r w:rsidRPr="00F15F01">
              <w:t>aOR</w:t>
            </w:r>
            <w:proofErr w:type="spellEnd"/>
          </w:p>
        </w:tc>
        <w:tc>
          <w:tcPr>
            <w:tcW w:w="964"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3ACAEB94" w14:textId="77777777" w:rsidR="00F15F01" w:rsidRPr="00F15F01" w:rsidRDefault="00F15F01" w:rsidP="00F15F01">
            <w:pPr>
              <w:pStyle w:val="CDITable-HeaderRowCentre"/>
            </w:pPr>
            <w:r w:rsidRPr="00F15F01">
              <w:t>95% CI</w:t>
            </w:r>
          </w:p>
        </w:tc>
        <w:tc>
          <w:tcPr>
            <w:tcW w:w="907"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15BC511A" w14:textId="77777777" w:rsidR="00F15F01" w:rsidRPr="00F15F01" w:rsidRDefault="00F15F01" w:rsidP="00F15F01">
            <w:pPr>
              <w:pStyle w:val="CDITable-HeaderRowCentre"/>
            </w:pPr>
            <w:r w:rsidRPr="00F15F01">
              <w:rPr>
                <w:i/>
                <w:iCs/>
              </w:rPr>
              <w:t>p</w:t>
            </w:r>
            <w:r w:rsidRPr="00F15F01">
              <w:t>-value</w:t>
            </w:r>
          </w:p>
        </w:tc>
      </w:tr>
      <w:tr w:rsidR="00F15F01" w:rsidRPr="00F15F01" w14:paraId="4AB41471" w14:textId="77777777" w:rsidTr="003047C2">
        <w:trPr>
          <w:trHeight w:val="60"/>
        </w:trPr>
        <w:tc>
          <w:tcPr>
            <w:tcW w:w="1474" w:type="dxa"/>
            <w:vMerge w:val="restart"/>
            <w:tcBorders>
              <w:left w:val="nil"/>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7235D4F3" w14:textId="77777777" w:rsidR="00F15F01" w:rsidRPr="00F15F01" w:rsidRDefault="00F15F01" w:rsidP="00F15F01">
            <w:pPr>
              <w:pStyle w:val="CDITable-RowLeft"/>
              <w:rPr>
                <w:b/>
                <w:bCs/>
                <w:lang w:val="en-GB"/>
              </w:rPr>
            </w:pPr>
            <w:r w:rsidRPr="00F15F01">
              <w:rPr>
                <w:b/>
                <w:bCs/>
                <w:lang w:val="en-GB"/>
              </w:rPr>
              <w:t>Food</w:t>
            </w:r>
          </w:p>
        </w:tc>
        <w:tc>
          <w:tcPr>
            <w:tcW w:w="1928" w:type="dxa"/>
            <w:tcBorders>
              <w:bottom w:val="single" w:sz="6" w:space="0" w:color="1E4496" w:themeColor="text2"/>
            </w:tcBorders>
            <w:shd w:val="solid" w:color="FFFFFF" w:fill="auto"/>
            <w:tcMar>
              <w:top w:w="85" w:type="dxa"/>
              <w:left w:w="85" w:type="dxa"/>
              <w:bottom w:w="85" w:type="dxa"/>
              <w:right w:w="85" w:type="dxa"/>
            </w:tcMar>
            <w:vAlign w:val="center"/>
          </w:tcPr>
          <w:p w14:paraId="16376A96" w14:textId="77777777" w:rsidR="00F15F01" w:rsidRPr="00F15F01" w:rsidRDefault="00F15F01" w:rsidP="00F15F01">
            <w:pPr>
              <w:pStyle w:val="CDITable-RowLeft"/>
              <w:rPr>
                <w:lang w:val="en-GB"/>
              </w:rPr>
            </w:pPr>
            <w:r w:rsidRPr="00F15F01">
              <w:rPr>
                <w:lang w:val="en-GB"/>
              </w:rPr>
              <w:t>Fruit</w:t>
            </w:r>
          </w:p>
        </w:tc>
        <w:tc>
          <w:tcPr>
            <w:tcW w:w="623" w:type="dxa"/>
            <w:tcBorders>
              <w:bottom w:val="single" w:sz="6" w:space="0" w:color="1E4496" w:themeColor="text2"/>
            </w:tcBorders>
            <w:shd w:val="solid" w:color="FFFFFF" w:fill="auto"/>
            <w:tcMar>
              <w:top w:w="85" w:type="dxa"/>
              <w:left w:w="85" w:type="dxa"/>
              <w:bottom w:w="85" w:type="dxa"/>
              <w:right w:w="85" w:type="dxa"/>
            </w:tcMar>
            <w:vAlign w:val="center"/>
          </w:tcPr>
          <w:p w14:paraId="6700BD27" w14:textId="77777777" w:rsidR="00F15F01" w:rsidRPr="00F15F01" w:rsidRDefault="00F15F01" w:rsidP="00F15F01">
            <w:pPr>
              <w:pStyle w:val="CDITable-RowCentre"/>
              <w:rPr>
                <w:lang w:val="en-GB"/>
              </w:rPr>
            </w:pPr>
            <w:r w:rsidRPr="00F15F01">
              <w:rPr>
                <w:lang w:val="en-GB"/>
              </w:rPr>
              <w:t>44</w:t>
            </w:r>
          </w:p>
        </w:tc>
        <w:tc>
          <w:tcPr>
            <w:tcW w:w="624" w:type="dxa"/>
            <w:tcBorders>
              <w:bottom w:val="single" w:sz="6" w:space="0" w:color="1E4496" w:themeColor="text2"/>
            </w:tcBorders>
            <w:shd w:val="solid" w:color="FFFFFF" w:fill="auto"/>
            <w:tcMar>
              <w:top w:w="85" w:type="dxa"/>
              <w:left w:w="85" w:type="dxa"/>
              <w:bottom w:w="85" w:type="dxa"/>
              <w:right w:w="85" w:type="dxa"/>
            </w:tcMar>
            <w:vAlign w:val="center"/>
          </w:tcPr>
          <w:p w14:paraId="22657802" w14:textId="77777777" w:rsidR="00F15F01" w:rsidRPr="00F15F01" w:rsidRDefault="00F15F01" w:rsidP="00F15F01">
            <w:pPr>
              <w:pStyle w:val="CDITable-RowCentre"/>
              <w:rPr>
                <w:lang w:val="en-GB"/>
              </w:rPr>
            </w:pPr>
            <w:r w:rsidRPr="00F15F01">
              <w:rPr>
                <w:lang w:val="en-GB"/>
              </w:rPr>
              <w:t>59</w:t>
            </w:r>
          </w:p>
        </w:tc>
        <w:tc>
          <w:tcPr>
            <w:tcW w:w="623" w:type="dxa"/>
            <w:tcBorders>
              <w:bottom w:val="single" w:sz="6" w:space="0" w:color="1E4496" w:themeColor="text2"/>
              <w:right w:val="single" w:sz="6" w:space="0" w:color="1E4496" w:themeColor="text2"/>
            </w:tcBorders>
            <w:shd w:val="solid" w:color="FFFFFF" w:fill="auto"/>
            <w:tcMar>
              <w:top w:w="85" w:type="dxa"/>
              <w:left w:w="85" w:type="dxa"/>
              <w:bottom w:w="85" w:type="dxa"/>
              <w:right w:w="85" w:type="dxa"/>
            </w:tcMar>
            <w:vAlign w:val="center"/>
          </w:tcPr>
          <w:p w14:paraId="29B99B5A" w14:textId="77777777" w:rsidR="00F15F01" w:rsidRPr="00F15F01" w:rsidRDefault="00F15F01" w:rsidP="00F15F01">
            <w:pPr>
              <w:pStyle w:val="CDITable-RowCentre"/>
              <w:rPr>
                <w:lang w:val="en-GB"/>
              </w:rPr>
            </w:pPr>
            <w:r w:rsidRPr="00F15F01">
              <w:rPr>
                <w:lang w:val="en-GB"/>
              </w:rPr>
              <w:t>74.6</w:t>
            </w:r>
          </w:p>
        </w:tc>
        <w:tc>
          <w:tcPr>
            <w:tcW w:w="624" w:type="dxa"/>
            <w:tcBorders>
              <w:left w:val="single" w:sz="6" w:space="0" w:color="1E4496" w:themeColor="text2"/>
              <w:bottom w:val="single" w:sz="6" w:space="0" w:color="1E4496" w:themeColor="text2"/>
            </w:tcBorders>
            <w:shd w:val="solid" w:color="FFFFFF" w:fill="auto"/>
            <w:tcMar>
              <w:top w:w="85" w:type="dxa"/>
              <w:left w:w="85" w:type="dxa"/>
              <w:bottom w:w="85" w:type="dxa"/>
              <w:right w:w="85" w:type="dxa"/>
            </w:tcMar>
            <w:vAlign w:val="center"/>
          </w:tcPr>
          <w:p w14:paraId="50898F21" w14:textId="77777777" w:rsidR="00F15F01" w:rsidRPr="00F15F01" w:rsidRDefault="00F15F01" w:rsidP="00F15F01">
            <w:pPr>
              <w:pStyle w:val="CDITable-RowCentre"/>
              <w:rPr>
                <w:lang w:val="en-GB"/>
              </w:rPr>
            </w:pPr>
            <w:r w:rsidRPr="00F15F01">
              <w:rPr>
                <w:lang w:val="en-GB"/>
              </w:rPr>
              <w:t>15</w:t>
            </w:r>
          </w:p>
        </w:tc>
        <w:tc>
          <w:tcPr>
            <w:tcW w:w="624" w:type="dxa"/>
            <w:tcBorders>
              <w:bottom w:val="single" w:sz="6" w:space="0" w:color="1E4496" w:themeColor="text2"/>
            </w:tcBorders>
            <w:shd w:val="solid" w:color="FFFFFF" w:fill="auto"/>
            <w:tcMar>
              <w:top w:w="85" w:type="dxa"/>
              <w:left w:w="85" w:type="dxa"/>
              <w:bottom w:w="85" w:type="dxa"/>
              <w:right w:w="85" w:type="dxa"/>
            </w:tcMar>
            <w:vAlign w:val="center"/>
          </w:tcPr>
          <w:p w14:paraId="4844D11C" w14:textId="77777777" w:rsidR="00F15F01" w:rsidRPr="00F15F01" w:rsidRDefault="00F15F01" w:rsidP="00F15F01">
            <w:pPr>
              <w:pStyle w:val="CDITable-RowCentre"/>
              <w:rPr>
                <w:lang w:val="en-GB"/>
              </w:rPr>
            </w:pPr>
            <w:r w:rsidRPr="00F15F01">
              <w:rPr>
                <w:lang w:val="en-GB"/>
              </w:rPr>
              <w:t>46</w:t>
            </w:r>
          </w:p>
        </w:tc>
        <w:tc>
          <w:tcPr>
            <w:tcW w:w="623" w:type="dxa"/>
            <w:tcBorders>
              <w:bottom w:val="single" w:sz="6" w:space="0" w:color="1E4496" w:themeColor="text2"/>
              <w:right w:val="single" w:sz="6" w:space="0" w:color="1E4496" w:themeColor="text2"/>
            </w:tcBorders>
            <w:shd w:val="solid" w:color="FFFFFF" w:fill="auto"/>
            <w:tcMar>
              <w:top w:w="85" w:type="dxa"/>
              <w:left w:w="85" w:type="dxa"/>
              <w:bottom w:w="85" w:type="dxa"/>
              <w:right w:w="85" w:type="dxa"/>
            </w:tcMar>
            <w:vAlign w:val="center"/>
          </w:tcPr>
          <w:p w14:paraId="1316FD23" w14:textId="77777777" w:rsidR="00F15F01" w:rsidRPr="00F15F01" w:rsidRDefault="00F15F01" w:rsidP="00F15F01">
            <w:pPr>
              <w:pStyle w:val="CDITable-RowCentre"/>
              <w:rPr>
                <w:lang w:val="en-GB"/>
              </w:rPr>
            </w:pPr>
            <w:r w:rsidRPr="00F15F01">
              <w:rPr>
                <w:lang w:val="en-GB"/>
              </w:rPr>
              <w:t>32.6</w:t>
            </w:r>
          </w:p>
        </w:tc>
        <w:tc>
          <w:tcPr>
            <w:tcW w:w="624" w:type="dxa"/>
            <w:tcBorders>
              <w:left w:val="single" w:sz="6" w:space="0" w:color="1E4496" w:themeColor="text2"/>
              <w:bottom w:val="single" w:sz="6" w:space="0" w:color="1E4496" w:themeColor="text2"/>
            </w:tcBorders>
            <w:shd w:val="solid" w:color="FFFFFF" w:fill="auto"/>
            <w:tcMar>
              <w:top w:w="85" w:type="dxa"/>
              <w:left w:w="85" w:type="dxa"/>
              <w:bottom w:w="85" w:type="dxa"/>
              <w:right w:w="85" w:type="dxa"/>
            </w:tcMar>
            <w:vAlign w:val="center"/>
          </w:tcPr>
          <w:p w14:paraId="73F9D2A5" w14:textId="77777777" w:rsidR="00F15F01" w:rsidRPr="00F15F01" w:rsidRDefault="00F15F01" w:rsidP="00F15F01">
            <w:pPr>
              <w:pStyle w:val="CDITable-RowCentre"/>
              <w:rPr>
                <w:lang w:val="en-GB"/>
              </w:rPr>
            </w:pPr>
            <w:r w:rsidRPr="00F15F01">
              <w:rPr>
                <w:lang w:val="en-GB"/>
              </w:rPr>
              <w:t>4.4</w:t>
            </w:r>
          </w:p>
        </w:tc>
        <w:tc>
          <w:tcPr>
            <w:tcW w:w="964" w:type="dxa"/>
            <w:tcBorders>
              <w:bottom w:val="single" w:sz="6" w:space="0" w:color="1E4496" w:themeColor="text2"/>
            </w:tcBorders>
            <w:shd w:val="solid" w:color="FFFFFF" w:fill="auto"/>
            <w:tcMar>
              <w:top w:w="85" w:type="dxa"/>
              <w:left w:w="85" w:type="dxa"/>
              <w:bottom w:w="85" w:type="dxa"/>
              <w:right w:w="85" w:type="dxa"/>
            </w:tcMar>
            <w:vAlign w:val="center"/>
          </w:tcPr>
          <w:p w14:paraId="52130737" w14:textId="77777777" w:rsidR="00F15F01" w:rsidRPr="00F15F01" w:rsidRDefault="00F15F01" w:rsidP="00F15F01">
            <w:pPr>
              <w:pStyle w:val="CDITable-RowCentre"/>
              <w:rPr>
                <w:lang w:val="en-GB"/>
              </w:rPr>
            </w:pPr>
            <w:r w:rsidRPr="00F15F01">
              <w:rPr>
                <w:lang w:val="en-GB"/>
              </w:rPr>
              <w:t>1.6–12.6</w:t>
            </w:r>
          </w:p>
        </w:tc>
        <w:tc>
          <w:tcPr>
            <w:tcW w:w="907" w:type="dxa"/>
            <w:tcBorders>
              <w:bottom w:val="single" w:sz="6" w:space="0" w:color="1E4496" w:themeColor="text2"/>
              <w:right w:val="nil"/>
            </w:tcBorders>
            <w:shd w:val="solid" w:color="FFFFFF" w:fill="auto"/>
            <w:tcMar>
              <w:top w:w="85" w:type="dxa"/>
              <w:left w:w="85" w:type="dxa"/>
              <w:bottom w:w="85" w:type="dxa"/>
              <w:right w:w="85" w:type="dxa"/>
            </w:tcMar>
            <w:vAlign w:val="center"/>
          </w:tcPr>
          <w:p w14:paraId="3F08ABD0" w14:textId="77777777" w:rsidR="00F15F01" w:rsidRPr="00F15F01" w:rsidRDefault="00F15F01" w:rsidP="00F15F01">
            <w:pPr>
              <w:pStyle w:val="CDITable-RowCentre"/>
              <w:rPr>
                <w:lang w:val="en-GB"/>
              </w:rPr>
            </w:pPr>
            <w:r w:rsidRPr="00F15F01">
              <w:rPr>
                <w:lang w:val="en-GB"/>
              </w:rPr>
              <w:t>&lt; 0.01</w:t>
            </w:r>
          </w:p>
        </w:tc>
      </w:tr>
      <w:tr w:rsidR="00F15F01" w:rsidRPr="00F15F01" w14:paraId="4791C13A" w14:textId="77777777" w:rsidTr="003047C2">
        <w:trPr>
          <w:trHeight w:val="60"/>
        </w:trPr>
        <w:tc>
          <w:tcPr>
            <w:tcW w:w="1474"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798110A2" w14:textId="77777777" w:rsidR="00F15F01" w:rsidRPr="00F15F01" w:rsidRDefault="00F15F01" w:rsidP="00F15F01">
            <w:pPr>
              <w:pStyle w:val="CDITable-RowLeft"/>
              <w:rPr>
                <w:b/>
                <w:bCs/>
              </w:rPr>
            </w:pPr>
          </w:p>
        </w:tc>
        <w:tc>
          <w:tcPr>
            <w:tcW w:w="1928"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7681208" w14:textId="77777777" w:rsidR="00F15F01" w:rsidRPr="00F15F01" w:rsidRDefault="00F15F01" w:rsidP="00F15F01">
            <w:pPr>
              <w:pStyle w:val="CDITable-RowLeft"/>
              <w:rPr>
                <w:lang w:val="en-GB"/>
              </w:rPr>
            </w:pPr>
            <w:r w:rsidRPr="00F15F01">
              <w:rPr>
                <w:lang w:val="en-GB"/>
              </w:rPr>
              <w:t>Cured or dried meat</w:t>
            </w:r>
          </w:p>
        </w:tc>
        <w:tc>
          <w:tcPr>
            <w:tcW w:w="623"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E88AE6D" w14:textId="77777777" w:rsidR="00F15F01" w:rsidRPr="00F15F01" w:rsidRDefault="00F15F01" w:rsidP="00F15F01">
            <w:pPr>
              <w:pStyle w:val="CDITable-RowCentre"/>
              <w:rPr>
                <w:lang w:val="en-GB"/>
              </w:rPr>
            </w:pPr>
            <w:r w:rsidRPr="00F15F01">
              <w:rPr>
                <w:lang w:val="en-GB"/>
              </w:rPr>
              <w:t>30</w:t>
            </w:r>
          </w:p>
        </w:tc>
        <w:tc>
          <w:tcPr>
            <w:tcW w:w="62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C984630" w14:textId="77777777" w:rsidR="00F15F01" w:rsidRPr="00F15F01" w:rsidRDefault="00F15F01" w:rsidP="00F15F01">
            <w:pPr>
              <w:pStyle w:val="CDITable-RowCentre"/>
              <w:rPr>
                <w:lang w:val="en-GB"/>
              </w:rPr>
            </w:pPr>
            <w:r w:rsidRPr="00F15F01">
              <w:rPr>
                <w:lang w:val="en-GB"/>
              </w:rPr>
              <w:t>59</w:t>
            </w:r>
          </w:p>
        </w:tc>
        <w:tc>
          <w:tcPr>
            <w:tcW w:w="623"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78C9A149" w14:textId="77777777" w:rsidR="00F15F01" w:rsidRPr="00F15F01" w:rsidRDefault="00F15F01" w:rsidP="00F15F01">
            <w:pPr>
              <w:pStyle w:val="CDITable-RowCentre"/>
              <w:rPr>
                <w:lang w:val="en-GB"/>
              </w:rPr>
            </w:pPr>
            <w:r w:rsidRPr="00F15F01">
              <w:rPr>
                <w:lang w:val="en-GB"/>
              </w:rPr>
              <w:t>50.8</w:t>
            </w:r>
          </w:p>
        </w:tc>
        <w:tc>
          <w:tcPr>
            <w:tcW w:w="624"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6A3D657A" w14:textId="77777777" w:rsidR="00F15F01" w:rsidRPr="00F15F01" w:rsidRDefault="00F15F01" w:rsidP="00F15F01">
            <w:pPr>
              <w:pStyle w:val="CDITable-RowCentre"/>
              <w:rPr>
                <w:lang w:val="en-GB"/>
              </w:rPr>
            </w:pPr>
            <w:r w:rsidRPr="00F15F01">
              <w:rPr>
                <w:lang w:val="en-GB"/>
              </w:rPr>
              <w:t>13</w:t>
            </w:r>
          </w:p>
        </w:tc>
        <w:tc>
          <w:tcPr>
            <w:tcW w:w="62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06AF22E" w14:textId="77777777" w:rsidR="00F15F01" w:rsidRPr="00F15F01" w:rsidRDefault="00F15F01" w:rsidP="00F15F01">
            <w:pPr>
              <w:pStyle w:val="CDITable-RowCentre"/>
              <w:rPr>
                <w:lang w:val="en-GB"/>
              </w:rPr>
            </w:pPr>
            <w:r w:rsidRPr="00F15F01">
              <w:rPr>
                <w:lang w:val="en-GB"/>
              </w:rPr>
              <w:t>46</w:t>
            </w:r>
          </w:p>
        </w:tc>
        <w:tc>
          <w:tcPr>
            <w:tcW w:w="623"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31D9A807" w14:textId="77777777" w:rsidR="00F15F01" w:rsidRPr="00F15F01" w:rsidRDefault="00F15F01" w:rsidP="00F15F01">
            <w:pPr>
              <w:pStyle w:val="CDITable-RowCentre"/>
              <w:rPr>
                <w:lang w:val="en-GB"/>
              </w:rPr>
            </w:pPr>
            <w:r w:rsidRPr="00F15F01">
              <w:rPr>
                <w:lang w:val="en-GB"/>
              </w:rPr>
              <w:t>28.3</w:t>
            </w:r>
          </w:p>
        </w:tc>
        <w:tc>
          <w:tcPr>
            <w:tcW w:w="624"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060FDBCE" w14:textId="77777777" w:rsidR="00F15F01" w:rsidRPr="00F15F01" w:rsidRDefault="00F15F01" w:rsidP="00F15F01">
            <w:pPr>
              <w:pStyle w:val="CDITable-RowCentre"/>
              <w:rPr>
                <w:lang w:val="en-GB"/>
              </w:rPr>
            </w:pPr>
            <w:r w:rsidRPr="00F15F01">
              <w:rPr>
                <w:lang w:val="en-GB"/>
              </w:rPr>
              <w:t>7.0</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9701759" w14:textId="77777777" w:rsidR="00F15F01" w:rsidRPr="00F15F01" w:rsidRDefault="00F15F01" w:rsidP="00F15F01">
            <w:pPr>
              <w:pStyle w:val="CDITable-RowCentre"/>
              <w:rPr>
                <w:lang w:val="en-GB"/>
              </w:rPr>
            </w:pPr>
            <w:r w:rsidRPr="00F15F01">
              <w:rPr>
                <w:lang w:val="en-GB"/>
              </w:rPr>
              <w:t>2.4–24.4</w:t>
            </w:r>
          </w:p>
        </w:tc>
        <w:tc>
          <w:tcPr>
            <w:tcW w:w="90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4C3C7CEF" w14:textId="77777777" w:rsidR="00F15F01" w:rsidRPr="00F15F01" w:rsidRDefault="00F15F01" w:rsidP="00F15F01">
            <w:pPr>
              <w:pStyle w:val="CDITable-RowCentre"/>
              <w:rPr>
                <w:lang w:val="en-GB"/>
              </w:rPr>
            </w:pPr>
            <w:r w:rsidRPr="00F15F01">
              <w:rPr>
                <w:lang w:val="en-GB"/>
              </w:rPr>
              <w:t>&lt; 0.001</w:t>
            </w:r>
          </w:p>
        </w:tc>
      </w:tr>
      <w:tr w:rsidR="00F15F01" w:rsidRPr="00F15F01" w14:paraId="249F858D" w14:textId="77777777" w:rsidTr="003047C2">
        <w:trPr>
          <w:trHeight w:val="60"/>
        </w:trPr>
        <w:tc>
          <w:tcPr>
            <w:tcW w:w="1474" w:type="dxa"/>
            <w:vMerge w:val="restart"/>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vAlign w:val="center"/>
          </w:tcPr>
          <w:p w14:paraId="3DAEB732" w14:textId="77777777" w:rsidR="00F15F01" w:rsidRPr="00F15F01" w:rsidRDefault="00F15F01" w:rsidP="00F15F01">
            <w:pPr>
              <w:pStyle w:val="CDITable-RowLeft"/>
              <w:rPr>
                <w:b/>
                <w:bCs/>
                <w:lang w:val="en-GB"/>
              </w:rPr>
            </w:pPr>
            <w:r w:rsidRPr="00F15F01">
              <w:rPr>
                <w:b/>
                <w:bCs/>
                <w:lang w:val="en-GB"/>
              </w:rPr>
              <w:t>Age group</w:t>
            </w:r>
          </w:p>
        </w:tc>
        <w:tc>
          <w:tcPr>
            <w:tcW w:w="1928"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2B6CCEE" w14:textId="77777777" w:rsidR="00F15F01" w:rsidRPr="00F15F01" w:rsidRDefault="00F15F01" w:rsidP="00F15F01">
            <w:pPr>
              <w:pStyle w:val="CDITable-RowLeft"/>
              <w:rPr>
                <w:lang w:val="en-GB"/>
              </w:rPr>
            </w:pPr>
            <w:r w:rsidRPr="00F15F01">
              <w:rPr>
                <w:lang w:val="en-GB"/>
              </w:rPr>
              <w:t>0–17 years</w:t>
            </w:r>
          </w:p>
        </w:tc>
        <w:tc>
          <w:tcPr>
            <w:tcW w:w="623"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9E0C982" w14:textId="77777777" w:rsidR="00F15F01" w:rsidRPr="00F15F01" w:rsidRDefault="00F15F01" w:rsidP="00F15F01">
            <w:pPr>
              <w:pStyle w:val="CDITable-RowCentre"/>
              <w:rPr>
                <w:lang w:val="en-GB"/>
              </w:rPr>
            </w:pPr>
            <w:r w:rsidRPr="00F15F01">
              <w:rPr>
                <w:lang w:val="en-GB"/>
              </w:rPr>
              <w:t>36</w:t>
            </w:r>
          </w:p>
        </w:tc>
        <w:tc>
          <w:tcPr>
            <w:tcW w:w="62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F9F7496" w14:textId="77777777" w:rsidR="00F15F01" w:rsidRPr="00F15F01" w:rsidRDefault="00F15F01" w:rsidP="00F15F01">
            <w:pPr>
              <w:pStyle w:val="CDITable-RowCentre"/>
              <w:rPr>
                <w:lang w:val="en-GB"/>
              </w:rPr>
            </w:pPr>
            <w:r w:rsidRPr="00F15F01">
              <w:rPr>
                <w:lang w:val="en-GB"/>
              </w:rPr>
              <w:t>59</w:t>
            </w:r>
          </w:p>
        </w:tc>
        <w:tc>
          <w:tcPr>
            <w:tcW w:w="623"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5348A211" w14:textId="77777777" w:rsidR="00F15F01" w:rsidRPr="00F15F01" w:rsidRDefault="00F15F01" w:rsidP="00F15F01">
            <w:pPr>
              <w:pStyle w:val="CDITable-RowCentre"/>
              <w:rPr>
                <w:lang w:val="en-GB"/>
              </w:rPr>
            </w:pPr>
            <w:r w:rsidRPr="00F15F01">
              <w:rPr>
                <w:lang w:val="en-GB"/>
              </w:rPr>
              <w:t>61.0</w:t>
            </w:r>
          </w:p>
        </w:tc>
        <w:tc>
          <w:tcPr>
            <w:tcW w:w="624"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247E3E85" w14:textId="77777777" w:rsidR="00F15F01" w:rsidRPr="00F15F01" w:rsidRDefault="00F15F01" w:rsidP="00F15F01">
            <w:pPr>
              <w:pStyle w:val="CDITable-RowCentre"/>
              <w:rPr>
                <w:lang w:val="en-GB"/>
              </w:rPr>
            </w:pPr>
            <w:r w:rsidRPr="00F15F01">
              <w:rPr>
                <w:lang w:val="en-GB"/>
              </w:rPr>
              <w:t>12</w:t>
            </w:r>
          </w:p>
        </w:tc>
        <w:tc>
          <w:tcPr>
            <w:tcW w:w="62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A312DB7" w14:textId="77777777" w:rsidR="00F15F01" w:rsidRPr="00F15F01" w:rsidRDefault="00F15F01" w:rsidP="00F15F01">
            <w:pPr>
              <w:pStyle w:val="CDITable-RowCentre"/>
              <w:rPr>
                <w:lang w:val="en-GB"/>
              </w:rPr>
            </w:pPr>
            <w:r w:rsidRPr="00F15F01">
              <w:rPr>
                <w:lang w:val="en-GB"/>
              </w:rPr>
              <w:t>46</w:t>
            </w:r>
          </w:p>
        </w:tc>
        <w:tc>
          <w:tcPr>
            <w:tcW w:w="623"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6BB37E33" w14:textId="77777777" w:rsidR="00F15F01" w:rsidRPr="00F15F01" w:rsidRDefault="00F15F01" w:rsidP="00F15F01">
            <w:pPr>
              <w:pStyle w:val="CDITable-RowCentre"/>
              <w:rPr>
                <w:lang w:val="en-GB"/>
              </w:rPr>
            </w:pPr>
            <w:r w:rsidRPr="00F15F01">
              <w:rPr>
                <w:lang w:val="en-GB"/>
              </w:rPr>
              <w:t>26.1</w:t>
            </w:r>
          </w:p>
        </w:tc>
        <w:tc>
          <w:tcPr>
            <w:tcW w:w="624"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5FFD579F" w14:textId="77777777" w:rsidR="00F15F01" w:rsidRPr="00F15F01" w:rsidRDefault="00F15F01" w:rsidP="00F15F01">
            <w:pPr>
              <w:pStyle w:val="CDITable-RowCentre"/>
              <w:rPr>
                <w:lang w:val="en-GB"/>
              </w:rPr>
            </w:pPr>
            <w:r w:rsidRPr="00F15F01">
              <w:rPr>
                <w:lang w:val="en-GB"/>
              </w:rPr>
              <w:t>3.9</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5175A96" w14:textId="77777777" w:rsidR="00F15F01" w:rsidRPr="00F15F01" w:rsidRDefault="00F15F01" w:rsidP="00F15F01">
            <w:pPr>
              <w:pStyle w:val="CDITable-RowCentre"/>
              <w:rPr>
                <w:lang w:val="en-GB"/>
              </w:rPr>
            </w:pPr>
            <w:r w:rsidRPr="00F15F01">
              <w:rPr>
                <w:lang w:val="en-GB"/>
              </w:rPr>
              <w:t>1.0–15.7</w:t>
            </w:r>
          </w:p>
        </w:tc>
        <w:tc>
          <w:tcPr>
            <w:tcW w:w="90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3BFAEE94" w14:textId="77777777" w:rsidR="00F15F01" w:rsidRPr="00F15F01" w:rsidRDefault="00F15F01" w:rsidP="00F15F01">
            <w:pPr>
              <w:pStyle w:val="CDITable-RowCentre"/>
              <w:rPr>
                <w:lang w:val="en-GB"/>
              </w:rPr>
            </w:pPr>
            <w:r w:rsidRPr="00F15F01">
              <w:rPr>
                <w:lang w:val="en-GB"/>
              </w:rPr>
              <w:t>0.05</w:t>
            </w:r>
          </w:p>
        </w:tc>
      </w:tr>
      <w:tr w:rsidR="00F15F01" w:rsidRPr="00F15F01" w14:paraId="6C134AE2" w14:textId="77777777" w:rsidTr="003047C2">
        <w:trPr>
          <w:trHeight w:val="60"/>
        </w:trPr>
        <w:tc>
          <w:tcPr>
            <w:tcW w:w="1474"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16D32746" w14:textId="77777777" w:rsidR="00F15F01" w:rsidRPr="00F15F01" w:rsidRDefault="00F15F01" w:rsidP="00F15F01">
            <w:pPr>
              <w:pStyle w:val="CDITable-RowLeft"/>
            </w:pPr>
          </w:p>
        </w:tc>
        <w:tc>
          <w:tcPr>
            <w:tcW w:w="1928"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D9672FC" w14:textId="77777777" w:rsidR="00F15F01" w:rsidRPr="00F15F01" w:rsidRDefault="00F15F01" w:rsidP="00F15F01">
            <w:pPr>
              <w:pStyle w:val="CDITable-RowLeft"/>
              <w:rPr>
                <w:lang w:val="en-GB"/>
              </w:rPr>
            </w:pPr>
            <w:r w:rsidRPr="00F15F01">
              <w:rPr>
                <w:lang w:val="en-GB"/>
              </w:rPr>
              <w:t>18–39 years</w:t>
            </w:r>
          </w:p>
        </w:tc>
        <w:tc>
          <w:tcPr>
            <w:tcW w:w="623"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FC5FD1F" w14:textId="77777777" w:rsidR="00F15F01" w:rsidRPr="00F15F01" w:rsidRDefault="00F15F01" w:rsidP="00F15F01">
            <w:pPr>
              <w:pStyle w:val="CDITable-RowCentre"/>
              <w:rPr>
                <w:lang w:val="en-GB"/>
              </w:rPr>
            </w:pPr>
            <w:r w:rsidRPr="00F15F01">
              <w:rPr>
                <w:lang w:val="en-GB"/>
              </w:rPr>
              <w:t>11</w:t>
            </w:r>
          </w:p>
        </w:tc>
        <w:tc>
          <w:tcPr>
            <w:tcW w:w="62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98C645A" w14:textId="77777777" w:rsidR="00F15F01" w:rsidRPr="00F15F01" w:rsidRDefault="00F15F01" w:rsidP="00F15F01">
            <w:pPr>
              <w:pStyle w:val="CDITable-RowCentre"/>
              <w:rPr>
                <w:lang w:val="en-GB"/>
              </w:rPr>
            </w:pPr>
            <w:r w:rsidRPr="00F15F01">
              <w:rPr>
                <w:lang w:val="en-GB"/>
              </w:rPr>
              <w:t>59</w:t>
            </w:r>
          </w:p>
        </w:tc>
        <w:tc>
          <w:tcPr>
            <w:tcW w:w="623"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19F2C596" w14:textId="77777777" w:rsidR="00F15F01" w:rsidRPr="00F15F01" w:rsidRDefault="00F15F01" w:rsidP="00F15F01">
            <w:pPr>
              <w:pStyle w:val="CDITable-RowCentre"/>
              <w:rPr>
                <w:lang w:val="en-GB"/>
              </w:rPr>
            </w:pPr>
            <w:r w:rsidRPr="00F15F01">
              <w:rPr>
                <w:lang w:val="en-GB"/>
              </w:rPr>
              <w:t>18.6</w:t>
            </w:r>
          </w:p>
        </w:tc>
        <w:tc>
          <w:tcPr>
            <w:tcW w:w="624"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1192CCC2" w14:textId="77777777" w:rsidR="00F15F01" w:rsidRPr="00F15F01" w:rsidRDefault="00F15F01" w:rsidP="00F15F01">
            <w:pPr>
              <w:pStyle w:val="CDITable-RowCentre"/>
              <w:rPr>
                <w:lang w:val="en-GB"/>
              </w:rPr>
            </w:pPr>
            <w:r w:rsidRPr="00F15F01">
              <w:rPr>
                <w:lang w:val="en-GB"/>
              </w:rPr>
              <w:t>11</w:t>
            </w:r>
          </w:p>
        </w:tc>
        <w:tc>
          <w:tcPr>
            <w:tcW w:w="62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7C5E9F8" w14:textId="77777777" w:rsidR="00F15F01" w:rsidRPr="00F15F01" w:rsidRDefault="00F15F01" w:rsidP="00F15F01">
            <w:pPr>
              <w:pStyle w:val="CDITable-RowCentre"/>
              <w:rPr>
                <w:lang w:val="en-GB"/>
              </w:rPr>
            </w:pPr>
            <w:r w:rsidRPr="00F15F01">
              <w:rPr>
                <w:lang w:val="en-GB"/>
              </w:rPr>
              <w:t>46</w:t>
            </w:r>
          </w:p>
        </w:tc>
        <w:tc>
          <w:tcPr>
            <w:tcW w:w="623"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0EADB17A" w14:textId="77777777" w:rsidR="00F15F01" w:rsidRPr="00F15F01" w:rsidRDefault="00F15F01" w:rsidP="00F15F01">
            <w:pPr>
              <w:pStyle w:val="CDITable-RowCentre"/>
              <w:rPr>
                <w:lang w:val="en-GB"/>
              </w:rPr>
            </w:pPr>
            <w:r w:rsidRPr="00F15F01">
              <w:rPr>
                <w:lang w:val="en-GB"/>
              </w:rPr>
              <w:t>23.9</w:t>
            </w:r>
          </w:p>
        </w:tc>
        <w:tc>
          <w:tcPr>
            <w:tcW w:w="624"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387E5BC1" w14:textId="77777777" w:rsidR="00F15F01" w:rsidRPr="00F15F01" w:rsidRDefault="00F15F01" w:rsidP="00F15F01">
            <w:pPr>
              <w:pStyle w:val="CDITable-RowCentre"/>
              <w:rPr>
                <w:lang w:val="en-GB"/>
              </w:rPr>
            </w:pPr>
            <w:r w:rsidRPr="00F15F01">
              <w:rPr>
                <w:lang w:val="en-GB"/>
              </w:rPr>
              <w:t>—</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292CB0F" w14:textId="77777777" w:rsidR="00F15F01" w:rsidRPr="00F15F01" w:rsidRDefault="00F15F01" w:rsidP="00F15F01">
            <w:pPr>
              <w:pStyle w:val="CDITable-RowCentre"/>
              <w:rPr>
                <w:lang w:val="en-GB"/>
              </w:rPr>
            </w:pPr>
            <w:r w:rsidRPr="00F15F01">
              <w:rPr>
                <w:lang w:val="en-GB"/>
              </w:rPr>
              <w:t>—</w:t>
            </w:r>
          </w:p>
        </w:tc>
        <w:tc>
          <w:tcPr>
            <w:tcW w:w="90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3484F762" w14:textId="77777777" w:rsidR="00F15F01" w:rsidRPr="00F15F01" w:rsidRDefault="00F15F01" w:rsidP="00F15F01">
            <w:pPr>
              <w:pStyle w:val="CDITable-RowCentre"/>
              <w:rPr>
                <w:lang w:val="en-GB"/>
              </w:rPr>
            </w:pPr>
            <w:r w:rsidRPr="00F15F01">
              <w:rPr>
                <w:lang w:val="en-GB"/>
              </w:rPr>
              <w:t>—</w:t>
            </w:r>
          </w:p>
        </w:tc>
      </w:tr>
      <w:tr w:rsidR="00F15F01" w:rsidRPr="00F15F01" w14:paraId="7330897D" w14:textId="77777777" w:rsidTr="003047C2">
        <w:trPr>
          <w:trHeight w:val="60"/>
        </w:trPr>
        <w:tc>
          <w:tcPr>
            <w:tcW w:w="1474" w:type="dxa"/>
            <w:vMerge/>
            <w:tcBorders>
              <w:top w:val="single" w:sz="6" w:space="0" w:color="1E4496" w:themeColor="text2"/>
              <w:left w:val="nil"/>
              <w:bottom w:val="single" w:sz="6" w:space="0" w:color="1E4496" w:themeColor="text2"/>
            </w:tcBorders>
            <w:shd w:val="clear" w:color="auto" w:fill="DCF4FC" w:themeFill="background2" w:themeFillTint="33"/>
            <w:tcMar>
              <w:top w:w="85" w:type="dxa"/>
              <w:left w:w="85" w:type="dxa"/>
              <w:bottom w:w="85" w:type="dxa"/>
              <w:right w:w="85" w:type="dxa"/>
            </w:tcMar>
          </w:tcPr>
          <w:p w14:paraId="3B2CA99A" w14:textId="77777777" w:rsidR="00F15F01" w:rsidRPr="00F15F01" w:rsidRDefault="00F15F01" w:rsidP="00F15F01">
            <w:pPr>
              <w:pStyle w:val="CDITable-RowLeft"/>
            </w:pPr>
          </w:p>
        </w:tc>
        <w:tc>
          <w:tcPr>
            <w:tcW w:w="1928"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B734932" w14:textId="77777777" w:rsidR="00F15F01" w:rsidRPr="00F15F01" w:rsidRDefault="00F15F01" w:rsidP="00F15F01">
            <w:pPr>
              <w:pStyle w:val="CDITable-RowLeft"/>
              <w:rPr>
                <w:lang w:val="en-GB"/>
              </w:rPr>
            </w:pPr>
            <w:r w:rsidRPr="00F15F01">
              <w:rPr>
                <w:lang w:val="en-GB"/>
              </w:rPr>
              <w:t>&gt; 39 years</w:t>
            </w:r>
          </w:p>
        </w:tc>
        <w:tc>
          <w:tcPr>
            <w:tcW w:w="623"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0CBCB3F" w14:textId="77777777" w:rsidR="00F15F01" w:rsidRPr="00F15F01" w:rsidRDefault="00F15F01" w:rsidP="00F15F01">
            <w:pPr>
              <w:pStyle w:val="CDITable-RowCentre"/>
              <w:rPr>
                <w:lang w:val="en-GB"/>
              </w:rPr>
            </w:pPr>
            <w:r w:rsidRPr="00F15F01">
              <w:rPr>
                <w:lang w:val="en-GB"/>
              </w:rPr>
              <w:t>12</w:t>
            </w:r>
          </w:p>
        </w:tc>
        <w:tc>
          <w:tcPr>
            <w:tcW w:w="62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540FFB0" w14:textId="77777777" w:rsidR="00F15F01" w:rsidRPr="00F15F01" w:rsidRDefault="00F15F01" w:rsidP="00F15F01">
            <w:pPr>
              <w:pStyle w:val="CDITable-RowCentre"/>
              <w:rPr>
                <w:lang w:val="en-GB"/>
              </w:rPr>
            </w:pPr>
            <w:r w:rsidRPr="00F15F01">
              <w:rPr>
                <w:lang w:val="en-GB"/>
              </w:rPr>
              <w:t>59</w:t>
            </w:r>
          </w:p>
        </w:tc>
        <w:tc>
          <w:tcPr>
            <w:tcW w:w="623"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199DC793" w14:textId="77777777" w:rsidR="00F15F01" w:rsidRPr="00F15F01" w:rsidRDefault="00F15F01" w:rsidP="00F15F01">
            <w:pPr>
              <w:pStyle w:val="CDITable-RowCentre"/>
              <w:rPr>
                <w:lang w:val="en-GB"/>
              </w:rPr>
            </w:pPr>
            <w:r w:rsidRPr="00F15F01">
              <w:rPr>
                <w:lang w:val="en-GB"/>
              </w:rPr>
              <w:t>20.3</w:t>
            </w:r>
          </w:p>
        </w:tc>
        <w:tc>
          <w:tcPr>
            <w:tcW w:w="624"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54FE1490" w14:textId="77777777" w:rsidR="00F15F01" w:rsidRPr="00F15F01" w:rsidRDefault="00F15F01" w:rsidP="00F15F01">
            <w:pPr>
              <w:pStyle w:val="CDITable-RowCentre"/>
              <w:rPr>
                <w:lang w:val="en-GB"/>
              </w:rPr>
            </w:pPr>
            <w:r w:rsidRPr="00F15F01">
              <w:rPr>
                <w:lang w:val="en-GB"/>
              </w:rPr>
              <w:t>23</w:t>
            </w:r>
          </w:p>
        </w:tc>
        <w:tc>
          <w:tcPr>
            <w:tcW w:w="62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267C110" w14:textId="77777777" w:rsidR="00F15F01" w:rsidRPr="00F15F01" w:rsidRDefault="00F15F01" w:rsidP="00F15F01">
            <w:pPr>
              <w:pStyle w:val="CDITable-RowCentre"/>
              <w:rPr>
                <w:lang w:val="en-GB"/>
              </w:rPr>
            </w:pPr>
            <w:r w:rsidRPr="00F15F01">
              <w:rPr>
                <w:lang w:val="en-GB"/>
              </w:rPr>
              <w:t>46</w:t>
            </w:r>
          </w:p>
        </w:tc>
        <w:tc>
          <w:tcPr>
            <w:tcW w:w="623" w:type="dxa"/>
            <w:tcBorders>
              <w:top w:val="single" w:sz="6" w:space="0" w:color="1E4496" w:themeColor="text2"/>
              <w:bottom w:val="single" w:sz="6" w:space="0" w:color="1E4496" w:themeColor="text2"/>
              <w:right w:val="single" w:sz="6" w:space="0" w:color="1E4496" w:themeColor="text2"/>
            </w:tcBorders>
            <w:tcMar>
              <w:top w:w="85" w:type="dxa"/>
              <w:left w:w="85" w:type="dxa"/>
              <w:bottom w:w="85" w:type="dxa"/>
              <w:right w:w="85" w:type="dxa"/>
            </w:tcMar>
            <w:vAlign w:val="center"/>
          </w:tcPr>
          <w:p w14:paraId="51665A1A" w14:textId="77777777" w:rsidR="00F15F01" w:rsidRPr="00F15F01" w:rsidRDefault="00F15F01" w:rsidP="00F15F01">
            <w:pPr>
              <w:pStyle w:val="CDITable-RowCentre"/>
              <w:rPr>
                <w:lang w:val="en-GB"/>
              </w:rPr>
            </w:pPr>
            <w:r w:rsidRPr="00F15F01">
              <w:rPr>
                <w:lang w:val="en-GB"/>
              </w:rPr>
              <w:t>50.0</w:t>
            </w:r>
          </w:p>
        </w:tc>
        <w:tc>
          <w:tcPr>
            <w:tcW w:w="624" w:type="dxa"/>
            <w:tcBorders>
              <w:top w:val="single" w:sz="6" w:space="0" w:color="1E4496" w:themeColor="text2"/>
              <w:left w:val="single" w:sz="6" w:space="0" w:color="1E4496" w:themeColor="text2"/>
              <w:bottom w:val="single" w:sz="6" w:space="0" w:color="1E4496" w:themeColor="text2"/>
            </w:tcBorders>
            <w:tcMar>
              <w:top w:w="85" w:type="dxa"/>
              <w:left w:w="85" w:type="dxa"/>
              <w:bottom w:w="85" w:type="dxa"/>
              <w:right w:w="85" w:type="dxa"/>
            </w:tcMar>
            <w:vAlign w:val="center"/>
          </w:tcPr>
          <w:p w14:paraId="5E9B88BC" w14:textId="77777777" w:rsidR="00F15F01" w:rsidRPr="00F15F01" w:rsidRDefault="00F15F01" w:rsidP="00F15F01">
            <w:pPr>
              <w:pStyle w:val="CDITable-RowCentre"/>
              <w:rPr>
                <w:lang w:val="en-GB"/>
              </w:rPr>
            </w:pPr>
            <w:r w:rsidRPr="00F15F01">
              <w:rPr>
                <w:lang w:val="en-GB"/>
              </w:rPr>
              <w:t>0.6</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FD986B7" w14:textId="77777777" w:rsidR="00F15F01" w:rsidRPr="00F15F01" w:rsidRDefault="00F15F01" w:rsidP="00F15F01">
            <w:pPr>
              <w:pStyle w:val="CDITable-RowCentre"/>
              <w:rPr>
                <w:lang w:val="en-GB"/>
              </w:rPr>
            </w:pPr>
            <w:r w:rsidRPr="00F15F01">
              <w:rPr>
                <w:lang w:val="en-GB"/>
              </w:rPr>
              <w:t>0.1–2.1</w:t>
            </w:r>
          </w:p>
        </w:tc>
        <w:tc>
          <w:tcPr>
            <w:tcW w:w="90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2711DBF8" w14:textId="77777777" w:rsidR="00F15F01" w:rsidRPr="00F15F01" w:rsidRDefault="00F15F01" w:rsidP="00F15F01">
            <w:pPr>
              <w:pStyle w:val="CDITable-RowCentre"/>
              <w:rPr>
                <w:lang w:val="en-GB"/>
              </w:rPr>
            </w:pPr>
            <w:r w:rsidRPr="00F15F01">
              <w:rPr>
                <w:lang w:val="en-GB"/>
              </w:rPr>
              <w:t>0.37</w:t>
            </w:r>
          </w:p>
        </w:tc>
      </w:tr>
    </w:tbl>
    <w:p w14:paraId="1F038265" w14:textId="77777777" w:rsidR="009E649F" w:rsidRPr="009E649F" w:rsidRDefault="009E649F" w:rsidP="00F15F01">
      <w:pPr>
        <w:pStyle w:val="CDITable-FirstFootnote"/>
        <w:rPr>
          <w:lang w:val="en-GB"/>
        </w:rPr>
      </w:pPr>
      <w:r w:rsidRPr="009E649F">
        <w:rPr>
          <w:lang w:val="en-GB"/>
        </w:rPr>
        <w:t>a</w:t>
      </w:r>
      <w:r w:rsidRPr="009E649F">
        <w:rPr>
          <w:lang w:val="en-GB"/>
        </w:rPr>
        <w:tab/>
        <w:t>n: number conforming to indicated category; N: total cases or controls for purpose of multivariable analysis.</w:t>
      </w:r>
    </w:p>
    <w:p w14:paraId="7241C570" w14:textId="69864E57" w:rsidR="009E649F" w:rsidRDefault="009E649F" w:rsidP="009E649F">
      <w:pPr>
        <w:pStyle w:val="CDITable-Footnote"/>
        <w:rPr>
          <w:lang w:val="en-GB"/>
        </w:rPr>
      </w:pPr>
      <w:r w:rsidRPr="009E649F">
        <w:rPr>
          <w:lang w:val="en-GB"/>
        </w:rPr>
        <w:t>b</w:t>
      </w:r>
      <w:r w:rsidRPr="009E649F">
        <w:rPr>
          <w:lang w:val="en-GB"/>
        </w:rPr>
        <w:tab/>
      </w:r>
      <w:proofErr w:type="spellStart"/>
      <w:r w:rsidRPr="009E649F">
        <w:rPr>
          <w:lang w:val="en-GB"/>
        </w:rPr>
        <w:t>aOR</w:t>
      </w:r>
      <w:proofErr w:type="spellEnd"/>
      <w:r w:rsidRPr="009E649F">
        <w:rPr>
          <w:lang w:val="en-GB"/>
        </w:rPr>
        <w:t>: adjusted odds ratio; 95% CI: 95% confidence interval.</w:t>
      </w:r>
    </w:p>
    <w:p w14:paraId="5C116B2F" w14:textId="77777777" w:rsidR="009E649F" w:rsidRPr="009E649F" w:rsidRDefault="009E649F" w:rsidP="009E649F">
      <w:pPr>
        <w:pStyle w:val="Normal-Opening"/>
        <w:rPr>
          <w:lang w:val="en-GB"/>
        </w:rPr>
      </w:pPr>
      <w:r w:rsidRPr="009E649F">
        <w:rPr>
          <w:lang w:val="en-GB"/>
        </w:rPr>
        <w:t xml:space="preserve">Fifty-five cases (85%) reported consuming at least one of these items. Of the ten cases that did not report consuming the implicated food items, three reported unwell household contacts, and a further four had incubation periods in the top quartile, indicating that these could have resulted from secondary infections. One case had a very short incubation period (9 hours) and one case reported eating the catered </w:t>
      </w:r>
      <w:proofErr w:type="gramStart"/>
      <w:r w:rsidRPr="009E649F">
        <w:rPr>
          <w:lang w:val="en-GB"/>
        </w:rPr>
        <w:t>food, but</w:t>
      </w:r>
      <w:proofErr w:type="gramEnd"/>
      <w:r w:rsidRPr="009E649F">
        <w:rPr>
          <w:lang w:val="en-GB"/>
        </w:rPr>
        <w:t xml:space="preserve"> did not identify any items that they ate.</w:t>
      </w:r>
    </w:p>
    <w:p w14:paraId="7F4B7124" w14:textId="77777777" w:rsidR="006E0B0E" w:rsidRDefault="008017B6" w:rsidP="008017B6">
      <w:pPr>
        <w:pStyle w:val="Heading1"/>
      </w:pPr>
      <w:bookmarkStart w:id="33" w:name="_Toc234394475"/>
      <w:bookmarkStart w:id="34" w:name="_Toc195519590"/>
      <w:bookmarkStart w:id="35" w:name="_Toc195522359"/>
      <w:r>
        <w:t>Discussion</w:t>
      </w:r>
      <w:bookmarkEnd w:id="33"/>
    </w:p>
    <w:p w14:paraId="6D3D7C56" w14:textId="77777777" w:rsidR="003047C2" w:rsidRPr="003047C2" w:rsidRDefault="003047C2" w:rsidP="003047C2">
      <w:pPr>
        <w:pStyle w:val="Normal-Opening"/>
        <w:rPr>
          <w:lang w:val="en-GB"/>
        </w:rPr>
      </w:pPr>
      <w:r w:rsidRPr="003047C2">
        <w:rPr>
          <w:lang w:val="en-GB"/>
        </w:rPr>
        <w:t>The reported symptom profile of this outbreak was consistent with norovirus: the most reported symptom was vomiting (78%), which was more commonly reported than fever (51%); no cases reported blood in the stool.</w:t>
      </w:r>
      <w:r w:rsidRPr="003047C2">
        <w:rPr>
          <w:vertAlign w:val="superscript"/>
          <w:lang w:val="en-GB"/>
        </w:rPr>
        <w:t>9,10</w:t>
      </w:r>
      <w:r w:rsidRPr="003047C2">
        <w:rPr>
          <w:lang w:val="en-GB"/>
        </w:rPr>
        <w:t xml:space="preserve"> The median incubation period was 37.8 hours, which is within the typical range for norovirus of 24–48 hours;</w:t>
      </w:r>
      <w:r w:rsidRPr="003047C2">
        <w:rPr>
          <w:vertAlign w:val="superscript"/>
          <w:lang w:val="en-GB"/>
        </w:rPr>
        <w:t>9,10</w:t>
      </w:r>
      <w:r w:rsidRPr="003047C2">
        <w:rPr>
          <w:lang w:val="en-GB"/>
        </w:rPr>
        <w:t xml:space="preserve"> the median duration of symptoms was 27.3 hours, though this is likely not representative of all cases, with the actual duration likely to be longer (noting that many people were still reporting symptoms at the time of interview). Finally, no notifiable enteric bacteria were identified in the stool samples collected from five cases. These factors satisfy both Kaplan’s</w:t>
      </w:r>
      <w:r w:rsidRPr="003047C2">
        <w:rPr>
          <w:vertAlign w:val="superscript"/>
          <w:lang w:val="en-GB"/>
        </w:rPr>
        <w:t>10</w:t>
      </w:r>
      <w:r w:rsidRPr="003047C2">
        <w:rPr>
          <w:lang w:val="en-GB"/>
        </w:rPr>
        <w:t xml:space="preserve"> and Lively’s</w:t>
      </w:r>
      <w:r w:rsidRPr="003047C2">
        <w:rPr>
          <w:vertAlign w:val="superscript"/>
          <w:lang w:val="en-GB"/>
        </w:rPr>
        <w:t>9</w:t>
      </w:r>
      <w:r w:rsidRPr="003047C2">
        <w:rPr>
          <w:lang w:val="en-GB"/>
        </w:rPr>
        <w:t xml:space="preserve"> criteria for identifying norovirus in acute gastroenteritis outbreak investigations and are therefore highly suggestive of norovirus infection, which in this outbreak was confirmed by laboratory testing. </w:t>
      </w:r>
    </w:p>
    <w:p w14:paraId="6AD7D7D7" w14:textId="77777777" w:rsidR="003047C2" w:rsidRPr="003047C2" w:rsidRDefault="003047C2" w:rsidP="003047C2">
      <w:pPr>
        <w:rPr>
          <w:lang w:val="en-GB"/>
        </w:rPr>
      </w:pPr>
      <w:r w:rsidRPr="003047C2">
        <w:rPr>
          <w:lang w:val="en-GB"/>
        </w:rPr>
        <w:t>Among surveyed attendees, consumption of food at the function was the strongest risk factor for illness, indicating food as a vehicle for infection rather than person-to-person transmission. Of the catered foods, consumption of fruit or cured and dried meats were each individually associated with illness, and this effect was robust to age. Food-handler related norovirus outbreaks have commonly been associated with foods such as salads and sandwiches that have no kill step and/or are subject to extensive handling,</w:t>
      </w:r>
      <w:r w:rsidRPr="003047C2">
        <w:rPr>
          <w:vertAlign w:val="superscript"/>
          <w:lang w:val="en-GB"/>
        </w:rPr>
        <w:t>25</w:t>
      </w:r>
      <w:r w:rsidRPr="003047C2">
        <w:rPr>
          <w:lang w:val="en-GB"/>
        </w:rPr>
        <w:t xml:space="preserve"> which is the case for both foods identified. </w:t>
      </w:r>
    </w:p>
    <w:p w14:paraId="758042D2" w14:textId="77777777" w:rsidR="003047C2" w:rsidRPr="003047C2" w:rsidRDefault="003047C2" w:rsidP="003047C2">
      <w:pPr>
        <w:rPr>
          <w:lang w:val="en-GB"/>
        </w:rPr>
      </w:pPr>
      <w:r w:rsidRPr="003047C2">
        <w:rPr>
          <w:lang w:val="en-GB"/>
        </w:rPr>
        <w:t>Ten cases did not report consuming either fruit or meat platters at the function. The occurrence of infections without reported exposure to the implicated foods could have occurred in several ways. Firstly, non-congruent results could be a result of recall bias or data entry errors due to self-reporting on surveys where food exposures were recorded by a check box rather than by a direct yes or no question, meaning a non-response is interpreted as a non-exposure, which could have resulted in an under-reporting of exposures. Secondly, cases could have resulted from secondary infections. This is a likely explanation for three cases who reported unwell household contacts. Further, norovirus infection can result in asymptomatic carriage,</w:t>
      </w:r>
      <w:r w:rsidRPr="003047C2">
        <w:rPr>
          <w:vertAlign w:val="superscript"/>
          <w:lang w:val="en-GB"/>
        </w:rPr>
        <w:t>26,27</w:t>
      </w:r>
      <w:r w:rsidRPr="003047C2">
        <w:rPr>
          <w:lang w:val="en-GB"/>
        </w:rPr>
        <w:t xml:space="preserve"> and as most attendees came with other household members or social contacts, secondary cases without clear contact to a primary case are plausible. Thirdly, some probable cases may have acquired an independent gastrointestinal illness with coincidental timing. Finally, for those that reported eating the catered food but not the fruit or meat platters, there is the possibility of cross-contamination of other items during the evening, which could have resulted in infection without those items being identified by the analytical study. </w:t>
      </w:r>
    </w:p>
    <w:p w14:paraId="54906BE6" w14:textId="77777777" w:rsidR="003047C2" w:rsidRPr="003047C2" w:rsidRDefault="003047C2" w:rsidP="003047C2">
      <w:pPr>
        <w:rPr>
          <w:lang w:val="en-GB"/>
        </w:rPr>
      </w:pPr>
      <w:r w:rsidRPr="003047C2">
        <w:rPr>
          <w:lang w:val="en-GB"/>
        </w:rPr>
        <w:t xml:space="preserve">Laboratory testing of food samples did not detect any unacceptable contamination; however, there was no remaining fruit available for testing, and testing for norovirus was not able to be performed. Despite the lack of laboratory evidence to show contamination of fruit and meats, the epidemiological evidence was highly robust. </w:t>
      </w:r>
    </w:p>
    <w:p w14:paraId="438828E7" w14:textId="77777777" w:rsidR="003047C2" w:rsidRPr="003047C2" w:rsidRDefault="003047C2" w:rsidP="003047C2">
      <w:pPr>
        <w:rPr>
          <w:lang w:val="en-GB"/>
        </w:rPr>
      </w:pPr>
      <w:r w:rsidRPr="003047C2">
        <w:rPr>
          <w:lang w:val="en-GB"/>
        </w:rPr>
        <w:t>One of the key limitations of the study was the inability to conduct a cohort study due to the lack of access to the full attendee list. However, distribution of the survey by the function organiser likely resulted in more rapid reporting and a higher response rate overall, due to the survey coming from a known individual and the vested interest of the social group in finding a source of infection. This resulted in rapidly achieving a 2:1 ratio of controls to cases. While precise attendee numbers are unknown, the response rate is estimated to be ~45–90% of all attendees. The maximum time between the event and survey completion was five days, reducing the impact of recall bias.</w:t>
      </w:r>
    </w:p>
    <w:p w14:paraId="5995F14B" w14:textId="77777777" w:rsidR="003047C2" w:rsidRPr="003047C2" w:rsidRDefault="003047C2" w:rsidP="003047C2">
      <w:pPr>
        <w:keepLines/>
        <w:rPr>
          <w:lang w:val="en-GB"/>
        </w:rPr>
      </w:pPr>
      <w:r w:rsidRPr="003047C2">
        <w:rPr>
          <w:lang w:val="en-GB"/>
        </w:rPr>
        <w:t xml:space="preserve">The most likely source of norovirus contamination in this outbreak was a food handler, who was unwell with a norovirus-compatible illness prior to the function and who tested positive after the event for the same norovirus type as the function attendees. This food handler prepared the implicated foods outside of the recommended exclusion period for gastrointestinal illness; </w:t>
      </w:r>
      <w:proofErr w:type="gramStart"/>
      <w:r w:rsidRPr="003047C2">
        <w:rPr>
          <w:lang w:val="en-GB"/>
        </w:rPr>
        <w:t>however</w:t>
      </w:r>
      <w:proofErr w:type="gramEnd"/>
      <w:r w:rsidRPr="003047C2">
        <w:rPr>
          <w:lang w:val="en-GB"/>
        </w:rPr>
        <w:t xml:space="preserve"> it is likely that they unwittingly introduced contamination while preparing these foods. There was no pre-function sample from the food handler, so it is not possible to say conclusively that they were carrying norovirus at the time of food preparation. However, they did not work on the day of the function, making acquisition of their infection from the same source as the attendees unlikely, though community acquisition after preparation of the food or another common source at the venue cannot be ruled out.</w:t>
      </w:r>
    </w:p>
    <w:p w14:paraId="0C406ACB" w14:textId="67D440E5" w:rsidR="0001020A" w:rsidRDefault="003047C2" w:rsidP="00830AEA">
      <w:r w:rsidRPr="003047C2">
        <w:rPr>
          <w:lang w:val="en-GB"/>
        </w:rPr>
        <w:t>Transmission of norovirus from food handlers through contamination of raw food products has been documented on numerous occasions,</w:t>
      </w:r>
      <w:r w:rsidRPr="003047C2">
        <w:rPr>
          <w:vertAlign w:val="superscript"/>
          <w:lang w:val="en-GB"/>
        </w:rPr>
        <w:t>20,25,28</w:t>
      </w:r>
      <w:r w:rsidRPr="003047C2">
        <w:rPr>
          <w:lang w:val="en-GB"/>
        </w:rPr>
        <w:t xml:space="preserve"> with the casual nature of the hospitality workforce often a challenge to adherence to exclusion period recommendations. While transmission from symptomatic individuals is commonly identified, transmission from asymptomatic food handlers has also been detected.</w:t>
      </w:r>
      <w:r w:rsidRPr="003047C2">
        <w:rPr>
          <w:vertAlign w:val="superscript"/>
          <w:lang w:val="en-GB"/>
        </w:rPr>
        <w:t>29</w:t>
      </w:r>
      <w:r w:rsidRPr="003047C2">
        <w:rPr>
          <w:lang w:val="en-GB"/>
        </w:rPr>
        <w:t xml:space="preserve"> Here we demonstrate the potential for transmission of norovirus from food handlers outside the range of the usual exclusion period for gastroenteritis which has been reported previously, with norovirus transmitted via food handler-contamination four days after symptoms ceased.</w:t>
      </w:r>
      <w:r w:rsidRPr="003047C2">
        <w:rPr>
          <w:vertAlign w:val="superscript"/>
          <w:lang w:val="en-GB"/>
        </w:rPr>
        <w:t xml:space="preserve">30 </w:t>
      </w:r>
    </w:p>
    <w:p w14:paraId="1E4D92D7" w14:textId="77777777" w:rsidR="00FE2847" w:rsidRDefault="008017B6" w:rsidP="003047C2">
      <w:pPr>
        <w:pStyle w:val="Heading1"/>
        <w:pageBreakBefore w:val="0"/>
      </w:pPr>
      <w:bookmarkStart w:id="36" w:name="_Toc234394476"/>
      <w:bookmarkEnd w:id="34"/>
      <w:bookmarkEnd w:id="35"/>
      <w:r>
        <w:t>Conclusion</w:t>
      </w:r>
      <w:bookmarkEnd w:id="36"/>
    </w:p>
    <w:p w14:paraId="2106F236" w14:textId="492B27E2" w:rsidR="008017B6" w:rsidRPr="008017B6" w:rsidRDefault="003047C2" w:rsidP="003047C2">
      <w:pPr>
        <w:pStyle w:val="Normal-Opening"/>
      </w:pPr>
      <w:r w:rsidRPr="003047C2">
        <w:rPr>
          <w:lang w:val="en-GB"/>
        </w:rPr>
        <w:t xml:space="preserve">This outbreak of norovirus at a catered event was most likely caused by food contaminated by a food handler at the venue, despite the food venue being observed to have adequate food preparation processes and handwashing facilities, and despite the preparation of implicated foods occurring over 96 hours since the food handler’s last symptoms, in accordance with the 48-hour post-symptom resolution exclusion period stipulated by local public health guidelines. This outbreak investigation shows that safe food practices and exclusion periods reduce but do not </w:t>
      </w:r>
      <w:proofErr w:type="gramStart"/>
      <w:r w:rsidRPr="003047C2">
        <w:rPr>
          <w:lang w:val="en-GB"/>
        </w:rPr>
        <w:t>completely eliminate</w:t>
      </w:r>
      <w:proofErr w:type="gramEnd"/>
      <w:r w:rsidRPr="003047C2">
        <w:rPr>
          <w:lang w:val="en-GB"/>
        </w:rPr>
        <w:t xml:space="preserve"> risk. Our findings highlight the need for continued education on effective hand hygiene in food preparation settings, especially when handling ready-to-eat foods and following gastrointestinal illness. </w:t>
      </w:r>
    </w:p>
    <w:p w14:paraId="2286CC9F" w14:textId="77777777" w:rsidR="00F216F0" w:rsidRDefault="00F216F0" w:rsidP="003047C2">
      <w:pPr>
        <w:pStyle w:val="Heading1"/>
        <w:pageBreakBefore w:val="0"/>
      </w:pPr>
      <w:bookmarkStart w:id="37" w:name="_Toc195530510"/>
      <w:bookmarkStart w:id="38" w:name="_Toc234394477"/>
      <w:bookmarkStart w:id="39" w:name="_Toc195530508"/>
      <w:r>
        <w:t>Acknowledgments</w:t>
      </w:r>
      <w:bookmarkEnd w:id="37"/>
      <w:bookmarkEnd w:id="38"/>
    </w:p>
    <w:p w14:paraId="2E95FF17" w14:textId="2AA2189A" w:rsidR="003047C2" w:rsidRPr="003047C2" w:rsidRDefault="003047C2" w:rsidP="003047C2">
      <w:pPr>
        <w:pStyle w:val="Normal-Opening"/>
        <w:rPr>
          <w:lang w:val="en-GB"/>
        </w:rPr>
      </w:pPr>
      <w:r w:rsidRPr="003047C2">
        <w:rPr>
          <w:lang w:val="en-GB"/>
        </w:rPr>
        <w:t xml:space="preserve">We thank the staff of the Health Protection Service, Health and Community Services Directorate for their support during the outbreak investigation. </w:t>
      </w:r>
      <w:proofErr w:type="gramStart"/>
      <w:r w:rsidRPr="003047C2">
        <w:rPr>
          <w:lang w:val="en-GB"/>
        </w:rPr>
        <w:t>Particular thanks to</w:t>
      </w:r>
      <w:proofErr w:type="gramEnd"/>
      <w:r w:rsidRPr="003047C2">
        <w:rPr>
          <w:lang w:val="en-GB"/>
        </w:rPr>
        <w:t xml:space="preserve"> Mr Jonathan Chen, Ms</w:t>
      </w:r>
      <w:r>
        <w:rPr>
          <w:lang w:val="en-GB"/>
        </w:rPr>
        <w:t> </w:t>
      </w:r>
      <w:r w:rsidRPr="003047C2">
        <w:rPr>
          <w:lang w:val="en-GB"/>
        </w:rPr>
        <w:t xml:space="preserve">Brooke Rowe and Ms Faith </w:t>
      </w:r>
      <w:proofErr w:type="spellStart"/>
      <w:r w:rsidRPr="003047C2">
        <w:rPr>
          <w:lang w:val="en-GB"/>
        </w:rPr>
        <w:t>Bvirakare</w:t>
      </w:r>
      <w:proofErr w:type="spellEnd"/>
      <w:r w:rsidRPr="003047C2">
        <w:rPr>
          <w:lang w:val="en-GB"/>
        </w:rPr>
        <w:t xml:space="preserve"> for their role in the environmental investigation. We also thank Professor Alice Richardson from the Australian National University for their statistical advice. </w:t>
      </w:r>
    </w:p>
    <w:p w14:paraId="4B67E9E0" w14:textId="77777777" w:rsidR="003047C2" w:rsidRPr="003047C2" w:rsidRDefault="003047C2" w:rsidP="003047C2">
      <w:pPr>
        <w:rPr>
          <w:lang w:val="en-GB"/>
        </w:rPr>
      </w:pPr>
      <w:r w:rsidRPr="003047C2">
        <w:rPr>
          <w:lang w:val="en-GB"/>
        </w:rPr>
        <w:t xml:space="preserve">Clare Kinnear is a Master of Philosophy in Applied Epidemiology (MAE) scholar with the Australian National University and is supported by an MAE scholarship. </w:t>
      </w:r>
    </w:p>
    <w:p w14:paraId="2864C2C9" w14:textId="279698E6" w:rsidR="00F216F0" w:rsidRPr="008017B6" w:rsidRDefault="003047C2" w:rsidP="00F216F0">
      <w:r w:rsidRPr="003047C2">
        <w:rPr>
          <w:lang w:val="en-GB"/>
        </w:rPr>
        <w:t>We declare no conflicts of interest.</w:t>
      </w:r>
    </w:p>
    <w:p w14:paraId="3C915663" w14:textId="77777777" w:rsidR="008A0736" w:rsidRDefault="008A0736" w:rsidP="008A0736">
      <w:pPr>
        <w:pStyle w:val="Heading1"/>
      </w:pPr>
      <w:bookmarkStart w:id="40" w:name="_Toc234394478"/>
      <w:r>
        <w:t>Author details</w:t>
      </w:r>
      <w:bookmarkEnd w:id="39"/>
      <w:bookmarkEnd w:id="40"/>
    </w:p>
    <w:p w14:paraId="27E99012" w14:textId="77777777" w:rsidR="003047C2" w:rsidRPr="003047C2" w:rsidRDefault="003047C2" w:rsidP="003047C2">
      <w:pPr>
        <w:pStyle w:val="Normal-Opening"/>
        <w:rPr>
          <w:lang w:val="en-GB"/>
        </w:rPr>
      </w:pPr>
      <w:r w:rsidRPr="003047C2">
        <w:rPr>
          <w:lang w:val="en-GB"/>
        </w:rPr>
        <w:t>Dr Clare L Kinnear,</w:t>
      </w:r>
      <w:r w:rsidRPr="003047C2">
        <w:rPr>
          <w:vertAlign w:val="superscript"/>
          <w:lang w:val="en-GB"/>
        </w:rPr>
        <w:t>1,2</w:t>
      </w:r>
    </w:p>
    <w:p w14:paraId="4648C467" w14:textId="77777777" w:rsidR="003047C2" w:rsidRPr="003047C2" w:rsidRDefault="003047C2" w:rsidP="003047C2">
      <w:pPr>
        <w:pStyle w:val="Normal-lessspace"/>
      </w:pPr>
      <w:r w:rsidRPr="003047C2">
        <w:t>Timothy Sloan-Gardner,</w:t>
      </w:r>
      <w:r w:rsidRPr="003047C2">
        <w:rPr>
          <w:vertAlign w:val="superscript"/>
        </w:rPr>
        <w:t>1</w:t>
      </w:r>
    </w:p>
    <w:p w14:paraId="70A3704B" w14:textId="77777777" w:rsidR="003047C2" w:rsidRPr="003047C2" w:rsidRDefault="003047C2" w:rsidP="003047C2">
      <w:pPr>
        <w:pStyle w:val="Normal-lessspace"/>
      </w:pPr>
      <w:r w:rsidRPr="003047C2">
        <w:t>Natasha Waters,</w:t>
      </w:r>
      <w:r w:rsidRPr="003047C2">
        <w:rPr>
          <w:vertAlign w:val="superscript"/>
        </w:rPr>
        <w:t>3</w:t>
      </w:r>
    </w:p>
    <w:p w14:paraId="4917D506" w14:textId="77777777" w:rsidR="003047C2" w:rsidRPr="003047C2" w:rsidRDefault="003047C2" w:rsidP="003047C2">
      <w:pPr>
        <w:pStyle w:val="Normal-lessspace"/>
      </w:pPr>
      <w:r w:rsidRPr="003047C2">
        <w:t>Victoria Wansink,</w:t>
      </w:r>
      <w:r w:rsidRPr="003047C2">
        <w:rPr>
          <w:vertAlign w:val="superscript"/>
        </w:rPr>
        <w:t>3</w:t>
      </w:r>
    </w:p>
    <w:p w14:paraId="325410AF" w14:textId="77777777" w:rsidR="003047C2" w:rsidRPr="003047C2" w:rsidRDefault="003047C2" w:rsidP="003047C2">
      <w:pPr>
        <w:pStyle w:val="Normal-lessspace"/>
      </w:pPr>
      <w:r w:rsidRPr="003047C2">
        <w:t>Lyndell Hudson,</w:t>
      </w:r>
      <w:r w:rsidRPr="003047C2">
        <w:rPr>
          <w:vertAlign w:val="superscript"/>
        </w:rPr>
        <w:t>4</w:t>
      </w:r>
    </w:p>
    <w:p w14:paraId="5E10EAAE" w14:textId="77777777" w:rsidR="003047C2" w:rsidRPr="003047C2" w:rsidRDefault="003047C2" w:rsidP="003047C2">
      <w:pPr>
        <w:pStyle w:val="Normal-lessspace"/>
      </w:pPr>
      <w:r w:rsidRPr="003047C2">
        <w:t>Jenny Post</w:t>
      </w:r>
      <w:r w:rsidRPr="003047C2">
        <w:rPr>
          <w:vertAlign w:val="superscript"/>
        </w:rPr>
        <w:t>1</w:t>
      </w:r>
    </w:p>
    <w:p w14:paraId="4A07FEA2" w14:textId="77777777" w:rsidR="003047C2" w:rsidRPr="003047C2" w:rsidRDefault="003047C2" w:rsidP="00D64F45">
      <w:pPr>
        <w:pStyle w:val="CDINumberedList1L1"/>
        <w:ind w:left="397" w:hanging="397"/>
        <w:rPr>
          <w:lang w:val="en-GB"/>
        </w:rPr>
      </w:pPr>
      <w:r w:rsidRPr="003047C2">
        <w:rPr>
          <w:lang w:val="en-GB"/>
        </w:rPr>
        <w:t xml:space="preserve">Public Health Intelligence and Reporting, Preparedness, Planning and Surveillance, Population Health, ACT Health and Community Services Directorate </w:t>
      </w:r>
    </w:p>
    <w:p w14:paraId="2FC07C7F" w14:textId="77777777" w:rsidR="003047C2" w:rsidRPr="003047C2" w:rsidRDefault="003047C2" w:rsidP="00D64F45">
      <w:pPr>
        <w:pStyle w:val="CDINumberedList1L1"/>
        <w:ind w:left="397" w:hanging="397"/>
        <w:rPr>
          <w:lang w:val="en-GB"/>
        </w:rPr>
      </w:pPr>
      <w:r w:rsidRPr="003047C2">
        <w:rPr>
          <w:lang w:val="en-GB"/>
        </w:rPr>
        <w:t>National Centre for Epidemiology and Population Health, Australian National University, Acton, Australia</w:t>
      </w:r>
    </w:p>
    <w:p w14:paraId="0674E058" w14:textId="77777777" w:rsidR="003047C2" w:rsidRPr="003047C2" w:rsidRDefault="003047C2" w:rsidP="00D64F45">
      <w:pPr>
        <w:pStyle w:val="CDINumberedList1L1"/>
        <w:ind w:left="397" w:hanging="397"/>
        <w:rPr>
          <w:lang w:val="en-GB"/>
        </w:rPr>
      </w:pPr>
      <w:r w:rsidRPr="003047C2">
        <w:rPr>
          <w:lang w:val="en-GB"/>
        </w:rPr>
        <w:t xml:space="preserve">ACT Government Analytical Laboratory, Research, Programs and Scientific Services, Population Health Division, Health and Community Services Directorate </w:t>
      </w:r>
    </w:p>
    <w:p w14:paraId="4CCF3907" w14:textId="77777777" w:rsidR="003047C2" w:rsidRPr="003047C2" w:rsidRDefault="003047C2" w:rsidP="00D64F45">
      <w:pPr>
        <w:pStyle w:val="CDINumberedList1L1"/>
        <w:ind w:left="397" w:hanging="397"/>
        <w:rPr>
          <w:lang w:val="en-GB"/>
        </w:rPr>
      </w:pPr>
      <w:r w:rsidRPr="003047C2">
        <w:rPr>
          <w:lang w:val="en-GB"/>
        </w:rPr>
        <w:t>Environmental Health, Health Protection Service, Population Health Division, Health and Community Services Directorate</w:t>
      </w:r>
    </w:p>
    <w:p w14:paraId="1372F929" w14:textId="77777777" w:rsidR="00423436" w:rsidRDefault="00423436" w:rsidP="00423436">
      <w:pPr>
        <w:pStyle w:val="CDICorrespondingauthor"/>
      </w:pPr>
      <w:r>
        <w:t>Corresponding author</w:t>
      </w:r>
    </w:p>
    <w:p w14:paraId="5C89E8A7" w14:textId="77777777" w:rsidR="003047C2" w:rsidRPr="003047C2" w:rsidRDefault="003047C2" w:rsidP="003047C2">
      <w:pPr>
        <w:rPr>
          <w:lang w:val="en-GB"/>
        </w:rPr>
      </w:pPr>
      <w:r w:rsidRPr="003047C2">
        <w:rPr>
          <w:lang w:val="en-GB"/>
        </w:rPr>
        <w:t>Dr Clare Kinnear</w:t>
      </w:r>
    </w:p>
    <w:p w14:paraId="31AF2450" w14:textId="77777777" w:rsidR="003047C2" w:rsidRPr="003047C2" w:rsidRDefault="003047C2" w:rsidP="003047C2">
      <w:pPr>
        <w:rPr>
          <w:lang w:val="en-GB"/>
        </w:rPr>
      </w:pPr>
      <w:r w:rsidRPr="003047C2">
        <w:rPr>
          <w:lang w:val="en-GB"/>
        </w:rPr>
        <w:t>Preparedness, Planning and Surveillance Branch, ACT Health and Community Services Directorate, 25 Mulley Street, Holder ACT 2611</w:t>
      </w:r>
    </w:p>
    <w:p w14:paraId="3CCD4CD9" w14:textId="68250F7F" w:rsidR="008A0736" w:rsidRDefault="003047C2" w:rsidP="00423436">
      <w:r w:rsidRPr="003047C2">
        <w:rPr>
          <w:lang w:val="en-GB"/>
        </w:rPr>
        <w:t xml:space="preserve">Email: </w:t>
      </w:r>
      <w:hyperlink r:id="rId25" w:history="1">
        <w:r w:rsidRPr="003047C2">
          <w:rPr>
            <w:rStyle w:val="Hyperlink"/>
            <w:lang w:val="en-GB"/>
          </w:rPr>
          <w:t>clarelkinnear@gmail.com</w:t>
        </w:r>
      </w:hyperlink>
    </w:p>
    <w:p w14:paraId="2B09E817" w14:textId="77777777" w:rsidR="008A0736" w:rsidRDefault="008A0736" w:rsidP="00122ADA">
      <w:pPr>
        <w:pStyle w:val="Heading1"/>
      </w:pPr>
      <w:bookmarkStart w:id="41" w:name="_Toc195530511"/>
      <w:bookmarkStart w:id="42" w:name="_Toc234394479"/>
      <w:r>
        <w:t>References</w:t>
      </w:r>
      <w:bookmarkEnd w:id="41"/>
      <w:bookmarkEnd w:id="42"/>
    </w:p>
    <w:p w14:paraId="004D38D8" w14:textId="4B4E4183" w:rsidR="003047C2" w:rsidRDefault="003047C2" w:rsidP="000D13D9">
      <w:pPr>
        <w:pStyle w:val="CDINumberedList1L1"/>
        <w:numPr>
          <w:ilvl w:val="0"/>
          <w:numId w:val="10"/>
        </w:numPr>
        <w:spacing w:before="360"/>
        <w:ind w:left="397" w:hanging="397"/>
      </w:pPr>
      <w:r>
        <w:t xml:space="preserve">Hellard ME, Sinclair M, Harris AH, Kirk M, Fairley CK. Cost of community gastroenteritis. </w:t>
      </w:r>
      <w:r w:rsidRPr="00D64F45">
        <w:rPr>
          <w:i/>
          <w:iCs/>
        </w:rPr>
        <w:t>J</w:t>
      </w:r>
      <w:r w:rsidR="00D64F45" w:rsidRPr="00D64F45">
        <w:rPr>
          <w:i/>
          <w:iCs/>
        </w:rPr>
        <w:t> </w:t>
      </w:r>
      <w:r w:rsidRPr="00D64F45">
        <w:rPr>
          <w:i/>
          <w:iCs/>
        </w:rPr>
        <w:t>Gastroenterol Hepatol</w:t>
      </w:r>
      <w:r>
        <w:t xml:space="preserve">. 2003;18(3):322–8. </w:t>
      </w:r>
      <w:r w:rsidR="00D64F45">
        <w:br/>
      </w:r>
      <w:r>
        <w:t xml:space="preserve">doi: </w:t>
      </w:r>
      <w:hyperlink r:id="rId26" w:history="1">
        <w:r>
          <w:rPr>
            <w:rStyle w:val="Hyperlink"/>
          </w:rPr>
          <w:t>https://doi.org/10.1046/j.1440-1746.2003.02959.x</w:t>
        </w:r>
      </w:hyperlink>
      <w:r>
        <w:t xml:space="preserve">. </w:t>
      </w:r>
    </w:p>
    <w:p w14:paraId="2D8A7808" w14:textId="77777777" w:rsidR="003047C2" w:rsidRDefault="003047C2" w:rsidP="00D64F45">
      <w:pPr>
        <w:pStyle w:val="CDINumberedList1L1"/>
        <w:ind w:left="397" w:hanging="397"/>
      </w:pPr>
      <w:r>
        <w:t xml:space="preserve">Kirk M, Ford L, Glass K, Hall G. Foodborne illness, Australia, circa 2000 and circa 2010. </w:t>
      </w:r>
      <w:r w:rsidRPr="003047C2">
        <w:rPr>
          <w:i/>
          <w:iCs/>
        </w:rPr>
        <w:t>Emerg Infect Dis</w:t>
      </w:r>
      <w:r>
        <w:t xml:space="preserve">. 2014;20(11):1857–64. doi: </w:t>
      </w:r>
      <w:hyperlink r:id="rId27" w:history="1">
        <w:r>
          <w:rPr>
            <w:rStyle w:val="Hyperlink"/>
          </w:rPr>
          <w:t>https://doi.org/10.3201/eid2011.131315</w:t>
        </w:r>
      </w:hyperlink>
      <w:r>
        <w:t xml:space="preserve">. </w:t>
      </w:r>
    </w:p>
    <w:p w14:paraId="342BA246" w14:textId="2E633C95" w:rsidR="003047C2" w:rsidRDefault="003047C2" w:rsidP="00D64F45">
      <w:pPr>
        <w:pStyle w:val="CDINumberedList1L1"/>
        <w:ind w:left="397" w:hanging="397"/>
      </w:pPr>
      <w:r>
        <w:t xml:space="preserve">Barker SF, Zomer E, O’Toole J, Sinclair M, Gibney K, Liew D et al. Cost of gastroenteritis in Australia: a healthcare perspective. </w:t>
      </w:r>
      <w:r w:rsidRPr="003047C2">
        <w:rPr>
          <w:i/>
          <w:iCs/>
        </w:rPr>
        <w:t>PLoS One</w:t>
      </w:r>
      <w:r>
        <w:t>. 201812;13(4</w:t>
      </w:r>
      <w:proofErr w:type="gramStart"/>
      <w:r>
        <w:t>):e</w:t>
      </w:r>
      <w:proofErr w:type="gramEnd"/>
      <w:r>
        <w:t>0195759. doi:</w:t>
      </w:r>
      <w:r w:rsidR="00D64F45">
        <w:t> </w:t>
      </w:r>
      <w:hyperlink r:id="rId28" w:history="1">
        <w:r>
          <w:rPr>
            <w:rStyle w:val="Hyperlink"/>
          </w:rPr>
          <w:t>https://doi.org/10.1371/journal.pone.0195759</w:t>
        </w:r>
      </w:hyperlink>
      <w:r>
        <w:t xml:space="preserve">. </w:t>
      </w:r>
    </w:p>
    <w:p w14:paraId="08FD37B7" w14:textId="7E8E4B25" w:rsidR="003047C2" w:rsidRPr="000D13D9" w:rsidRDefault="003047C2" w:rsidP="00D64F45">
      <w:pPr>
        <w:pStyle w:val="CDINumberedList1L1"/>
        <w:ind w:left="397" w:hanging="397"/>
      </w:pPr>
      <w:r>
        <w:t xml:space="preserve">Glass K. </w:t>
      </w:r>
      <w:hyperlink r:id="rId29" w:history="1">
        <w:r w:rsidRPr="000D13D9">
          <w:rPr>
            <w:rStyle w:val="Hyperlink"/>
            <w:i/>
            <w:iCs/>
          </w:rPr>
          <w:t>The annual cost of foodborne illness in Australia by food commodities and pathogens. Final report</w:t>
        </w:r>
      </w:hyperlink>
      <w:r>
        <w:t>. Canberra: Food Standards Australia New Zealand (FSANZ); 3 August 2023. [Accessed on 28 October 2024</w:t>
      </w:r>
      <w:r w:rsidRPr="000D13D9">
        <w:t xml:space="preserve">.] </w:t>
      </w:r>
    </w:p>
    <w:p w14:paraId="754F2A9D" w14:textId="77777777" w:rsidR="003047C2" w:rsidRDefault="003047C2" w:rsidP="00D64F45">
      <w:pPr>
        <w:pStyle w:val="CDINumberedList1L1"/>
        <w:ind w:left="397" w:hanging="397"/>
      </w:pPr>
      <w:proofErr w:type="spellStart"/>
      <w:r>
        <w:t>Svraka</w:t>
      </w:r>
      <w:proofErr w:type="spellEnd"/>
      <w:r>
        <w:t xml:space="preserve"> S, </w:t>
      </w:r>
      <w:proofErr w:type="spellStart"/>
      <w:r>
        <w:t>Duizer</w:t>
      </w:r>
      <w:proofErr w:type="spellEnd"/>
      <w:r>
        <w:t xml:space="preserve"> E, </w:t>
      </w:r>
      <w:proofErr w:type="spellStart"/>
      <w:r>
        <w:t>Vennema</w:t>
      </w:r>
      <w:proofErr w:type="spellEnd"/>
      <w:r>
        <w:t xml:space="preserve"> H, de Bruin E, van der Veer B, </w:t>
      </w:r>
      <w:proofErr w:type="spellStart"/>
      <w:r>
        <w:t>Dorresteijn</w:t>
      </w:r>
      <w:proofErr w:type="spellEnd"/>
      <w:r>
        <w:t xml:space="preserve"> B et al. Etiological role of viruses in outbreaks of acute gastroenteritis in The Netherlands from 1994 through 2005. </w:t>
      </w:r>
      <w:r w:rsidRPr="003047C2">
        <w:rPr>
          <w:i/>
          <w:iCs/>
        </w:rPr>
        <w:t>J Clin Microbiol</w:t>
      </w:r>
      <w:r>
        <w:t xml:space="preserve">. 2007;45(5):1389–94. doi: </w:t>
      </w:r>
      <w:hyperlink r:id="rId30" w:history="1">
        <w:r>
          <w:rPr>
            <w:rStyle w:val="Hyperlink"/>
          </w:rPr>
          <w:t>https://doi.org/10.1128/JCM.02305-06</w:t>
        </w:r>
      </w:hyperlink>
      <w:r>
        <w:t xml:space="preserve">. </w:t>
      </w:r>
    </w:p>
    <w:p w14:paraId="7922BFA5" w14:textId="77777777" w:rsidR="003047C2" w:rsidRDefault="003047C2" w:rsidP="00D64F45">
      <w:pPr>
        <w:pStyle w:val="CDINumberedList1L1"/>
        <w:ind w:left="397" w:hanging="397"/>
      </w:pPr>
      <w:r>
        <w:t xml:space="preserve">Koopmans M, </w:t>
      </w:r>
      <w:proofErr w:type="spellStart"/>
      <w:r>
        <w:t>Vennema</w:t>
      </w:r>
      <w:proofErr w:type="spellEnd"/>
      <w:r>
        <w:t xml:space="preserve"> H, </w:t>
      </w:r>
      <w:proofErr w:type="spellStart"/>
      <w:r>
        <w:t>Heersma</w:t>
      </w:r>
      <w:proofErr w:type="spellEnd"/>
      <w:r>
        <w:t xml:space="preserve"> H, van </w:t>
      </w:r>
      <w:proofErr w:type="spellStart"/>
      <w:r>
        <w:t>Strien</w:t>
      </w:r>
      <w:proofErr w:type="spellEnd"/>
      <w:r>
        <w:t xml:space="preserve"> E, van </w:t>
      </w:r>
      <w:proofErr w:type="spellStart"/>
      <w:r>
        <w:t>Duynhoven</w:t>
      </w:r>
      <w:proofErr w:type="spellEnd"/>
      <w:r>
        <w:t xml:space="preserve"> Y, Brown D et al. Early identification of common-source foodborne virus outbreaks in Europe. </w:t>
      </w:r>
      <w:r w:rsidRPr="003047C2">
        <w:rPr>
          <w:i/>
          <w:iCs/>
        </w:rPr>
        <w:t>Emerg Infect Dis</w:t>
      </w:r>
      <w:r>
        <w:t xml:space="preserve">. 2003;9(9):1136–42. doi: </w:t>
      </w:r>
      <w:hyperlink r:id="rId31" w:history="1">
        <w:r>
          <w:rPr>
            <w:rStyle w:val="Hyperlink"/>
          </w:rPr>
          <w:t>https://doi.org/10.3201/eid0909.020766</w:t>
        </w:r>
      </w:hyperlink>
      <w:r>
        <w:t xml:space="preserve">. </w:t>
      </w:r>
    </w:p>
    <w:p w14:paraId="451F0B76" w14:textId="1FCF93F2" w:rsidR="003047C2" w:rsidRDefault="003047C2" w:rsidP="00D64F45">
      <w:pPr>
        <w:pStyle w:val="CDINumberedList1L1"/>
        <w:ind w:left="397" w:hanging="397"/>
      </w:pPr>
      <w:r>
        <w:t xml:space="preserve">Atmar RL, Estes MK. The epidemiologic and clinical importance of norovirus infection. </w:t>
      </w:r>
      <w:r w:rsidRPr="003047C2">
        <w:rPr>
          <w:i/>
          <w:iCs/>
        </w:rPr>
        <w:t>Gastroenterol Clin North Am</w:t>
      </w:r>
      <w:r>
        <w:t>. 2006;35(2):275–90. doi:</w:t>
      </w:r>
      <w:r w:rsidR="00D64F45">
        <w:t> </w:t>
      </w:r>
      <w:hyperlink r:id="rId32" w:history="1">
        <w:r>
          <w:rPr>
            <w:rStyle w:val="Hyperlink"/>
          </w:rPr>
          <w:t>https://doi.org/10.1016/j.gtc.2006.03.001</w:t>
        </w:r>
      </w:hyperlink>
      <w:r>
        <w:t xml:space="preserve">. </w:t>
      </w:r>
    </w:p>
    <w:p w14:paraId="530784B5" w14:textId="2841A64B" w:rsidR="003047C2" w:rsidRDefault="003047C2" w:rsidP="00D64F45">
      <w:pPr>
        <w:pStyle w:val="CDINumberedList1L1"/>
        <w:ind w:left="397" w:hanging="397"/>
      </w:pPr>
      <w:r>
        <w:t xml:space="preserve">Mead PS, Slutsker L, Dietz V, McCaig LF, Bresee JS, Shapiro C et al. Food-related illness and death in the United States. </w:t>
      </w:r>
      <w:r w:rsidRPr="003047C2">
        <w:rPr>
          <w:i/>
          <w:iCs/>
        </w:rPr>
        <w:t>Emerg Infect Dis</w:t>
      </w:r>
      <w:r>
        <w:t>. 1999;5(5):607–25. doi:</w:t>
      </w:r>
      <w:r w:rsidR="00D64F45">
        <w:t> </w:t>
      </w:r>
      <w:hyperlink r:id="rId33" w:history="1">
        <w:r>
          <w:rPr>
            <w:rStyle w:val="Hyperlink"/>
          </w:rPr>
          <w:t>https://doi.org/10.3201/eid0505.990502</w:t>
        </w:r>
      </w:hyperlink>
      <w:r>
        <w:t xml:space="preserve">. </w:t>
      </w:r>
    </w:p>
    <w:p w14:paraId="627B0199" w14:textId="77777777" w:rsidR="003047C2" w:rsidRDefault="003047C2" w:rsidP="00D64F45">
      <w:pPr>
        <w:pStyle w:val="CDINumberedList1L1"/>
        <w:ind w:left="397" w:hanging="397"/>
      </w:pPr>
      <w:r>
        <w:t xml:space="preserve">Lively JY, Johnson SD, </w:t>
      </w:r>
      <w:proofErr w:type="spellStart"/>
      <w:r>
        <w:t>Wikswo</w:t>
      </w:r>
      <w:proofErr w:type="spellEnd"/>
      <w:r>
        <w:t xml:space="preserve"> M, Gu W, Leon J, Hall AJ. Clinical and epidemiologic profiles for identifying norovirus in acute gastroenteritis outbreak investigations. </w:t>
      </w:r>
      <w:r w:rsidRPr="003047C2">
        <w:rPr>
          <w:i/>
          <w:iCs/>
        </w:rPr>
        <w:t>Open Forum Infect Dis</w:t>
      </w:r>
      <w:r>
        <w:t>. 2018;5(4</w:t>
      </w:r>
      <w:proofErr w:type="gramStart"/>
      <w:r>
        <w:t>):ofy</w:t>
      </w:r>
      <w:proofErr w:type="gramEnd"/>
      <w:r>
        <w:t xml:space="preserve">049. doi: </w:t>
      </w:r>
      <w:hyperlink r:id="rId34" w:history="1">
        <w:r>
          <w:rPr>
            <w:rStyle w:val="Hyperlink"/>
          </w:rPr>
          <w:t>https://doi.org/10.1093/ofid/ofy049</w:t>
        </w:r>
      </w:hyperlink>
      <w:r>
        <w:t xml:space="preserve">. </w:t>
      </w:r>
    </w:p>
    <w:p w14:paraId="23F92F5D" w14:textId="799555CC" w:rsidR="003047C2" w:rsidRDefault="003047C2" w:rsidP="00D64F45">
      <w:pPr>
        <w:pStyle w:val="CDINumberedList1L1"/>
        <w:ind w:left="397" w:hanging="397"/>
      </w:pPr>
      <w:r>
        <w:t xml:space="preserve">Kaplan JE, Gary GW, Baron RC, Singh N, Schonberger LB, Feldman R et al. Epidemiology of Norwalk gastroenteritis and the role of Norwalk virus in outbreaks of acute nonbacterial gastroenteritis. </w:t>
      </w:r>
      <w:r w:rsidRPr="003047C2">
        <w:rPr>
          <w:i/>
          <w:iCs/>
        </w:rPr>
        <w:t>Ann Intern Med</w:t>
      </w:r>
      <w:r>
        <w:t xml:space="preserve">. 1982;96(6):756–61. </w:t>
      </w:r>
      <w:r w:rsidR="00D64F45">
        <w:br/>
      </w:r>
      <w:r>
        <w:t xml:space="preserve">doi: </w:t>
      </w:r>
      <w:hyperlink r:id="rId35" w:history="1">
        <w:r>
          <w:rPr>
            <w:rStyle w:val="Hyperlink"/>
          </w:rPr>
          <w:t>https://doi.org/10.7326/0003-4819-96-6-756</w:t>
        </w:r>
      </w:hyperlink>
      <w:r>
        <w:t xml:space="preserve">. </w:t>
      </w:r>
    </w:p>
    <w:p w14:paraId="299AC207" w14:textId="110FC79B" w:rsidR="003047C2" w:rsidRDefault="003047C2" w:rsidP="00D64F45">
      <w:pPr>
        <w:pStyle w:val="CDINumberedList1L1"/>
        <w:ind w:left="397" w:hanging="397"/>
      </w:pPr>
      <w:r>
        <w:t xml:space="preserve">Goodgame R. Norovirus gastroenteritis. </w:t>
      </w:r>
      <w:r w:rsidRPr="003047C2">
        <w:rPr>
          <w:i/>
          <w:iCs/>
        </w:rPr>
        <w:t>Curr Infect Dis Rep</w:t>
      </w:r>
      <w:r>
        <w:t>. 2007;9(2):102–9. doi:</w:t>
      </w:r>
      <w:r w:rsidR="00D64F45">
        <w:t> </w:t>
      </w:r>
      <w:hyperlink r:id="rId36" w:history="1">
        <w:r>
          <w:rPr>
            <w:rStyle w:val="Hyperlink"/>
          </w:rPr>
          <w:t>https://doi.org/10.1007/s11908-007-0004-5</w:t>
        </w:r>
      </w:hyperlink>
      <w:r>
        <w:t xml:space="preserve">. </w:t>
      </w:r>
    </w:p>
    <w:p w14:paraId="311245B5" w14:textId="511BC409" w:rsidR="003047C2" w:rsidRDefault="003047C2" w:rsidP="00D64F45">
      <w:pPr>
        <w:pStyle w:val="CDINumberedList1L1"/>
        <w:ind w:left="397" w:hanging="397"/>
      </w:pPr>
      <w:r>
        <w:t xml:space="preserve">de Graaf M, van Beek J, Koopmans MPG. Human norovirus transmission and evolution in a changing world. </w:t>
      </w:r>
      <w:r w:rsidRPr="003047C2">
        <w:rPr>
          <w:i/>
          <w:iCs/>
        </w:rPr>
        <w:t>Nat Rev Microbiol</w:t>
      </w:r>
      <w:r>
        <w:t>. 2016;14(7):421–33. doi:</w:t>
      </w:r>
      <w:r w:rsidR="00D64F45">
        <w:t> </w:t>
      </w:r>
      <w:hyperlink r:id="rId37" w:history="1">
        <w:r>
          <w:rPr>
            <w:rStyle w:val="Hyperlink"/>
          </w:rPr>
          <w:t>https://doi.org/10.1038/nrmicro.2016.48</w:t>
        </w:r>
      </w:hyperlink>
      <w:r>
        <w:t xml:space="preserve">. </w:t>
      </w:r>
    </w:p>
    <w:p w14:paraId="25090F51" w14:textId="75FEA6D3" w:rsidR="003047C2" w:rsidRDefault="003047C2" w:rsidP="00D64F45">
      <w:pPr>
        <w:pStyle w:val="CDINumberedList1L1"/>
        <w:ind w:left="397" w:hanging="397"/>
      </w:pPr>
      <w:r>
        <w:t xml:space="preserve">Atmar RL, </w:t>
      </w:r>
      <w:proofErr w:type="spellStart"/>
      <w:r>
        <w:t>Opekun</w:t>
      </w:r>
      <w:proofErr w:type="spellEnd"/>
      <w:r>
        <w:t xml:space="preserve"> AR, Gilger MA, Estes MK, Crawford SE, Neill FH et al. Norwalk virus shedding after experimental human infection. </w:t>
      </w:r>
      <w:r w:rsidRPr="003047C2">
        <w:rPr>
          <w:i/>
          <w:iCs/>
        </w:rPr>
        <w:t>Emerg Infect Dis</w:t>
      </w:r>
      <w:r>
        <w:t>. 2008;14(10):1553–7. doi:</w:t>
      </w:r>
      <w:r w:rsidR="00D64F45">
        <w:t> </w:t>
      </w:r>
      <w:hyperlink r:id="rId38" w:history="1">
        <w:r>
          <w:rPr>
            <w:rStyle w:val="Hyperlink"/>
          </w:rPr>
          <w:t>https://doi.org/10.3201/eid1410.080117</w:t>
        </w:r>
      </w:hyperlink>
      <w:r>
        <w:t xml:space="preserve">. </w:t>
      </w:r>
    </w:p>
    <w:p w14:paraId="679D52BE" w14:textId="77777777" w:rsidR="003047C2" w:rsidRDefault="003047C2" w:rsidP="00D64F45">
      <w:pPr>
        <w:pStyle w:val="CDINumberedList1L1"/>
        <w:ind w:left="397" w:hanging="397"/>
      </w:pPr>
      <w:r>
        <w:t xml:space="preserve">de Graaf M, </w:t>
      </w:r>
      <w:proofErr w:type="spellStart"/>
      <w:r>
        <w:t>Villabruna</w:t>
      </w:r>
      <w:proofErr w:type="spellEnd"/>
      <w:r>
        <w:t xml:space="preserve"> N, Koopmans MP. Capturing norovirus transmission. </w:t>
      </w:r>
      <w:r w:rsidRPr="003047C2">
        <w:rPr>
          <w:i/>
          <w:iCs/>
        </w:rPr>
        <w:t xml:space="preserve">Curr </w:t>
      </w:r>
      <w:proofErr w:type="spellStart"/>
      <w:r w:rsidRPr="003047C2">
        <w:rPr>
          <w:i/>
          <w:iCs/>
        </w:rPr>
        <w:t>Opin</w:t>
      </w:r>
      <w:proofErr w:type="spellEnd"/>
      <w:r w:rsidRPr="003047C2">
        <w:rPr>
          <w:i/>
          <w:iCs/>
        </w:rPr>
        <w:t xml:space="preserve"> </w:t>
      </w:r>
      <w:proofErr w:type="spellStart"/>
      <w:r w:rsidRPr="003047C2">
        <w:rPr>
          <w:i/>
          <w:iCs/>
        </w:rPr>
        <w:t>Virol</w:t>
      </w:r>
      <w:proofErr w:type="spellEnd"/>
      <w:r>
        <w:t xml:space="preserve">. </w:t>
      </w:r>
      <w:proofErr w:type="gramStart"/>
      <w:r>
        <w:t>2017;22:64</w:t>
      </w:r>
      <w:proofErr w:type="gramEnd"/>
      <w:r>
        <w:t xml:space="preserve">–70. doi: </w:t>
      </w:r>
      <w:hyperlink r:id="rId39" w:history="1">
        <w:r>
          <w:rPr>
            <w:rStyle w:val="Hyperlink"/>
          </w:rPr>
          <w:t>https://doi.org/10.1016/j.coviro.2016.11.008</w:t>
        </w:r>
      </w:hyperlink>
      <w:r>
        <w:t xml:space="preserve">. </w:t>
      </w:r>
    </w:p>
    <w:p w14:paraId="197C2555" w14:textId="77777777" w:rsidR="003047C2" w:rsidRDefault="003047C2" w:rsidP="00D64F45">
      <w:pPr>
        <w:pStyle w:val="CDINumberedList1L1"/>
        <w:ind w:left="397" w:hanging="397"/>
      </w:pPr>
      <w:r>
        <w:t xml:space="preserve">Heijne JCM, Teunis P, </w:t>
      </w:r>
      <w:proofErr w:type="spellStart"/>
      <w:r>
        <w:t>Morroy</w:t>
      </w:r>
      <w:proofErr w:type="spellEnd"/>
      <w:r>
        <w:t xml:space="preserve"> G, </w:t>
      </w:r>
      <w:proofErr w:type="spellStart"/>
      <w:r>
        <w:t>Wijkmans</w:t>
      </w:r>
      <w:proofErr w:type="spellEnd"/>
      <w:r>
        <w:t xml:space="preserve"> C, Oostveen S, </w:t>
      </w:r>
      <w:proofErr w:type="spellStart"/>
      <w:r>
        <w:t>Duizer</w:t>
      </w:r>
      <w:proofErr w:type="spellEnd"/>
      <w:r>
        <w:t xml:space="preserve"> E et al. Enhanced hygiene measures and norovirus transmission during an outbreak. </w:t>
      </w:r>
      <w:r w:rsidRPr="003047C2">
        <w:rPr>
          <w:i/>
          <w:iCs/>
        </w:rPr>
        <w:t>Emerg Infect Dis</w:t>
      </w:r>
      <w:r>
        <w:t xml:space="preserve">. 2009;15(1):24–30. doi: </w:t>
      </w:r>
      <w:hyperlink r:id="rId40" w:history="1">
        <w:r>
          <w:rPr>
            <w:rStyle w:val="Hyperlink"/>
          </w:rPr>
          <w:t>https://doi.org/10.3201/eid1501.080299</w:t>
        </w:r>
      </w:hyperlink>
      <w:r>
        <w:t xml:space="preserve">. </w:t>
      </w:r>
    </w:p>
    <w:p w14:paraId="4AB0ED58" w14:textId="77777777" w:rsidR="003047C2" w:rsidRDefault="003047C2" w:rsidP="00D64F45">
      <w:pPr>
        <w:pStyle w:val="CDINumberedList1L1"/>
        <w:ind w:left="397" w:hanging="397"/>
      </w:pPr>
      <w:r>
        <w:t xml:space="preserve">Berg DE, Kohn MA, Farley TA, McFarland LM. Multi-state outbreaks of acute gastroenteritis traced to </w:t>
      </w:r>
      <w:proofErr w:type="spellStart"/>
      <w:r>
        <w:t>fecal</w:t>
      </w:r>
      <w:proofErr w:type="spellEnd"/>
      <w:r>
        <w:t xml:space="preserve">-contaminated oysters harvested in Louisiana. </w:t>
      </w:r>
      <w:r w:rsidRPr="003047C2">
        <w:rPr>
          <w:i/>
          <w:iCs/>
        </w:rPr>
        <w:t>J Infect Dis</w:t>
      </w:r>
      <w:r>
        <w:t>. 2000;181(Suppl 2</w:t>
      </w:r>
      <w:proofErr w:type="gramStart"/>
      <w:r>
        <w:t>):S</w:t>
      </w:r>
      <w:proofErr w:type="gramEnd"/>
      <w:r>
        <w:t xml:space="preserve">381–6. doi: </w:t>
      </w:r>
      <w:hyperlink r:id="rId41" w:history="1">
        <w:r>
          <w:rPr>
            <w:rStyle w:val="Hyperlink"/>
          </w:rPr>
          <w:t>https://doi.org/10.1086/315581</w:t>
        </w:r>
      </w:hyperlink>
      <w:r>
        <w:t xml:space="preserve">. </w:t>
      </w:r>
    </w:p>
    <w:p w14:paraId="008E1D0B" w14:textId="77777777" w:rsidR="003047C2" w:rsidRDefault="003047C2" w:rsidP="00D64F45">
      <w:pPr>
        <w:pStyle w:val="CDINumberedList1L1"/>
        <w:ind w:left="397" w:hanging="397"/>
      </w:pPr>
      <w:r>
        <w:t xml:space="preserve">Bozkurt H, Phan-Thien KY, van Ogtrop F, Bell T, McConchie R. Outbreaks, occurrence, and control of norovirus and hepatitis a virus contamination in berries: a review. </w:t>
      </w:r>
      <w:r w:rsidRPr="003047C2">
        <w:rPr>
          <w:i/>
          <w:iCs/>
        </w:rPr>
        <w:t xml:space="preserve">Crit Rev Food Sci </w:t>
      </w:r>
      <w:proofErr w:type="spellStart"/>
      <w:r w:rsidRPr="003047C2">
        <w:rPr>
          <w:i/>
          <w:iCs/>
        </w:rPr>
        <w:t>Nutr</w:t>
      </w:r>
      <w:proofErr w:type="spellEnd"/>
      <w:r>
        <w:t xml:space="preserve">. 2021;61(1):116–38. doi: https://doi.org/10.1080/10408398.2020.1719383. </w:t>
      </w:r>
    </w:p>
    <w:p w14:paraId="66FCDAD4" w14:textId="15788BCC" w:rsidR="003047C2" w:rsidRDefault="003047C2" w:rsidP="00D64F45">
      <w:pPr>
        <w:pStyle w:val="CDINumberedList1L1"/>
        <w:ind w:left="397" w:hanging="397"/>
      </w:pPr>
      <w:r>
        <w:t xml:space="preserve">Baert L, </w:t>
      </w:r>
      <w:proofErr w:type="spellStart"/>
      <w:r>
        <w:t>Uyttendaele</w:t>
      </w:r>
      <w:proofErr w:type="spellEnd"/>
      <w:r>
        <w:t xml:space="preserve"> M, Stals A, Van </w:t>
      </w:r>
      <w:proofErr w:type="spellStart"/>
      <w:r>
        <w:t>Coillie</w:t>
      </w:r>
      <w:proofErr w:type="spellEnd"/>
      <w:r>
        <w:t xml:space="preserve"> E, Dierick K, </w:t>
      </w:r>
      <w:proofErr w:type="spellStart"/>
      <w:r>
        <w:t>Debevere</w:t>
      </w:r>
      <w:proofErr w:type="spellEnd"/>
      <w:r>
        <w:t xml:space="preserve"> J et al. Reported foodborne outbreaks due to noroviruses in Belgium: the link between food and patient investigations in an international context. </w:t>
      </w:r>
      <w:r w:rsidRPr="003047C2">
        <w:rPr>
          <w:i/>
          <w:iCs/>
        </w:rPr>
        <w:t>Epidemiol Infect</w:t>
      </w:r>
      <w:r>
        <w:t>. 2009;137(3):316–25. doi:</w:t>
      </w:r>
      <w:r w:rsidR="00D64F45">
        <w:t> </w:t>
      </w:r>
      <w:hyperlink r:id="rId42" w:history="1">
        <w:r>
          <w:rPr>
            <w:rStyle w:val="Hyperlink"/>
          </w:rPr>
          <w:t>https://doi.org/10.1017/S0950268808001830</w:t>
        </w:r>
      </w:hyperlink>
      <w:r>
        <w:t xml:space="preserve">. </w:t>
      </w:r>
    </w:p>
    <w:p w14:paraId="0D63DAD3" w14:textId="77777777" w:rsidR="003047C2" w:rsidRDefault="003047C2" w:rsidP="00D64F45">
      <w:pPr>
        <w:pStyle w:val="CDINumberedList1L1"/>
        <w:ind w:left="397" w:hanging="397"/>
      </w:pPr>
      <w:r>
        <w:t xml:space="preserve">Hall AJ, Eisenbart VG, </w:t>
      </w:r>
      <w:proofErr w:type="spellStart"/>
      <w:r>
        <w:t>Etingüe</w:t>
      </w:r>
      <w:proofErr w:type="spellEnd"/>
      <w:r>
        <w:t xml:space="preserve"> AL, Gould LH, </w:t>
      </w:r>
      <w:proofErr w:type="spellStart"/>
      <w:r>
        <w:t>Lopman</w:t>
      </w:r>
      <w:proofErr w:type="spellEnd"/>
      <w:r>
        <w:t xml:space="preserve"> BA, Parashar UD. Epidemiology of foodborne norovirus outbreaks, United States, 2001–2008. </w:t>
      </w:r>
      <w:r w:rsidRPr="003047C2">
        <w:rPr>
          <w:i/>
          <w:iCs/>
        </w:rPr>
        <w:t>Emerg Infect Dis</w:t>
      </w:r>
      <w:r>
        <w:t xml:space="preserve">. 2012;18(10):1566–73. doi: </w:t>
      </w:r>
      <w:hyperlink r:id="rId43" w:history="1">
        <w:r>
          <w:rPr>
            <w:rStyle w:val="Hyperlink"/>
          </w:rPr>
          <w:t>https://doi.org/10.3201/eid1810.120833</w:t>
        </w:r>
      </w:hyperlink>
      <w:r>
        <w:t xml:space="preserve">. </w:t>
      </w:r>
    </w:p>
    <w:p w14:paraId="4ACE8D7E" w14:textId="77777777" w:rsidR="003047C2" w:rsidRDefault="003047C2" w:rsidP="00D64F45">
      <w:pPr>
        <w:pStyle w:val="CDINumberedList1L1"/>
        <w:ind w:left="397" w:hanging="397"/>
      </w:pPr>
      <w:r>
        <w:t xml:space="preserve">Hall AJ, </w:t>
      </w:r>
      <w:proofErr w:type="spellStart"/>
      <w:r>
        <w:t>Wikswo</w:t>
      </w:r>
      <w:proofErr w:type="spellEnd"/>
      <w:r>
        <w:t xml:space="preserve"> ME, Pringle K, Gould LH, Parashar UD. Vital signs: foodborne norovirus outbreaks — United States, 2009–2012. </w:t>
      </w:r>
      <w:r w:rsidRPr="003047C2">
        <w:rPr>
          <w:i/>
          <w:iCs/>
        </w:rPr>
        <w:t xml:space="preserve">MMWR </w:t>
      </w:r>
      <w:proofErr w:type="spellStart"/>
      <w:r w:rsidRPr="003047C2">
        <w:rPr>
          <w:i/>
          <w:iCs/>
        </w:rPr>
        <w:t>Morb</w:t>
      </w:r>
      <w:proofErr w:type="spellEnd"/>
      <w:r w:rsidRPr="003047C2">
        <w:rPr>
          <w:i/>
          <w:iCs/>
        </w:rPr>
        <w:t xml:space="preserve"> Mortal </w:t>
      </w:r>
      <w:proofErr w:type="spellStart"/>
      <w:r w:rsidRPr="003047C2">
        <w:rPr>
          <w:i/>
          <w:iCs/>
        </w:rPr>
        <w:t>Wkly</w:t>
      </w:r>
      <w:proofErr w:type="spellEnd"/>
      <w:r w:rsidRPr="003047C2">
        <w:rPr>
          <w:i/>
          <w:iCs/>
        </w:rPr>
        <w:t xml:space="preserve"> Rep</w:t>
      </w:r>
      <w:r>
        <w:t xml:space="preserve">. 2014;63(22):491–5. Available from: </w:t>
      </w:r>
      <w:hyperlink r:id="rId44" w:history="1">
        <w:r>
          <w:rPr>
            <w:rStyle w:val="Hyperlink"/>
          </w:rPr>
          <w:t>https://www.cdc.gov/mmwr/preview/mmwrhtml/mm6322a3.htm</w:t>
        </w:r>
      </w:hyperlink>
      <w:r>
        <w:t xml:space="preserve">. </w:t>
      </w:r>
    </w:p>
    <w:p w14:paraId="7117077E" w14:textId="76129803" w:rsidR="003047C2" w:rsidRDefault="003047C2" w:rsidP="00D64F45">
      <w:pPr>
        <w:pStyle w:val="CDINumberedList1L1"/>
        <w:ind w:left="397" w:hanging="397"/>
      </w:pPr>
      <w:r>
        <w:t>Australian Capital Territory Government Health and Community Services Directorate (ACT Health). Food Safety for Businesses: Food Handlers. [Webpage.] Canberra: ACT Health; 7</w:t>
      </w:r>
      <w:r w:rsidR="00D64F45">
        <w:t> </w:t>
      </w:r>
      <w:r>
        <w:t xml:space="preserve">October 2025. [Accessed on 9 April 2026.] Available from: </w:t>
      </w:r>
      <w:hyperlink r:id="rId45" w:history="1">
        <w:r>
          <w:rPr>
            <w:rStyle w:val="Hyperlink"/>
          </w:rPr>
          <w:t>https://www.act.gov.au/business/food-safety-for-businesses/food-safety-education/food-handlers</w:t>
        </w:r>
      </w:hyperlink>
      <w:r>
        <w:t>.</w:t>
      </w:r>
    </w:p>
    <w:p w14:paraId="1B875C1F" w14:textId="727DA175" w:rsidR="003047C2" w:rsidRPr="000D13D9" w:rsidRDefault="003047C2" w:rsidP="00D64F45">
      <w:pPr>
        <w:pStyle w:val="CDINumberedList1L1"/>
        <w:ind w:left="397" w:hanging="397"/>
      </w:pPr>
      <w:r>
        <w:t xml:space="preserve">Food Standards Australia and New Zealand (FSANZ). </w:t>
      </w:r>
      <w:hyperlink r:id="rId46" w:history="1">
        <w:r w:rsidRPr="0047735B">
          <w:rPr>
            <w:rStyle w:val="Hyperlink"/>
            <w:i/>
            <w:iCs/>
          </w:rPr>
          <w:t>Compendium of Microbiological Criteria for Food. March 2022</w:t>
        </w:r>
      </w:hyperlink>
      <w:r>
        <w:t xml:space="preserve">. Canberra: FSANZ; </w:t>
      </w:r>
      <w:r w:rsidRPr="000D13D9">
        <w:t>March 2022.</w:t>
      </w:r>
    </w:p>
    <w:p w14:paraId="32E5C1BE" w14:textId="77777777" w:rsidR="003047C2" w:rsidRDefault="003047C2" w:rsidP="00D64F45">
      <w:pPr>
        <w:pStyle w:val="CDINumberedList1L1"/>
        <w:ind w:left="397" w:hanging="397"/>
      </w:pPr>
      <w:r>
        <w:t xml:space="preserve">Australia New Zealand Food Authority. </w:t>
      </w:r>
      <w:r w:rsidRPr="003047C2">
        <w:rPr>
          <w:i/>
          <w:iCs/>
        </w:rPr>
        <w:t>Australia New Zealand Food Standards Code - Standard 3.2.2 - Food safety practices and general requirements (Australia only)</w:t>
      </w:r>
      <w:r>
        <w:t xml:space="preserve">. [Legislation.] Canberra: Australian Government Federal Register of Legislation; 24 August 2000. Available from: </w:t>
      </w:r>
      <w:hyperlink r:id="rId47" w:history="1">
        <w:r>
          <w:rPr>
            <w:rStyle w:val="Hyperlink"/>
          </w:rPr>
          <w:t>https://www.legislation.gov.au/F2008B00576/latest/text</w:t>
        </w:r>
      </w:hyperlink>
      <w:r>
        <w:t>.</w:t>
      </w:r>
    </w:p>
    <w:p w14:paraId="33465D82" w14:textId="4622FF4E" w:rsidR="003047C2" w:rsidRDefault="003047C2" w:rsidP="00D64F45">
      <w:pPr>
        <w:pStyle w:val="CDINumberedList1L1"/>
        <w:ind w:left="397" w:hanging="397"/>
      </w:pPr>
      <w:r>
        <w:t xml:space="preserve">Glass K, McLure A, Bourke S, Cribb DM, Kirk MD, March J et al. The cost of foodborne illness and its sequelae in Australia circa 2019. </w:t>
      </w:r>
      <w:r w:rsidRPr="003047C2">
        <w:rPr>
          <w:i/>
          <w:iCs/>
        </w:rPr>
        <w:t xml:space="preserve">Foodborne </w:t>
      </w:r>
      <w:proofErr w:type="spellStart"/>
      <w:r w:rsidRPr="003047C2">
        <w:rPr>
          <w:i/>
          <w:iCs/>
        </w:rPr>
        <w:t>Pathog</w:t>
      </w:r>
      <w:proofErr w:type="spellEnd"/>
      <w:r w:rsidRPr="003047C2">
        <w:rPr>
          <w:i/>
          <w:iCs/>
        </w:rPr>
        <w:t xml:space="preserve"> Dis</w:t>
      </w:r>
      <w:r>
        <w:t>. 2023;20(10):419–26. doi:</w:t>
      </w:r>
      <w:r w:rsidR="00D64F45">
        <w:t> </w:t>
      </w:r>
      <w:hyperlink r:id="rId48" w:history="1">
        <w:r>
          <w:rPr>
            <w:rStyle w:val="Hyperlink"/>
          </w:rPr>
          <w:t>https://doi.org/10.1089/fpd.2023.0015</w:t>
        </w:r>
      </w:hyperlink>
      <w:r>
        <w:t>.</w:t>
      </w:r>
    </w:p>
    <w:p w14:paraId="2D7E02A5" w14:textId="77777777" w:rsidR="003047C2" w:rsidRDefault="003047C2" w:rsidP="00D64F45">
      <w:pPr>
        <w:pStyle w:val="CDINumberedList1L1"/>
        <w:ind w:left="397" w:hanging="397"/>
      </w:pPr>
      <w:proofErr w:type="spellStart"/>
      <w:r>
        <w:t>Hardstaff</w:t>
      </w:r>
      <w:proofErr w:type="spellEnd"/>
      <w:r>
        <w:t xml:space="preserve"> JL, Clough HE, Lutje V, McIntyre KM, Harris JP, Garner P et al. Foodborne and food-handler norovirus outbreaks: a systematic review. </w:t>
      </w:r>
      <w:r w:rsidRPr="003047C2">
        <w:rPr>
          <w:i/>
          <w:iCs/>
        </w:rPr>
        <w:t xml:space="preserve">Foodborne </w:t>
      </w:r>
      <w:proofErr w:type="spellStart"/>
      <w:r w:rsidRPr="003047C2">
        <w:rPr>
          <w:i/>
          <w:iCs/>
        </w:rPr>
        <w:t>Pathog</w:t>
      </w:r>
      <w:proofErr w:type="spellEnd"/>
      <w:r w:rsidRPr="003047C2">
        <w:rPr>
          <w:i/>
          <w:iCs/>
        </w:rPr>
        <w:t xml:space="preserve"> Dis</w:t>
      </w:r>
      <w:r>
        <w:t xml:space="preserve">. 2018;15(10):589–97. doi: </w:t>
      </w:r>
      <w:hyperlink r:id="rId49" w:history="1">
        <w:r>
          <w:rPr>
            <w:rStyle w:val="Hyperlink"/>
          </w:rPr>
          <w:t>https://doi.org/10.1089/fpd.2018.2452</w:t>
        </w:r>
      </w:hyperlink>
      <w:r>
        <w:t xml:space="preserve">. </w:t>
      </w:r>
    </w:p>
    <w:p w14:paraId="5638332E" w14:textId="77777777" w:rsidR="003047C2" w:rsidRDefault="003047C2" w:rsidP="00D64F45">
      <w:pPr>
        <w:pStyle w:val="CDINumberedList1L1"/>
        <w:ind w:left="397" w:hanging="397"/>
      </w:pPr>
      <w:r>
        <w:t xml:space="preserve">Gallimore CI, Cubitt D, du Plessis N, Gray JJ. Asymptomatic and symptomatic excretion of noroviruses during a hospital outbreak of gastroenteritis. </w:t>
      </w:r>
      <w:r w:rsidRPr="003047C2">
        <w:rPr>
          <w:i/>
          <w:iCs/>
        </w:rPr>
        <w:t>J Clin Microbiol</w:t>
      </w:r>
      <w:r>
        <w:t xml:space="preserve">. 2004;42(5):2271–4. doi: </w:t>
      </w:r>
      <w:hyperlink r:id="rId50" w:history="1">
        <w:r>
          <w:rPr>
            <w:rStyle w:val="Hyperlink"/>
          </w:rPr>
          <w:t>https://doi.org/10.1128/JCM.42.5.2271-2274.2004</w:t>
        </w:r>
      </w:hyperlink>
      <w:r>
        <w:t xml:space="preserve">. </w:t>
      </w:r>
    </w:p>
    <w:p w14:paraId="4510513D" w14:textId="3F5992FA" w:rsidR="003047C2" w:rsidRDefault="003047C2" w:rsidP="00D64F45">
      <w:pPr>
        <w:pStyle w:val="CDINumberedList1L1"/>
        <w:ind w:left="397" w:hanging="397"/>
      </w:pPr>
      <w:r>
        <w:t xml:space="preserve">Qi R, Huang YT, Liu JW, Sun Y, Sun XF, Han HJ et al. Global prevalence of asymptomatic norovirus infection: a meta-analysis. </w:t>
      </w:r>
      <w:proofErr w:type="spellStart"/>
      <w:r w:rsidRPr="003047C2">
        <w:rPr>
          <w:i/>
          <w:iCs/>
        </w:rPr>
        <w:t>EClinicalMedicine</w:t>
      </w:r>
      <w:proofErr w:type="spellEnd"/>
      <w:r>
        <w:t>. 2018;2–3:50–8. doi:</w:t>
      </w:r>
      <w:r w:rsidR="00D64F45">
        <w:t> </w:t>
      </w:r>
      <w:hyperlink r:id="rId51" w:history="1">
        <w:r>
          <w:rPr>
            <w:rStyle w:val="Hyperlink"/>
          </w:rPr>
          <w:t>https://doi.org/10.1016/j.eclinm.2018.09.001</w:t>
        </w:r>
      </w:hyperlink>
      <w:r>
        <w:t xml:space="preserve">. </w:t>
      </w:r>
    </w:p>
    <w:p w14:paraId="1E096FB9" w14:textId="77777777" w:rsidR="003047C2" w:rsidRDefault="003047C2" w:rsidP="00D64F45">
      <w:pPr>
        <w:pStyle w:val="CDINumberedList1L1"/>
        <w:ind w:left="397" w:hanging="397"/>
      </w:pPr>
      <w:r>
        <w:t xml:space="preserve">Rumble C, Addiman S, </w:t>
      </w:r>
      <w:proofErr w:type="spellStart"/>
      <w:r>
        <w:t>Balasegaram</w:t>
      </w:r>
      <w:proofErr w:type="spellEnd"/>
      <w:r>
        <w:t xml:space="preserve"> S, Chima K, Ready D, Heard J et al. Role of food handlers in norovirus outbreaks in London and </w:t>
      </w:r>
      <w:proofErr w:type="gramStart"/>
      <w:r>
        <w:t>South East</w:t>
      </w:r>
      <w:proofErr w:type="gramEnd"/>
      <w:r>
        <w:t xml:space="preserve"> England, 2013 to 2015. </w:t>
      </w:r>
      <w:r w:rsidRPr="003047C2">
        <w:rPr>
          <w:i/>
          <w:iCs/>
        </w:rPr>
        <w:t>J Food Prot</w:t>
      </w:r>
      <w:r>
        <w:t xml:space="preserve">. 2017;80(2):257–64. doi: </w:t>
      </w:r>
      <w:hyperlink r:id="rId52" w:history="1">
        <w:r>
          <w:rPr>
            <w:rStyle w:val="Hyperlink"/>
          </w:rPr>
          <w:t>https://doi.org/10.4315/0362-028X.JFP-16-083</w:t>
        </w:r>
      </w:hyperlink>
      <w:r>
        <w:t xml:space="preserve">. </w:t>
      </w:r>
    </w:p>
    <w:p w14:paraId="6B0FC886" w14:textId="41E925DE" w:rsidR="003047C2" w:rsidRDefault="003047C2" w:rsidP="00D64F45">
      <w:pPr>
        <w:pStyle w:val="CDINumberedList1L1"/>
        <w:ind w:left="397" w:hanging="397"/>
      </w:pPr>
      <w:proofErr w:type="spellStart"/>
      <w:r>
        <w:t>Barrabeig</w:t>
      </w:r>
      <w:proofErr w:type="spellEnd"/>
      <w:r>
        <w:t xml:space="preserve"> I, Rovira A, </w:t>
      </w:r>
      <w:proofErr w:type="spellStart"/>
      <w:r>
        <w:t>Buesa</w:t>
      </w:r>
      <w:proofErr w:type="spellEnd"/>
      <w:r>
        <w:t xml:space="preserve"> J, Bartolomé R, </w:t>
      </w:r>
      <w:proofErr w:type="spellStart"/>
      <w:r>
        <w:t>Pintó</w:t>
      </w:r>
      <w:proofErr w:type="spellEnd"/>
      <w:r>
        <w:t xml:space="preserve"> R, </w:t>
      </w:r>
      <w:proofErr w:type="spellStart"/>
      <w:r>
        <w:t>Prellezo</w:t>
      </w:r>
      <w:proofErr w:type="spellEnd"/>
      <w:r>
        <w:t xml:space="preserve"> H et al. Foodborne norovirus outbreak: the role of an asymptomatic food handler. </w:t>
      </w:r>
      <w:r w:rsidRPr="003047C2">
        <w:rPr>
          <w:i/>
          <w:iCs/>
        </w:rPr>
        <w:t>BMC Infect Dis</w:t>
      </w:r>
      <w:r>
        <w:t>. 2010;10(1):269. doi:</w:t>
      </w:r>
      <w:r w:rsidR="00D64F45">
        <w:t> </w:t>
      </w:r>
      <w:hyperlink r:id="rId53" w:history="1">
        <w:r>
          <w:rPr>
            <w:rStyle w:val="Hyperlink"/>
          </w:rPr>
          <w:t>https://doi.org/10.1186/1471-2334-10-269</w:t>
        </w:r>
      </w:hyperlink>
      <w:r>
        <w:t xml:space="preserve">. </w:t>
      </w:r>
    </w:p>
    <w:p w14:paraId="2704859C" w14:textId="54EFB70E" w:rsidR="004973B4" w:rsidRPr="0058264F" w:rsidRDefault="003047C2" w:rsidP="003B4E61">
      <w:pPr>
        <w:pStyle w:val="CDINumberedList1L1"/>
        <w:ind w:left="397" w:hanging="397"/>
      </w:pPr>
      <w:r>
        <w:t xml:space="preserve">Parashar UD, Dow L, Fankhauser RL, Humphrey CD, Miller J, Ando T et al. An outbreak of viral gastroenteritis associated with consumption of sandwiches: implications for the control of transmission by food handlers. </w:t>
      </w:r>
      <w:r w:rsidRPr="00D64F45">
        <w:rPr>
          <w:i/>
          <w:iCs/>
        </w:rPr>
        <w:t>Epidemiol Infect</w:t>
      </w:r>
      <w:r>
        <w:t>. 1998;121(3):615–21. doi:</w:t>
      </w:r>
      <w:r w:rsidR="00D64F45">
        <w:t> </w:t>
      </w:r>
      <w:hyperlink r:id="rId54" w:history="1">
        <w:r>
          <w:rPr>
            <w:rStyle w:val="Hyperlink"/>
          </w:rPr>
          <w:t>https://doi.org/10.1017/s0950268898001150</w:t>
        </w:r>
      </w:hyperlink>
      <w:r>
        <w:t>.</w:t>
      </w:r>
    </w:p>
    <w:sectPr w:rsidR="004973B4" w:rsidRPr="0058264F"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5814" w14:textId="77777777" w:rsidR="007405B5" w:rsidRDefault="007405B5" w:rsidP="00E54DBA">
      <w:r>
        <w:separator/>
      </w:r>
    </w:p>
    <w:p w14:paraId="1A1DAE7E" w14:textId="77777777" w:rsidR="007405B5" w:rsidRDefault="007405B5"/>
    <w:p w14:paraId="7FBBC63A" w14:textId="77777777" w:rsidR="007405B5" w:rsidRDefault="007405B5" w:rsidP="008714B0"/>
  </w:endnote>
  <w:endnote w:type="continuationSeparator" w:id="0">
    <w:p w14:paraId="4DA7AB86" w14:textId="77777777" w:rsidR="007405B5" w:rsidRDefault="007405B5" w:rsidP="00E54DBA">
      <w:r>
        <w:continuationSeparator/>
      </w:r>
    </w:p>
    <w:p w14:paraId="346C1623" w14:textId="77777777" w:rsidR="007405B5" w:rsidRDefault="007405B5"/>
    <w:p w14:paraId="319A0A1E" w14:textId="77777777" w:rsidR="007405B5" w:rsidRDefault="007405B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1462"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4C2571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74C2571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876F" w14:textId="094C6BF3"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7870AB">
        <w:t>2026</w:t>
      </w:r>
    </w:fldSimple>
    <w:r w:rsidR="009B78A9">
      <w:t>;</w:t>
    </w:r>
    <w:fldSimple w:instr=" DOCPROPERTY  Vol  \* MERGEFORMAT ">
      <w:r w:rsidR="007870AB">
        <w:t>50</w:t>
      </w:r>
    </w:fldSimple>
    <w:r w:rsidR="00385655" w:rsidRPr="001D0612">
      <w:t xml:space="preserve"> </w:t>
    </w:r>
    <w:r w:rsidR="00385655" w:rsidRPr="00B85B74">
      <w:t>•</w:t>
    </w:r>
    <w:r w:rsidR="00385655">
      <w:t xml:space="preserve"> </w:t>
    </w:r>
    <w:fldSimple w:instr=" DOCPROPERTY  DOI  \* MERGEFORMAT ">
      <w:r w:rsidR="007870AB">
        <w:t>doi.org/10.33321/cdi.2026.50.042</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7870AB">
        <w:t>21.07.2026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6E8A"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E06B1FE"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7E06B1FE"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AFC14" w14:textId="77777777" w:rsidR="007405B5" w:rsidRPr="00B91FB5" w:rsidRDefault="007405B5" w:rsidP="00B91FB5">
      <w:pPr>
        <w:spacing w:line="240" w:lineRule="auto"/>
        <w:rPr>
          <w:sz w:val="18"/>
          <w:szCs w:val="18"/>
        </w:rPr>
      </w:pPr>
      <w:r w:rsidRPr="00B91FB5">
        <w:rPr>
          <w:sz w:val="18"/>
          <w:szCs w:val="18"/>
        </w:rPr>
        <w:separator/>
      </w:r>
    </w:p>
  </w:footnote>
  <w:footnote w:type="continuationSeparator" w:id="0">
    <w:p w14:paraId="30923124" w14:textId="77777777" w:rsidR="007405B5" w:rsidRDefault="007405B5" w:rsidP="00E54DBA">
      <w:r>
        <w:continuationSeparator/>
      </w:r>
    </w:p>
  </w:footnote>
  <w:footnote w:type="continuationNotice" w:id="1">
    <w:p w14:paraId="44B256C9" w14:textId="77777777" w:rsidR="007405B5" w:rsidRPr="00224EFF" w:rsidRDefault="007405B5" w:rsidP="00224EFF"/>
  </w:footnote>
  <w:footnote w:id="2">
    <w:p w14:paraId="29F6516E" w14:textId="1F5AD2BD" w:rsidR="00321AC7" w:rsidRDefault="00321AC7" w:rsidP="00321AC7">
      <w:pPr>
        <w:pStyle w:val="FootnoteText"/>
      </w:pPr>
      <w:r w:rsidRPr="00321AC7">
        <w:footnoteRef/>
      </w:r>
      <w:r>
        <w:tab/>
        <w:t xml:space="preserve">‘Research Electronic Data Capture’ web application: </w:t>
      </w:r>
      <w:hyperlink r:id="rId1" w:history="1">
        <w:r>
          <w:rPr>
            <w:rStyle w:val="Hyperlink"/>
          </w:rPr>
          <w:t>https://project-redcap.org/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3886"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EEFF689"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EEFF689"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151"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6BE14B9"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76BE14B9"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C33A2ECC"/>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37928421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AB"/>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314E"/>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13D9"/>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25DB"/>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4B1"/>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47C2"/>
    <w:rsid w:val="003052F5"/>
    <w:rsid w:val="003059EC"/>
    <w:rsid w:val="00316727"/>
    <w:rsid w:val="00316CCD"/>
    <w:rsid w:val="00321AC7"/>
    <w:rsid w:val="003230B3"/>
    <w:rsid w:val="00324F7E"/>
    <w:rsid w:val="0032526F"/>
    <w:rsid w:val="00325841"/>
    <w:rsid w:val="003316F4"/>
    <w:rsid w:val="003323BC"/>
    <w:rsid w:val="00336729"/>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7735B"/>
    <w:rsid w:val="00481503"/>
    <w:rsid w:val="00484919"/>
    <w:rsid w:val="004914F7"/>
    <w:rsid w:val="00491C26"/>
    <w:rsid w:val="00492014"/>
    <w:rsid w:val="004973B4"/>
    <w:rsid w:val="004A19B8"/>
    <w:rsid w:val="004A2125"/>
    <w:rsid w:val="004A2E24"/>
    <w:rsid w:val="004A38F6"/>
    <w:rsid w:val="004A689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E5D74"/>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05B5"/>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870AB"/>
    <w:rsid w:val="007918B3"/>
    <w:rsid w:val="00792C7D"/>
    <w:rsid w:val="00794293"/>
    <w:rsid w:val="00794A4D"/>
    <w:rsid w:val="00796377"/>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A4460"/>
    <w:rsid w:val="008B48B8"/>
    <w:rsid w:val="008B5348"/>
    <w:rsid w:val="008B58F8"/>
    <w:rsid w:val="008B5BAA"/>
    <w:rsid w:val="008B62FF"/>
    <w:rsid w:val="008B70C2"/>
    <w:rsid w:val="008C0712"/>
    <w:rsid w:val="008C4520"/>
    <w:rsid w:val="008C536D"/>
    <w:rsid w:val="008C5F09"/>
    <w:rsid w:val="008D470F"/>
    <w:rsid w:val="008D47FC"/>
    <w:rsid w:val="008D4B44"/>
    <w:rsid w:val="008E1F8F"/>
    <w:rsid w:val="008E2919"/>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31FE"/>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649F"/>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3367"/>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26D"/>
    <w:rsid w:val="00D13E0C"/>
    <w:rsid w:val="00D20FB5"/>
    <w:rsid w:val="00D22CC8"/>
    <w:rsid w:val="00D25896"/>
    <w:rsid w:val="00D26EE6"/>
    <w:rsid w:val="00D26FF6"/>
    <w:rsid w:val="00D32A59"/>
    <w:rsid w:val="00D33918"/>
    <w:rsid w:val="00D34AAF"/>
    <w:rsid w:val="00D36033"/>
    <w:rsid w:val="00D373A1"/>
    <w:rsid w:val="00D37C0F"/>
    <w:rsid w:val="00D37C38"/>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4F45"/>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14F"/>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5F01"/>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E7499"/>
  <w15:docId w15:val="{D7A243EA-A494-49EA-9CB2-6D402733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C2"/>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7870AB"/>
    <w:pPr>
      <w:spacing w:before="400"/>
    </w:pPr>
    <w:rPr>
      <w:rFonts w:asciiTheme="majorHAnsi" w:hAnsiTheme="majorHAnsi" w:cs="Arial"/>
      <w:b/>
      <w:bCs/>
      <w:sz w:val="56"/>
      <w:szCs w:val="56"/>
    </w:rPr>
  </w:style>
  <w:style w:type="character" w:customStyle="1" w:styleId="TitleChar">
    <w:name w:val="Title Char"/>
    <w:basedOn w:val="DefaultParagraphFont"/>
    <w:link w:val="Title"/>
    <w:uiPriority w:val="10"/>
    <w:rsid w:val="007870AB"/>
    <w:rPr>
      <w:rFonts w:asciiTheme="majorHAnsi" w:hAnsiTheme="majorHAnsi" w:cs="Arial"/>
      <w:b/>
      <w:bCs/>
      <w:sz w:val="56"/>
      <w:szCs w:val="56"/>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26" Type="http://schemas.openxmlformats.org/officeDocument/2006/relationships/hyperlink" Target="https://doi.org/10.1046/j.1440-1746.2003.02959.x" TargetMode="External"/><Relationship Id="rId39" Type="http://schemas.openxmlformats.org/officeDocument/2006/relationships/hyperlink" Target="https://doi.org/10.1016/j.coviro.2016.11.008" TargetMode="External"/><Relationship Id="rId21" Type="http://schemas.openxmlformats.org/officeDocument/2006/relationships/footer" Target="footer1.xml"/><Relationship Id="rId34" Type="http://schemas.openxmlformats.org/officeDocument/2006/relationships/hyperlink" Target="https://doi.org/10.1093/ofid/ofy049" TargetMode="External"/><Relationship Id="rId42" Type="http://schemas.openxmlformats.org/officeDocument/2006/relationships/hyperlink" Target="https://doi.org/10.1017/S0950268808001830" TargetMode="External"/><Relationship Id="rId47" Type="http://schemas.openxmlformats.org/officeDocument/2006/relationships/hyperlink" Target="https://www.legislation.gov.au/F2008B00576/latest/text" TargetMode="External"/><Relationship Id="rId50" Type="http://schemas.openxmlformats.org/officeDocument/2006/relationships/hyperlink" Target="https://doi.org/10.1128/JCM.42.5.2271-2274.2004"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https://www.foodstandards.gov.au/sites/default/files/2024-09/ANU%20Foodborne%20Disease%20Attribution%20Final%20Report.pdf" TargetMode="External"/><Relationship Id="rId11" Type="http://schemas.openxmlformats.org/officeDocument/2006/relationships/hyperlink" Target="https://creativecommons.org/licenses/by-nc-nd/4.0/legalcode" TargetMode="External"/><Relationship Id="rId24" Type="http://schemas.openxmlformats.org/officeDocument/2006/relationships/footer" Target="footer3.xml"/><Relationship Id="rId32" Type="http://schemas.openxmlformats.org/officeDocument/2006/relationships/hyperlink" Target="https://doi.org/10.1016/j.gtc.2006.03.001" TargetMode="External"/><Relationship Id="rId37" Type="http://schemas.openxmlformats.org/officeDocument/2006/relationships/hyperlink" Target="https://doi.org/10.1038/nrmicro.2016.48" TargetMode="External"/><Relationship Id="rId40" Type="http://schemas.openxmlformats.org/officeDocument/2006/relationships/hyperlink" Target="https://doi.org/10.3201/eid1501.080299" TargetMode="External"/><Relationship Id="rId45" Type="http://schemas.openxmlformats.org/officeDocument/2006/relationships/hyperlink" Target="https://www.act.gov.au/business/food-safety-for-businesses/food-safety-education/food-handlers" TargetMode="External"/><Relationship Id="rId53" Type="http://schemas.openxmlformats.org/officeDocument/2006/relationships/hyperlink" Target="https://doi.org/10.1186/1471-2334-10-269" TargetMode="External"/><Relationship Id="rId5" Type="http://schemas.openxmlformats.org/officeDocument/2006/relationships/settings" Target="settings.xml"/><Relationship Id="rId10" Type="http://schemas.openxmlformats.org/officeDocument/2006/relationships/hyperlink" Target="https://www.cdc.gov.au/cdi" TargetMode="External"/><Relationship Id="rId19" Type="http://schemas.openxmlformats.org/officeDocument/2006/relationships/image" Target="media/image3.jpg"/><Relationship Id="rId31" Type="http://schemas.openxmlformats.org/officeDocument/2006/relationships/hyperlink" Target="https://doi.org/10.3201/eid0909.020766" TargetMode="External"/><Relationship Id="rId44" Type="http://schemas.openxmlformats.org/officeDocument/2006/relationships/hyperlink" Target="https://www.cdc.gov/mmwr/preview/mmwrhtml/mm6322a3.htm" TargetMode="External"/><Relationship Id="rId52" Type="http://schemas.openxmlformats.org/officeDocument/2006/relationships/hyperlink" Target="https://doi.org/10.4315/0362-028X.JFP-16-083"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footer" Target="footer2.xml"/><Relationship Id="rId27" Type="http://schemas.openxmlformats.org/officeDocument/2006/relationships/hyperlink" Target="https://doi.org/10.3201/eid2011.131315" TargetMode="External"/><Relationship Id="rId30" Type="http://schemas.openxmlformats.org/officeDocument/2006/relationships/hyperlink" Target="https://doi.org/10.1128/JCM.02305-06" TargetMode="External"/><Relationship Id="rId35" Type="http://schemas.openxmlformats.org/officeDocument/2006/relationships/hyperlink" Target="https://doi.org/10.7326/0003-4819-96-6-756" TargetMode="External"/><Relationship Id="rId43" Type="http://schemas.openxmlformats.org/officeDocument/2006/relationships/hyperlink" Target="https://doi.org/10.3201/eid1810.120833" TargetMode="External"/><Relationship Id="rId48" Type="http://schemas.openxmlformats.org/officeDocument/2006/relationships/hyperlink" Target="https://doi.org/10.1089/fpd.2023.0015"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1016/j.eclinm.2018.09.001" TargetMode="Externa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mailto:clarelkinnear@gmail.com" TargetMode="External"/><Relationship Id="rId33" Type="http://schemas.openxmlformats.org/officeDocument/2006/relationships/hyperlink" Target="https://doi.org/10.3201/eid0505.990502" TargetMode="External"/><Relationship Id="rId38" Type="http://schemas.openxmlformats.org/officeDocument/2006/relationships/hyperlink" Target="https://doi.org/10.3201/eid1410.080117" TargetMode="External"/><Relationship Id="rId46" Type="http://schemas.openxmlformats.org/officeDocument/2006/relationships/hyperlink" Target="https://www.foodstandards.gov.au/sites/default/files/publications/Documents/Compendium_revised%20Dec%202022.pdf" TargetMode="External"/><Relationship Id="rId20" Type="http://schemas.openxmlformats.org/officeDocument/2006/relationships/header" Target="header1.xml"/><Relationship Id="rId41" Type="http://schemas.openxmlformats.org/officeDocument/2006/relationships/hyperlink" Target="https://doi.org/10.1086/315581" TargetMode="External"/><Relationship Id="rId54" Type="http://schemas.openxmlformats.org/officeDocument/2006/relationships/hyperlink" Target="https://doi.org/10.1017/s095026889800115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cdc.gov.au" TargetMode="External"/><Relationship Id="rId23" Type="http://schemas.openxmlformats.org/officeDocument/2006/relationships/header" Target="header2.xml"/><Relationship Id="rId28" Type="http://schemas.openxmlformats.org/officeDocument/2006/relationships/hyperlink" Target="https://doi.org/10.1371/journal.pone.0195759" TargetMode="External"/><Relationship Id="rId36" Type="http://schemas.openxmlformats.org/officeDocument/2006/relationships/hyperlink" Target="https://doi.org/10.1007/s11908-007-0004-5" TargetMode="External"/><Relationship Id="rId49" Type="http://schemas.openxmlformats.org/officeDocument/2006/relationships/hyperlink" Target="https://doi.org/10.1089/fpd.2018.245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oject-redca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109</TotalTime>
  <Pages>19</Pages>
  <Words>6461</Words>
  <Characters>35539</Characters>
  <Application>Microsoft Office Word</Application>
  <DocSecurity>0</DocSecurity>
  <Lines>1480</Lines>
  <Paragraphs>1235</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Communicable Diseases Intelligence - Investigation of a norovirus outbreak at a catered social event, Australian Capital Territory, 2024</vt:lpstr>
      <vt:lpstr>Contents</vt:lpstr>
      <vt:lpstr>    List of figures</vt:lpstr>
      <vt:lpstr>    List of tables</vt:lpstr>
      <vt:lpstr>Abstract</vt:lpstr>
      <vt:lpstr>    Background</vt:lpstr>
      <vt:lpstr>    Methods</vt:lpstr>
      <vt:lpstr>    Results</vt:lpstr>
      <vt:lpstr>    Conclusion</vt:lpstr>
      <vt:lpstr>Introduction</vt:lpstr>
      <vt:lpstr>Methods</vt:lpstr>
      <vt:lpstr>    Environmental health investigation</vt:lpstr>
      <vt:lpstr>    Laboratory investigation</vt:lpstr>
      <vt:lpstr>        Food and environment samples</vt:lpstr>
      <vt:lpstr>        Clinical samples</vt:lpstr>
      <vt:lpstr>    Epidemiological investigation</vt:lpstr>
      <vt:lpstr>        Study design</vt:lpstr>
      <vt:lpstr>        Data collection</vt:lpstr>
      <vt:lpstr>        Case definition</vt:lpstr>
      <vt:lpstr>        Case-control inclusion criteria</vt:lpstr>
      <vt:lpstr>        Statistical analysis</vt:lpstr>
      <vt:lpstr>        Ethical considerations</vt:lpstr>
      <vt:lpstr>Results</vt:lpstr>
      <vt:lpstr>    Environmental health investigation</vt:lpstr>
      <vt:lpstr>    Laboratory investigation</vt:lpstr>
      <vt:lpstr>        Food samples</vt:lpstr>
      <vt:lpstr>        Clinical samples</vt:lpstr>
      <vt:lpstr>    Epidemiological investigation</vt:lpstr>
      <vt:lpstr>        Descriptive analysis</vt:lpstr>
      <vt:lpstr>        Statistical analysis / case-control study</vt:lpstr>
      <vt:lpstr>Discussion</vt:lpstr>
      <vt:lpstr>Conclusion</vt:lpstr>
      <vt:lpstr>Acknowledgments</vt:lpstr>
      <vt:lpstr>Author details</vt:lpstr>
      <vt:lpstr>    Corresponding author</vt:lpstr>
      <vt:lpstr>References</vt:lpstr>
      <vt:lpstr>Appendix A</vt:lpstr>
    </vt:vector>
  </TitlesOfParts>
  <Company/>
  <LinksUpToDate>false</LinksUpToDate>
  <CharactersWithSpaces>40765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Investigation of a norovirus outbreak at a catered social event, Australian Capital Territory, 2024</dc:title>
  <dc:subject>This article details a norovirus outbreak at a catered social function in the ACT associated with transmission via contaminated fruit and cold meat platters.</dc:subject>
  <dc:creator>Clare L Kinnear;Timothy Sloan-Gardner;Natasha Waters;Victoria Wansink;Lyndell Hudson;Jenny Post</dc:creator>
  <cp:keywords>outbreak; norovirus; gastroenteritis; foodborne disease; hand hygiene; food handler</cp:keywords>
  <dc:description>© 2026 Commonwealth of Australia as represented by the Australian Centre for Disease Control. This publication is licenced under a CC BY-NC-ND licence.</dc:description>
  <cp:revision>4</cp:revision>
  <cp:lastPrinted>2024-03-07T01:06:00Z</cp:lastPrinted>
  <dcterms:created xsi:type="dcterms:W3CDTF">2026-07-07T06:25:00Z</dcterms:created>
  <dcterms:modified xsi:type="dcterms:W3CDTF">2026-07-15T01:56:00Z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21.07.2026</vt:lpwstr>
  </property>
  <property fmtid="{D5CDD505-2E9C-101B-9397-08002B2CF9AE}" pid="5" name="DOI">
    <vt:lpwstr>doi.org/10.33321/cdi.2026.50.042</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