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85AF2" w14:textId="2A0CA5E0" w:rsidR="00D22CC8" w:rsidRPr="00B652E8" w:rsidRDefault="00CA2A15" w:rsidP="00B652E8">
      <w:pPr>
        <w:pStyle w:val="CDIPublicationstring"/>
      </w:pPr>
      <w:r w:rsidRPr="00B652E8">
        <w:drawing>
          <wp:anchor distT="0" distB="0" distL="114300" distR="114300" simplePos="0" relativeHeight="251658240" behindDoc="1" locked="1" layoutInCell="1" allowOverlap="1" wp14:anchorId="53712B6F" wp14:editId="60B82D6F">
            <wp:simplePos x="0" y="0"/>
            <wp:positionH relativeFrom="page">
              <wp:posOffset>0</wp:posOffset>
            </wp:positionH>
            <wp:positionV relativeFrom="page">
              <wp:posOffset>0</wp:posOffset>
            </wp:positionV>
            <wp:extent cx="7560000" cy="1620000"/>
            <wp:effectExtent l="0" t="0" r="3175" b="0"/>
            <wp:wrapNone/>
            <wp:docPr id="1160445182" name="Picture 1" descr="Dark and light blue shapes displaying the logo of Communicable Diseases Intelligence and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45182" name="Picture 1" descr="Dark and light blue shapes displaying the logo of Communicable Diseases Intelligence and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rcRect t="1315" b="1315"/>
                    <a:stretch>
                      <a:fillRect/>
                    </a:stretch>
                  </pic:blipFill>
                  <pic:spPr bwMode="auto">
                    <a:xfrm>
                      <a:off x="0" y="0"/>
                      <a:ext cx="75600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Year  \* MERGEFORMAT ">
        <w:r w:rsidR="00AE1880">
          <w:t>2026</w:t>
        </w:r>
      </w:fldSimple>
      <w:r w:rsidR="00D22CC8" w:rsidRPr="00B652E8">
        <w:t xml:space="preserve"> • Volume </w:t>
      </w:r>
      <w:fldSimple w:instr=" DOCPROPERTY  Vol  \* MERGEFORMAT ">
        <w:r w:rsidR="00AE1880">
          <w:t>50</w:t>
        </w:r>
      </w:fldSimple>
      <w:r w:rsidR="00700338" w:rsidRPr="00B652E8">
        <w:t xml:space="preserve"> • </w:t>
      </w:r>
      <w:hyperlink r:id="rId10" w:history="1">
        <w:r w:rsidR="00700338" w:rsidRPr="00B652E8">
          <w:t>cdc.gov.au/cdi</w:t>
        </w:r>
      </w:hyperlink>
      <w:r w:rsidR="00D22CC8" w:rsidRPr="00B652E8">
        <w:t xml:space="preserve"> •</w:t>
      </w:r>
      <w:r w:rsidR="00700338" w:rsidRPr="00B652E8">
        <w:t xml:space="preserve"> Epub date: </w:t>
      </w:r>
      <w:fldSimple w:instr=" DOCPROPERTY  ePubDate  \* MERGEFORMAT ">
        <w:r w:rsidR="00617935">
          <w:t>16.06.2026</w:t>
        </w:r>
      </w:fldSimple>
      <w:r w:rsidR="00700338" w:rsidRPr="00B652E8">
        <w:t xml:space="preserve"> • </w:t>
      </w:r>
      <w:fldSimple w:instr=" DOCPROPERTY  DOI  \* MERGEFORMAT ">
        <w:r w:rsidR="00617935">
          <w:t>doi.org/10.33321/cdi.2026.50.041</w:t>
        </w:r>
      </w:fldSimple>
    </w:p>
    <w:p w14:paraId="21F5D90C" w14:textId="3AB69A55" w:rsidR="006B16A5" w:rsidRPr="00142578" w:rsidRDefault="00617935" w:rsidP="00CE2CC7">
      <w:pPr>
        <w:pStyle w:val="Title"/>
      </w:pPr>
      <w:r w:rsidRPr="00617935">
        <w:t>Presymptomatic transmission, vaccine</w:t>
      </w:r>
      <w:r>
        <w:t> </w:t>
      </w:r>
      <w:r w:rsidRPr="00617935">
        <w:t>breakthrough and anonymous contacts: a cluster of mpox in Canberra, Australian Capital Territory, 2024</w:t>
      </w:r>
    </w:p>
    <w:p w14:paraId="6F9460BF" w14:textId="25B1CF01" w:rsidR="00112436" w:rsidRDefault="00617935" w:rsidP="00BB3320">
      <w:pPr>
        <w:pStyle w:val="Subtitle"/>
      </w:pPr>
      <w:r w:rsidRPr="00617935">
        <w:t>Alexandra Marmor, Rachael Crane, Felicity Greenville, Julia Smythe, Cynthia</w:t>
      </w:r>
      <w:r>
        <w:t> </w:t>
      </w:r>
      <w:r w:rsidRPr="00617935">
        <w:t>Mathew, Timothy Sloan-Gardner, Joshua Anlezark</w:t>
      </w:r>
    </w:p>
    <w:p w14:paraId="6B52EB96" w14:textId="77777777" w:rsidR="00F25C00" w:rsidRDefault="0098426C" w:rsidP="00617935">
      <w:pPr>
        <w:pStyle w:val="Heading1-noline"/>
        <w:spacing w:before="600"/>
      </w:pPr>
      <w:bookmarkStart w:id="0" w:name="_Toc195530498"/>
      <w:bookmarkStart w:id="1" w:name="_Toc201743688"/>
      <w:r>
        <w:t>Abstract</w:t>
      </w:r>
      <w:bookmarkEnd w:id="0"/>
      <w:bookmarkEnd w:id="1"/>
    </w:p>
    <w:p w14:paraId="735F7B67" w14:textId="64333C28" w:rsidR="00617935" w:rsidRPr="00617935" w:rsidRDefault="00617935" w:rsidP="00617935">
      <w:pPr>
        <w:pStyle w:val="Normal-morespaceafter"/>
        <w:rPr>
          <w:lang w:val="en-GB"/>
        </w:rPr>
      </w:pPr>
      <w:r w:rsidRPr="00617935">
        <w:rPr>
          <w:lang w:val="en-GB"/>
        </w:rPr>
        <w:t>This report outlines a localised cluster of mpox detected in July 2024, in Canberra, Australian Capital Territory. Investigation identified nine cases, including likely presymptomatic transmission by a vaccinated primary case with a high-contact profile. Five of the nine cluster cases had breakthrough infections and had received two mpox vaccinations more than 18 months earlier. The</w:t>
      </w:r>
      <w:r>
        <w:rPr>
          <w:lang w:val="en-GB"/>
        </w:rPr>
        <w:t> </w:t>
      </w:r>
      <w:r w:rsidRPr="00617935">
        <w:rPr>
          <w:lang w:val="en-GB"/>
        </w:rPr>
        <w:t>public health response involved targeted community engagement and a pop-up vaccination clinic, although a high proportion of anonymous sexual partners made contact tracing challenging. These findings underscore the potential for presymptomatic transmission and the importance of ongoing preventive measures, even with vaccination, in high-contact environments.</w:t>
      </w:r>
    </w:p>
    <w:p w14:paraId="087BD8F9" w14:textId="7B43BEC7" w:rsidR="00112436" w:rsidRDefault="00B73144" w:rsidP="00112436">
      <w:pPr>
        <w:pStyle w:val="CDIBoxText"/>
        <w:rPr>
          <w:lang w:val="en-GB"/>
        </w:rPr>
      </w:pPr>
      <w:r w:rsidRPr="00E61A68">
        <w:t>Keywords</w:t>
      </w:r>
      <w:r w:rsidR="0024018F">
        <w:t xml:space="preserve">: </w:t>
      </w:r>
      <w:r w:rsidR="00617935" w:rsidRPr="00617935">
        <w:t>mpox; outbreak investigation; contact tracing; vaccination; presymptomatic transmission</w:t>
      </w:r>
      <w:r w:rsidR="00112436">
        <w:rPr>
          <w:lang w:val="en-GB"/>
        </w:rPr>
        <w:br w:type="page"/>
      </w:r>
    </w:p>
    <w:p w14:paraId="123F8574" w14:textId="3AB8B07E" w:rsidR="0037146D" w:rsidRDefault="00617935" w:rsidP="00112436">
      <w:pPr>
        <w:pStyle w:val="Heading1-noline"/>
      </w:pPr>
      <w:r>
        <w:lastRenderedPageBreak/>
        <w:t>Background and methods</w:t>
      </w:r>
    </w:p>
    <w:p w14:paraId="52AEF4B6" w14:textId="77777777" w:rsidR="00617935" w:rsidRPr="00617935" w:rsidRDefault="00617935" w:rsidP="00617935">
      <w:pPr>
        <w:rPr>
          <w:lang w:val="en-GB"/>
        </w:rPr>
      </w:pPr>
      <w:r w:rsidRPr="00617935">
        <w:rPr>
          <w:lang w:val="en-GB"/>
        </w:rPr>
        <w:t>Mpox is a usually self-limiting illness caused by infection with the monkeypox virus (MPXV) and characterised by a maculopapular rash that may be preceded by prodromal symptoms including lymphadenopathy, fever, and myalgia.</w:t>
      </w:r>
      <w:r w:rsidRPr="00617935">
        <w:rPr>
          <w:vertAlign w:val="superscript"/>
          <w:lang w:val="en-GB"/>
        </w:rPr>
        <w:t>1</w:t>
      </w:r>
      <w:r w:rsidRPr="00617935">
        <w:rPr>
          <w:lang w:val="en-GB"/>
        </w:rPr>
        <w:t xml:space="preserve"> Although it is a zoonotic illness, mpox is primarily transmitted via skin-to-skin contact–including sexual contact–with an infected person, or via fomites. In Australia, the first cases of mpox were detected in May 2022, as a part of a multi-country outbreak mainly among gay, bisexual and other men who have sex with men (GBMSM).</w:t>
      </w:r>
      <w:r w:rsidRPr="00617935">
        <w:rPr>
          <w:vertAlign w:val="superscript"/>
          <w:lang w:val="en-GB"/>
        </w:rPr>
        <w:t>2</w:t>
      </w:r>
      <w:r w:rsidRPr="00617935">
        <w:rPr>
          <w:lang w:val="en-GB"/>
        </w:rPr>
        <w:t xml:space="preserve"> In July 2022, mpox was declared to be a public health emergency of international concern by the World Health Organization, and a Communicable Disease Incident of National Significance (CDINS) by the Australian Chief Medical Officer.</w:t>
      </w:r>
      <w:r w:rsidRPr="00617935">
        <w:rPr>
          <w:vertAlign w:val="superscript"/>
          <w:lang w:val="en-GB"/>
        </w:rPr>
        <w:t>2</w:t>
      </w:r>
      <w:r w:rsidRPr="00617935">
        <w:rPr>
          <w:lang w:val="en-GB"/>
        </w:rPr>
        <w:t xml:space="preserve"> The CDINS was stood down in November 2022. Mpox became a notifiable condition in the Australian Capital Territory (ACT) in June 2022, and the first cases were notified the following month. However, sustained locally acquired transmission of mpox was not observed in Australia until 2024.</w:t>
      </w:r>
      <w:r w:rsidRPr="00617935">
        <w:rPr>
          <w:vertAlign w:val="superscript"/>
          <w:lang w:val="en-GB"/>
        </w:rPr>
        <w:t>2</w:t>
      </w:r>
      <w:r w:rsidRPr="00617935">
        <w:rPr>
          <w:lang w:val="en-GB"/>
        </w:rPr>
        <w:t xml:space="preserve"> Until late July 2024, eight ACT cases had been notified, with only two infections acquired locally, both from a case infected overseas. </w:t>
      </w:r>
    </w:p>
    <w:p w14:paraId="1CEECCA7" w14:textId="77777777" w:rsidR="00617935" w:rsidRPr="00617935" w:rsidRDefault="00617935" w:rsidP="00617935">
      <w:pPr>
        <w:rPr>
          <w:lang w:val="en-GB"/>
        </w:rPr>
      </w:pPr>
      <w:r w:rsidRPr="00617935">
        <w:rPr>
          <w:lang w:val="en-GB"/>
        </w:rPr>
        <w:t>On a single day in late July 2024, a clinician at the Canberra Sexual Health Centre (CSHC) notified ACT Health of two cases of suspected mpox with epidemiological links; a third suspected case was identified by contact tracing conducted by the notifying clinician. Two cases had not travelled outside of the ACT; the third reported multiple sexual contacts. Positive polymerase chain reaction (PCR) results for all three were received the following day.</w:t>
      </w:r>
    </w:p>
    <w:p w14:paraId="102DE7AE" w14:textId="77777777" w:rsidR="00617935" w:rsidRPr="00617935" w:rsidRDefault="00617935" w:rsidP="00617935">
      <w:pPr>
        <w:rPr>
          <w:lang w:val="en-GB"/>
        </w:rPr>
      </w:pPr>
      <w:r w:rsidRPr="00617935">
        <w:rPr>
          <w:lang w:val="en-GB"/>
        </w:rPr>
        <w:t xml:space="preserve">Cases and contacts were managed according to the </w:t>
      </w:r>
      <w:r w:rsidRPr="00617935">
        <w:rPr>
          <w:i/>
          <w:iCs/>
          <w:lang w:val="en-GB"/>
        </w:rPr>
        <w:t>CDNA National Guidelines for Public Health Units Version 3.0.</w:t>
      </w:r>
      <w:r w:rsidRPr="00617935">
        <w:rPr>
          <w:vertAlign w:val="superscript"/>
          <w:lang w:val="en-GB"/>
        </w:rPr>
        <w:t>3</w:t>
      </w:r>
      <w:r w:rsidRPr="00617935">
        <w:rPr>
          <w:lang w:val="en-GB"/>
        </w:rPr>
        <w:t xml:space="preserve"> To improve case finding, a clinician alert was released on 2 August 2024. Suspected cases were interviewed by Public Health Nurses from ACT Health, using a standardised questionnaire on a REDCap survey.</w:t>
      </w:r>
      <w:r w:rsidRPr="00617935">
        <w:rPr>
          <w:vertAlign w:val="superscript"/>
          <w:lang w:val="en-GB"/>
        </w:rPr>
        <w:t>4</w:t>
      </w:r>
      <w:r w:rsidRPr="00617935">
        <w:rPr>
          <w:lang w:val="en-GB"/>
        </w:rPr>
        <w:t xml:space="preserve"> For contacts who were unable to be contacted by ACT </w:t>
      </w:r>
      <w:proofErr w:type="gramStart"/>
      <w:r w:rsidRPr="00617935">
        <w:rPr>
          <w:lang w:val="en-GB"/>
        </w:rPr>
        <w:t>Health</w:t>
      </w:r>
      <w:proofErr w:type="gramEnd"/>
      <w:r w:rsidRPr="00617935">
        <w:rPr>
          <w:lang w:val="en-GB"/>
        </w:rPr>
        <w:t xml:space="preserve"> but who could be messaged directly by cases via dating apps, ACT Health staff provided wording to be sent by the cases. This wording included information about post-exposure vaccination and advice to seek health care if symptomatic. Case and contact data were managed in REDCap and were reported using REDCap project dashboards and Microsoft Excel. </w:t>
      </w:r>
    </w:p>
    <w:p w14:paraId="4C1DBCDA" w14:textId="77777777" w:rsidR="00617935" w:rsidRPr="00617935" w:rsidRDefault="00617935" w:rsidP="00617935">
      <w:pPr>
        <w:rPr>
          <w:lang w:val="en-GB"/>
        </w:rPr>
      </w:pPr>
      <w:r w:rsidRPr="00617935">
        <w:rPr>
          <w:lang w:val="en-GB"/>
        </w:rPr>
        <w:t xml:space="preserve">Ethics approval was not sought for this cluster investigation, as it was conducted under the auspices of the </w:t>
      </w:r>
      <w:r w:rsidRPr="00617935">
        <w:rPr>
          <w:i/>
          <w:iCs/>
          <w:lang w:val="en-GB"/>
        </w:rPr>
        <w:t>Public Health Act 1997</w:t>
      </w:r>
      <w:r w:rsidRPr="00617935">
        <w:rPr>
          <w:lang w:val="en-GB"/>
        </w:rPr>
        <w:t xml:space="preserve"> (ACT).</w:t>
      </w:r>
    </w:p>
    <w:p w14:paraId="5F6BD6A4" w14:textId="5AE29C24" w:rsidR="00A24E95" w:rsidRDefault="00617935" w:rsidP="00112436">
      <w:pPr>
        <w:pStyle w:val="Heading1-noline"/>
        <w:rPr>
          <w:lang w:val="en-GB"/>
        </w:rPr>
      </w:pPr>
      <w:r>
        <w:rPr>
          <w:lang w:val="en-GB"/>
        </w:rPr>
        <w:t>Description of cluster</w:t>
      </w:r>
    </w:p>
    <w:p w14:paraId="000B96C4" w14:textId="77777777" w:rsidR="00BD58FF" w:rsidRPr="00BD58FF" w:rsidRDefault="00BD58FF" w:rsidP="00BD58FF">
      <w:pPr>
        <w:rPr>
          <w:lang w:val="en-GB"/>
        </w:rPr>
      </w:pPr>
      <w:r w:rsidRPr="00BD58FF">
        <w:rPr>
          <w:lang w:val="en-GB"/>
        </w:rPr>
        <w:t>A cluster case was defined as a laboratory-confirmed mpox case in an ACT resident with onset of symptoms between two dates in July and August 2024 with:</w:t>
      </w:r>
    </w:p>
    <w:p w14:paraId="57A37E05" w14:textId="77777777" w:rsidR="00BD58FF" w:rsidRPr="00BD58FF" w:rsidRDefault="00BD58FF" w:rsidP="00BD58FF">
      <w:pPr>
        <w:pStyle w:val="CDIBullets"/>
        <w:rPr>
          <w:lang w:val="en-GB"/>
        </w:rPr>
      </w:pPr>
      <w:r w:rsidRPr="00BD58FF">
        <w:rPr>
          <w:lang w:val="en-GB"/>
        </w:rPr>
        <w:t>likely acquisition in the ACT</w:t>
      </w:r>
    </w:p>
    <w:p w14:paraId="36267516" w14:textId="77777777" w:rsidR="00BD58FF" w:rsidRPr="00BD58FF" w:rsidRDefault="00BD58FF" w:rsidP="00BD58FF">
      <w:pPr>
        <w:rPr>
          <w:lang w:val="en-GB"/>
        </w:rPr>
      </w:pPr>
      <w:r w:rsidRPr="00BD58FF">
        <w:rPr>
          <w:lang w:val="en-GB"/>
        </w:rPr>
        <w:t>AND/OR</w:t>
      </w:r>
    </w:p>
    <w:p w14:paraId="7C66AA59" w14:textId="77777777" w:rsidR="00BD58FF" w:rsidRPr="00BD58FF" w:rsidRDefault="00BD58FF" w:rsidP="00BD58FF">
      <w:pPr>
        <w:pStyle w:val="CDIBullets"/>
        <w:rPr>
          <w:lang w:val="en-GB"/>
        </w:rPr>
      </w:pPr>
      <w:r w:rsidRPr="00BD58FF">
        <w:rPr>
          <w:lang w:val="en-GB"/>
        </w:rPr>
        <w:t xml:space="preserve">attendance at an identified exposure location in the ACT during their exposure and/or infectious period. </w:t>
      </w:r>
    </w:p>
    <w:p w14:paraId="09A224FA" w14:textId="1ED8A20E" w:rsidR="00BD58FF" w:rsidRPr="00BD58FF" w:rsidRDefault="00BD58FF" w:rsidP="00BD58FF">
      <w:pPr>
        <w:rPr>
          <w:lang w:val="en-GB"/>
        </w:rPr>
      </w:pPr>
      <w:r w:rsidRPr="00BD58FF">
        <w:rPr>
          <w:lang w:val="en-GB"/>
        </w:rPr>
        <w:t>Nine cluster cases were detected. Following the detection of the first three cases, two more were found via contact tracing, and a further four presented for testing with symptoms (Figure 1, Table</w:t>
      </w:r>
      <w:r>
        <w:rPr>
          <w:lang w:val="en-GB"/>
        </w:rPr>
        <w:t> </w:t>
      </w:r>
      <w:r w:rsidRPr="00BD58FF">
        <w:rPr>
          <w:lang w:val="en-GB"/>
        </w:rPr>
        <w:t xml:space="preserve">1). All cases were male adults who reported sex with men; none were co-infected with human immunodeficiency virus (HIV). Case characteristics, exposures and symptoms are shown in Tables 1 and 2. No cases were hospitalised and </w:t>
      </w:r>
      <w:proofErr w:type="gramStart"/>
      <w:r w:rsidRPr="00BD58FF">
        <w:rPr>
          <w:lang w:val="en-GB"/>
        </w:rPr>
        <w:t>none experienced</w:t>
      </w:r>
      <w:proofErr w:type="gramEnd"/>
      <w:r w:rsidRPr="00BD58FF">
        <w:rPr>
          <w:lang w:val="en-GB"/>
        </w:rPr>
        <w:t xml:space="preserve"> complications. </w:t>
      </w:r>
    </w:p>
    <w:p w14:paraId="2C713C0D" w14:textId="77777777" w:rsidR="00BD58FF" w:rsidRDefault="00BD58FF" w:rsidP="00BD58FF">
      <w:pPr>
        <w:rPr>
          <w:lang w:val="en-GB"/>
        </w:rPr>
      </w:pPr>
      <w:r w:rsidRPr="00BD58FF">
        <w:rPr>
          <w:lang w:val="en-GB"/>
        </w:rPr>
        <w:t>Whole genome sequencing was performed on specimens for six cases; the same Clade IIb lineage was detected in all sequenced specimens.</w:t>
      </w:r>
    </w:p>
    <w:p w14:paraId="2C60FB9A" w14:textId="3061E73A" w:rsidR="00BD58FF" w:rsidRDefault="00BD58FF" w:rsidP="00BD58FF">
      <w:pPr>
        <w:pStyle w:val="CDIFigure-Title"/>
        <w:rPr>
          <w:lang w:val="en-GB"/>
        </w:rPr>
      </w:pPr>
      <w:r w:rsidRPr="00BD58FF">
        <w:rPr>
          <w:lang w:val="en-GB"/>
        </w:rPr>
        <w:t>Figure 1: Mpox cluster cases by symptom onset (epidemiological week), Australian Capital Territory, 2024</w:t>
      </w:r>
    </w:p>
    <w:p w14:paraId="7E00548F" w14:textId="0FBD25AA" w:rsidR="00BD58FF" w:rsidRPr="00BD58FF" w:rsidRDefault="00BD58FF" w:rsidP="00BD58FF">
      <w:r>
        <w:rPr>
          <w:noProof/>
        </w:rPr>
        <w:drawing>
          <wp:inline distT="0" distB="0" distL="0" distR="0" wp14:anchorId="665A94A4" wp14:editId="0795F351">
            <wp:extent cx="6120765" cy="2880360"/>
            <wp:effectExtent l="0" t="0" r="0" b="0"/>
            <wp:docPr id="369603414" name="Picture 1" descr="Figure 1: Epidemiological curve (bar chart) showing count of the nine mpox outbreak cases notified to ACT Health with symptom onset between epidemiological weeks 29 to 31. The chart is annotated with key events in the outbreak response: date of first notification (week 29), date media statements released (week 30) and vaccination clinic and clinician alert (we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03414" name="Picture 1" descr="Figure 1: Epidemiological curve (bar chart) showing count of the nine mpox outbreak cases notified to ACT Health with symptom onset between epidemiological weeks 29 to 31. The chart is annotated with key events in the outbreak response: date of first notification (week 29), date media statements released (week 30) and vaccination clinic and clinician alert (week 31)."/>
                    <pic:cNvPicPr/>
                  </pic:nvPicPr>
                  <pic:blipFill>
                    <a:blip r:embed="rId11">
                      <a:extLst>
                        <a:ext uri="{28A0092B-C50C-407E-A947-70E740481C1C}">
                          <a14:useLocalDpi xmlns:a14="http://schemas.microsoft.com/office/drawing/2010/main" val="0"/>
                        </a:ext>
                      </a:extLst>
                    </a:blip>
                    <a:stretch>
                      <a:fillRect/>
                    </a:stretch>
                  </pic:blipFill>
                  <pic:spPr>
                    <a:xfrm>
                      <a:off x="0" y="0"/>
                      <a:ext cx="6120765" cy="2880360"/>
                    </a:xfrm>
                    <a:prstGeom prst="rect">
                      <a:avLst/>
                    </a:prstGeom>
                  </pic:spPr>
                </pic:pic>
              </a:graphicData>
            </a:graphic>
          </wp:inline>
        </w:drawing>
      </w:r>
    </w:p>
    <w:p w14:paraId="67B37C01" w14:textId="0E0C5049" w:rsidR="00BD58FF" w:rsidRDefault="00BD58FF" w:rsidP="00BD58FF">
      <w:pPr>
        <w:pStyle w:val="CDITable-Title"/>
        <w:spacing w:before="600"/>
        <w:rPr>
          <w:lang w:val="en-GB"/>
        </w:rPr>
      </w:pPr>
      <w:r w:rsidRPr="00BD58FF">
        <w:rPr>
          <w:lang w:val="en-GB"/>
        </w:rPr>
        <w:t>Table 1: Characteristics of cases in mpox cluster, July–August 2024, Australian Capital Territory</w:t>
      </w:r>
    </w:p>
    <w:tbl>
      <w:tblPr>
        <w:tblW w:w="0" w:type="auto"/>
        <w:tblBorders>
          <w:bottom w:val="single" w:sz="6" w:space="0" w:color="1E4496" w:themeColor="text2"/>
          <w:insideH w:val="single" w:sz="6" w:space="0" w:color="1E4496" w:themeColor="text2"/>
        </w:tblBorders>
        <w:tblLayout w:type="fixed"/>
        <w:tblCellMar>
          <w:left w:w="0" w:type="dxa"/>
          <w:right w:w="0" w:type="dxa"/>
        </w:tblCellMar>
        <w:tblLook w:val="0000" w:firstRow="0" w:lastRow="0" w:firstColumn="0" w:lastColumn="0" w:noHBand="0" w:noVBand="0"/>
        <w:tblCaption w:val="Table 1: Characteristics of cases in mpox cluster, July–August 2024, Australian Capital Territory"/>
        <w:tblDescription w:val="Table 1: The table shows the number of mpox cluster cases with various demographic characteristics, case ascertainments, and exposures. All nine cases were males aged between 28 and 67 years; half used a dating app to meet sexual partners; all but one acquired their infection within the ACT."/>
      </w:tblPr>
      <w:tblGrid>
        <w:gridCol w:w="2268"/>
        <w:gridCol w:w="2664"/>
        <w:gridCol w:w="2381"/>
        <w:gridCol w:w="2325"/>
      </w:tblGrid>
      <w:tr w:rsidR="00BD58FF" w:rsidRPr="00BD58FF" w14:paraId="27A2D16A" w14:textId="77777777" w:rsidTr="00BD58FF">
        <w:trPr>
          <w:trHeight w:val="60"/>
          <w:tblHeader/>
        </w:trPr>
        <w:tc>
          <w:tcPr>
            <w:tcW w:w="2268" w:type="dxa"/>
            <w:shd w:val="clear" w:color="auto" w:fill="1E4496" w:themeFill="text2"/>
            <w:tcMar>
              <w:top w:w="102" w:type="dxa"/>
              <w:left w:w="113" w:type="dxa"/>
              <w:bottom w:w="102" w:type="dxa"/>
              <w:right w:w="113" w:type="dxa"/>
            </w:tcMar>
            <w:vAlign w:val="bottom"/>
          </w:tcPr>
          <w:p w14:paraId="37BB9534" w14:textId="77777777" w:rsidR="00BD58FF" w:rsidRPr="00BD58FF" w:rsidRDefault="00BD58FF" w:rsidP="00BD58FF">
            <w:pPr>
              <w:pStyle w:val="CDITable-HeaderRowLeft"/>
              <w:rPr>
                <w:lang w:val="en-GB"/>
              </w:rPr>
            </w:pPr>
            <w:r w:rsidRPr="00BD58FF">
              <w:rPr>
                <w:lang w:val="en-GB"/>
              </w:rPr>
              <w:t>Characteristic</w:t>
            </w:r>
          </w:p>
        </w:tc>
        <w:tc>
          <w:tcPr>
            <w:tcW w:w="2664" w:type="dxa"/>
            <w:shd w:val="clear" w:color="auto" w:fill="1E4496" w:themeFill="text2"/>
            <w:tcMar>
              <w:top w:w="102" w:type="dxa"/>
              <w:left w:w="113" w:type="dxa"/>
              <w:bottom w:w="102" w:type="dxa"/>
              <w:right w:w="113" w:type="dxa"/>
            </w:tcMar>
            <w:vAlign w:val="bottom"/>
          </w:tcPr>
          <w:p w14:paraId="3257B46C" w14:textId="77777777" w:rsidR="00BD58FF" w:rsidRPr="00BD58FF" w:rsidRDefault="00BD58FF" w:rsidP="00BD58FF">
            <w:pPr>
              <w:pStyle w:val="CDITable-HeaderRowLeft"/>
              <w:rPr>
                <w:lang w:val="en-GB"/>
              </w:rPr>
            </w:pPr>
            <w:r w:rsidRPr="00BD58FF">
              <w:rPr>
                <w:lang w:val="en-GB"/>
              </w:rPr>
              <w:t>Category</w:t>
            </w:r>
          </w:p>
        </w:tc>
        <w:tc>
          <w:tcPr>
            <w:tcW w:w="2381" w:type="dxa"/>
            <w:shd w:val="clear" w:color="auto" w:fill="1E4496" w:themeFill="text2"/>
            <w:tcMar>
              <w:top w:w="102" w:type="dxa"/>
              <w:left w:w="113" w:type="dxa"/>
              <w:bottom w:w="102" w:type="dxa"/>
              <w:right w:w="113" w:type="dxa"/>
            </w:tcMar>
            <w:vAlign w:val="bottom"/>
          </w:tcPr>
          <w:p w14:paraId="69B1667A" w14:textId="77777777" w:rsidR="00BD58FF" w:rsidRPr="00BD58FF" w:rsidRDefault="00BD58FF" w:rsidP="00BD58FF">
            <w:pPr>
              <w:pStyle w:val="CDITable-HeaderRowCentre"/>
            </w:pPr>
            <w:r w:rsidRPr="00BD58FF">
              <w:t>Count (total cases N = 9)</w:t>
            </w:r>
          </w:p>
        </w:tc>
        <w:tc>
          <w:tcPr>
            <w:tcW w:w="2325" w:type="dxa"/>
            <w:shd w:val="clear" w:color="auto" w:fill="1E4496" w:themeFill="text2"/>
            <w:tcMar>
              <w:top w:w="102" w:type="dxa"/>
              <w:left w:w="113" w:type="dxa"/>
              <w:bottom w:w="102" w:type="dxa"/>
              <w:right w:w="113" w:type="dxa"/>
            </w:tcMar>
            <w:vAlign w:val="bottom"/>
          </w:tcPr>
          <w:p w14:paraId="55B54EF4" w14:textId="77777777" w:rsidR="00BD58FF" w:rsidRPr="00BD58FF" w:rsidRDefault="00BD58FF" w:rsidP="00BD58FF">
            <w:pPr>
              <w:pStyle w:val="CDITable-HeaderRowCentre"/>
            </w:pPr>
            <w:r w:rsidRPr="00BD58FF">
              <w:t>Proportion</w:t>
            </w:r>
          </w:p>
        </w:tc>
      </w:tr>
      <w:tr w:rsidR="00BD58FF" w:rsidRPr="00BD58FF" w14:paraId="0D494B7A" w14:textId="77777777" w:rsidTr="00BD58FF">
        <w:trPr>
          <w:trHeight w:val="60"/>
        </w:trPr>
        <w:tc>
          <w:tcPr>
            <w:tcW w:w="2268" w:type="dxa"/>
            <w:vMerge w:val="restart"/>
            <w:shd w:val="clear" w:color="auto" w:fill="DCF4FC" w:themeFill="background2" w:themeFillTint="33"/>
            <w:tcMar>
              <w:top w:w="102" w:type="dxa"/>
              <w:left w:w="113" w:type="dxa"/>
              <w:bottom w:w="102" w:type="dxa"/>
              <w:right w:w="113" w:type="dxa"/>
            </w:tcMar>
            <w:vAlign w:val="center"/>
          </w:tcPr>
          <w:p w14:paraId="2C48A321" w14:textId="77777777" w:rsidR="00BD58FF" w:rsidRPr="00BD58FF" w:rsidRDefault="00BD58FF" w:rsidP="00BD58FF">
            <w:pPr>
              <w:pStyle w:val="CDITable-RowLeft"/>
              <w:rPr>
                <w:b/>
                <w:bCs/>
                <w:lang w:val="en-GB"/>
              </w:rPr>
            </w:pPr>
            <w:r w:rsidRPr="00BD58FF">
              <w:rPr>
                <w:b/>
                <w:bCs/>
                <w:lang w:val="en-GB"/>
              </w:rPr>
              <w:t>Demography</w:t>
            </w:r>
          </w:p>
        </w:tc>
        <w:tc>
          <w:tcPr>
            <w:tcW w:w="2664" w:type="dxa"/>
            <w:shd w:val="solid" w:color="FFFFFF" w:fill="auto"/>
            <w:tcMar>
              <w:top w:w="102" w:type="dxa"/>
              <w:left w:w="113" w:type="dxa"/>
              <w:bottom w:w="102" w:type="dxa"/>
              <w:right w:w="113" w:type="dxa"/>
            </w:tcMar>
            <w:vAlign w:val="center"/>
          </w:tcPr>
          <w:p w14:paraId="79A6F7BC" w14:textId="77777777" w:rsidR="00BD58FF" w:rsidRPr="00BD58FF" w:rsidRDefault="00BD58FF" w:rsidP="00BD58FF">
            <w:pPr>
              <w:pStyle w:val="CDITable-RowLeft"/>
              <w:rPr>
                <w:lang w:val="en-GB"/>
              </w:rPr>
            </w:pPr>
            <w:r w:rsidRPr="00BD58FF">
              <w:rPr>
                <w:lang w:val="en-GB"/>
              </w:rPr>
              <w:t>Male sex</w:t>
            </w:r>
          </w:p>
        </w:tc>
        <w:tc>
          <w:tcPr>
            <w:tcW w:w="2381" w:type="dxa"/>
            <w:shd w:val="solid" w:color="FFFFFF" w:fill="auto"/>
            <w:tcMar>
              <w:top w:w="102" w:type="dxa"/>
              <w:left w:w="113" w:type="dxa"/>
              <w:bottom w:w="102" w:type="dxa"/>
              <w:right w:w="113" w:type="dxa"/>
            </w:tcMar>
            <w:vAlign w:val="center"/>
          </w:tcPr>
          <w:p w14:paraId="157AE3D5" w14:textId="77777777" w:rsidR="00BD58FF" w:rsidRPr="00BD58FF" w:rsidRDefault="00BD58FF" w:rsidP="00BD58FF">
            <w:pPr>
              <w:pStyle w:val="CDITable-RowCentre"/>
              <w:rPr>
                <w:lang w:val="en-GB"/>
              </w:rPr>
            </w:pPr>
            <w:r w:rsidRPr="00BD58FF">
              <w:rPr>
                <w:lang w:val="en-GB"/>
              </w:rPr>
              <w:t>9</w:t>
            </w:r>
          </w:p>
        </w:tc>
        <w:tc>
          <w:tcPr>
            <w:tcW w:w="2325" w:type="dxa"/>
            <w:shd w:val="solid" w:color="FFFFFF" w:fill="auto"/>
            <w:tcMar>
              <w:top w:w="102" w:type="dxa"/>
              <w:left w:w="113" w:type="dxa"/>
              <w:bottom w:w="102" w:type="dxa"/>
              <w:right w:w="113" w:type="dxa"/>
            </w:tcMar>
            <w:vAlign w:val="center"/>
          </w:tcPr>
          <w:p w14:paraId="268311A9" w14:textId="77777777" w:rsidR="00BD58FF" w:rsidRPr="00BD58FF" w:rsidRDefault="00BD58FF" w:rsidP="00BD58FF">
            <w:pPr>
              <w:pStyle w:val="CDITable-RowCentre"/>
              <w:rPr>
                <w:lang w:val="en-GB"/>
              </w:rPr>
            </w:pPr>
            <w:r w:rsidRPr="00BD58FF">
              <w:rPr>
                <w:lang w:val="en-GB"/>
              </w:rPr>
              <w:t>100%</w:t>
            </w:r>
          </w:p>
        </w:tc>
      </w:tr>
      <w:tr w:rsidR="00BD58FF" w:rsidRPr="00BD58FF" w14:paraId="629F11FB" w14:textId="77777777" w:rsidTr="00BD58FF">
        <w:trPr>
          <w:trHeight w:val="60"/>
        </w:trPr>
        <w:tc>
          <w:tcPr>
            <w:tcW w:w="2268" w:type="dxa"/>
            <w:vMerge/>
            <w:shd w:val="clear" w:color="auto" w:fill="DCF4FC" w:themeFill="background2" w:themeFillTint="33"/>
            <w:tcMar>
              <w:top w:w="102" w:type="dxa"/>
              <w:bottom w:w="102" w:type="dxa"/>
            </w:tcMar>
          </w:tcPr>
          <w:p w14:paraId="4FE13AF2" w14:textId="77777777" w:rsidR="00BD58FF" w:rsidRPr="00BD58FF" w:rsidRDefault="00BD58FF" w:rsidP="00BD58FF">
            <w:pPr>
              <w:pStyle w:val="CDITable-RowLeft"/>
              <w:rPr>
                <w:b/>
                <w:bCs/>
              </w:rPr>
            </w:pPr>
          </w:p>
        </w:tc>
        <w:tc>
          <w:tcPr>
            <w:tcW w:w="2664" w:type="dxa"/>
            <w:tcMar>
              <w:top w:w="102" w:type="dxa"/>
              <w:left w:w="113" w:type="dxa"/>
              <w:bottom w:w="102" w:type="dxa"/>
              <w:right w:w="113" w:type="dxa"/>
            </w:tcMar>
            <w:vAlign w:val="center"/>
          </w:tcPr>
          <w:p w14:paraId="0E9F3587" w14:textId="77777777" w:rsidR="00BD58FF" w:rsidRPr="00BD58FF" w:rsidRDefault="00BD58FF" w:rsidP="00BD58FF">
            <w:pPr>
              <w:pStyle w:val="CDITable-RowLeft"/>
              <w:rPr>
                <w:lang w:val="en-GB"/>
              </w:rPr>
            </w:pPr>
            <w:r w:rsidRPr="00BD58FF">
              <w:rPr>
                <w:lang w:val="en-GB"/>
              </w:rPr>
              <w:t>Male gender</w:t>
            </w:r>
          </w:p>
        </w:tc>
        <w:tc>
          <w:tcPr>
            <w:tcW w:w="2381" w:type="dxa"/>
            <w:tcMar>
              <w:top w:w="102" w:type="dxa"/>
              <w:left w:w="113" w:type="dxa"/>
              <w:bottom w:w="102" w:type="dxa"/>
              <w:right w:w="113" w:type="dxa"/>
            </w:tcMar>
            <w:vAlign w:val="center"/>
          </w:tcPr>
          <w:p w14:paraId="0CD526D5" w14:textId="77777777" w:rsidR="00BD58FF" w:rsidRPr="00BD58FF" w:rsidRDefault="00BD58FF" w:rsidP="00BD58FF">
            <w:pPr>
              <w:pStyle w:val="CDITable-RowCentre"/>
              <w:rPr>
                <w:lang w:val="en-GB"/>
              </w:rPr>
            </w:pPr>
            <w:r w:rsidRPr="00BD58FF">
              <w:rPr>
                <w:lang w:val="en-GB"/>
              </w:rPr>
              <w:t>9</w:t>
            </w:r>
          </w:p>
        </w:tc>
        <w:tc>
          <w:tcPr>
            <w:tcW w:w="2325" w:type="dxa"/>
            <w:tcMar>
              <w:top w:w="102" w:type="dxa"/>
              <w:left w:w="113" w:type="dxa"/>
              <w:bottom w:w="102" w:type="dxa"/>
              <w:right w:w="113" w:type="dxa"/>
            </w:tcMar>
            <w:vAlign w:val="center"/>
          </w:tcPr>
          <w:p w14:paraId="683F61FD" w14:textId="77777777" w:rsidR="00BD58FF" w:rsidRPr="00BD58FF" w:rsidRDefault="00BD58FF" w:rsidP="00BD58FF">
            <w:pPr>
              <w:pStyle w:val="CDITable-RowCentre"/>
              <w:rPr>
                <w:lang w:val="en-GB"/>
              </w:rPr>
            </w:pPr>
            <w:r w:rsidRPr="00BD58FF">
              <w:rPr>
                <w:lang w:val="en-GB"/>
              </w:rPr>
              <w:t>100%</w:t>
            </w:r>
          </w:p>
        </w:tc>
      </w:tr>
      <w:tr w:rsidR="00BD58FF" w:rsidRPr="00BD58FF" w14:paraId="3D7CC33D" w14:textId="77777777" w:rsidTr="00BD58FF">
        <w:trPr>
          <w:trHeight w:val="60"/>
        </w:trPr>
        <w:tc>
          <w:tcPr>
            <w:tcW w:w="2268" w:type="dxa"/>
            <w:vMerge/>
            <w:shd w:val="clear" w:color="auto" w:fill="DCF4FC" w:themeFill="background2" w:themeFillTint="33"/>
            <w:tcMar>
              <w:top w:w="102" w:type="dxa"/>
              <w:bottom w:w="102" w:type="dxa"/>
            </w:tcMar>
          </w:tcPr>
          <w:p w14:paraId="0B81B9AE" w14:textId="77777777" w:rsidR="00BD58FF" w:rsidRPr="00BD58FF" w:rsidRDefault="00BD58FF" w:rsidP="00BD58FF">
            <w:pPr>
              <w:pStyle w:val="CDITable-RowLeft"/>
              <w:rPr>
                <w:b/>
                <w:bCs/>
              </w:rPr>
            </w:pPr>
          </w:p>
        </w:tc>
        <w:tc>
          <w:tcPr>
            <w:tcW w:w="2664" w:type="dxa"/>
            <w:tcMar>
              <w:top w:w="102" w:type="dxa"/>
              <w:left w:w="113" w:type="dxa"/>
              <w:bottom w:w="102" w:type="dxa"/>
              <w:right w:w="113" w:type="dxa"/>
            </w:tcMar>
            <w:vAlign w:val="center"/>
          </w:tcPr>
          <w:p w14:paraId="0ABD067B" w14:textId="77777777" w:rsidR="00BD58FF" w:rsidRPr="00BD58FF" w:rsidRDefault="00BD58FF" w:rsidP="00BD58FF">
            <w:pPr>
              <w:pStyle w:val="CDITable-RowLeft"/>
              <w:rPr>
                <w:lang w:val="en-GB"/>
              </w:rPr>
            </w:pPr>
            <w:r w:rsidRPr="00BD58FF">
              <w:rPr>
                <w:lang w:val="en-GB"/>
              </w:rPr>
              <w:t>Median age</w:t>
            </w:r>
          </w:p>
        </w:tc>
        <w:tc>
          <w:tcPr>
            <w:tcW w:w="2381" w:type="dxa"/>
            <w:tcMar>
              <w:top w:w="102" w:type="dxa"/>
              <w:left w:w="113" w:type="dxa"/>
              <w:bottom w:w="102" w:type="dxa"/>
              <w:right w:w="113" w:type="dxa"/>
            </w:tcMar>
            <w:vAlign w:val="center"/>
          </w:tcPr>
          <w:p w14:paraId="10AE4DFD" w14:textId="77777777" w:rsidR="00BD58FF" w:rsidRPr="00BD58FF" w:rsidRDefault="00BD58FF" w:rsidP="00BD58FF">
            <w:pPr>
              <w:pStyle w:val="CDITable-RowCentre"/>
              <w:rPr>
                <w:lang w:val="en-GB"/>
              </w:rPr>
            </w:pPr>
            <w:r w:rsidRPr="00BD58FF">
              <w:rPr>
                <w:lang w:val="en-GB"/>
              </w:rPr>
              <w:t>33 years</w:t>
            </w:r>
          </w:p>
        </w:tc>
        <w:tc>
          <w:tcPr>
            <w:tcW w:w="2325" w:type="dxa"/>
            <w:tcMar>
              <w:top w:w="102" w:type="dxa"/>
              <w:left w:w="113" w:type="dxa"/>
              <w:bottom w:w="102" w:type="dxa"/>
              <w:right w:w="113" w:type="dxa"/>
            </w:tcMar>
            <w:vAlign w:val="center"/>
          </w:tcPr>
          <w:p w14:paraId="09F2AA52" w14:textId="77777777" w:rsidR="00BD58FF" w:rsidRPr="00BD58FF" w:rsidRDefault="00BD58FF" w:rsidP="00BD58FF">
            <w:pPr>
              <w:pStyle w:val="CDITable-RowCentre"/>
              <w:rPr>
                <w:lang w:val="en-GB"/>
              </w:rPr>
            </w:pPr>
            <w:r w:rsidRPr="00BD58FF">
              <w:rPr>
                <w:lang w:val="en-GB"/>
              </w:rPr>
              <w:t>—</w:t>
            </w:r>
          </w:p>
        </w:tc>
      </w:tr>
      <w:tr w:rsidR="00BD58FF" w:rsidRPr="00BD58FF" w14:paraId="043FA4C9" w14:textId="77777777" w:rsidTr="00BD58FF">
        <w:trPr>
          <w:trHeight w:val="60"/>
        </w:trPr>
        <w:tc>
          <w:tcPr>
            <w:tcW w:w="2268" w:type="dxa"/>
            <w:vMerge/>
            <w:shd w:val="clear" w:color="auto" w:fill="DCF4FC" w:themeFill="background2" w:themeFillTint="33"/>
            <w:tcMar>
              <w:top w:w="102" w:type="dxa"/>
              <w:bottom w:w="102" w:type="dxa"/>
            </w:tcMar>
          </w:tcPr>
          <w:p w14:paraId="765ABE85" w14:textId="77777777" w:rsidR="00BD58FF" w:rsidRPr="00BD58FF" w:rsidRDefault="00BD58FF" w:rsidP="00BD58FF">
            <w:pPr>
              <w:pStyle w:val="CDITable-RowLeft"/>
              <w:rPr>
                <w:b/>
                <w:bCs/>
              </w:rPr>
            </w:pPr>
          </w:p>
        </w:tc>
        <w:tc>
          <w:tcPr>
            <w:tcW w:w="2664" w:type="dxa"/>
            <w:tcMar>
              <w:top w:w="102" w:type="dxa"/>
              <w:left w:w="113" w:type="dxa"/>
              <w:bottom w:w="102" w:type="dxa"/>
              <w:right w:w="113" w:type="dxa"/>
            </w:tcMar>
            <w:vAlign w:val="center"/>
          </w:tcPr>
          <w:p w14:paraId="124BD979" w14:textId="77777777" w:rsidR="00BD58FF" w:rsidRPr="00BD58FF" w:rsidRDefault="00BD58FF" w:rsidP="00BD58FF">
            <w:pPr>
              <w:pStyle w:val="CDITable-RowLeft"/>
              <w:rPr>
                <w:lang w:val="en-GB"/>
              </w:rPr>
            </w:pPr>
            <w:r w:rsidRPr="00BD58FF">
              <w:rPr>
                <w:lang w:val="en-GB"/>
              </w:rPr>
              <w:t xml:space="preserve">Aboriginal </w:t>
            </w:r>
          </w:p>
        </w:tc>
        <w:tc>
          <w:tcPr>
            <w:tcW w:w="2381" w:type="dxa"/>
            <w:tcMar>
              <w:top w:w="102" w:type="dxa"/>
              <w:left w:w="113" w:type="dxa"/>
              <w:bottom w:w="102" w:type="dxa"/>
              <w:right w:w="113" w:type="dxa"/>
            </w:tcMar>
            <w:vAlign w:val="center"/>
          </w:tcPr>
          <w:p w14:paraId="02E2B2D4" w14:textId="77777777" w:rsidR="00BD58FF" w:rsidRPr="00BD58FF" w:rsidRDefault="00BD58FF" w:rsidP="00BD58FF">
            <w:pPr>
              <w:pStyle w:val="CDITable-RowCentre"/>
              <w:rPr>
                <w:lang w:val="en-GB"/>
              </w:rPr>
            </w:pPr>
            <w:r w:rsidRPr="00BD58FF">
              <w:rPr>
                <w:lang w:val="en-GB"/>
              </w:rPr>
              <w:t>1</w:t>
            </w:r>
          </w:p>
        </w:tc>
        <w:tc>
          <w:tcPr>
            <w:tcW w:w="2325" w:type="dxa"/>
            <w:tcMar>
              <w:top w:w="102" w:type="dxa"/>
              <w:left w:w="113" w:type="dxa"/>
              <w:bottom w:w="102" w:type="dxa"/>
              <w:right w:w="113" w:type="dxa"/>
            </w:tcMar>
            <w:vAlign w:val="center"/>
          </w:tcPr>
          <w:p w14:paraId="4DF32783" w14:textId="77777777" w:rsidR="00BD58FF" w:rsidRPr="00BD58FF" w:rsidRDefault="00BD58FF" w:rsidP="00BD58FF">
            <w:pPr>
              <w:pStyle w:val="CDITable-RowCentre"/>
              <w:rPr>
                <w:lang w:val="en-GB"/>
              </w:rPr>
            </w:pPr>
            <w:r w:rsidRPr="00BD58FF">
              <w:rPr>
                <w:lang w:val="en-GB"/>
              </w:rPr>
              <w:t>11%</w:t>
            </w:r>
          </w:p>
        </w:tc>
      </w:tr>
      <w:tr w:rsidR="00BD58FF" w:rsidRPr="00BD58FF" w14:paraId="515E572E" w14:textId="77777777" w:rsidTr="00BD58FF">
        <w:trPr>
          <w:trHeight w:val="60"/>
        </w:trPr>
        <w:tc>
          <w:tcPr>
            <w:tcW w:w="2268" w:type="dxa"/>
            <w:vMerge w:val="restart"/>
            <w:shd w:val="clear" w:color="auto" w:fill="DCF4FC" w:themeFill="background2" w:themeFillTint="33"/>
            <w:tcMar>
              <w:top w:w="102" w:type="dxa"/>
              <w:left w:w="113" w:type="dxa"/>
              <w:bottom w:w="102" w:type="dxa"/>
              <w:right w:w="113" w:type="dxa"/>
            </w:tcMar>
            <w:vAlign w:val="center"/>
          </w:tcPr>
          <w:p w14:paraId="18A1757C" w14:textId="77777777" w:rsidR="00BD58FF" w:rsidRPr="00BD58FF" w:rsidRDefault="00BD58FF" w:rsidP="00BD58FF">
            <w:pPr>
              <w:pStyle w:val="CDITable-RowLeft"/>
              <w:rPr>
                <w:b/>
                <w:bCs/>
                <w:lang w:val="en-GB"/>
              </w:rPr>
            </w:pPr>
            <w:r w:rsidRPr="00BD58FF">
              <w:rPr>
                <w:b/>
                <w:bCs/>
                <w:lang w:val="en-GB"/>
              </w:rPr>
              <w:t>Case ascertainment</w:t>
            </w:r>
          </w:p>
        </w:tc>
        <w:tc>
          <w:tcPr>
            <w:tcW w:w="2664" w:type="dxa"/>
            <w:tcMar>
              <w:top w:w="102" w:type="dxa"/>
              <w:left w:w="113" w:type="dxa"/>
              <w:bottom w:w="102" w:type="dxa"/>
              <w:right w:w="113" w:type="dxa"/>
            </w:tcMar>
            <w:vAlign w:val="center"/>
          </w:tcPr>
          <w:p w14:paraId="0524CDF3" w14:textId="77777777" w:rsidR="00BD58FF" w:rsidRPr="00BD58FF" w:rsidRDefault="00BD58FF" w:rsidP="00BD58FF">
            <w:pPr>
              <w:pStyle w:val="CDITable-RowLeft"/>
              <w:rPr>
                <w:lang w:val="en-GB"/>
              </w:rPr>
            </w:pPr>
            <w:r w:rsidRPr="00BD58FF">
              <w:rPr>
                <w:lang w:val="en-GB"/>
              </w:rPr>
              <w:t>Found by contact tracing</w:t>
            </w:r>
          </w:p>
        </w:tc>
        <w:tc>
          <w:tcPr>
            <w:tcW w:w="2381" w:type="dxa"/>
            <w:tcMar>
              <w:top w:w="102" w:type="dxa"/>
              <w:left w:w="113" w:type="dxa"/>
              <w:bottom w:w="102" w:type="dxa"/>
              <w:right w:w="113" w:type="dxa"/>
            </w:tcMar>
            <w:vAlign w:val="center"/>
          </w:tcPr>
          <w:p w14:paraId="6FFD83B8" w14:textId="77777777" w:rsidR="00BD58FF" w:rsidRPr="00BD58FF" w:rsidRDefault="00BD58FF" w:rsidP="00BD58FF">
            <w:pPr>
              <w:pStyle w:val="CDITable-RowCentre"/>
              <w:rPr>
                <w:lang w:val="en-GB"/>
              </w:rPr>
            </w:pPr>
            <w:r w:rsidRPr="00BD58FF">
              <w:rPr>
                <w:lang w:val="en-GB"/>
              </w:rPr>
              <w:t>3</w:t>
            </w:r>
          </w:p>
        </w:tc>
        <w:tc>
          <w:tcPr>
            <w:tcW w:w="2325" w:type="dxa"/>
            <w:tcMar>
              <w:top w:w="102" w:type="dxa"/>
              <w:left w:w="113" w:type="dxa"/>
              <w:bottom w:w="102" w:type="dxa"/>
              <w:right w:w="113" w:type="dxa"/>
            </w:tcMar>
            <w:vAlign w:val="center"/>
          </w:tcPr>
          <w:p w14:paraId="6BB31CA2" w14:textId="77777777" w:rsidR="00BD58FF" w:rsidRPr="00BD58FF" w:rsidRDefault="00BD58FF" w:rsidP="00BD58FF">
            <w:pPr>
              <w:pStyle w:val="CDITable-RowCentre"/>
              <w:rPr>
                <w:lang w:val="en-GB"/>
              </w:rPr>
            </w:pPr>
            <w:r w:rsidRPr="00BD58FF">
              <w:rPr>
                <w:lang w:val="en-GB"/>
              </w:rPr>
              <w:t>33%</w:t>
            </w:r>
          </w:p>
        </w:tc>
      </w:tr>
      <w:tr w:rsidR="00BD58FF" w:rsidRPr="00BD58FF" w14:paraId="21D65F24" w14:textId="77777777" w:rsidTr="00BD58FF">
        <w:trPr>
          <w:trHeight w:val="60"/>
        </w:trPr>
        <w:tc>
          <w:tcPr>
            <w:tcW w:w="2268" w:type="dxa"/>
            <w:vMerge/>
            <w:shd w:val="clear" w:color="auto" w:fill="DCF4FC" w:themeFill="background2" w:themeFillTint="33"/>
            <w:tcMar>
              <w:top w:w="102" w:type="dxa"/>
              <w:bottom w:w="102" w:type="dxa"/>
            </w:tcMar>
          </w:tcPr>
          <w:p w14:paraId="2B4361F2" w14:textId="77777777" w:rsidR="00BD58FF" w:rsidRPr="00BD58FF" w:rsidRDefault="00BD58FF" w:rsidP="00BD58FF">
            <w:pPr>
              <w:pStyle w:val="CDITable-RowLeft"/>
              <w:rPr>
                <w:b/>
                <w:bCs/>
              </w:rPr>
            </w:pPr>
          </w:p>
        </w:tc>
        <w:tc>
          <w:tcPr>
            <w:tcW w:w="2664" w:type="dxa"/>
            <w:tcMar>
              <w:top w:w="102" w:type="dxa"/>
              <w:left w:w="113" w:type="dxa"/>
              <w:bottom w:w="102" w:type="dxa"/>
              <w:right w:w="113" w:type="dxa"/>
            </w:tcMar>
            <w:vAlign w:val="center"/>
          </w:tcPr>
          <w:p w14:paraId="53113969" w14:textId="77777777" w:rsidR="00BD58FF" w:rsidRPr="00BD58FF" w:rsidRDefault="00BD58FF" w:rsidP="00BD58FF">
            <w:pPr>
              <w:pStyle w:val="CDITable-RowLeft"/>
              <w:rPr>
                <w:lang w:val="en-GB"/>
              </w:rPr>
            </w:pPr>
            <w:r w:rsidRPr="00BD58FF">
              <w:rPr>
                <w:lang w:val="en-GB"/>
              </w:rPr>
              <w:t>Found by clinical presentation</w:t>
            </w:r>
          </w:p>
        </w:tc>
        <w:tc>
          <w:tcPr>
            <w:tcW w:w="2381" w:type="dxa"/>
            <w:tcMar>
              <w:top w:w="102" w:type="dxa"/>
              <w:left w:w="113" w:type="dxa"/>
              <w:bottom w:w="102" w:type="dxa"/>
              <w:right w:w="113" w:type="dxa"/>
            </w:tcMar>
            <w:vAlign w:val="center"/>
          </w:tcPr>
          <w:p w14:paraId="56D44956" w14:textId="77777777" w:rsidR="00BD58FF" w:rsidRPr="00BD58FF" w:rsidRDefault="00BD58FF" w:rsidP="00BD58FF">
            <w:pPr>
              <w:pStyle w:val="CDITable-RowCentre"/>
              <w:rPr>
                <w:lang w:val="en-GB"/>
              </w:rPr>
            </w:pPr>
            <w:r w:rsidRPr="00BD58FF">
              <w:rPr>
                <w:lang w:val="en-GB"/>
              </w:rPr>
              <w:t>6</w:t>
            </w:r>
          </w:p>
        </w:tc>
        <w:tc>
          <w:tcPr>
            <w:tcW w:w="2325" w:type="dxa"/>
            <w:tcMar>
              <w:top w:w="102" w:type="dxa"/>
              <w:left w:w="113" w:type="dxa"/>
              <w:bottom w:w="102" w:type="dxa"/>
              <w:right w:w="113" w:type="dxa"/>
            </w:tcMar>
            <w:vAlign w:val="center"/>
          </w:tcPr>
          <w:p w14:paraId="290E3A11" w14:textId="77777777" w:rsidR="00BD58FF" w:rsidRPr="00BD58FF" w:rsidRDefault="00BD58FF" w:rsidP="00BD58FF">
            <w:pPr>
              <w:pStyle w:val="CDITable-RowCentre"/>
              <w:rPr>
                <w:lang w:val="en-GB"/>
              </w:rPr>
            </w:pPr>
            <w:r w:rsidRPr="00BD58FF">
              <w:rPr>
                <w:lang w:val="en-GB"/>
              </w:rPr>
              <w:t>67%</w:t>
            </w:r>
          </w:p>
        </w:tc>
      </w:tr>
      <w:tr w:rsidR="00BD58FF" w:rsidRPr="00BD58FF" w14:paraId="63253BC5" w14:textId="77777777" w:rsidTr="00BD58FF">
        <w:trPr>
          <w:trHeight w:val="60"/>
        </w:trPr>
        <w:tc>
          <w:tcPr>
            <w:tcW w:w="2268" w:type="dxa"/>
            <w:vMerge w:val="restart"/>
            <w:shd w:val="clear" w:color="auto" w:fill="DCF4FC" w:themeFill="background2" w:themeFillTint="33"/>
            <w:tcMar>
              <w:top w:w="102" w:type="dxa"/>
              <w:left w:w="113" w:type="dxa"/>
              <w:bottom w:w="102" w:type="dxa"/>
              <w:right w:w="113" w:type="dxa"/>
            </w:tcMar>
            <w:vAlign w:val="center"/>
          </w:tcPr>
          <w:p w14:paraId="380CAE10" w14:textId="77777777" w:rsidR="00BD58FF" w:rsidRPr="00BD58FF" w:rsidRDefault="00BD58FF" w:rsidP="00BD58FF">
            <w:pPr>
              <w:pStyle w:val="CDITable-RowLeft"/>
              <w:rPr>
                <w:b/>
                <w:bCs/>
                <w:lang w:val="en-GB"/>
              </w:rPr>
            </w:pPr>
            <w:r w:rsidRPr="00BD58FF">
              <w:rPr>
                <w:b/>
                <w:bCs/>
                <w:lang w:val="en-GB"/>
              </w:rPr>
              <w:t>Exposures</w:t>
            </w:r>
          </w:p>
        </w:tc>
        <w:tc>
          <w:tcPr>
            <w:tcW w:w="2664" w:type="dxa"/>
            <w:tcMar>
              <w:top w:w="102" w:type="dxa"/>
              <w:left w:w="113" w:type="dxa"/>
              <w:bottom w:w="102" w:type="dxa"/>
              <w:right w:w="113" w:type="dxa"/>
            </w:tcMar>
            <w:vAlign w:val="center"/>
          </w:tcPr>
          <w:p w14:paraId="597E6850" w14:textId="77777777" w:rsidR="00BD58FF" w:rsidRPr="00BD58FF" w:rsidRDefault="00BD58FF" w:rsidP="00BD58FF">
            <w:pPr>
              <w:pStyle w:val="CDITable-RowLeft"/>
              <w:rPr>
                <w:lang w:val="en-GB"/>
              </w:rPr>
            </w:pPr>
            <w:r w:rsidRPr="00BD58FF">
              <w:rPr>
                <w:lang w:val="en-GB"/>
              </w:rPr>
              <w:t>Used dating app</w:t>
            </w:r>
          </w:p>
        </w:tc>
        <w:tc>
          <w:tcPr>
            <w:tcW w:w="2381" w:type="dxa"/>
            <w:tcMar>
              <w:top w:w="102" w:type="dxa"/>
              <w:left w:w="113" w:type="dxa"/>
              <w:bottom w:w="102" w:type="dxa"/>
              <w:right w:w="113" w:type="dxa"/>
            </w:tcMar>
            <w:vAlign w:val="center"/>
          </w:tcPr>
          <w:p w14:paraId="6174B05C" w14:textId="77777777" w:rsidR="00BD58FF" w:rsidRPr="00BD58FF" w:rsidRDefault="00BD58FF" w:rsidP="00BD58FF">
            <w:pPr>
              <w:pStyle w:val="CDITable-RowCentre"/>
              <w:rPr>
                <w:lang w:val="en-GB"/>
              </w:rPr>
            </w:pPr>
            <w:r w:rsidRPr="00BD58FF">
              <w:rPr>
                <w:lang w:val="en-GB"/>
              </w:rPr>
              <w:t>4</w:t>
            </w:r>
          </w:p>
        </w:tc>
        <w:tc>
          <w:tcPr>
            <w:tcW w:w="2325" w:type="dxa"/>
            <w:tcMar>
              <w:top w:w="102" w:type="dxa"/>
              <w:left w:w="113" w:type="dxa"/>
              <w:bottom w:w="102" w:type="dxa"/>
              <w:right w:w="113" w:type="dxa"/>
            </w:tcMar>
            <w:vAlign w:val="center"/>
          </w:tcPr>
          <w:p w14:paraId="549E9775" w14:textId="77777777" w:rsidR="00BD58FF" w:rsidRPr="00BD58FF" w:rsidRDefault="00BD58FF" w:rsidP="00BD58FF">
            <w:pPr>
              <w:pStyle w:val="CDITable-RowCentre"/>
              <w:rPr>
                <w:lang w:val="en-GB"/>
              </w:rPr>
            </w:pPr>
            <w:r w:rsidRPr="00BD58FF">
              <w:rPr>
                <w:lang w:val="en-GB"/>
              </w:rPr>
              <w:t>44%</w:t>
            </w:r>
          </w:p>
        </w:tc>
      </w:tr>
      <w:tr w:rsidR="00BD58FF" w:rsidRPr="00BD58FF" w14:paraId="194EE271" w14:textId="77777777" w:rsidTr="00BD58FF">
        <w:trPr>
          <w:trHeight w:val="60"/>
        </w:trPr>
        <w:tc>
          <w:tcPr>
            <w:tcW w:w="2268" w:type="dxa"/>
            <w:vMerge/>
            <w:shd w:val="clear" w:color="auto" w:fill="DCF4FC" w:themeFill="background2" w:themeFillTint="33"/>
            <w:tcMar>
              <w:top w:w="102" w:type="dxa"/>
              <w:bottom w:w="102" w:type="dxa"/>
            </w:tcMar>
          </w:tcPr>
          <w:p w14:paraId="2672CD5C" w14:textId="77777777" w:rsidR="00BD58FF" w:rsidRPr="00BD58FF" w:rsidRDefault="00BD58FF" w:rsidP="00BD58FF">
            <w:pPr>
              <w:pStyle w:val="CDITable-RowLeft"/>
            </w:pPr>
          </w:p>
        </w:tc>
        <w:tc>
          <w:tcPr>
            <w:tcW w:w="2664" w:type="dxa"/>
            <w:tcMar>
              <w:top w:w="102" w:type="dxa"/>
              <w:left w:w="113" w:type="dxa"/>
              <w:bottom w:w="102" w:type="dxa"/>
              <w:right w:w="113" w:type="dxa"/>
            </w:tcMar>
            <w:vAlign w:val="center"/>
          </w:tcPr>
          <w:p w14:paraId="1D3CFF44" w14:textId="77777777" w:rsidR="00BD58FF" w:rsidRPr="00BD58FF" w:rsidRDefault="00BD58FF" w:rsidP="00BD58FF">
            <w:pPr>
              <w:pStyle w:val="CDITable-RowLeft"/>
              <w:rPr>
                <w:lang w:val="en-GB"/>
              </w:rPr>
            </w:pPr>
            <w:r w:rsidRPr="00BD58FF">
              <w:rPr>
                <w:lang w:val="en-GB"/>
              </w:rPr>
              <w:t>ACT acquired</w:t>
            </w:r>
          </w:p>
        </w:tc>
        <w:tc>
          <w:tcPr>
            <w:tcW w:w="2381" w:type="dxa"/>
            <w:tcMar>
              <w:top w:w="102" w:type="dxa"/>
              <w:left w:w="113" w:type="dxa"/>
              <w:bottom w:w="102" w:type="dxa"/>
              <w:right w:w="113" w:type="dxa"/>
            </w:tcMar>
            <w:vAlign w:val="center"/>
          </w:tcPr>
          <w:p w14:paraId="48199A10" w14:textId="77777777" w:rsidR="00BD58FF" w:rsidRPr="00BD58FF" w:rsidRDefault="00BD58FF" w:rsidP="00BD58FF">
            <w:pPr>
              <w:pStyle w:val="CDITable-RowCentre"/>
              <w:rPr>
                <w:lang w:val="en-GB"/>
              </w:rPr>
            </w:pPr>
            <w:r w:rsidRPr="00BD58FF">
              <w:rPr>
                <w:lang w:val="en-GB"/>
              </w:rPr>
              <w:t>8</w:t>
            </w:r>
          </w:p>
        </w:tc>
        <w:tc>
          <w:tcPr>
            <w:tcW w:w="2325" w:type="dxa"/>
            <w:tcMar>
              <w:top w:w="102" w:type="dxa"/>
              <w:left w:w="113" w:type="dxa"/>
              <w:bottom w:w="102" w:type="dxa"/>
              <w:right w:w="113" w:type="dxa"/>
            </w:tcMar>
            <w:vAlign w:val="center"/>
          </w:tcPr>
          <w:p w14:paraId="193820CC" w14:textId="77777777" w:rsidR="00BD58FF" w:rsidRPr="00BD58FF" w:rsidRDefault="00BD58FF" w:rsidP="00BD58FF">
            <w:pPr>
              <w:pStyle w:val="CDITable-RowCentre"/>
              <w:rPr>
                <w:lang w:val="en-GB"/>
              </w:rPr>
            </w:pPr>
            <w:r w:rsidRPr="00BD58FF">
              <w:rPr>
                <w:lang w:val="en-GB"/>
              </w:rPr>
              <w:t>89%</w:t>
            </w:r>
          </w:p>
        </w:tc>
      </w:tr>
      <w:tr w:rsidR="00BD58FF" w:rsidRPr="00BD58FF" w14:paraId="00A0271A" w14:textId="77777777" w:rsidTr="00BD58FF">
        <w:trPr>
          <w:trHeight w:val="60"/>
        </w:trPr>
        <w:tc>
          <w:tcPr>
            <w:tcW w:w="2268" w:type="dxa"/>
            <w:vMerge/>
            <w:shd w:val="clear" w:color="auto" w:fill="DCF4FC" w:themeFill="background2" w:themeFillTint="33"/>
            <w:tcMar>
              <w:top w:w="102" w:type="dxa"/>
              <w:bottom w:w="102" w:type="dxa"/>
            </w:tcMar>
          </w:tcPr>
          <w:p w14:paraId="0251C29A" w14:textId="77777777" w:rsidR="00BD58FF" w:rsidRPr="00BD58FF" w:rsidRDefault="00BD58FF" w:rsidP="00BD58FF">
            <w:pPr>
              <w:pStyle w:val="CDITable-RowLeft"/>
            </w:pPr>
          </w:p>
        </w:tc>
        <w:tc>
          <w:tcPr>
            <w:tcW w:w="2664" w:type="dxa"/>
            <w:tcMar>
              <w:top w:w="102" w:type="dxa"/>
              <w:left w:w="113" w:type="dxa"/>
              <w:bottom w:w="102" w:type="dxa"/>
              <w:right w:w="113" w:type="dxa"/>
            </w:tcMar>
            <w:vAlign w:val="center"/>
          </w:tcPr>
          <w:p w14:paraId="15A32E3E" w14:textId="77777777" w:rsidR="00BD58FF" w:rsidRPr="00BD58FF" w:rsidRDefault="00BD58FF" w:rsidP="00BD58FF">
            <w:pPr>
              <w:pStyle w:val="CDITable-RowLeft"/>
              <w:rPr>
                <w:lang w:val="en-GB"/>
              </w:rPr>
            </w:pPr>
            <w:r w:rsidRPr="00BD58FF">
              <w:rPr>
                <w:lang w:val="en-GB"/>
              </w:rPr>
              <w:t xml:space="preserve">Interstate acquired </w:t>
            </w:r>
          </w:p>
        </w:tc>
        <w:tc>
          <w:tcPr>
            <w:tcW w:w="2381" w:type="dxa"/>
            <w:tcMar>
              <w:top w:w="102" w:type="dxa"/>
              <w:left w:w="113" w:type="dxa"/>
              <w:bottom w:w="102" w:type="dxa"/>
              <w:right w:w="113" w:type="dxa"/>
            </w:tcMar>
            <w:vAlign w:val="center"/>
          </w:tcPr>
          <w:p w14:paraId="3031BF04" w14:textId="77777777" w:rsidR="00BD58FF" w:rsidRPr="00BD58FF" w:rsidRDefault="00BD58FF" w:rsidP="00BD58FF">
            <w:pPr>
              <w:pStyle w:val="CDITable-RowCentre"/>
              <w:rPr>
                <w:lang w:val="en-GB"/>
              </w:rPr>
            </w:pPr>
            <w:r w:rsidRPr="00BD58FF">
              <w:rPr>
                <w:lang w:val="en-GB"/>
              </w:rPr>
              <w:t>1</w:t>
            </w:r>
          </w:p>
        </w:tc>
        <w:tc>
          <w:tcPr>
            <w:tcW w:w="2325" w:type="dxa"/>
            <w:tcMar>
              <w:top w:w="102" w:type="dxa"/>
              <w:left w:w="113" w:type="dxa"/>
              <w:bottom w:w="102" w:type="dxa"/>
              <w:right w:w="113" w:type="dxa"/>
            </w:tcMar>
            <w:vAlign w:val="center"/>
          </w:tcPr>
          <w:p w14:paraId="7F79D9A9" w14:textId="77777777" w:rsidR="00BD58FF" w:rsidRPr="00BD58FF" w:rsidRDefault="00BD58FF" w:rsidP="00BD58FF">
            <w:pPr>
              <w:pStyle w:val="CDITable-RowCentre"/>
              <w:rPr>
                <w:lang w:val="en-GB"/>
              </w:rPr>
            </w:pPr>
            <w:r w:rsidRPr="00BD58FF">
              <w:rPr>
                <w:lang w:val="en-GB"/>
              </w:rPr>
              <w:t>11%</w:t>
            </w:r>
          </w:p>
        </w:tc>
      </w:tr>
    </w:tbl>
    <w:p w14:paraId="56063771" w14:textId="77777777" w:rsidR="00BD58FF" w:rsidRDefault="00BD58FF" w:rsidP="00BD58FF">
      <w:pPr>
        <w:pStyle w:val="Normal-morespacebefore"/>
        <w:rPr>
          <w:lang w:val="en-GB"/>
        </w:rPr>
        <w:sectPr w:rsidR="00BD58FF" w:rsidSect="00256B63">
          <w:headerReference w:type="even" r:id="rId12"/>
          <w:footerReference w:type="even" r:id="rId13"/>
          <w:footerReference w:type="default" r:id="rId14"/>
          <w:footnotePr>
            <w:numFmt w:val="lowerRoman"/>
          </w:footnotePr>
          <w:pgSz w:w="11907" w:h="16840" w:code="9"/>
          <w:pgMar w:top="1134" w:right="1134" w:bottom="1134" w:left="1134" w:header="709" w:footer="567" w:gutter="0"/>
          <w:cols w:space="708"/>
          <w:titlePg/>
          <w:docGrid w:linePitch="360"/>
        </w:sectPr>
      </w:pPr>
      <w:r w:rsidRPr="00BD58FF">
        <w:rPr>
          <w:lang w:val="en-GB"/>
        </w:rPr>
        <w:t xml:space="preserve">Investigations suggested that the primary case had had sexual contact with anonymous </w:t>
      </w:r>
      <w:proofErr w:type="gramStart"/>
      <w:r w:rsidRPr="00BD58FF">
        <w:rPr>
          <w:lang w:val="en-GB"/>
        </w:rPr>
        <w:t>males</w:t>
      </w:r>
      <w:proofErr w:type="gramEnd"/>
      <w:r w:rsidRPr="00BD58FF">
        <w:rPr>
          <w:lang w:val="en-GB"/>
        </w:rPr>
        <w:t xml:space="preserve"> interstate between twelve and nine days before symptom onset, either of which may have resulted in his infection. He then had sexual contact with several other men two days before his symptom onset, resulting in two known infections. This primary case had received two mpox vaccines more than 18 months before illness onset.</w:t>
      </w:r>
    </w:p>
    <w:p w14:paraId="39FB61AC" w14:textId="77777777" w:rsidR="00BD58FF" w:rsidRPr="00BD58FF" w:rsidRDefault="00BD58FF" w:rsidP="0014478C">
      <w:pPr>
        <w:pStyle w:val="CDITable-Title"/>
        <w:spacing w:before="0"/>
        <w:rPr>
          <w:lang w:val="en-GB"/>
        </w:rPr>
      </w:pPr>
      <w:r w:rsidRPr="00BD58FF">
        <w:rPr>
          <w:lang w:val="en-GB"/>
        </w:rPr>
        <w:t>Table 2: Vaccination status and symptoms of cases in mpox cluster, July–August 2024, Australian Capital Territory</w:t>
      </w:r>
    </w:p>
    <w:tbl>
      <w:tblPr>
        <w:tblW w:w="0" w:type="auto"/>
        <w:tblBorders>
          <w:bottom w:val="single" w:sz="6" w:space="0" w:color="1E4496" w:themeColor="text2"/>
          <w:insideH w:val="single" w:sz="6" w:space="0" w:color="1E4496" w:themeColor="text2"/>
        </w:tblBorders>
        <w:tblLayout w:type="fixed"/>
        <w:tblCellMar>
          <w:left w:w="0" w:type="dxa"/>
          <w:right w:w="0" w:type="dxa"/>
        </w:tblCellMar>
        <w:tblLook w:val="0000" w:firstRow="0" w:lastRow="0" w:firstColumn="0" w:lastColumn="0" w:noHBand="0" w:noVBand="0"/>
        <w:tblCaption w:val="Table 2: Vaccination status and symptoms of cases in mpox cluster, July–August 2024, Australian Capital Territory"/>
        <w:tblDescription w:val="The table shows the symptom profile and vaccination status for each of the nine mpox cluster cases. There is a column for each cluster case, and they are grouped into the unvaccinated cases (n=4) and the cases who had received two mpox vaccines (n=5). For the latter, the number of months from receipt of the second vaccine to the onset of symptoms is shown (range 18.3 – 21.9 months). The symptoms reported by each case is indicated. The remaining rows show the location of mpox rash/lesions for each case (no vaccinated cases reported extragenital lesions); and the location of the first lesions for each case."/>
      </w:tblPr>
      <w:tblGrid>
        <w:gridCol w:w="2494"/>
        <w:gridCol w:w="1928"/>
        <w:gridCol w:w="1304"/>
        <w:gridCol w:w="1077"/>
        <w:gridCol w:w="1077"/>
        <w:gridCol w:w="1077"/>
        <w:gridCol w:w="1078"/>
        <w:gridCol w:w="1077"/>
        <w:gridCol w:w="1077"/>
        <w:gridCol w:w="1077"/>
        <w:gridCol w:w="1077"/>
      </w:tblGrid>
      <w:tr w:rsidR="0014478C" w:rsidRPr="0014478C" w14:paraId="02922FF0" w14:textId="77777777" w:rsidTr="0014478C">
        <w:trPr>
          <w:trHeight w:val="60"/>
          <w:tblHeader/>
        </w:trPr>
        <w:tc>
          <w:tcPr>
            <w:tcW w:w="2494" w:type="dxa"/>
            <w:vMerge w:val="restart"/>
            <w:shd w:val="clear" w:color="auto" w:fill="1E4496" w:themeFill="text2"/>
            <w:tcMar>
              <w:top w:w="85" w:type="dxa"/>
              <w:left w:w="113" w:type="dxa"/>
              <w:bottom w:w="85" w:type="dxa"/>
              <w:right w:w="113" w:type="dxa"/>
            </w:tcMar>
            <w:vAlign w:val="bottom"/>
          </w:tcPr>
          <w:p w14:paraId="0ACBF8DB" w14:textId="77777777" w:rsidR="0014478C" w:rsidRPr="0014478C" w:rsidRDefault="0014478C" w:rsidP="0014478C">
            <w:pPr>
              <w:pStyle w:val="CDITable-HeaderRowLeft"/>
              <w:rPr>
                <w:lang w:val="en-GB"/>
              </w:rPr>
            </w:pPr>
            <w:r w:rsidRPr="0014478C">
              <w:rPr>
                <w:lang w:val="en-GB"/>
              </w:rPr>
              <w:t>Classification</w:t>
            </w:r>
          </w:p>
        </w:tc>
        <w:tc>
          <w:tcPr>
            <w:tcW w:w="1928" w:type="dxa"/>
            <w:vMerge w:val="restart"/>
            <w:shd w:val="clear" w:color="auto" w:fill="1E4496" w:themeFill="text2"/>
            <w:tcMar>
              <w:top w:w="85" w:type="dxa"/>
              <w:left w:w="113" w:type="dxa"/>
              <w:bottom w:w="85" w:type="dxa"/>
              <w:right w:w="113" w:type="dxa"/>
            </w:tcMar>
            <w:vAlign w:val="bottom"/>
          </w:tcPr>
          <w:p w14:paraId="4E16AABF" w14:textId="77777777" w:rsidR="0014478C" w:rsidRPr="0014478C" w:rsidRDefault="0014478C" w:rsidP="0014478C">
            <w:pPr>
              <w:pStyle w:val="CDITable-HeaderRowLeft"/>
              <w:rPr>
                <w:lang w:val="en-GB"/>
              </w:rPr>
            </w:pPr>
            <w:r w:rsidRPr="0014478C">
              <w:rPr>
                <w:lang w:val="en-GB"/>
              </w:rPr>
              <w:t>Category</w:t>
            </w:r>
          </w:p>
        </w:tc>
        <w:tc>
          <w:tcPr>
            <w:tcW w:w="9921" w:type="dxa"/>
            <w:gridSpan w:val="9"/>
            <w:tcBorders>
              <w:top w:val="nil"/>
              <w:bottom w:val="single" w:sz="6" w:space="0" w:color="FFFFFF" w:themeColor="background1"/>
            </w:tcBorders>
            <w:shd w:val="clear" w:color="auto" w:fill="1E4496" w:themeFill="text2"/>
            <w:tcMar>
              <w:top w:w="85" w:type="dxa"/>
              <w:left w:w="113" w:type="dxa"/>
              <w:bottom w:w="85" w:type="dxa"/>
              <w:right w:w="113" w:type="dxa"/>
            </w:tcMar>
            <w:vAlign w:val="bottom"/>
          </w:tcPr>
          <w:p w14:paraId="56A13C46" w14:textId="77777777" w:rsidR="0014478C" w:rsidRPr="0014478C" w:rsidRDefault="0014478C" w:rsidP="0014478C">
            <w:pPr>
              <w:pStyle w:val="CDITable-HeaderRowCentre"/>
            </w:pPr>
            <w:r w:rsidRPr="0014478C">
              <w:t>Vaccination status</w:t>
            </w:r>
          </w:p>
        </w:tc>
      </w:tr>
      <w:tr w:rsidR="0014478C" w:rsidRPr="0014478C" w14:paraId="18666F82" w14:textId="77777777" w:rsidTr="0014478C">
        <w:trPr>
          <w:trHeight w:val="60"/>
          <w:tblHeader/>
        </w:trPr>
        <w:tc>
          <w:tcPr>
            <w:tcW w:w="2494" w:type="dxa"/>
            <w:vMerge/>
            <w:shd w:val="clear" w:color="auto" w:fill="1E4496" w:themeFill="text2"/>
            <w:tcMar>
              <w:top w:w="85" w:type="dxa"/>
              <w:bottom w:w="85" w:type="dxa"/>
            </w:tcMar>
          </w:tcPr>
          <w:p w14:paraId="3D45A9E2" w14:textId="77777777" w:rsidR="0014478C" w:rsidRPr="0014478C" w:rsidRDefault="0014478C" w:rsidP="0014478C">
            <w:pPr>
              <w:pStyle w:val="CDITable-RowCentre"/>
            </w:pPr>
          </w:p>
        </w:tc>
        <w:tc>
          <w:tcPr>
            <w:tcW w:w="1928" w:type="dxa"/>
            <w:vMerge/>
            <w:shd w:val="clear" w:color="auto" w:fill="1E4496" w:themeFill="text2"/>
            <w:tcMar>
              <w:top w:w="85" w:type="dxa"/>
              <w:bottom w:w="85" w:type="dxa"/>
            </w:tcMar>
          </w:tcPr>
          <w:p w14:paraId="34931693" w14:textId="77777777" w:rsidR="0014478C" w:rsidRPr="0014478C" w:rsidRDefault="0014478C" w:rsidP="0014478C">
            <w:pPr>
              <w:pStyle w:val="CDITable-RowCentre"/>
            </w:pPr>
          </w:p>
        </w:tc>
        <w:tc>
          <w:tcPr>
            <w:tcW w:w="4535" w:type="dxa"/>
            <w:gridSpan w:val="4"/>
            <w:tcBorders>
              <w:top w:val="single" w:sz="6" w:space="0" w:color="FFFFFF" w:themeColor="background1"/>
              <w:right w:val="single" w:sz="6" w:space="0" w:color="FFFFFF" w:themeColor="background1"/>
            </w:tcBorders>
            <w:shd w:val="clear" w:color="auto" w:fill="1E4496" w:themeFill="text2"/>
            <w:tcMar>
              <w:top w:w="85" w:type="dxa"/>
              <w:left w:w="113" w:type="dxa"/>
              <w:bottom w:w="85" w:type="dxa"/>
              <w:right w:w="113" w:type="dxa"/>
            </w:tcMar>
            <w:vAlign w:val="bottom"/>
          </w:tcPr>
          <w:p w14:paraId="09D5DD39" w14:textId="77777777" w:rsidR="0014478C" w:rsidRPr="0014478C" w:rsidRDefault="0014478C" w:rsidP="0014478C">
            <w:pPr>
              <w:pStyle w:val="CDITable-HeaderRowCentre"/>
            </w:pPr>
            <w:r w:rsidRPr="0014478C">
              <w:t>Unvaccinated</w:t>
            </w:r>
          </w:p>
        </w:tc>
        <w:tc>
          <w:tcPr>
            <w:tcW w:w="5386" w:type="dxa"/>
            <w:gridSpan w:val="5"/>
            <w:tcBorders>
              <w:top w:val="single" w:sz="6" w:space="0" w:color="FFFFFF" w:themeColor="background1"/>
              <w:left w:val="single" w:sz="6" w:space="0" w:color="FFFFFF" w:themeColor="background1"/>
            </w:tcBorders>
            <w:shd w:val="clear" w:color="auto" w:fill="1E4496" w:themeFill="text2"/>
            <w:tcMar>
              <w:top w:w="85" w:type="dxa"/>
              <w:left w:w="113" w:type="dxa"/>
              <w:bottom w:w="85" w:type="dxa"/>
              <w:right w:w="113" w:type="dxa"/>
            </w:tcMar>
            <w:vAlign w:val="bottom"/>
          </w:tcPr>
          <w:p w14:paraId="6C9482AF" w14:textId="77777777" w:rsidR="0014478C" w:rsidRPr="0014478C" w:rsidRDefault="0014478C" w:rsidP="0014478C">
            <w:pPr>
              <w:pStyle w:val="CDITable-HeaderRowCentre"/>
            </w:pPr>
            <w:r w:rsidRPr="0014478C">
              <w:t>Received two vaccines</w:t>
            </w:r>
          </w:p>
        </w:tc>
      </w:tr>
      <w:tr w:rsidR="0014478C" w:rsidRPr="0014478C" w14:paraId="1429D570" w14:textId="77777777" w:rsidTr="0014478C">
        <w:trPr>
          <w:trHeight w:val="60"/>
        </w:trPr>
        <w:tc>
          <w:tcPr>
            <w:tcW w:w="2494" w:type="dxa"/>
            <w:shd w:val="clear" w:color="auto" w:fill="DCF4FC" w:themeFill="background2" w:themeFillTint="33"/>
            <w:tcMar>
              <w:top w:w="85" w:type="dxa"/>
              <w:left w:w="113" w:type="dxa"/>
              <w:bottom w:w="85" w:type="dxa"/>
              <w:right w:w="113" w:type="dxa"/>
            </w:tcMar>
            <w:vAlign w:val="center"/>
          </w:tcPr>
          <w:p w14:paraId="2CD0927D" w14:textId="77777777" w:rsidR="0014478C" w:rsidRPr="0014478C" w:rsidRDefault="0014478C" w:rsidP="0014478C">
            <w:pPr>
              <w:pStyle w:val="CDITable-RowLeft"/>
              <w:rPr>
                <w:b/>
                <w:bCs/>
                <w:lang w:val="en-GB"/>
              </w:rPr>
            </w:pPr>
            <w:r w:rsidRPr="0014478C">
              <w:rPr>
                <w:b/>
                <w:bCs/>
                <w:lang w:val="en-GB"/>
              </w:rPr>
              <w:t>Case ID</w:t>
            </w:r>
          </w:p>
        </w:tc>
        <w:tc>
          <w:tcPr>
            <w:tcW w:w="1928" w:type="dxa"/>
            <w:shd w:val="clear" w:color="auto" w:fill="DCF4FC" w:themeFill="background2" w:themeFillTint="33"/>
            <w:tcMar>
              <w:top w:w="85" w:type="dxa"/>
              <w:left w:w="113" w:type="dxa"/>
              <w:bottom w:w="85" w:type="dxa"/>
              <w:right w:w="113" w:type="dxa"/>
            </w:tcMar>
            <w:vAlign w:val="center"/>
          </w:tcPr>
          <w:p w14:paraId="58908B18" w14:textId="77777777" w:rsidR="0014478C" w:rsidRPr="0014478C" w:rsidRDefault="0014478C" w:rsidP="0014478C">
            <w:pPr>
              <w:pStyle w:val="CDITable-RowLeft"/>
              <w:rPr>
                <w:b/>
                <w:bCs/>
                <w:lang w:val="en-GB"/>
              </w:rPr>
            </w:pPr>
            <w:r w:rsidRPr="0014478C">
              <w:rPr>
                <w:b/>
                <w:bCs/>
                <w:lang w:val="en-GB"/>
              </w:rPr>
              <w:t>—</w:t>
            </w:r>
          </w:p>
        </w:tc>
        <w:tc>
          <w:tcPr>
            <w:tcW w:w="1304" w:type="dxa"/>
            <w:shd w:val="clear" w:color="auto" w:fill="DCF4FC" w:themeFill="background2" w:themeFillTint="33"/>
            <w:tcMar>
              <w:top w:w="85" w:type="dxa"/>
              <w:left w:w="113" w:type="dxa"/>
              <w:bottom w:w="85" w:type="dxa"/>
              <w:right w:w="113" w:type="dxa"/>
            </w:tcMar>
            <w:vAlign w:val="center"/>
          </w:tcPr>
          <w:p w14:paraId="3C34EEB6" w14:textId="77777777" w:rsidR="0014478C" w:rsidRPr="0014478C" w:rsidRDefault="0014478C" w:rsidP="0014478C">
            <w:pPr>
              <w:pStyle w:val="CDITable-RowCentre"/>
              <w:rPr>
                <w:b/>
                <w:bCs/>
                <w:lang w:val="en-GB"/>
              </w:rPr>
            </w:pPr>
            <w:r w:rsidRPr="0014478C">
              <w:rPr>
                <w:b/>
                <w:bCs/>
                <w:lang w:val="en-GB"/>
              </w:rPr>
              <w:t>1</w:t>
            </w:r>
          </w:p>
        </w:tc>
        <w:tc>
          <w:tcPr>
            <w:tcW w:w="1077" w:type="dxa"/>
            <w:shd w:val="clear" w:color="auto" w:fill="DCF4FC" w:themeFill="background2" w:themeFillTint="33"/>
            <w:tcMar>
              <w:top w:w="85" w:type="dxa"/>
              <w:left w:w="113" w:type="dxa"/>
              <w:bottom w:w="85" w:type="dxa"/>
              <w:right w:w="113" w:type="dxa"/>
            </w:tcMar>
            <w:vAlign w:val="center"/>
          </w:tcPr>
          <w:p w14:paraId="55B69189" w14:textId="77777777" w:rsidR="0014478C" w:rsidRPr="0014478C" w:rsidRDefault="0014478C" w:rsidP="0014478C">
            <w:pPr>
              <w:pStyle w:val="CDITable-RowCentre"/>
              <w:rPr>
                <w:b/>
                <w:bCs/>
                <w:lang w:val="en-GB"/>
              </w:rPr>
            </w:pPr>
            <w:r w:rsidRPr="0014478C">
              <w:rPr>
                <w:b/>
                <w:bCs/>
                <w:lang w:val="en-GB"/>
              </w:rPr>
              <w:t>2</w:t>
            </w:r>
          </w:p>
        </w:tc>
        <w:tc>
          <w:tcPr>
            <w:tcW w:w="1077" w:type="dxa"/>
            <w:shd w:val="clear" w:color="auto" w:fill="DCF4FC" w:themeFill="background2" w:themeFillTint="33"/>
            <w:tcMar>
              <w:top w:w="85" w:type="dxa"/>
              <w:left w:w="113" w:type="dxa"/>
              <w:bottom w:w="85" w:type="dxa"/>
              <w:right w:w="113" w:type="dxa"/>
            </w:tcMar>
            <w:vAlign w:val="center"/>
          </w:tcPr>
          <w:p w14:paraId="57FA114E" w14:textId="77777777" w:rsidR="0014478C" w:rsidRPr="0014478C" w:rsidRDefault="0014478C" w:rsidP="0014478C">
            <w:pPr>
              <w:pStyle w:val="CDITable-RowCentre"/>
              <w:rPr>
                <w:b/>
                <w:bCs/>
                <w:lang w:val="en-GB"/>
              </w:rPr>
            </w:pPr>
            <w:r w:rsidRPr="0014478C">
              <w:rPr>
                <w:b/>
                <w:bCs/>
                <w:lang w:val="en-GB"/>
              </w:rPr>
              <w:t>3</w:t>
            </w:r>
          </w:p>
        </w:tc>
        <w:tc>
          <w:tcPr>
            <w:tcW w:w="1077" w:type="dxa"/>
            <w:tcBorders>
              <w:top w:val="single" w:sz="6" w:space="0" w:color="1E4496" w:themeColor="text2"/>
              <w:right w:val="single" w:sz="6" w:space="0" w:color="1E4496" w:themeColor="text2"/>
            </w:tcBorders>
            <w:shd w:val="clear" w:color="auto" w:fill="DCF4FC" w:themeFill="background2" w:themeFillTint="33"/>
            <w:tcMar>
              <w:top w:w="85" w:type="dxa"/>
              <w:left w:w="113" w:type="dxa"/>
              <w:bottom w:w="85" w:type="dxa"/>
              <w:right w:w="113" w:type="dxa"/>
            </w:tcMar>
            <w:vAlign w:val="center"/>
          </w:tcPr>
          <w:p w14:paraId="2F76C3B0" w14:textId="77777777" w:rsidR="0014478C" w:rsidRPr="0014478C" w:rsidRDefault="0014478C" w:rsidP="0014478C">
            <w:pPr>
              <w:pStyle w:val="CDITable-RowCentre"/>
              <w:rPr>
                <w:b/>
                <w:bCs/>
                <w:lang w:val="en-GB"/>
              </w:rPr>
            </w:pPr>
            <w:r w:rsidRPr="0014478C">
              <w:rPr>
                <w:b/>
                <w:bCs/>
                <w:lang w:val="en-GB"/>
              </w:rPr>
              <w:t>4</w:t>
            </w:r>
          </w:p>
        </w:tc>
        <w:tc>
          <w:tcPr>
            <w:tcW w:w="1078" w:type="dxa"/>
            <w:tcBorders>
              <w:left w:val="single" w:sz="6" w:space="0" w:color="1E4496" w:themeColor="text2"/>
            </w:tcBorders>
            <w:shd w:val="clear" w:color="auto" w:fill="DCF4FC" w:themeFill="background2" w:themeFillTint="33"/>
            <w:tcMar>
              <w:top w:w="85" w:type="dxa"/>
              <w:left w:w="113" w:type="dxa"/>
              <w:bottom w:w="85" w:type="dxa"/>
              <w:right w:w="113" w:type="dxa"/>
            </w:tcMar>
            <w:vAlign w:val="center"/>
          </w:tcPr>
          <w:p w14:paraId="7A3E156B" w14:textId="77777777" w:rsidR="0014478C" w:rsidRPr="0014478C" w:rsidRDefault="0014478C" w:rsidP="0014478C">
            <w:pPr>
              <w:pStyle w:val="CDITable-RowCentre"/>
              <w:rPr>
                <w:b/>
                <w:bCs/>
                <w:lang w:val="en-GB"/>
              </w:rPr>
            </w:pPr>
            <w:r w:rsidRPr="0014478C">
              <w:rPr>
                <w:b/>
                <w:bCs/>
                <w:lang w:val="en-GB"/>
              </w:rPr>
              <w:t>5</w:t>
            </w:r>
          </w:p>
        </w:tc>
        <w:tc>
          <w:tcPr>
            <w:tcW w:w="1077" w:type="dxa"/>
            <w:shd w:val="clear" w:color="auto" w:fill="DCF4FC" w:themeFill="background2" w:themeFillTint="33"/>
            <w:tcMar>
              <w:top w:w="85" w:type="dxa"/>
              <w:left w:w="113" w:type="dxa"/>
              <w:bottom w:w="85" w:type="dxa"/>
              <w:right w:w="113" w:type="dxa"/>
            </w:tcMar>
            <w:vAlign w:val="center"/>
          </w:tcPr>
          <w:p w14:paraId="3AC8ABF2" w14:textId="77777777" w:rsidR="0014478C" w:rsidRPr="0014478C" w:rsidRDefault="0014478C" w:rsidP="0014478C">
            <w:pPr>
              <w:pStyle w:val="CDITable-RowCentre"/>
              <w:rPr>
                <w:b/>
                <w:bCs/>
                <w:lang w:val="en-GB"/>
              </w:rPr>
            </w:pPr>
            <w:r w:rsidRPr="0014478C">
              <w:rPr>
                <w:b/>
                <w:bCs/>
                <w:lang w:val="en-GB"/>
              </w:rPr>
              <w:t>6</w:t>
            </w:r>
          </w:p>
        </w:tc>
        <w:tc>
          <w:tcPr>
            <w:tcW w:w="1077" w:type="dxa"/>
            <w:shd w:val="clear" w:color="auto" w:fill="DCF4FC" w:themeFill="background2" w:themeFillTint="33"/>
            <w:tcMar>
              <w:top w:w="85" w:type="dxa"/>
              <w:left w:w="113" w:type="dxa"/>
              <w:bottom w:w="85" w:type="dxa"/>
              <w:right w:w="113" w:type="dxa"/>
            </w:tcMar>
            <w:vAlign w:val="center"/>
          </w:tcPr>
          <w:p w14:paraId="3F794957" w14:textId="77777777" w:rsidR="0014478C" w:rsidRPr="0014478C" w:rsidRDefault="0014478C" w:rsidP="0014478C">
            <w:pPr>
              <w:pStyle w:val="CDITable-RowCentre"/>
              <w:rPr>
                <w:b/>
                <w:bCs/>
                <w:lang w:val="en-GB"/>
              </w:rPr>
            </w:pPr>
            <w:r w:rsidRPr="0014478C">
              <w:rPr>
                <w:b/>
                <w:bCs/>
                <w:lang w:val="en-GB"/>
              </w:rPr>
              <w:t>7</w:t>
            </w:r>
          </w:p>
        </w:tc>
        <w:tc>
          <w:tcPr>
            <w:tcW w:w="1077" w:type="dxa"/>
            <w:shd w:val="clear" w:color="auto" w:fill="DCF4FC" w:themeFill="background2" w:themeFillTint="33"/>
            <w:tcMar>
              <w:top w:w="85" w:type="dxa"/>
              <w:left w:w="113" w:type="dxa"/>
              <w:bottom w:w="85" w:type="dxa"/>
              <w:right w:w="113" w:type="dxa"/>
            </w:tcMar>
            <w:vAlign w:val="center"/>
          </w:tcPr>
          <w:p w14:paraId="2AFF740F" w14:textId="77777777" w:rsidR="0014478C" w:rsidRPr="0014478C" w:rsidRDefault="0014478C" w:rsidP="0014478C">
            <w:pPr>
              <w:pStyle w:val="CDITable-RowCentre"/>
              <w:rPr>
                <w:b/>
                <w:bCs/>
                <w:lang w:val="en-GB"/>
              </w:rPr>
            </w:pPr>
            <w:r w:rsidRPr="0014478C">
              <w:rPr>
                <w:b/>
                <w:bCs/>
                <w:lang w:val="en-GB"/>
              </w:rPr>
              <w:t>8</w:t>
            </w:r>
          </w:p>
        </w:tc>
        <w:tc>
          <w:tcPr>
            <w:tcW w:w="1077" w:type="dxa"/>
            <w:shd w:val="clear" w:color="auto" w:fill="DCF4FC" w:themeFill="background2" w:themeFillTint="33"/>
            <w:tcMar>
              <w:top w:w="85" w:type="dxa"/>
              <w:left w:w="113" w:type="dxa"/>
              <w:bottom w:w="85" w:type="dxa"/>
              <w:right w:w="113" w:type="dxa"/>
            </w:tcMar>
            <w:vAlign w:val="center"/>
          </w:tcPr>
          <w:p w14:paraId="25143B0B" w14:textId="77777777" w:rsidR="0014478C" w:rsidRPr="0014478C" w:rsidRDefault="0014478C" w:rsidP="0014478C">
            <w:pPr>
              <w:pStyle w:val="CDITable-RowCentre"/>
              <w:rPr>
                <w:b/>
                <w:bCs/>
                <w:lang w:val="en-GB"/>
              </w:rPr>
            </w:pPr>
            <w:r w:rsidRPr="0014478C">
              <w:rPr>
                <w:b/>
                <w:bCs/>
                <w:lang w:val="en-GB"/>
              </w:rPr>
              <w:t>9</w:t>
            </w:r>
          </w:p>
        </w:tc>
      </w:tr>
      <w:tr w:rsidR="0014478C" w:rsidRPr="0014478C" w14:paraId="33B9B0A3" w14:textId="77777777" w:rsidTr="0014478C">
        <w:trPr>
          <w:trHeight w:val="60"/>
        </w:trPr>
        <w:tc>
          <w:tcPr>
            <w:tcW w:w="2494" w:type="dxa"/>
            <w:tcMar>
              <w:top w:w="85" w:type="dxa"/>
              <w:left w:w="113" w:type="dxa"/>
              <w:bottom w:w="85" w:type="dxa"/>
              <w:right w:w="113" w:type="dxa"/>
            </w:tcMar>
            <w:vAlign w:val="center"/>
          </w:tcPr>
          <w:p w14:paraId="23EDE542" w14:textId="77777777" w:rsidR="0014478C" w:rsidRPr="0014478C" w:rsidRDefault="0014478C" w:rsidP="0014478C">
            <w:pPr>
              <w:pStyle w:val="CDITable-RowLeft"/>
              <w:rPr>
                <w:lang w:val="en-GB"/>
              </w:rPr>
            </w:pPr>
            <w:r w:rsidRPr="0014478C">
              <w:rPr>
                <w:lang w:val="en-GB"/>
              </w:rPr>
              <w:t>Duration from second vaccine to onset (months)</w:t>
            </w:r>
            <w:r w:rsidRPr="0014478C">
              <w:rPr>
                <w:vertAlign w:val="superscript"/>
                <w:lang w:val="en-GB"/>
              </w:rPr>
              <w:t>a</w:t>
            </w:r>
          </w:p>
        </w:tc>
        <w:tc>
          <w:tcPr>
            <w:tcW w:w="1928" w:type="dxa"/>
            <w:tcMar>
              <w:top w:w="85" w:type="dxa"/>
              <w:left w:w="113" w:type="dxa"/>
              <w:bottom w:w="85" w:type="dxa"/>
              <w:right w:w="113" w:type="dxa"/>
            </w:tcMar>
            <w:vAlign w:val="center"/>
          </w:tcPr>
          <w:p w14:paraId="7880D7F6" w14:textId="77777777" w:rsidR="0014478C" w:rsidRPr="0014478C" w:rsidRDefault="0014478C" w:rsidP="0014478C">
            <w:pPr>
              <w:pStyle w:val="CDITable-RowLeft"/>
              <w:rPr>
                <w:lang w:val="en-GB"/>
              </w:rPr>
            </w:pPr>
            <w:r w:rsidRPr="0014478C">
              <w:rPr>
                <w:lang w:val="en-GB"/>
              </w:rPr>
              <w:t>—</w:t>
            </w:r>
          </w:p>
        </w:tc>
        <w:tc>
          <w:tcPr>
            <w:tcW w:w="1304" w:type="dxa"/>
            <w:tcMar>
              <w:top w:w="85" w:type="dxa"/>
              <w:left w:w="113" w:type="dxa"/>
              <w:bottom w:w="85" w:type="dxa"/>
              <w:right w:w="113" w:type="dxa"/>
            </w:tcMar>
            <w:vAlign w:val="center"/>
          </w:tcPr>
          <w:p w14:paraId="01E9E10C" w14:textId="77777777" w:rsidR="0014478C" w:rsidRPr="0014478C" w:rsidRDefault="0014478C" w:rsidP="0014478C">
            <w:pPr>
              <w:pStyle w:val="CDITable-RowCentre"/>
              <w:rPr>
                <w:lang w:val="en-GB"/>
              </w:rPr>
            </w:pPr>
            <w:r w:rsidRPr="0014478C">
              <w:rPr>
                <w:lang w:val="en-GB"/>
              </w:rPr>
              <w:t>N/A</w:t>
            </w:r>
          </w:p>
        </w:tc>
        <w:tc>
          <w:tcPr>
            <w:tcW w:w="1077" w:type="dxa"/>
            <w:tcMar>
              <w:top w:w="85" w:type="dxa"/>
              <w:left w:w="113" w:type="dxa"/>
              <w:bottom w:w="85" w:type="dxa"/>
              <w:right w:w="113" w:type="dxa"/>
            </w:tcMar>
            <w:vAlign w:val="center"/>
          </w:tcPr>
          <w:p w14:paraId="046B3366" w14:textId="77777777" w:rsidR="0014478C" w:rsidRPr="0014478C" w:rsidRDefault="0014478C" w:rsidP="0014478C">
            <w:pPr>
              <w:pStyle w:val="CDITable-RowCentre"/>
              <w:rPr>
                <w:lang w:val="en-GB"/>
              </w:rPr>
            </w:pPr>
            <w:r w:rsidRPr="0014478C">
              <w:rPr>
                <w:lang w:val="en-GB"/>
              </w:rPr>
              <w:t>N/A</w:t>
            </w:r>
          </w:p>
        </w:tc>
        <w:tc>
          <w:tcPr>
            <w:tcW w:w="1077" w:type="dxa"/>
            <w:tcMar>
              <w:top w:w="85" w:type="dxa"/>
              <w:left w:w="113" w:type="dxa"/>
              <w:bottom w:w="85" w:type="dxa"/>
              <w:right w:w="113" w:type="dxa"/>
            </w:tcMar>
            <w:vAlign w:val="center"/>
          </w:tcPr>
          <w:p w14:paraId="1F9F7FB7" w14:textId="77777777" w:rsidR="0014478C" w:rsidRPr="0014478C" w:rsidRDefault="0014478C" w:rsidP="0014478C">
            <w:pPr>
              <w:pStyle w:val="CDITable-RowCentre"/>
              <w:rPr>
                <w:lang w:val="en-GB"/>
              </w:rPr>
            </w:pPr>
            <w:r w:rsidRPr="0014478C">
              <w:rPr>
                <w:lang w:val="en-GB"/>
              </w:rPr>
              <w:t>N/A</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44F347AB" w14:textId="77777777" w:rsidR="0014478C" w:rsidRPr="0014478C" w:rsidRDefault="0014478C" w:rsidP="0014478C">
            <w:pPr>
              <w:pStyle w:val="CDITable-RowCentre"/>
              <w:rPr>
                <w:lang w:val="en-GB"/>
              </w:rPr>
            </w:pPr>
            <w:r w:rsidRPr="0014478C">
              <w:rPr>
                <w:lang w:val="en-GB"/>
              </w:rPr>
              <w:t>N/A</w:t>
            </w:r>
          </w:p>
        </w:tc>
        <w:tc>
          <w:tcPr>
            <w:tcW w:w="1078" w:type="dxa"/>
            <w:tcBorders>
              <w:left w:val="single" w:sz="6" w:space="0" w:color="1E4496" w:themeColor="text2"/>
            </w:tcBorders>
            <w:tcMar>
              <w:top w:w="85" w:type="dxa"/>
              <w:left w:w="113" w:type="dxa"/>
              <w:bottom w:w="85" w:type="dxa"/>
              <w:right w:w="113" w:type="dxa"/>
            </w:tcMar>
            <w:vAlign w:val="center"/>
          </w:tcPr>
          <w:p w14:paraId="44113E8E" w14:textId="77777777" w:rsidR="0014478C" w:rsidRPr="0014478C" w:rsidRDefault="0014478C" w:rsidP="0014478C">
            <w:pPr>
              <w:pStyle w:val="CDITable-RowCentre"/>
              <w:rPr>
                <w:lang w:val="en-GB"/>
              </w:rPr>
            </w:pPr>
            <w:r w:rsidRPr="0014478C">
              <w:rPr>
                <w:lang w:val="en-GB"/>
              </w:rPr>
              <w:t>18.3</w:t>
            </w:r>
          </w:p>
        </w:tc>
        <w:tc>
          <w:tcPr>
            <w:tcW w:w="1077" w:type="dxa"/>
            <w:tcMar>
              <w:top w:w="85" w:type="dxa"/>
              <w:left w:w="113" w:type="dxa"/>
              <w:bottom w:w="85" w:type="dxa"/>
              <w:right w:w="113" w:type="dxa"/>
            </w:tcMar>
            <w:vAlign w:val="center"/>
          </w:tcPr>
          <w:p w14:paraId="64999E0F" w14:textId="77777777" w:rsidR="0014478C" w:rsidRPr="0014478C" w:rsidRDefault="0014478C" w:rsidP="0014478C">
            <w:pPr>
              <w:pStyle w:val="CDITable-RowCentre"/>
              <w:rPr>
                <w:lang w:val="en-GB"/>
              </w:rPr>
            </w:pPr>
            <w:proofErr w:type="spellStart"/>
            <w:r w:rsidRPr="0014478C">
              <w:rPr>
                <w:lang w:val="en-GB"/>
              </w:rPr>
              <w:t>NS</w:t>
            </w:r>
            <w:r w:rsidRPr="0014478C">
              <w:rPr>
                <w:vertAlign w:val="superscript"/>
                <w:lang w:val="en-GB"/>
              </w:rPr>
              <w:t>b</w:t>
            </w:r>
            <w:proofErr w:type="spellEnd"/>
          </w:p>
        </w:tc>
        <w:tc>
          <w:tcPr>
            <w:tcW w:w="1077" w:type="dxa"/>
            <w:tcMar>
              <w:top w:w="85" w:type="dxa"/>
              <w:left w:w="113" w:type="dxa"/>
              <w:bottom w:w="85" w:type="dxa"/>
              <w:right w:w="113" w:type="dxa"/>
            </w:tcMar>
            <w:vAlign w:val="center"/>
          </w:tcPr>
          <w:p w14:paraId="7451826F" w14:textId="77777777" w:rsidR="0014478C" w:rsidRPr="0014478C" w:rsidRDefault="0014478C" w:rsidP="0014478C">
            <w:pPr>
              <w:pStyle w:val="CDITable-RowCentre"/>
              <w:rPr>
                <w:lang w:val="en-GB"/>
              </w:rPr>
            </w:pPr>
            <w:r w:rsidRPr="0014478C">
              <w:rPr>
                <w:lang w:val="en-GB"/>
              </w:rPr>
              <w:t>21.9</w:t>
            </w:r>
          </w:p>
        </w:tc>
        <w:tc>
          <w:tcPr>
            <w:tcW w:w="1077" w:type="dxa"/>
            <w:tcMar>
              <w:top w:w="85" w:type="dxa"/>
              <w:left w:w="113" w:type="dxa"/>
              <w:bottom w:w="85" w:type="dxa"/>
              <w:right w:w="113" w:type="dxa"/>
            </w:tcMar>
            <w:vAlign w:val="center"/>
          </w:tcPr>
          <w:p w14:paraId="7605C61F" w14:textId="77777777" w:rsidR="0014478C" w:rsidRPr="0014478C" w:rsidRDefault="0014478C" w:rsidP="0014478C">
            <w:pPr>
              <w:pStyle w:val="CDITable-RowCentre"/>
              <w:rPr>
                <w:lang w:val="en-GB"/>
              </w:rPr>
            </w:pPr>
            <w:r w:rsidRPr="0014478C">
              <w:rPr>
                <w:lang w:val="en-GB"/>
              </w:rPr>
              <w:t>21.1</w:t>
            </w:r>
          </w:p>
        </w:tc>
        <w:tc>
          <w:tcPr>
            <w:tcW w:w="1077" w:type="dxa"/>
            <w:tcMar>
              <w:top w:w="85" w:type="dxa"/>
              <w:left w:w="113" w:type="dxa"/>
              <w:bottom w:w="85" w:type="dxa"/>
              <w:right w:w="113" w:type="dxa"/>
            </w:tcMar>
            <w:vAlign w:val="center"/>
          </w:tcPr>
          <w:p w14:paraId="568E7F62" w14:textId="77777777" w:rsidR="0014478C" w:rsidRPr="0014478C" w:rsidRDefault="0014478C" w:rsidP="0014478C">
            <w:pPr>
              <w:pStyle w:val="CDITable-RowCentre"/>
              <w:rPr>
                <w:lang w:val="en-GB"/>
              </w:rPr>
            </w:pPr>
            <w:r w:rsidRPr="0014478C">
              <w:rPr>
                <w:lang w:val="en-GB"/>
              </w:rPr>
              <w:t>21.2</w:t>
            </w:r>
          </w:p>
        </w:tc>
      </w:tr>
      <w:tr w:rsidR="0014478C" w:rsidRPr="0014478C" w14:paraId="1374D331" w14:textId="77777777" w:rsidTr="0014478C">
        <w:trPr>
          <w:trHeight w:val="60"/>
        </w:trPr>
        <w:tc>
          <w:tcPr>
            <w:tcW w:w="2494" w:type="dxa"/>
            <w:vMerge w:val="restart"/>
            <w:tcMar>
              <w:top w:w="85" w:type="dxa"/>
              <w:left w:w="113" w:type="dxa"/>
              <w:bottom w:w="85" w:type="dxa"/>
              <w:right w:w="113" w:type="dxa"/>
            </w:tcMar>
            <w:vAlign w:val="center"/>
          </w:tcPr>
          <w:p w14:paraId="75BA357A" w14:textId="77777777" w:rsidR="0014478C" w:rsidRPr="0014478C" w:rsidRDefault="0014478C" w:rsidP="0014478C">
            <w:pPr>
              <w:pStyle w:val="CDITable-RowLeft"/>
              <w:rPr>
                <w:lang w:val="en-GB"/>
              </w:rPr>
            </w:pPr>
            <w:r w:rsidRPr="0014478C">
              <w:rPr>
                <w:lang w:val="en-GB"/>
              </w:rPr>
              <w:t>Symptoms</w:t>
            </w:r>
          </w:p>
        </w:tc>
        <w:tc>
          <w:tcPr>
            <w:tcW w:w="1928" w:type="dxa"/>
            <w:tcMar>
              <w:top w:w="85" w:type="dxa"/>
              <w:left w:w="113" w:type="dxa"/>
              <w:bottom w:w="85" w:type="dxa"/>
              <w:right w:w="113" w:type="dxa"/>
            </w:tcMar>
            <w:vAlign w:val="center"/>
          </w:tcPr>
          <w:p w14:paraId="03A2887A" w14:textId="77777777" w:rsidR="0014478C" w:rsidRPr="0014478C" w:rsidRDefault="0014478C" w:rsidP="0014478C">
            <w:pPr>
              <w:pStyle w:val="CDITable-RowLeft"/>
              <w:rPr>
                <w:lang w:val="en-GB"/>
              </w:rPr>
            </w:pPr>
            <w:r w:rsidRPr="0014478C">
              <w:rPr>
                <w:lang w:val="en-GB"/>
              </w:rPr>
              <w:t>Prodrome</w:t>
            </w:r>
          </w:p>
        </w:tc>
        <w:tc>
          <w:tcPr>
            <w:tcW w:w="1304" w:type="dxa"/>
            <w:tcMar>
              <w:top w:w="85" w:type="dxa"/>
              <w:left w:w="113" w:type="dxa"/>
              <w:bottom w:w="85" w:type="dxa"/>
              <w:right w:w="113" w:type="dxa"/>
            </w:tcMar>
            <w:vAlign w:val="center"/>
          </w:tcPr>
          <w:p w14:paraId="0D5A6D3E"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11D8A7C"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4556A245" w14:textId="77777777" w:rsidR="0014478C" w:rsidRPr="0014478C" w:rsidRDefault="0014478C" w:rsidP="0014478C">
            <w:pPr>
              <w:pStyle w:val="CDITable-RowCentre"/>
            </w:pP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279C0823" w14:textId="77777777" w:rsidR="0014478C" w:rsidRPr="0014478C" w:rsidRDefault="0014478C" w:rsidP="0014478C">
            <w:pPr>
              <w:pStyle w:val="CDITable-RowCentre"/>
              <w:rPr>
                <w:lang w:val="en-GB"/>
              </w:rPr>
            </w:pPr>
            <w:r w:rsidRPr="0014478C">
              <w:rPr>
                <w:lang w:val="en-GB"/>
              </w:rPr>
              <w:t>Y</w:t>
            </w:r>
          </w:p>
        </w:tc>
        <w:tc>
          <w:tcPr>
            <w:tcW w:w="1078" w:type="dxa"/>
            <w:tcBorders>
              <w:left w:val="single" w:sz="6" w:space="0" w:color="1E4496" w:themeColor="text2"/>
            </w:tcBorders>
            <w:tcMar>
              <w:top w:w="85" w:type="dxa"/>
              <w:left w:w="113" w:type="dxa"/>
              <w:bottom w:w="85" w:type="dxa"/>
              <w:right w:w="113" w:type="dxa"/>
            </w:tcMar>
            <w:vAlign w:val="center"/>
          </w:tcPr>
          <w:p w14:paraId="27F0DCBD"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5E511713"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67EF1AA0"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5ADD6D73"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7BBCC23F" w14:textId="77777777" w:rsidR="0014478C" w:rsidRPr="0014478C" w:rsidRDefault="0014478C" w:rsidP="0014478C">
            <w:pPr>
              <w:pStyle w:val="CDITable-RowCentre"/>
            </w:pPr>
          </w:p>
        </w:tc>
      </w:tr>
      <w:tr w:rsidR="0014478C" w:rsidRPr="0014478C" w14:paraId="3A034CFE" w14:textId="77777777" w:rsidTr="0014478C">
        <w:trPr>
          <w:trHeight w:val="60"/>
        </w:trPr>
        <w:tc>
          <w:tcPr>
            <w:tcW w:w="2494" w:type="dxa"/>
            <w:vMerge/>
            <w:tcMar>
              <w:top w:w="85" w:type="dxa"/>
              <w:bottom w:w="85" w:type="dxa"/>
            </w:tcMar>
          </w:tcPr>
          <w:p w14:paraId="03D6AC49"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5D9C29CF" w14:textId="77777777" w:rsidR="0014478C" w:rsidRPr="0014478C" w:rsidRDefault="0014478C" w:rsidP="0014478C">
            <w:pPr>
              <w:pStyle w:val="CDITable-RowLeft"/>
              <w:rPr>
                <w:lang w:val="en-GB"/>
              </w:rPr>
            </w:pPr>
            <w:r w:rsidRPr="0014478C">
              <w:rPr>
                <w:lang w:val="en-GB"/>
              </w:rPr>
              <w:t>Fever</w:t>
            </w:r>
          </w:p>
        </w:tc>
        <w:tc>
          <w:tcPr>
            <w:tcW w:w="1304" w:type="dxa"/>
            <w:tcMar>
              <w:top w:w="85" w:type="dxa"/>
              <w:left w:w="113" w:type="dxa"/>
              <w:bottom w:w="85" w:type="dxa"/>
              <w:right w:w="113" w:type="dxa"/>
            </w:tcMar>
            <w:vAlign w:val="center"/>
          </w:tcPr>
          <w:p w14:paraId="4AFCDA5E"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1521EC4"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26731E25" w14:textId="77777777" w:rsidR="0014478C" w:rsidRPr="0014478C" w:rsidRDefault="0014478C" w:rsidP="0014478C">
            <w:pPr>
              <w:pStyle w:val="CDITable-RowCentre"/>
            </w:pP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29583C39"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390B14D3"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792AAC61"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7523FB3F"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006AA364"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60ADE6A" w14:textId="77777777" w:rsidR="0014478C" w:rsidRPr="0014478C" w:rsidRDefault="0014478C" w:rsidP="0014478C">
            <w:pPr>
              <w:pStyle w:val="CDITable-RowCentre"/>
            </w:pPr>
          </w:p>
        </w:tc>
      </w:tr>
      <w:tr w:rsidR="0014478C" w:rsidRPr="0014478C" w14:paraId="454FC7A5" w14:textId="77777777" w:rsidTr="0014478C">
        <w:trPr>
          <w:trHeight w:val="60"/>
        </w:trPr>
        <w:tc>
          <w:tcPr>
            <w:tcW w:w="2494" w:type="dxa"/>
            <w:vMerge/>
            <w:tcMar>
              <w:top w:w="85" w:type="dxa"/>
              <w:bottom w:w="85" w:type="dxa"/>
            </w:tcMar>
          </w:tcPr>
          <w:p w14:paraId="2BAD925D"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3CD4D31A" w14:textId="77777777" w:rsidR="0014478C" w:rsidRPr="0014478C" w:rsidRDefault="0014478C" w:rsidP="0014478C">
            <w:pPr>
              <w:pStyle w:val="CDITable-RowLeft"/>
              <w:rPr>
                <w:lang w:val="en-GB"/>
              </w:rPr>
            </w:pPr>
            <w:r w:rsidRPr="0014478C">
              <w:rPr>
                <w:lang w:val="en-GB"/>
              </w:rPr>
              <w:t>Headache</w:t>
            </w:r>
          </w:p>
        </w:tc>
        <w:tc>
          <w:tcPr>
            <w:tcW w:w="1304" w:type="dxa"/>
            <w:tcMar>
              <w:top w:w="85" w:type="dxa"/>
              <w:left w:w="113" w:type="dxa"/>
              <w:bottom w:w="85" w:type="dxa"/>
              <w:right w:w="113" w:type="dxa"/>
            </w:tcMar>
            <w:vAlign w:val="center"/>
          </w:tcPr>
          <w:p w14:paraId="4BB353B4"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399EF044"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21742C4F" w14:textId="77777777" w:rsidR="0014478C" w:rsidRPr="0014478C" w:rsidRDefault="0014478C" w:rsidP="0014478C">
            <w:pPr>
              <w:pStyle w:val="CDITable-RowCentre"/>
            </w:pP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00D490BE"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75C18BC8"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D1C71CB"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7463A9B"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0C433F8D"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0AE9C5A3" w14:textId="77777777" w:rsidR="0014478C" w:rsidRPr="0014478C" w:rsidRDefault="0014478C" w:rsidP="0014478C">
            <w:pPr>
              <w:pStyle w:val="CDITable-RowCentre"/>
            </w:pPr>
          </w:p>
        </w:tc>
      </w:tr>
      <w:tr w:rsidR="0014478C" w:rsidRPr="0014478C" w14:paraId="49F07AE5" w14:textId="77777777" w:rsidTr="0014478C">
        <w:trPr>
          <w:trHeight w:val="60"/>
        </w:trPr>
        <w:tc>
          <w:tcPr>
            <w:tcW w:w="2494" w:type="dxa"/>
            <w:vMerge/>
            <w:tcMar>
              <w:top w:w="85" w:type="dxa"/>
              <w:bottom w:w="85" w:type="dxa"/>
            </w:tcMar>
          </w:tcPr>
          <w:p w14:paraId="20AADF15"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563CEFCF" w14:textId="77777777" w:rsidR="0014478C" w:rsidRPr="0014478C" w:rsidRDefault="0014478C" w:rsidP="0014478C">
            <w:pPr>
              <w:pStyle w:val="CDITable-RowLeft"/>
              <w:rPr>
                <w:lang w:val="en-GB"/>
              </w:rPr>
            </w:pPr>
            <w:r w:rsidRPr="0014478C">
              <w:rPr>
                <w:lang w:val="en-GB"/>
              </w:rPr>
              <w:t>Myalgia</w:t>
            </w:r>
          </w:p>
        </w:tc>
        <w:tc>
          <w:tcPr>
            <w:tcW w:w="1304" w:type="dxa"/>
            <w:tcMar>
              <w:top w:w="85" w:type="dxa"/>
              <w:left w:w="113" w:type="dxa"/>
              <w:bottom w:w="85" w:type="dxa"/>
              <w:right w:w="113" w:type="dxa"/>
            </w:tcMar>
            <w:vAlign w:val="center"/>
          </w:tcPr>
          <w:p w14:paraId="7AC8C777"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03991652"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22FA0575" w14:textId="77777777" w:rsidR="0014478C" w:rsidRPr="0014478C" w:rsidRDefault="0014478C" w:rsidP="0014478C">
            <w:pPr>
              <w:pStyle w:val="CDITable-RowCentre"/>
            </w:pP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6CB01FC9"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3BC04A65"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5AF2DF94"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32781745"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4217820"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530A3718" w14:textId="77777777" w:rsidR="0014478C" w:rsidRPr="0014478C" w:rsidRDefault="0014478C" w:rsidP="0014478C">
            <w:pPr>
              <w:pStyle w:val="CDITable-RowCentre"/>
            </w:pPr>
          </w:p>
        </w:tc>
      </w:tr>
      <w:tr w:rsidR="0014478C" w:rsidRPr="0014478C" w14:paraId="0A818140" w14:textId="77777777" w:rsidTr="0014478C">
        <w:trPr>
          <w:trHeight w:val="60"/>
        </w:trPr>
        <w:tc>
          <w:tcPr>
            <w:tcW w:w="2494" w:type="dxa"/>
            <w:vMerge/>
            <w:tcMar>
              <w:top w:w="85" w:type="dxa"/>
              <w:bottom w:w="85" w:type="dxa"/>
            </w:tcMar>
          </w:tcPr>
          <w:p w14:paraId="29A7819A"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1A23C5B1" w14:textId="77777777" w:rsidR="0014478C" w:rsidRPr="0014478C" w:rsidRDefault="0014478C" w:rsidP="0014478C">
            <w:pPr>
              <w:pStyle w:val="CDITable-RowLeft"/>
              <w:rPr>
                <w:lang w:val="en-GB"/>
              </w:rPr>
            </w:pPr>
            <w:r w:rsidRPr="0014478C">
              <w:rPr>
                <w:lang w:val="en-GB"/>
              </w:rPr>
              <w:t>Lymphadenopathy</w:t>
            </w:r>
          </w:p>
        </w:tc>
        <w:tc>
          <w:tcPr>
            <w:tcW w:w="1304" w:type="dxa"/>
            <w:tcMar>
              <w:top w:w="85" w:type="dxa"/>
              <w:left w:w="113" w:type="dxa"/>
              <w:bottom w:w="85" w:type="dxa"/>
              <w:right w:w="113" w:type="dxa"/>
            </w:tcMar>
            <w:vAlign w:val="center"/>
          </w:tcPr>
          <w:p w14:paraId="6963DB7C" w14:textId="77777777" w:rsidR="0014478C" w:rsidRPr="0014478C" w:rsidRDefault="0014478C" w:rsidP="0014478C">
            <w:pPr>
              <w:pStyle w:val="CDITable-RowCentre"/>
              <w:rPr>
                <w:lang w:val="en-GB"/>
              </w:rPr>
            </w:pPr>
            <w:r w:rsidRPr="0014478C">
              <w:rPr>
                <w:lang w:val="en-GB"/>
              </w:rPr>
              <w:t>Cervical</w:t>
            </w:r>
          </w:p>
        </w:tc>
        <w:tc>
          <w:tcPr>
            <w:tcW w:w="1077" w:type="dxa"/>
            <w:tcMar>
              <w:top w:w="85" w:type="dxa"/>
              <w:left w:w="113" w:type="dxa"/>
              <w:bottom w:w="85" w:type="dxa"/>
              <w:right w:w="113" w:type="dxa"/>
            </w:tcMar>
            <w:vAlign w:val="center"/>
          </w:tcPr>
          <w:p w14:paraId="36E80920"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7EB2EBBC" w14:textId="77777777" w:rsidR="0014478C" w:rsidRPr="0014478C" w:rsidRDefault="0014478C" w:rsidP="0014478C">
            <w:pPr>
              <w:pStyle w:val="CDITable-RowCentre"/>
              <w:rPr>
                <w:lang w:val="en-GB"/>
              </w:rPr>
            </w:pPr>
            <w:r w:rsidRPr="0014478C">
              <w:rPr>
                <w:lang w:val="en-GB"/>
              </w:rPr>
              <w:t>Inguinal</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310A86B4" w14:textId="77777777" w:rsidR="0014478C" w:rsidRPr="0014478C" w:rsidRDefault="0014478C" w:rsidP="0014478C">
            <w:pPr>
              <w:pStyle w:val="CDITable-RowCentre"/>
              <w:rPr>
                <w:lang w:val="en-GB"/>
              </w:rPr>
            </w:pPr>
            <w:r w:rsidRPr="0014478C">
              <w:rPr>
                <w:lang w:val="en-GB"/>
              </w:rPr>
              <w:t>Cervical</w:t>
            </w:r>
          </w:p>
        </w:tc>
        <w:tc>
          <w:tcPr>
            <w:tcW w:w="1078" w:type="dxa"/>
            <w:tcBorders>
              <w:left w:val="single" w:sz="6" w:space="0" w:color="1E4496" w:themeColor="text2"/>
            </w:tcBorders>
            <w:tcMar>
              <w:top w:w="85" w:type="dxa"/>
              <w:left w:w="113" w:type="dxa"/>
              <w:bottom w:w="85" w:type="dxa"/>
              <w:right w:w="113" w:type="dxa"/>
            </w:tcMar>
            <w:vAlign w:val="center"/>
          </w:tcPr>
          <w:p w14:paraId="7BDE8785"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2301FB3F" w14:textId="77777777" w:rsidR="0014478C" w:rsidRPr="0014478C" w:rsidRDefault="0014478C" w:rsidP="0014478C">
            <w:pPr>
              <w:pStyle w:val="CDITable-RowCentre"/>
              <w:rPr>
                <w:lang w:val="en-GB"/>
              </w:rPr>
            </w:pPr>
            <w:r w:rsidRPr="0014478C">
              <w:rPr>
                <w:lang w:val="en-GB"/>
              </w:rPr>
              <w:t>Inguinal</w:t>
            </w:r>
          </w:p>
        </w:tc>
        <w:tc>
          <w:tcPr>
            <w:tcW w:w="1077" w:type="dxa"/>
            <w:tcMar>
              <w:top w:w="85" w:type="dxa"/>
              <w:left w:w="113" w:type="dxa"/>
              <w:bottom w:w="85" w:type="dxa"/>
              <w:right w:w="113" w:type="dxa"/>
            </w:tcMar>
            <w:vAlign w:val="center"/>
          </w:tcPr>
          <w:p w14:paraId="1E10522A"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732CEA86"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D2E0BA5" w14:textId="77777777" w:rsidR="0014478C" w:rsidRPr="0014478C" w:rsidRDefault="0014478C" w:rsidP="0014478C">
            <w:pPr>
              <w:pStyle w:val="CDITable-RowCentre"/>
            </w:pPr>
          </w:p>
        </w:tc>
      </w:tr>
      <w:tr w:rsidR="0014478C" w:rsidRPr="0014478C" w14:paraId="4EA40ABF" w14:textId="77777777" w:rsidTr="0014478C">
        <w:trPr>
          <w:trHeight w:val="60"/>
        </w:trPr>
        <w:tc>
          <w:tcPr>
            <w:tcW w:w="2494" w:type="dxa"/>
            <w:vMerge/>
            <w:tcMar>
              <w:top w:w="85" w:type="dxa"/>
              <w:bottom w:w="85" w:type="dxa"/>
            </w:tcMar>
          </w:tcPr>
          <w:p w14:paraId="25483298"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5DC9A97D" w14:textId="77777777" w:rsidR="0014478C" w:rsidRPr="0014478C" w:rsidRDefault="0014478C" w:rsidP="0014478C">
            <w:pPr>
              <w:pStyle w:val="CDITable-RowLeft"/>
              <w:rPr>
                <w:lang w:val="en-GB"/>
              </w:rPr>
            </w:pPr>
            <w:r w:rsidRPr="0014478C">
              <w:rPr>
                <w:lang w:val="en-GB"/>
              </w:rPr>
              <w:t>Fatigue</w:t>
            </w:r>
          </w:p>
        </w:tc>
        <w:tc>
          <w:tcPr>
            <w:tcW w:w="1304" w:type="dxa"/>
            <w:tcMar>
              <w:top w:w="85" w:type="dxa"/>
              <w:left w:w="113" w:type="dxa"/>
              <w:bottom w:w="85" w:type="dxa"/>
              <w:right w:w="113" w:type="dxa"/>
            </w:tcMar>
            <w:vAlign w:val="center"/>
          </w:tcPr>
          <w:p w14:paraId="1C780A10"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426BFA2"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D92900E" w14:textId="77777777" w:rsidR="0014478C" w:rsidRPr="0014478C" w:rsidRDefault="0014478C" w:rsidP="0014478C">
            <w:pPr>
              <w:pStyle w:val="CDITable-RowCentre"/>
            </w:pP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1AAD39A3" w14:textId="77777777" w:rsidR="0014478C" w:rsidRPr="0014478C" w:rsidRDefault="0014478C" w:rsidP="0014478C">
            <w:pPr>
              <w:pStyle w:val="CDITable-RowCentre"/>
              <w:rPr>
                <w:lang w:val="en-GB"/>
              </w:rPr>
            </w:pPr>
            <w:r w:rsidRPr="0014478C">
              <w:rPr>
                <w:lang w:val="en-GB"/>
              </w:rPr>
              <w:t>Y</w:t>
            </w:r>
          </w:p>
        </w:tc>
        <w:tc>
          <w:tcPr>
            <w:tcW w:w="1078" w:type="dxa"/>
            <w:tcBorders>
              <w:left w:val="single" w:sz="6" w:space="0" w:color="1E4496" w:themeColor="text2"/>
            </w:tcBorders>
            <w:tcMar>
              <w:top w:w="85" w:type="dxa"/>
              <w:left w:w="113" w:type="dxa"/>
              <w:bottom w:w="85" w:type="dxa"/>
              <w:right w:w="113" w:type="dxa"/>
            </w:tcMar>
            <w:vAlign w:val="center"/>
          </w:tcPr>
          <w:p w14:paraId="0288DFCF"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57FEC783"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438D916"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73ED126E"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8E90650" w14:textId="77777777" w:rsidR="0014478C" w:rsidRPr="0014478C" w:rsidRDefault="0014478C" w:rsidP="0014478C">
            <w:pPr>
              <w:pStyle w:val="CDITable-RowCentre"/>
            </w:pPr>
          </w:p>
        </w:tc>
      </w:tr>
      <w:tr w:rsidR="0014478C" w:rsidRPr="0014478C" w14:paraId="5D5401D0" w14:textId="77777777" w:rsidTr="0014478C">
        <w:trPr>
          <w:trHeight w:val="60"/>
        </w:trPr>
        <w:tc>
          <w:tcPr>
            <w:tcW w:w="2494" w:type="dxa"/>
            <w:vMerge/>
            <w:tcMar>
              <w:top w:w="85" w:type="dxa"/>
              <w:bottom w:w="85" w:type="dxa"/>
            </w:tcMar>
          </w:tcPr>
          <w:p w14:paraId="063D1982"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710834B7" w14:textId="77777777" w:rsidR="0014478C" w:rsidRPr="0014478C" w:rsidRDefault="0014478C" w:rsidP="0014478C">
            <w:pPr>
              <w:pStyle w:val="CDITable-RowLeft"/>
              <w:rPr>
                <w:lang w:val="en-GB"/>
              </w:rPr>
            </w:pPr>
            <w:r w:rsidRPr="0014478C">
              <w:rPr>
                <w:lang w:val="en-GB"/>
              </w:rPr>
              <w:t>Sore throat</w:t>
            </w:r>
          </w:p>
        </w:tc>
        <w:tc>
          <w:tcPr>
            <w:tcW w:w="1304" w:type="dxa"/>
            <w:tcMar>
              <w:top w:w="85" w:type="dxa"/>
              <w:left w:w="113" w:type="dxa"/>
              <w:bottom w:w="85" w:type="dxa"/>
              <w:right w:w="113" w:type="dxa"/>
            </w:tcMar>
            <w:vAlign w:val="center"/>
          </w:tcPr>
          <w:p w14:paraId="62DB3BED"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0F96DF39"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29FE454E" w14:textId="77777777" w:rsidR="0014478C" w:rsidRPr="0014478C" w:rsidRDefault="0014478C" w:rsidP="0014478C">
            <w:pPr>
              <w:pStyle w:val="CDITable-RowCentre"/>
              <w:rPr>
                <w:lang w:val="en-GB"/>
              </w:rPr>
            </w:pPr>
            <w:r w:rsidRPr="0014478C">
              <w:rPr>
                <w:lang w:val="en-GB"/>
              </w:rPr>
              <w:t>Y</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1AB592A3"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42C72DC3"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E3374AB"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70FB45D"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0873185"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D839E13" w14:textId="77777777" w:rsidR="0014478C" w:rsidRPr="0014478C" w:rsidRDefault="0014478C" w:rsidP="0014478C">
            <w:pPr>
              <w:pStyle w:val="CDITable-RowCentre"/>
            </w:pPr>
          </w:p>
        </w:tc>
      </w:tr>
      <w:tr w:rsidR="0014478C" w:rsidRPr="0014478C" w14:paraId="0F012737" w14:textId="77777777" w:rsidTr="0014478C">
        <w:trPr>
          <w:trHeight w:val="60"/>
        </w:trPr>
        <w:tc>
          <w:tcPr>
            <w:tcW w:w="2494" w:type="dxa"/>
            <w:vMerge/>
            <w:tcMar>
              <w:top w:w="85" w:type="dxa"/>
              <w:bottom w:w="85" w:type="dxa"/>
            </w:tcMar>
          </w:tcPr>
          <w:p w14:paraId="7AD66A44"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0EB7AD84" w14:textId="77777777" w:rsidR="0014478C" w:rsidRPr="0014478C" w:rsidRDefault="0014478C" w:rsidP="0014478C">
            <w:pPr>
              <w:pStyle w:val="CDITable-RowLeft"/>
              <w:rPr>
                <w:lang w:val="en-GB"/>
              </w:rPr>
            </w:pPr>
            <w:r w:rsidRPr="0014478C">
              <w:rPr>
                <w:lang w:val="en-GB"/>
              </w:rPr>
              <w:t>Rectal pain/bleeding</w:t>
            </w:r>
          </w:p>
        </w:tc>
        <w:tc>
          <w:tcPr>
            <w:tcW w:w="1304" w:type="dxa"/>
            <w:tcMar>
              <w:top w:w="85" w:type="dxa"/>
              <w:left w:w="113" w:type="dxa"/>
              <w:bottom w:w="85" w:type="dxa"/>
              <w:right w:w="113" w:type="dxa"/>
            </w:tcMar>
            <w:vAlign w:val="center"/>
          </w:tcPr>
          <w:p w14:paraId="37884957"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027264C7"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7990D56B" w14:textId="77777777" w:rsidR="0014478C" w:rsidRPr="0014478C" w:rsidRDefault="0014478C" w:rsidP="0014478C">
            <w:pPr>
              <w:pStyle w:val="CDITable-RowCentre"/>
            </w:pP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445873BE"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105D12F9"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5DAD90DA"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69AF673"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1ED9243"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7210F12C" w14:textId="77777777" w:rsidR="0014478C" w:rsidRPr="0014478C" w:rsidRDefault="0014478C" w:rsidP="0014478C">
            <w:pPr>
              <w:pStyle w:val="CDITable-RowCentre"/>
              <w:rPr>
                <w:lang w:val="en-GB"/>
              </w:rPr>
            </w:pPr>
            <w:r w:rsidRPr="0014478C">
              <w:rPr>
                <w:lang w:val="en-GB"/>
              </w:rPr>
              <w:t>Y</w:t>
            </w:r>
          </w:p>
        </w:tc>
      </w:tr>
      <w:tr w:rsidR="0014478C" w:rsidRPr="0014478C" w14:paraId="1ADBC1C5" w14:textId="77777777" w:rsidTr="0014478C">
        <w:trPr>
          <w:trHeight w:val="60"/>
        </w:trPr>
        <w:tc>
          <w:tcPr>
            <w:tcW w:w="2494" w:type="dxa"/>
            <w:vMerge/>
            <w:tcMar>
              <w:top w:w="85" w:type="dxa"/>
              <w:bottom w:w="85" w:type="dxa"/>
            </w:tcMar>
          </w:tcPr>
          <w:p w14:paraId="3A4A10C5"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46721A5A" w14:textId="77777777" w:rsidR="0014478C" w:rsidRPr="0014478C" w:rsidRDefault="0014478C" w:rsidP="0014478C">
            <w:pPr>
              <w:pStyle w:val="CDITable-RowLeft"/>
              <w:rPr>
                <w:lang w:val="en-GB"/>
              </w:rPr>
            </w:pPr>
            <w:r w:rsidRPr="0014478C">
              <w:rPr>
                <w:lang w:val="en-GB"/>
              </w:rPr>
              <w:t>Rash/lesions</w:t>
            </w:r>
          </w:p>
        </w:tc>
        <w:tc>
          <w:tcPr>
            <w:tcW w:w="1304" w:type="dxa"/>
            <w:tcMar>
              <w:top w:w="85" w:type="dxa"/>
              <w:left w:w="113" w:type="dxa"/>
              <w:bottom w:w="85" w:type="dxa"/>
              <w:right w:w="113" w:type="dxa"/>
            </w:tcMar>
            <w:vAlign w:val="center"/>
          </w:tcPr>
          <w:p w14:paraId="2269BECC"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4DC95241"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3F655FA8" w14:textId="77777777" w:rsidR="0014478C" w:rsidRPr="0014478C" w:rsidRDefault="0014478C" w:rsidP="0014478C">
            <w:pPr>
              <w:pStyle w:val="CDITable-RowCentre"/>
              <w:rPr>
                <w:lang w:val="en-GB"/>
              </w:rPr>
            </w:pPr>
            <w:r w:rsidRPr="0014478C">
              <w:rPr>
                <w:lang w:val="en-GB"/>
              </w:rPr>
              <w:t>Y</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2F1373EB" w14:textId="77777777" w:rsidR="0014478C" w:rsidRPr="0014478C" w:rsidRDefault="0014478C" w:rsidP="0014478C">
            <w:pPr>
              <w:pStyle w:val="CDITable-RowCentre"/>
              <w:rPr>
                <w:lang w:val="en-GB"/>
              </w:rPr>
            </w:pPr>
            <w:r w:rsidRPr="0014478C">
              <w:rPr>
                <w:lang w:val="en-GB"/>
              </w:rPr>
              <w:t>Y</w:t>
            </w:r>
          </w:p>
        </w:tc>
        <w:tc>
          <w:tcPr>
            <w:tcW w:w="1078" w:type="dxa"/>
            <w:tcBorders>
              <w:left w:val="single" w:sz="6" w:space="0" w:color="1E4496" w:themeColor="text2"/>
            </w:tcBorders>
            <w:tcMar>
              <w:top w:w="85" w:type="dxa"/>
              <w:left w:w="113" w:type="dxa"/>
              <w:bottom w:w="85" w:type="dxa"/>
              <w:right w:w="113" w:type="dxa"/>
            </w:tcMar>
            <w:vAlign w:val="center"/>
          </w:tcPr>
          <w:p w14:paraId="1852C794"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3ABF3E00"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55BA598B"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690A17A3"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4339C8DE" w14:textId="77777777" w:rsidR="0014478C" w:rsidRPr="0014478C" w:rsidRDefault="0014478C" w:rsidP="0014478C">
            <w:pPr>
              <w:pStyle w:val="CDITable-RowCentre"/>
            </w:pPr>
          </w:p>
        </w:tc>
      </w:tr>
      <w:tr w:rsidR="0014478C" w:rsidRPr="0014478C" w14:paraId="125A4EA0" w14:textId="77777777" w:rsidTr="0014478C">
        <w:trPr>
          <w:trHeight w:val="60"/>
        </w:trPr>
        <w:tc>
          <w:tcPr>
            <w:tcW w:w="2494" w:type="dxa"/>
            <w:vMerge w:val="restart"/>
            <w:tcMar>
              <w:top w:w="85" w:type="dxa"/>
              <w:left w:w="113" w:type="dxa"/>
              <w:bottom w:w="85" w:type="dxa"/>
              <w:right w:w="113" w:type="dxa"/>
            </w:tcMar>
            <w:vAlign w:val="center"/>
          </w:tcPr>
          <w:p w14:paraId="7BA5633A" w14:textId="77777777" w:rsidR="0014478C" w:rsidRPr="0014478C" w:rsidRDefault="0014478C" w:rsidP="0014478C">
            <w:pPr>
              <w:pStyle w:val="CDITable-RowLeft"/>
              <w:rPr>
                <w:lang w:val="en-GB"/>
              </w:rPr>
            </w:pPr>
            <w:r w:rsidRPr="0014478C">
              <w:rPr>
                <w:lang w:val="en-GB"/>
              </w:rPr>
              <w:t>Location of rash/lesions</w:t>
            </w:r>
          </w:p>
        </w:tc>
        <w:tc>
          <w:tcPr>
            <w:tcW w:w="1928" w:type="dxa"/>
            <w:tcMar>
              <w:top w:w="85" w:type="dxa"/>
              <w:left w:w="113" w:type="dxa"/>
              <w:bottom w:w="85" w:type="dxa"/>
              <w:right w:w="113" w:type="dxa"/>
            </w:tcMar>
            <w:vAlign w:val="center"/>
          </w:tcPr>
          <w:p w14:paraId="12DC9EE9" w14:textId="77777777" w:rsidR="0014478C" w:rsidRPr="0014478C" w:rsidRDefault="0014478C" w:rsidP="0014478C">
            <w:pPr>
              <w:pStyle w:val="CDITable-RowLeft"/>
              <w:rPr>
                <w:lang w:val="en-GB"/>
              </w:rPr>
            </w:pPr>
            <w:r w:rsidRPr="0014478C">
              <w:rPr>
                <w:lang w:val="en-GB"/>
              </w:rPr>
              <w:t>Face</w:t>
            </w:r>
          </w:p>
        </w:tc>
        <w:tc>
          <w:tcPr>
            <w:tcW w:w="1304" w:type="dxa"/>
            <w:tcMar>
              <w:top w:w="85" w:type="dxa"/>
              <w:left w:w="113" w:type="dxa"/>
              <w:bottom w:w="85" w:type="dxa"/>
              <w:right w:w="113" w:type="dxa"/>
            </w:tcMar>
            <w:vAlign w:val="center"/>
          </w:tcPr>
          <w:p w14:paraId="34C9076B"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1F2E653F"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51EEDF67" w14:textId="77777777" w:rsidR="0014478C" w:rsidRPr="0014478C" w:rsidRDefault="0014478C" w:rsidP="0014478C">
            <w:pPr>
              <w:pStyle w:val="CDITable-RowCentre"/>
              <w:rPr>
                <w:lang w:val="en-GB"/>
              </w:rPr>
            </w:pPr>
            <w:r w:rsidRPr="0014478C">
              <w:rPr>
                <w:lang w:val="en-GB"/>
              </w:rPr>
              <w:t>Y</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53FD5120"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381E293E"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78210996"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2679A612"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23E4CDA4"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BB1E2E6" w14:textId="77777777" w:rsidR="0014478C" w:rsidRPr="0014478C" w:rsidRDefault="0014478C" w:rsidP="0014478C">
            <w:pPr>
              <w:pStyle w:val="CDITable-RowCentre"/>
            </w:pPr>
          </w:p>
        </w:tc>
      </w:tr>
      <w:tr w:rsidR="0014478C" w:rsidRPr="0014478C" w14:paraId="6A8EEFA2" w14:textId="77777777" w:rsidTr="0014478C">
        <w:trPr>
          <w:trHeight w:val="60"/>
        </w:trPr>
        <w:tc>
          <w:tcPr>
            <w:tcW w:w="2494" w:type="dxa"/>
            <w:vMerge/>
            <w:tcMar>
              <w:top w:w="85" w:type="dxa"/>
              <w:bottom w:w="85" w:type="dxa"/>
            </w:tcMar>
          </w:tcPr>
          <w:p w14:paraId="2D870507"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2FD89A29" w14:textId="77777777" w:rsidR="0014478C" w:rsidRPr="0014478C" w:rsidRDefault="0014478C" w:rsidP="0014478C">
            <w:pPr>
              <w:pStyle w:val="CDITable-RowLeft"/>
              <w:rPr>
                <w:lang w:val="en-GB"/>
              </w:rPr>
            </w:pPr>
            <w:r w:rsidRPr="0014478C">
              <w:rPr>
                <w:lang w:val="en-GB"/>
              </w:rPr>
              <w:t>Arms</w:t>
            </w:r>
          </w:p>
        </w:tc>
        <w:tc>
          <w:tcPr>
            <w:tcW w:w="1304" w:type="dxa"/>
            <w:tcMar>
              <w:top w:w="85" w:type="dxa"/>
              <w:left w:w="113" w:type="dxa"/>
              <w:bottom w:w="85" w:type="dxa"/>
              <w:right w:w="113" w:type="dxa"/>
            </w:tcMar>
            <w:vAlign w:val="center"/>
          </w:tcPr>
          <w:p w14:paraId="239EEEB6"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23389176"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C31316F" w14:textId="77777777" w:rsidR="0014478C" w:rsidRPr="0014478C" w:rsidRDefault="0014478C" w:rsidP="0014478C">
            <w:pPr>
              <w:pStyle w:val="CDITable-RowCentre"/>
              <w:rPr>
                <w:lang w:val="en-GB"/>
              </w:rPr>
            </w:pPr>
            <w:r w:rsidRPr="0014478C">
              <w:rPr>
                <w:lang w:val="en-GB"/>
              </w:rPr>
              <w:t>Y</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164259CD"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0A7BC539"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949D494"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306D0670"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19CB3E7"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53AE8E1E" w14:textId="77777777" w:rsidR="0014478C" w:rsidRPr="0014478C" w:rsidRDefault="0014478C" w:rsidP="0014478C">
            <w:pPr>
              <w:pStyle w:val="CDITable-RowCentre"/>
            </w:pPr>
          </w:p>
        </w:tc>
      </w:tr>
      <w:tr w:rsidR="0014478C" w:rsidRPr="0014478C" w14:paraId="436C7437" w14:textId="77777777" w:rsidTr="0014478C">
        <w:trPr>
          <w:trHeight w:val="60"/>
        </w:trPr>
        <w:tc>
          <w:tcPr>
            <w:tcW w:w="2494" w:type="dxa"/>
            <w:vMerge/>
            <w:tcMar>
              <w:top w:w="85" w:type="dxa"/>
              <w:bottom w:w="85" w:type="dxa"/>
            </w:tcMar>
          </w:tcPr>
          <w:p w14:paraId="088C18C9"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019F7EF6" w14:textId="77777777" w:rsidR="0014478C" w:rsidRPr="0014478C" w:rsidRDefault="0014478C" w:rsidP="0014478C">
            <w:pPr>
              <w:pStyle w:val="CDITable-RowLeft"/>
              <w:rPr>
                <w:lang w:val="en-GB"/>
              </w:rPr>
            </w:pPr>
            <w:r w:rsidRPr="0014478C">
              <w:rPr>
                <w:lang w:val="en-GB"/>
              </w:rPr>
              <w:t>Legs</w:t>
            </w:r>
          </w:p>
        </w:tc>
        <w:tc>
          <w:tcPr>
            <w:tcW w:w="1304" w:type="dxa"/>
            <w:tcMar>
              <w:top w:w="85" w:type="dxa"/>
              <w:left w:w="113" w:type="dxa"/>
              <w:bottom w:w="85" w:type="dxa"/>
              <w:right w:w="113" w:type="dxa"/>
            </w:tcMar>
            <w:vAlign w:val="center"/>
          </w:tcPr>
          <w:p w14:paraId="5ED64FB9"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5EBD5A6D"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2142F452" w14:textId="77777777" w:rsidR="0014478C" w:rsidRPr="0014478C" w:rsidRDefault="0014478C" w:rsidP="0014478C">
            <w:pPr>
              <w:pStyle w:val="CDITable-RowCentre"/>
              <w:rPr>
                <w:lang w:val="en-GB"/>
              </w:rPr>
            </w:pPr>
            <w:r w:rsidRPr="0014478C">
              <w:rPr>
                <w:lang w:val="en-GB"/>
              </w:rPr>
              <w:t>Y</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20A3B6C5"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43A77A42"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0B0A15E3"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CF66C20"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349EC61E"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A23331B" w14:textId="77777777" w:rsidR="0014478C" w:rsidRPr="0014478C" w:rsidRDefault="0014478C" w:rsidP="0014478C">
            <w:pPr>
              <w:pStyle w:val="CDITable-RowCentre"/>
            </w:pPr>
          </w:p>
        </w:tc>
      </w:tr>
      <w:tr w:rsidR="0014478C" w:rsidRPr="0014478C" w14:paraId="6CC10E16" w14:textId="77777777" w:rsidTr="0014478C">
        <w:trPr>
          <w:trHeight w:val="60"/>
        </w:trPr>
        <w:tc>
          <w:tcPr>
            <w:tcW w:w="2494" w:type="dxa"/>
            <w:vMerge/>
            <w:tcMar>
              <w:top w:w="85" w:type="dxa"/>
              <w:bottom w:w="85" w:type="dxa"/>
            </w:tcMar>
          </w:tcPr>
          <w:p w14:paraId="32B340EA"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21CE302B" w14:textId="77777777" w:rsidR="0014478C" w:rsidRPr="0014478C" w:rsidRDefault="0014478C" w:rsidP="0014478C">
            <w:pPr>
              <w:pStyle w:val="CDITable-RowLeft"/>
              <w:rPr>
                <w:lang w:val="en-GB"/>
              </w:rPr>
            </w:pPr>
            <w:r w:rsidRPr="0014478C">
              <w:rPr>
                <w:lang w:val="en-GB"/>
              </w:rPr>
              <w:t>Palms of hands</w:t>
            </w:r>
          </w:p>
        </w:tc>
        <w:tc>
          <w:tcPr>
            <w:tcW w:w="1304" w:type="dxa"/>
            <w:tcMar>
              <w:top w:w="85" w:type="dxa"/>
              <w:left w:w="113" w:type="dxa"/>
              <w:bottom w:w="85" w:type="dxa"/>
              <w:right w:w="113" w:type="dxa"/>
            </w:tcMar>
            <w:vAlign w:val="center"/>
          </w:tcPr>
          <w:p w14:paraId="7E1AAF51"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0C4C47D"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77B2D83B" w14:textId="77777777" w:rsidR="0014478C" w:rsidRPr="0014478C" w:rsidRDefault="0014478C" w:rsidP="0014478C">
            <w:pPr>
              <w:pStyle w:val="CDITable-RowCentre"/>
              <w:rPr>
                <w:lang w:val="en-GB"/>
              </w:rPr>
            </w:pPr>
            <w:r w:rsidRPr="0014478C">
              <w:rPr>
                <w:lang w:val="en-GB"/>
              </w:rPr>
              <w:t>Y</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231E540F" w14:textId="77777777" w:rsidR="0014478C" w:rsidRPr="0014478C" w:rsidRDefault="0014478C" w:rsidP="0014478C">
            <w:pPr>
              <w:pStyle w:val="CDITable-RowCentre"/>
              <w:rPr>
                <w:lang w:val="en-GB"/>
              </w:rPr>
            </w:pPr>
            <w:r w:rsidRPr="0014478C">
              <w:rPr>
                <w:lang w:val="en-GB"/>
              </w:rPr>
              <w:t>Y</w:t>
            </w:r>
          </w:p>
        </w:tc>
        <w:tc>
          <w:tcPr>
            <w:tcW w:w="1078" w:type="dxa"/>
            <w:tcBorders>
              <w:left w:val="single" w:sz="6" w:space="0" w:color="1E4496" w:themeColor="text2"/>
            </w:tcBorders>
            <w:tcMar>
              <w:top w:w="85" w:type="dxa"/>
              <w:left w:w="113" w:type="dxa"/>
              <w:bottom w:w="85" w:type="dxa"/>
              <w:right w:w="113" w:type="dxa"/>
            </w:tcMar>
            <w:vAlign w:val="center"/>
          </w:tcPr>
          <w:p w14:paraId="5D8B8A68"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D499225"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A787188"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9A82AF3"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3847D20" w14:textId="77777777" w:rsidR="0014478C" w:rsidRPr="0014478C" w:rsidRDefault="0014478C" w:rsidP="0014478C">
            <w:pPr>
              <w:pStyle w:val="CDITable-RowCentre"/>
            </w:pPr>
          </w:p>
        </w:tc>
      </w:tr>
      <w:tr w:rsidR="0014478C" w:rsidRPr="0014478C" w14:paraId="7A8204D1" w14:textId="77777777" w:rsidTr="0014478C">
        <w:trPr>
          <w:trHeight w:val="60"/>
        </w:trPr>
        <w:tc>
          <w:tcPr>
            <w:tcW w:w="2494" w:type="dxa"/>
            <w:vMerge/>
            <w:tcMar>
              <w:top w:w="85" w:type="dxa"/>
              <w:bottom w:w="85" w:type="dxa"/>
            </w:tcMar>
          </w:tcPr>
          <w:p w14:paraId="45465D8D"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377FB1EE" w14:textId="77777777" w:rsidR="0014478C" w:rsidRPr="0014478C" w:rsidRDefault="0014478C" w:rsidP="0014478C">
            <w:pPr>
              <w:pStyle w:val="CDITable-RowLeft"/>
              <w:rPr>
                <w:lang w:val="en-GB"/>
              </w:rPr>
            </w:pPr>
            <w:r w:rsidRPr="0014478C">
              <w:rPr>
                <w:lang w:val="en-GB"/>
              </w:rPr>
              <w:t>Trunk</w:t>
            </w:r>
          </w:p>
        </w:tc>
        <w:tc>
          <w:tcPr>
            <w:tcW w:w="1304" w:type="dxa"/>
            <w:tcMar>
              <w:top w:w="85" w:type="dxa"/>
              <w:left w:w="113" w:type="dxa"/>
              <w:bottom w:w="85" w:type="dxa"/>
              <w:right w:w="113" w:type="dxa"/>
            </w:tcMar>
            <w:vAlign w:val="center"/>
          </w:tcPr>
          <w:p w14:paraId="38D9CAC8"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164533E6"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77E4BED7" w14:textId="77777777" w:rsidR="0014478C" w:rsidRPr="0014478C" w:rsidRDefault="0014478C" w:rsidP="0014478C">
            <w:pPr>
              <w:pStyle w:val="CDITable-RowCentre"/>
              <w:rPr>
                <w:lang w:val="en-GB"/>
              </w:rPr>
            </w:pPr>
            <w:r w:rsidRPr="0014478C">
              <w:rPr>
                <w:lang w:val="en-GB"/>
              </w:rPr>
              <w:t>Y</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1D7A3877"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74D4F888"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294F684D"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6612537"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37DDA79E"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D741CCF" w14:textId="77777777" w:rsidR="0014478C" w:rsidRPr="0014478C" w:rsidRDefault="0014478C" w:rsidP="0014478C">
            <w:pPr>
              <w:pStyle w:val="CDITable-RowCentre"/>
            </w:pPr>
          </w:p>
        </w:tc>
      </w:tr>
      <w:tr w:rsidR="0014478C" w:rsidRPr="0014478C" w14:paraId="0BD22F2D" w14:textId="77777777" w:rsidTr="0014478C">
        <w:trPr>
          <w:trHeight w:val="60"/>
        </w:trPr>
        <w:tc>
          <w:tcPr>
            <w:tcW w:w="2494" w:type="dxa"/>
            <w:vMerge/>
            <w:tcMar>
              <w:top w:w="85" w:type="dxa"/>
              <w:bottom w:w="85" w:type="dxa"/>
            </w:tcMar>
          </w:tcPr>
          <w:p w14:paraId="68FFBB09"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35B744E0" w14:textId="77777777" w:rsidR="0014478C" w:rsidRPr="0014478C" w:rsidRDefault="0014478C" w:rsidP="0014478C">
            <w:pPr>
              <w:pStyle w:val="CDITable-RowLeft"/>
              <w:rPr>
                <w:lang w:val="en-GB"/>
              </w:rPr>
            </w:pPr>
            <w:r w:rsidRPr="0014478C">
              <w:rPr>
                <w:lang w:val="en-GB"/>
              </w:rPr>
              <w:t>Genitourinary</w:t>
            </w:r>
          </w:p>
        </w:tc>
        <w:tc>
          <w:tcPr>
            <w:tcW w:w="1304" w:type="dxa"/>
            <w:tcMar>
              <w:top w:w="85" w:type="dxa"/>
              <w:left w:w="113" w:type="dxa"/>
              <w:bottom w:w="85" w:type="dxa"/>
              <w:right w:w="113" w:type="dxa"/>
            </w:tcMar>
            <w:vAlign w:val="center"/>
          </w:tcPr>
          <w:p w14:paraId="52DA21D6"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1550EE21"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5CCC243B" w14:textId="77777777" w:rsidR="0014478C" w:rsidRPr="0014478C" w:rsidRDefault="0014478C" w:rsidP="0014478C">
            <w:pPr>
              <w:pStyle w:val="CDITable-RowCentre"/>
              <w:rPr>
                <w:lang w:val="en-GB"/>
              </w:rPr>
            </w:pPr>
            <w:r w:rsidRPr="0014478C">
              <w:rPr>
                <w:lang w:val="en-GB"/>
              </w:rPr>
              <w:t>Y</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1E96C6C6" w14:textId="77777777" w:rsidR="0014478C" w:rsidRPr="0014478C" w:rsidRDefault="0014478C" w:rsidP="0014478C">
            <w:pPr>
              <w:pStyle w:val="CDITable-RowCentre"/>
              <w:rPr>
                <w:lang w:val="en-GB"/>
              </w:rPr>
            </w:pPr>
            <w:r w:rsidRPr="0014478C">
              <w:rPr>
                <w:lang w:val="en-GB"/>
              </w:rPr>
              <w:t>Y</w:t>
            </w:r>
          </w:p>
        </w:tc>
        <w:tc>
          <w:tcPr>
            <w:tcW w:w="1078" w:type="dxa"/>
            <w:tcBorders>
              <w:left w:val="single" w:sz="6" w:space="0" w:color="1E4496" w:themeColor="text2"/>
            </w:tcBorders>
            <w:tcMar>
              <w:top w:w="85" w:type="dxa"/>
              <w:left w:w="113" w:type="dxa"/>
              <w:bottom w:w="85" w:type="dxa"/>
              <w:right w:w="113" w:type="dxa"/>
            </w:tcMar>
            <w:vAlign w:val="center"/>
          </w:tcPr>
          <w:p w14:paraId="19545D85"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549464A6"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5BE60A05"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231B5A3A"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B6138F0" w14:textId="77777777" w:rsidR="0014478C" w:rsidRPr="0014478C" w:rsidRDefault="0014478C" w:rsidP="0014478C">
            <w:pPr>
              <w:pStyle w:val="CDITable-RowCentre"/>
            </w:pPr>
          </w:p>
        </w:tc>
      </w:tr>
      <w:tr w:rsidR="0014478C" w:rsidRPr="0014478C" w14:paraId="0DA48974" w14:textId="77777777" w:rsidTr="0014478C">
        <w:trPr>
          <w:trHeight w:val="60"/>
        </w:trPr>
        <w:tc>
          <w:tcPr>
            <w:tcW w:w="2494" w:type="dxa"/>
            <w:vMerge/>
            <w:tcMar>
              <w:top w:w="85" w:type="dxa"/>
              <w:bottom w:w="85" w:type="dxa"/>
            </w:tcMar>
          </w:tcPr>
          <w:p w14:paraId="196878B0" w14:textId="77777777" w:rsidR="0014478C" w:rsidRPr="0014478C" w:rsidRDefault="0014478C" w:rsidP="0014478C">
            <w:pPr>
              <w:pStyle w:val="CDITable-RowLeft"/>
            </w:pPr>
          </w:p>
        </w:tc>
        <w:tc>
          <w:tcPr>
            <w:tcW w:w="1928" w:type="dxa"/>
            <w:tcMar>
              <w:top w:w="85" w:type="dxa"/>
              <w:left w:w="113" w:type="dxa"/>
              <w:bottom w:w="85" w:type="dxa"/>
              <w:right w:w="113" w:type="dxa"/>
            </w:tcMar>
            <w:vAlign w:val="center"/>
          </w:tcPr>
          <w:p w14:paraId="57EAB946" w14:textId="77777777" w:rsidR="0014478C" w:rsidRPr="0014478C" w:rsidRDefault="0014478C" w:rsidP="0014478C">
            <w:pPr>
              <w:pStyle w:val="CDITable-RowLeft"/>
              <w:rPr>
                <w:lang w:val="en-GB"/>
              </w:rPr>
            </w:pPr>
            <w:r w:rsidRPr="0014478C">
              <w:rPr>
                <w:lang w:val="en-GB"/>
              </w:rPr>
              <w:t>Perianal</w:t>
            </w:r>
          </w:p>
        </w:tc>
        <w:tc>
          <w:tcPr>
            <w:tcW w:w="1304" w:type="dxa"/>
            <w:tcMar>
              <w:top w:w="85" w:type="dxa"/>
              <w:left w:w="113" w:type="dxa"/>
              <w:bottom w:w="85" w:type="dxa"/>
              <w:right w:w="113" w:type="dxa"/>
            </w:tcMar>
            <w:vAlign w:val="center"/>
          </w:tcPr>
          <w:p w14:paraId="62D29B41"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49AEAE0"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06315A30" w14:textId="77777777" w:rsidR="0014478C" w:rsidRPr="0014478C" w:rsidRDefault="0014478C" w:rsidP="0014478C">
            <w:pPr>
              <w:pStyle w:val="CDITable-RowCentre"/>
            </w:pP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2E5D8981" w14:textId="77777777" w:rsidR="0014478C" w:rsidRPr="0014478C" w:rsidRDefault="0014478C" w:rsidP="0014478C">
            <w:pPr>
              <w:pStyle w:val="CDITable-RowCentre"/>
            </w:pPr>
          </w:p>
        </w:tc>
        <w:tc>
          <w:tcPr>
            <w:tcW w:w="1078" w:type="dxa"/>
            <w:tcBorders>
              <w:left w:val="single" w:sz="6" w:space="0" w:color="1E4496" w:themeColor="text2"/>
            </w:tcBorders>
            <w:tcMar>
              <w:top w:w="85" w:type="dxa"/>
              <w:left w:w="113" w:type="dxa"/>
              <w:bottom w:w="85" w:type="dxa"/>
              <w:right w:w="113" w:type="dxa"/>
            </w:tcMar>
            <w:vAlign w:val="center"/>
          </w:tcPr>
          <w:p w14:paraId="5570D7D4"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514C22B"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6869E9E0" w14:textId="77777777" w:rsidR="0014478C" w:rsidRPr="0014478C" w:rsidRDefault="0014478C" w:rsidP="0014478C">
            <w:pPr>
              <w:pStyle w:val="CDITable-RowCentre"/>
            </w:pPr>
          </w:p>
        </w:tc>
        <w:tc>
          <w:tcPr>
            <w:tcW w:w="1077" w:type="dxa"/>
            <w:tcMar>
              <w:top w:w="85" w:type="dxa"/>
              <w:left w:w="113" w:type="dxa"/>
              <w:bottom w:w="85" w:type="dxa"/>
              <w:right w:w="113" w:type="dxa"/>
            </w:tcMar>
            <w:vAlign w:val="center"/>
          </w:tcPr>
          <w:p w14:paraId="423E12B0" w14:textId="77777777" w:rsidR="0014478C" w:rsidRPr="0014478C" w:rsidRDefault="0014478C" w:rsidP="0014478C">
            <w:pPr>
              <w:pStyle w:val="CDITable-RowCentre"/>
              <w:rPr>
                <w:lang w:val="en-GB"/>
              </w:rPr>
            </w:pPr>
            <w:r w:rsidRPr="0014478C">
              <w:rPr>
                <w:lang w:val="en-GB"/>
              </w:rPr>
              <w:t>Y</w:t>
            </w:r>
          </w:p>
        </w:tc>
        <w:tc>
          <w:tcPr>
            <w:tcW w:w="1077" w:type="dxa"/>
            <w:tcMar>
              <w:top w:w="85" w:type="dxa"/>
              <w:left w:w="113" w:type="dxa"/>
              <w:bottom w:w="85" w:type="dxa"/>
              <w:right w:w="113" w:type="dxa"/>
            </w:tcMar>
            <w:vAlign w:val="center"/>
          </w:tcPr>
          <w:p w14:paraId="625FBB62" w14:textId="77777777" w:rsidR="0014478C" w:rsidRPr="0014478C" w:rsidRDefault="0014478C" w:rsidP="0014478C">
            <w:pPr>
              <w:pStyle w:val="CDITable-RowCentre"/>
            </w:pPr>
          </w:p>
        </w:tc>
      </w:tr>
      <w:tr w:rsidR="0014478C" w:rsidRPr="0014478C" w14:paraId="26343D1F" w14:textId="77777777" w:rsidTr="0014478C">
        <w:trPr>
          <w:trHeight w:val="60"/>
        </w:trPr>
        <w:tc>
          <w:tcPr>
            <w:tcW w:w="2494" w:type="dxa"/>
            <w:tcMar>
              <w:top w:w="85" w:type="dxa"/>
              <w:left w:w="113" w:type="dxa"/>
              <w:bottom w:w="85" w:type="dxa"/>
              <w:right w:w="113" w:type="dxa"/>
            </w:tcMar>
            <w:vAlign w:val="center"/>
          </w:tcPr>
          <w:p w14:paraId="7C39DB5D" w14:textId="77777777" w:rsidR="0014478C" w:rsidRPr="0014478C" w:rsidRDefault="0014478C" w:rsidP="0014478C">
            <w:pPr>
              <w:pStyle w:val="CDITable-RowLeft"/>
              <w:rPr>
                <w:lang w:val="en-GB"/>
              </w:rPr>
            </w:pPr>
            <w:r w:rsidRPr="0014478C">
              <w:rPr>
                <w:lang w:val="en-GB"/>
              </w:rPr>
              <w:t>Location of first lesions</w:t>
            </w:r>
          </w:p>
        </w:tc>
        <w:tc>
          <w:tcPr>
            <w:tcW w:w="1928" w:type="dxa"/>
            <w:tcMar>
              <w:top w:w="85" w:type="dxa"/>
              <w:left w:w="113" w:type="dxa"/>
              <w:bottom w:w="85" w:type="dxa"/>
              <w:right w:w="113" w:type="dxa"/>
            </w:tcMar>
            <w:vAlign w:val="center"/>
          </w:tcPr>
          <w:p w14:paraId="52A16FC7" w14:textId="77777777" w:rsidR="0014478C" w:rsidRPr="0014478C" w:rsidRDefault="0014478C" w:rsidP="0014478C">
            <w:pPr>
              <w:pStyle w:val="CDITable-RowLeft"/>
              <w:rPr>
                <w:lang w:val="en-GB"/>
              </w:rPr>
            </w:pPr>
            <w:r w:rsidRPr="0014478C">
              <w:rPr>
                <w:lang w:val="en-GB"/>
              </w:rPr>
              <w:t>—</w:t>
            </w:r>
          </w:p>
        </w:tc>
        <w:tc>
          <w:tcPr>
            <w:tcW w:w="1304" w:type="dxa"/>
            <w:tcMar>
              <w:top w:w="85" w:type="dxa"/>
              <w:left w:w="113" w:type="dxa"/>
              <w:bottom w:w="85" w:type="dxa"/>
              <w:right w:w="113" w:type="dxa"/>
            </w:tcMar>
            <w:vAlign w:val="center"/>
          </w:tcPr>
          <w:p w14:paraId="1649FBD7" w14:textId="77777777" w:rsidR="0014478C" w:rsidRPr="0014478C" w:rsidRDefault="0014478C" w:rsidP="0014478C">
            <w:pPr>
              <w:pStyle w:val="CDITable-RowCentre"/>
              <w:rPr>
                <w:lang w:val="en-GB"/>
              </w:rPr>
            </w:pPr>
            <w:r w:rsidRPr="0014478C">
              <w:rPr>
                <w:lang w:val="en-GB"/>
              </w:rPr>
              <w:t>Lip and groin</w:t>
            </w:r>
          </w:p>
        </w:tc>
        <w:tc>
          <w:tcPr>
            <w:tcW w:w="1077" w:type="dxa"/>
            <w:tcMar>
              <w:top w:w="85" w:type="dxa"/>
              <w:left w:w="113" w:type="dxa"/>
              <w:bottom w:w="85" w:type="dxa"/>
              <w:right w:w="113" w:type="dxa"/>
            </w:tcMar>
            <w:vAlign w:val="center"/>
          </w:tcPr>
          <w:p w14:paraId="2F4F12B7" w14:textId="77777777" w:rsidR="0014478C" w:rsidRPr="0014478C" w:rsidRDefault="0014478C" w:rsidP="0014478C">
            <w:pPr>
              <w:pStyle w:val="CDITable-RowCentre"/>
              <w:rPr>
                <w:lang w:val="en-GB"/>
              </w:rPr>
            </w:pPr>
            <w:r w:rsidRPr="0014478C">
              <w:rPr>
                <w:lang w:val="en-GB"/>
              </w:rPr>
              <w:t>Chin</w:t>
            </w:r>
          </w:p>
        </w:tc>
        <w:tc>
          <w:tcPr>
            <w:tcW w:w="1077" w:type="dxa"/>
            <w:tcMar>
              <w:top w:w="85" w:type="dxa"/>
              <w:left w:w="113" w:type="dxa"/>
              <w:bottom w:w="85" w:type="dxa"/>
              <w:right w:w="113" w:type="dxa"/>
            </w:tcMar>
            <w:vAlign w:val="center"/>
          </w:tcPr>
          <w:p w14:paraId="078DC562" w14:textId="77777777" w:rsidR="0014478C" w:rsidRPr="0014478C" w:rsidRDefault="0014478C" w:rsidP="0014478C">
            <w:pPr>
              <w:pStyle w:val="CDITable-RowCentre"/>
              <w:rPr>
                <w:lang w:val="en-GB"/>
              </w:rPr>
            </w:pPr>
            <w:r w:rsidRPr="0014478C">
              <w:rPr>
                <w:lang w:val="en-GB"/>
              </w:rPr>
              <w:t>Unknown</w:t>
            </w:r>
          </w:p>
        </w:tc>
        <w:tc>
          <w:tcPr>
            <w:tcW w:w="1077" w:type="dxa"/>
            <w:tcBorders>
              <w:top w:val="single" w:sz="6" w:space="0" w:color="1E4496" w:themeColor="text2"/>
              <w:right w:val="single" w:sz="6" w:space="0" w:color="1E4496" w:themeColor="text2"/>
            </w:tcBorders>
            <w:tcMar>
              <w:top w:w="85" w:type="dxa"/>
              <w:left w:w="113" w:type="dxa"/>
              <w:bottom w:w="85" w:type="dxa"/>
              <w:right w:w="113" w:type="dxa"/>
            </w:tcMar>
            <w:vAlign w:val="center"/>
          </w:tcPr>
          <w:p w14:paraId="64D9FE57" w14:textId="77777777" w:rsidR="0014478C" w:rsidRPr="0014478C" w:rsidRDefault="0014478C" w:rsidP="0014478C">
            <w:pPr>
              <w:pStyle w:val="CDITable-RowCentre"/>
              <w:rPr>
                <w:lang w:val="en-GB"/>
              </w:rPr>
            </w:pPr>
            <w:r w:rsidRPr="0014478C">
              <w:rPr>
                <w:lang w:val="en-GB"/>
              </w:rPr>
              <w:t>Finger</w:t>
            </w:r>
          </w:p>
        </w:tc>
        <w:tc>
          <w:tcPr>
            <w:tcW w:w="1078" w:type="dxa"/>
            <w:tcBorders>
              <w:left w:val="single" w:sz="6" w:space="0" w:color="1E4496" w:themeColor="text2"/>
            </w:tcBorders>
            <w:tcMar>
              <w:top w:w="85" w:type="dxa"/>
              <w:left w:w="113" w:type="dxa"/>
              <w:bottom w:w="85" w:type="dxa"/>
              <w:right w:w="113" w:type="dxa"/>
            </w:tcMar>
            <w:vAlign w:val="center"/>
          </w:tcPr>
          <w:p w14:paraId="19FF4339" w14:textId="77777777" w:rsidR="0014478C" w:rsidRPr="0014478C" w:rsidRDefault="0014478C" w:rsidP="0014478C">
            <w:pPr>
              <w:pStyle w:val="CDITable-RowCentre"/>
              <w:rPr>
                <w:lang w:val="en-GB"/>
              </w:rPr>
            </w:pPr>
            <w:r w:rsidRPr="0014478C">
              <w:rPr>
                <w:lang w:val="en-GB"/>
              </w:rPr>
              <w:t>Buttocks</w:t>
            </w:r>
          </w:p>
        </w:tc>
        <w:tc>
          <w:tcPr>
            <w:tcW w:w="1077" w:type="dxa"/>
            <w:tcMar>
              <w:top w:w="85" w:type="dxa"/>
              <w:left w:w="113" w:type="dxa"/>
              <w:bottom w:w="85" w:type="dxa"/>
              <w:right w:w="113" w:type="dxa"/>
            </w:tcMar>
            <w:vAlign w:val="center"/>
          </w:tcPr>
          <w:p w14:paraId="70C29F98" w14:textId="77777777" w:rsidR="0014478C" w:rsidRPr="0014478C" w:rsidRDefault="0014478C" w:rsidP="0014478C">
            <w:pPr>
              <w:pStyle w:val="CDITable-RowCentre"/>
              <w:rPr>
                <w:lang w:val="en-GB"/>
              </w:rPr>
            </w:pPr>
            <w:r w:rsidRPr="0014478C">
              <w:rPr>
                <w:lang w:val="en-GB"/>
              </w:rPr>
              <w:t>Unknown</w:t>
            </w:r>
          </w:p>
        </w:tc>
        <w:tc>
          <w:tcPr>
            <w:tcW w:w="1077" w:type="dxa"/>
            <w:tcMar>
              <w:top w:w="85" w:type="dxa"/>
              <w:left w:w="113" w:type="dxa"/>
              <w:bottom w:w="85" w:type="dxa"/>
              <w:right w:w="113" w:type="dxa"/>
            </w:tcMar>
            <w:vAlign w:val="center"/>
          </w:tcPr>
          <w:p w14:paraId="75718BC4" w14:textId="77777777" w:rsidR="0014478C" w:rsidRPr="0014478C" w:rsidRDefault="0014478C" w:rsidP="0014478C">
            <w:pPr>
              <w:pStyle w:val="CDITable-RowCentre"/>
              <w:rPr>
                <w:lang w:val="en-GB"/>
              </w:rPr>
            </w:pPr>
            <w:r w:rsidRPr="0014478C">
              <w:rPr>
                <w:lang w:val="en-GB"/>
              </w:rPr>
              <w:t>Unknown</w:t>
            </w:r>
          </w:p>
        </w:tc>
        <w:tc>
          <w:tcPr>
            <w:tcW w:w="1077" w:type="dxa"/>
            <w:tcMar>
              <w:top w:w="85" w:type="dxa"/>
              <w:left w:w="113" w:type="dxa"/>
              <w:bottom w:w="85" w:type="dxa"/>
              <w:right w:w="113" w:type="dxa"/>
            </w:tcMar>
            <w:vAlign w:val="center"/>
          </w:tcPr>
          <w:p w14:paraId="200BE0A8" w14:textId="77777777" w:rsidR="0014478C" w:rsidRPr="0014478C" w:rsidRDefault="0014478C" w:rsidP="0014478C">
            <w:pPr>
              <w:pStyle w:val="CDITable-RowCentre"/>
              <w:rPr>
                <w:lang w:val="en-GB"/>
              </w:rPr>
            </w:pPr>
            <w:r w:rsidRPr="0014478C">
              <w:rPr>
                <w:lang w:val="en-GB"/>
              </w:rPr>
              <w:t>Perianal</w:t>
            </w:r>
          </w:p>
        </w:tc>
        <w:tc>
          <w:tcPr>
            <w:tcW w:w="1077" w:type="dxa"/>
            <w:tcMar>
              <w:top w:w="85" w:type="dxa"/>
              <w:left w:w="113" w:type="dxa"/>
              <w:bottom w:w="85" w:type="dxa"/>
              <w:right w:w="113" w:type="dxa"/>
            </w:tcMar>
            <w:vAlign w:val="center"/>
          </w:tcPr>
          <w:p w14:paraId="02B649A7" w14:textId="77777777" w:rsidR="0014478C" w:rsidRPr="0014478C" w:rsidRDefault="0014478C" w:rsidP="0014478C">
            <w:pPr>
              <w:pStyle w:val="CDITable-RowCentre"/>
              <w:rPr>
                <w:lang w:val="en-GB"/>
              </w:rPr>
            </w:pPr>
            <w:r w:rsidRPr="0014478C">
              <w:rPr>
                <w:lang w:val="en-GB"/>
              </w:rPr>
              <w:t>N/A</w:t>
            </w:r>
            <w:r w:rsidRPr="0014478C">
              <w:rPr>
                <w:vertAlign w:val="superscript"/>
                <w:lang w:val="en-GB"/>
              </w:rPr>
              <w:t>a</w:t>
            </w:r>
          </w:p>
        </w:tc>
      </w:tr>
    </w:tbl>
    <w:p w14:paraId="7399E8B0" w14:textId="77777777" w:rsidR="0014478C" w:rsidRPr="0014478C" w:rsidRDefault="0014478C" w:rsidP="0014478C">
      <w:pPr>
        <w:pStyle w:val="CDITable-FirstFootnote"/>
        <w:rPr>
          <w:lang w:val="en-GB"/>
        </w:rPr>
      </w:pPr>
      <w:r w:rsidRPr="0014478C">
        <w:rPr>
          <w:lang w:val="en-GB"/>
        </w:rPr>
        <w:t>a</w:t>
      </w:r>
      <w:r w:rsidRPr="0014478C">
        <w:rPr>
          <w:lang w:val="en-GB"/>
        </w:rPr>
        <w:tab/>
        <w:t>N/A: not applicable</w:t>
      </w:r>
    </w:p>
    <w:p w14:paraId="7BEB17FE" w14:textId="42E76F73" w:rsidR="00BD58FF" w:rsidRDefault="0014478C" w:rsidP="0014478C">
      <w:pPr>
        <w:pStyle w:val="CDITable-Footnote"/>
        <w:rPr>
          <w:lang w:val="en-GB"/>
        </w:rPr>
      </w:pPr>
      <w:r w:rsidRPr="0014478C">
        <w:rPr>
          <w:lang w:val="en-GB"/>
        </w:rPr>
        <w:t>b</w:t>
      </w:r>
      <w:r w:rsidRPr="0014478C">
        <w:rPr>
          <w:lang w:val="en-GB"/>
        </w:rPr>
        <w:tab/>
        <w:t xml:space="preserve">NS: not stated. Case was vaccinated with two </w:t>
      </w:r>
      <w:proofErr w:type="gramStart"/>
      <w:r w:rsidRPr="0014478C">
        <w:rPr>
          <w:lang w:val="en-GB"/>
        </w:rPr>
        <w:t>doses, but</w:t>
      </w:r>
      <w:proofErr w:type="gramEnd"/>
      <w:r w:rsidRPr="0014478C">
        <w:rPr>
          <w:lang w:val="en-GB"/>
        </w:rPr>
        <w:t xml:space="preserve"> not recorded on the Australian Immunisation Register.</w:t>
      </w:r>
    </w:p>
    <w:p w14:paraId="76E6996C" w14:textId="77777777" w:rsidR="00BD58FF" w:rsidRDefault="00BD58FF" w:rsidP="00BE73E6">
      <w:pPr>
        <w:rPr>
          <w:lang w:val="en-GB"/>
        </w:rPr>
        <w:sectPr w:rsidR="00BD58FF" w:rsidSect="0014478C">
          <w:footnotePr>
            <w:numFmt w:val="lowerRoman"/>
          </w:footnotePr>
          <w:pgSz w:w="16840" w:h="11907" w:orient="landscape" w:code="9"/>
          <w:pgMar w:top="1134" w:right="1134" w:bottom="1134" w:left="1134" w:header="709" w:footer="567" w:gutter="0"/>
          <w:cols w:space="708"/>
          <w:docGrid w:linePitch="360"/>
        </w:sectPr>
      </w:pPr>
    </w:p>
    <w:p w14:paraId="38307DAF" w14:textId="1E48C185" w:rsidR="008A0736" w:rsidRDefault="00617935" w:rsidP="00BD58FF">
      <w:pPr>
        <w:pStyle w:val="Heading1-noline"/>
        <w:spacing w:before="0"/>
      </w:pPr>
      <w:r>
        <w:t>Public health response</w:t>
      </w:r>
    </w:p>
    <w:p w14:paraId="60414FC4" w14:textId="5A1F18DB" w:rsidR="0014478C" w:rsidRPr="0014478C" w:rsidRDefault="0014478C" w:rsidP="0014478C">
      <w:pPr>
        <w:rPr>
          <w:lang w:val="en-GB"/>
        </w:rPr>
      </w:pPr>
      <w:r w:rsidRPr="0014478C">
        <w:rPr>
          <w:lang w:val="en-GB"/>
        </w:rPr>
        <w:t>ACT Health worked closely with Meridian, Canberra's LGBTIQA+ community organisation, to develop media statements encouraging people at risk of mpox to learn more about the virus, including symptoms, risk factors, prevention strategies and the importance of getting vaccinated. Meridian, in partnership with CSHC, held a pop-up mpox vaccination clinic, with 14 individuals receiving a vaccine dose. As sex-on-premises venues (SOPVs) are high-risk settings for mpox transmission,</w:t>
      </w:r>
      <w:r w:rsidRPr="0014478C">
        <w:rPr>
          <w:vertAlign w:val="superscript"/>
          <w:lang w:val="en-GB"/>
        </w:rPr>
        <w:t>3</w:t>
      </w:r>
      <w:r w:rsidRPr="0014478C">
        <w:rPr>
          <w:lang w:val="en-GB"/>
        </w:rPr>
        <w:t xml:space="preserve"> ACT Health and Meridian staff met with ACT SOPV management to provide mpox information, discuss updated resources for patrons, and provide infection control guidance. Several cases reported contacts in New South Wales, so ACT Health </w:t>
      </w:r>
      <w:r w:rsidR="00C460ED">
        <w:rPr>
          <w:lang w:val="en-GB"/>
        </w:rPr>
        <w:t xml:space="preserve">staff </w:t>
      </w:r>
      <w:r w:rsidRPr="0014478C">
        <w:rPr>
          <w:lang w:val="en-GB"/>
        </w:rPr>
        <w:t>also liaised with their counterparts at the Southern New South Wales and Murrumbidgee Local Health Districts.</w:t>
      </w:r>
    </w:p>
    <w:p w14:paraId="4AC75B48" w14:textId="77777777" w:rsidR="006E0B0E" w:rsidRDefault="008017B6" w:rsidP="00112436">
      <w:pPr>
        <w:pStyle w:val="Heading1-noline"/>
      </w:pPr>
      <w:bookmarkStart w:id="2" w:name="_Toc201743694"/>
      <w:bookmarkStart w:id="3" w:name="_Toc195519590"/>
      <w:bookmarkStart w:id="4" w:name="_Toc195522359"/>
      <w:r>
        <w:t>Discussion</w:t>
      </w:r>
      <w:bookmarkEnd w:id="2"/>
    </w:p>
    <w:p w14:paraId="4398F277" w14:textId="77777777" w:rsidR="0014478C" w:rsidRPr="0014478C" w:rsidRDefault="0014478C" w:rsidP="0014478C">
      <w:pPr>
        <w:rPr>
          <w:lang w:val="en-GB"/>
        </w:rPr>
      </w:pPr>
      <w:r w:rsidRPr="0014478C">
        <w:rPr>
          <w:lang w:val="en-GB"/>
        </w:rPr>
        <w:t>This cluster of nine mpox cases in the ACT provides evidence supporting the possibility of presymptomatic transmission of mpox. At the time, the national guideline indicated that the mpox infectious period begins with symptom onset.</w:t>
      </w:r>
      <w:r w:rsidRPr="0014478C">
        <w:rPr>
          <w:vertAlign w:val="superscript"/>
          <w:lang w:val="en-GB"/>
        </w:rPr>
        <w:t>3</w:t>
      </w:r>
      <w:r w:rsidRPr="0014478C">
        <w:rPr>
          <w:lang w:val="en-GB"/>
        </w:rPr>
        <w:t xml:space="preserve"> However, our investigation suggests that one case likely infected several others two days before becoming ill. Presymptomatic transmission was also observed in a large contact tracing study undertaken on cases detected in the United Kingdom in 2022.</w:t>
      </w:r>
      <w:r w:rsidRPr="0014478C">
        <w:rPr>
          <w:vertAlign w:val="superscript"/>
          <w:lang w:val="en-GB"/>
        </w:rPr>
        <w:t>5</w:t>
      </w:r>
      <w:r w:rsidRPr="0014478C">
        <w:rPr>
          <w:lang w:val="en-GB"/>
        </w:rPr>
        <w:t xml:space="preserve"> A systematic review of the 2022–2023 global outbreak found that presymptomatic transmission may be an infrequent but potentially important feature of mpox transmission dynamics.</w:t>
      </w:r>
      <w:r w:rsidRPr="0014478C">
        <w:rPr>
          <w:vertAlign w:val="superscript"/>
          <w:lang w:val="en-GB"/>
        </w:rPr>
        <w:t>6</w:t>
      </w:r>
      <w:r w:rsidRPr="0014478C">
        <w:rPr>
          <w:lang w:val="en-GB"/>
        </w:rPr>
        <w:t xml:space="preserve"> This suggests that mpox transmission may not be prevented by abstaining from sexual contact during the symptomatic period alone. The updated version of the </w:t>
      </w:r>
      <w:r w:rsidRPr="0014478C">
        <w:rPr>
          <w:i/>
          <w:iCs/>
          <w:lang w:val="en-GB"/>
        </w:rPr>
        <w:t>CDNA National Guidelines for Public Health Units (Version 5.0)</w:t>
      </w:r>
      <w:r w:rsidRPr="0014478C">
        <w:rPr>
          <w:lang w:val="en-GB"/>
        </w:rPr>
        <w:t xml:space="preserve"> recommends that public health units consider tracing sexual contacts up to four days before symptom onset.</w:t>
      </w:r>
      <w:r w:rsidRPr="0014478C">
        <w:rPr>
          <w:vertAlign w:val="superscript"/>
          <w:lang w:val="en-GB"/>
        </w:rPr>
        <w:t>2</w:t>
      </w:r>
    </w:p>
    <w:p w14:paraId="5D9AA0C9" w14:textId="5C8906B3" w:rsidR="0014478C" w:rsidRPr="0014478C" w:rsidRDefault="0014478C" w:rsidP="0014478C">
      <w:pPr>
        <w:rPr>
          <w:lang w:val="en-GB"/>
        </w:rPr>
      </w:pPr>
      <w:r w:rsidRPr="0014478C">
        <w:rPr>
          <w:lang w:val="en-GB"/>
        </w:rPr>
        <w:t>In this cluster, more than half of the cases had breakthrough infection occurring more than 18</w:t>
      </w:r>
      <w:r>
        <w:rPr>
          <w:lang w:val="en-GB"/>
        </w:rPr>
        <w:t> </w:t>
      </w:r>
      <w:r w:rsidRPr="0014478C">
        <w:rPr>
          <w:lang w:val="en-GB"/>
        </w:rPr>
        <w:t>months after receipt of two mpox vaccine doses. No cases were hospitalised, and data on illness duration was not collected. However, none of the five vaccinated cases reported extragenital lesions, and only one case each among the five vaccinated cases reported fever or lymphadenopathy. These observations align with findings from a much larger concurrent outbreak in New South Wales, in which fully vaccinated people had a substantially reduced risk of hospitalisation, extragenital lesions and systemic symptoms compared with unvaccinated people.</w:t>
      </w:r>
      <w:r w:rsidRPr="0014478C">
        <w:rPr>
          <w:vertAlign w:val="superscript"/>
          <w:lang w:val="en-GB"/>
        </w:rPr>
        <w:t>7</w:t>
      </w:r>
      <w:r w:rsidRPr="0014478C">
        <w:rPr>
          <w:lang w:val="en-GB"/>
        </w:rPr>
        <w:t xml:space="preserve"> Evidence of onward transmission from a fully vaccinated individual in this ACT cluster suggests that, while vaccination may reduce disease severity, other prevention measures for individuals</w:t>
      </w:r>
      <w:r w:rsidRPr="0014478C">
        <w:rPr>
          <w:vertAlign w:val="superscript"/>
          <w:lang w:val="en-GB"/>
        </w:rPr>
        <w:t>8</w:t>
      </w:r>
      <w:r w:rsidRPr="0014478C">
        <w:rPr>
          <w:lang w:val="en-GB"/>
        </w:rPr>
        <w:t xml:space="preserve"> and SOPVs</w:t>
      </w:r>
      <w:r w:rsidRPr="0014478C">
        <w:rPr>
          <w:vertAlign w:val="superscript"/>
          <w:lang w:val="en-GB"/>
        </w:rPr>
        <w:t>9</w:t>
      </w:r>
      <w:r w:rsidRPr="0014478C">
        <w:rPr>
          <w:lang w:val="en-GB"/>
        </w:rPr>
        <w:t xml:space="preserve"> remain important for control of mpox. </w:t>
      </w:r>
    </w:p>
    <w:p w14:paraId="10172BE5" w14:textId="77777777" w:rsidR="0014478C" w:rsidRPr="0014478C" w:rsidRDefault="0014478C" w:rsidP="0014478C">
      <w:pPr>
        <w:rPr>
          <w:lang w:val="en-GB"/>
        </w:rPr>
      </w:pPr>
      <w:r w:rsidRPr="0014478C">
        <w:rPr>
          <w:lang w:val="en-GB"/>
        </w:rPr>
        <w:t xml:space="preserve">While media engagement and a vaccination clinic held 10 days after detection of the cluster may have assisted in limiting the cluster, contact tracing efforts were hampered by the substantial proportion of anonymous partners. Public health units may find it useful to provide cases with tailored communications to send to contacts through dating apps. The primary case in this cluster reported numerous sexual contacts. This feature of GBMSM sexual contact networks—in which a small proportion of individuals has a disproportionately high number of contacts—may lead to a rapid initial spike in a </w:t>
      </w:r>
      <w:proofErr w:type="gramStart"/>
      <w:r w:rsidRPr="0014478C">
        <w:rPr>
          <w:lang w:val="en-GB"/>
        </w:rPr>
        <w:t>cluster, but</w:t>
      </w:r>
      <w:proofErr w:type="gramEnd"/>
      <w:r w:rsidRPr="0014478C">
        <w:rPr>
          <w:lang w:val="en-GB"/>
        </w:rPr>
        <w:t xml:space="preserve"> may also help to limit its extent once these individuals develop some immunity from infection.</w:t>
      </w:r>
      <w:r w:rsidRPr="0014478C">
        <w:rPr>
          <w:vertAlign w:val="superscript"/>
          <w:lang w:val="en-GB"/>
        </w:rPr>
        <w:t>10</w:t>
      </w:r>
      <w:r w:rsidRPr="0014478C">
        <w:rPr>
          <w:lang w:val="en-GB"/>
        </w:rPr>
        <w:t xml:space="preserve"> </w:t>
      </w:r>
    </w:p>
    <w:p w14:paraId="42F975CA" w14:textId="77777777" w:rsidR="00F216F0" w:rsidRDefault="00F216F0" w:rsidP="00112436">
      <w:pPr>
        <w:pStyle w:val="Heading1-noline"/>
      </w:pPr>
      <w:bookmarkStart w:id="5" w:name="_Toc195530510"/>
      <w:bookmarkStart w:id="6" w:name="_Toc201743696"/>
      <w:bookmarkStart w:id="7" w:name="_Toc195530508"/>
      <w:bookmarkEnd w:id="3"/>
      <w:bookmarkEnd w:id="4"/>
      <w:r>
        <w:t>Acknowledgments</w:t>
      </w:r>
      <w:bookmarkEnd w:id="5"/>
      <w:bookmarkEnd w:id="6"/>
    </w:p>
    <w:p w14:paraId="5960EBD2" w14:textId="77777777" w:rsidR="0014478C" w:rsidRPr="0014478C" w:rsidRDefault="0014478C" w:rsidP="0014478C">
      <w:pPr>
        <w:rPr>
          <w:lang w:val="en-GB"/>
        </w:rPr>
      </w:pPr>
      <w:r w:rsidRPr="0014478C">
        <w:rPr>
          <w:lang w:val="en-GB"/>
        </w:rPr>
        <w:t>We wish to thank the staff at the Canberra Sexual Health Centre, as well as the members of the ACT Health mpox cluster Incident Management Team.</w:t>
      </w:r>
    </w:p>
    <w:p w14:paraId="6AB4921A" w14:textId="77777777" w:rsidR="008A0736" w:rsidRDefault="008A0736" w:rsidP="00112436">
      <w:pPr>
        <w:pStyle w:val="Heading1-noline"/>
      </w:pPr>
      <w:bookmarkStart w:id="8" w:name="_Toc201743697"/>
      <w:r>
        <w:t>Author details</w:t>
      </w:r>
      <w:bookmarkEnd w:id="7"/>
      <w:bookmarkEnd w:id="8"/>
    </w:p>
    <w:p w14:paraId="503FEA0C" w14:textId="6612E9F6" w:rsidR="00617935" w:rsidRPr="00617935" w:rsidRDefault="00617935" w:rsidP="00617935">
      <w:pPr>
        <w:rPr>
          <w:lang w:val="en-GB"/>
        </w:rPr>
      </w:pPr>
      <w:r w:rsidRPr="00617935">
        <w:rPr>
          <w:lang w:val="en-GB"/>
        </w:rPr>
        <w:t>Alexandra Marmor,</w:t>
      </w:r>
      <w:r w:rsidRPr="00617935">
        <w:rPr>
          <w:vertAlign w:val="superscript"/>
          <w:lang w:val="en-GB"/>
        </w:rPr>
        <w:t>1</w:t>
      </w:r>
    </w:p>
    <w:p w14:paraId="3F029E88" w14:textId="77777777" w:rsidR="00617935" w:rsidRPr="00617935" w:rsidRDefault="00617935" w:rsidP="00617935">
      <w:pPr>
        <w:pStyle w:val="Normal-lessspace"/>
      </w:pPr>
      <w:r w:rsidRPr="00617935">
        <w:t>Rachael Crane,</w:t>
      </w:r>
      <w:r w:rsidRPr="00617935">
        <w:rPr>
          <w:vertAlign w:val="superscript"/>
        </w:rPr>
        <w:t>1</w:t>
      </w:r>
    </w:p>
    <w:p w14:paraId="6288AEE1" w14:textId="77777777" w:rsidR="00617935" w:rsidRPr="00617935" w:rsidRDefault="00617935" w:rsidP="00617935">
      <w:pPr>
        <w:pStyle w:val="Normal-lessspace"/>
      </w:pPr>
      <w:r w:rsidRPr="00617935">
        <w:t>Felicity Greenville,</w:t>
      </w:r>
      <w:r w:rsidRPr="00617935">
        <w:rPr>
          <w:vertAlign w:val="superscript"/>
        </w:rPr>
        <w:t>1</w:t>
      </w:r>
    </w:p>
    <w:p w14:paraId="30A9E806" w14:textId="54F76C31" w:rsidR="00617935" w:rsidRPr="00617935" w:rsidRDefault="00617935" w:rsidP="00617935">
      <w:pPr>
        <w:pStyle w:val="Normal-lessspace"/>
      </w:pPr>
      <w:r w:rsidRPr="00617935">
        <w:t>Julia Smythe,</w:t>
      </w:r>
      <w:r w:rsidRPr="00617935">
        <w:rPr>
          <w:vertAlign w:val="superscript"/>
        </w:rPr>
        <w:t>1</w:t>
      </w:r>
    </w:p>
    <w:p w14:paraId="0136F272" w14:textId="7EA682DE" w:rsidR="00617935" w:rsidRPr="00617935" w:rsidRDefault="00617935" w:rsidP="00617935">
      <w:pPr>
        <w:pStyle w:val="Normal-lessspace"/>
      </w:pPr>
      <w:r w:rsidRPr="00617935">
        <w:t>Cynthia Mathew,</w:t>
      </w:r>
      <w:r w:rsidRPr="00617935">
        <w:rPr>
          <w:vertAlign w:val="superscript"/>
        </w:rPr>
        <w:t>1</w:t>
      </w:r>
    </w:p>
    <w:p w14:paraId="33FF9EBC" w14:textId="32FE8338" w:rsidR="00617935" w:rsidRPr="00617935" w:rsidRDefault="00617935" w:rsidP="00617935">
      <w:pPr>
        <w:pStyle w:val="Normal-lessspace"/>
      </w:pPr>
      <w:r w:rsidRPr="00617935">
        <w:t>Timothy Sloan-Gardner,</w:t>
      </w:r>
      <w:r w:rsidRPr="00617935">
        <w:rPr>
          <w:vertAlign w:val="superscript"/>
        </w:rPr>
        <w:t>1</w:t>
      </w:r>
    </w:p>
    <w:p w14:paraId="7079694A" w14:textId="77777777" w:rsidR="00617935" w:rsidRPr="00617935" w:rsidRDefault="00617935" w:rsidP="00617935">
      <w:pPr>
        <w:pStyle w:val="Normal-lessspace"/>
      </w:pPr>
      <w:r w:rsidRPr="00617935">
        <w:t>Joshua Anlezark</w:t>
      </w:r>
      <w:r w:rsidRPr="00617935">
        <w:rPr>
          <w:vertAlign w:val="superscript"/>
        </w:rPr>
        <w:t>2</w:t>
      </w:r>
    </w:p>
    <w:p w14:paraId="7CC91CCD" w14:textId="77777777" w:rsidR="00617935" w:rsidRPr="00617935" w:rsidRDefault="00617935" w:rsidP="00BD58FF">
      <w:pPr>
        <w:pStyle w:val="CDINumberedList1L1"/>
        <w:ind w:left="397" w:hanging="397"/>
        <w:rPr>
          <w:lang w:val="en-GB"/>
        </w:rPr>
      </w:pPr>
      <w:r w:rsidRPr="00617935">
        <w:rPr>
          <w:lang w:val="en-GB"/>
        </w:rPr>
        <w:t>Health and Community Services Directorate, Canberra, Australia</w:t>
      </w:r>
    </w:p>
    <w:p w14:paraId="4A62CFB2" w14:textId="77777777" w:rsidR="00617935" w:rsidRPr="00617935" w:rsidRDefault="00617935" w:rsidP="00BD58FF">
      <w:pPr>
        <w:pStyle w:val="CDINumberedList1L1"/>
        <w:ind w:left="397" w:hanging="397"/>
        <w:rPr>
          <w:lang w:val="en-GB"/>
        </w:rPr>
      </w:pPr>
      <w:r w:rsidRPr="00617935">
        <w:rPr>
          <w:lang w:val="en-GB"/>
        </w:rPr>
        <w:t>Meridian, Canberra, Australia</w:t>
      </w:r>
    </w:p>
    <w:p w14:paraId="78110263" w14:textId="77777777" w:rsidR="00423436" w:rsidRDefault="00423436" w:rsidP="00423436">
      <w:pPr>
        <w:pStyle w:val="CDICorrespondingauthor"/>
      </w:pPr>
      <w:r>
        <w:t>Corresponding author</w:t>
      </w:r>
    </w:p>
    <w:p w14:paraId="71E55BC5" w14:textId="77777777" w:rsidR="00617935" w:rsidRPr="00617935" w:rsidRDefault="00617935" w:rsidP="00617935">
      <w:pPr>
        <w:rPr>
          <w:lang w:val="en-GB"/>
        </w:rPr>
      </w:pPr>
      <w:r w:rsidRPr="00617935">
        <w:rPr>
          <w:lang w:val="en-GB"/>
        </w:rPr>
        <w:t>Ms Alexandra Marmor</w:t>
      </w:r>
    </w:p>
    <w:p w14:paraId="06FE93F3" w14:textId="77777777" w:rsidR="00617935" w:rsidRPr="00617935" w:rsidRDefault="00617935" w:rsidP="0014478C">
      <w:pPr>
        <w:pStyle w:val="Normal-lessspace"/>
      </w:pPr>
      <w:r w:rsidRPr="00617935">
        <w:t>Preparedness, Planning and Surveillance; Population Health; Health and Community Services Directorate; Australian Capital Territory Government</w:t>
      </w:r>
    </w:p>
    <w:p w14:paraId="6F7E7CA9" w14:textId="77777777" w:rsidR="00617935" w:rsidRPr="00617935" w:rsidRDefault="00617935" w:rsidP="0014478C">
      <w:pPr>
        <w:pStyle w:val="Normal-lessspace"/>
      </w:pPr>
      <w:r w:rsidRPr="00617935">
        <w:t>phone: +61 2 5124 9210</w:t>
      </w:r>
    </w:p>
    <w:p w14:paraId="15C7D890" w14:textId="2E09DA7C" w:rsidR="00617935" w:rsidRDefault="00617935" w:rsidP="0014478C">
      <w:pPr>
        <w:pStyle w:val="Normal-lessspace"/>
      </w:pPr>
      <w:r w:rsidRPr="00617935">
        <w:t xml:space="preserve">email: </w:t>
      </w:r>
      <w:hyperlink r:id="rId15" w:history="1">
        <w:r w:rsidRPr="00617935">
          <w:rPr>
            <w:rStyle w:val="Hyperlink"/>
          </w:rPr>
          <w:t>Alexandra.Marmor@act.gov.au</w:t>
        </w:r>
      </w:hyperlink>
      <w:r>
        <w:br w:type="page"/>
      </w:r>
    </w:p>
    <w:p w14:paraId="66DCDDF8" w14:textId="77777777" w:rsidR="008A0736" w:rsidRDefault="008A0736" w:rsidP="00112436">
      <w:pPr>
        <w:pStyle w:val="Heading1-noline"/>
      </w:pPr>
      <w:bookmarkStart w:id="9" w:name="_Toc195530511"/>
      <w:bookmarkStart w:id="10" w:name="_Toc201743698"/>
      <w:r>
        <w:t>References</w:t>
      </w:r>
      <w:bookmarkEnd w:id="9"/>
      <w:bookmarkEnd w:id="10"/>
    </w:p>
    <w:p w14:paraId="7B6D75C1" w14:textId="2AC77981" w:rsidR="00617935" w:rsidRDefault="00617935" w:rsidP="00BD58FF">
      <w:pPr>
        <w:pStyle w:val="CDINumberedList1L1"/>
        <w:numPr>
          <w:ilvl w:val="0"/>
          <w:numId w:val="10"/>
        </w:numPr>
        <w:ind w:left="397" w:hanging="397"/>
      </w:pPr>
      <w:r>
        <w:t xml:space="preserve">Australian Government Department of </w:t>
      </w:r>
      <w:r w:rsidRPr="00617935">
        <w:t>Health</w:t>
      </w:r>
      <w:r>
        <w:t xml:space="preserve">, Disability and Ageing; Australian Centre for Disease Control. Mpox. [Webpage.] Canberra: Australian Centre for Disease Control; 16 October 2025. [Accessed on 3 December 2025.] Available from: </w:t>
      </w:r>
      <w:hyperlink r:id="rId16" w:history="1">
        <w:r>
          <w:rPr>
            <w:rStyle w:val="Hyperlink"/>
          </w:rPr>
          <w:t>https://www.cdc.gov.au/topics/mpox</w:t>
        </w:r>
      </w:hyperlink>
      <w:r>
        <w:t xml:space="preserve">. </w:t>
      </w:r>
    </w:p>
    <w:p w14:paraId="314B5E8E" w14:textId="77777777" w:rsidR="00617935" w:rsidRDefault="00617935" w:rsidP="00BD58FF">
      <w:pPr>
        <w:pStyle w:val="CDINumberedList1L1"/>
        <w:ind w:left="397" w:hanging="397"/>
      </w:pPr>
      <w:r>
        <w:t xml:space="preserve">Australian Government Department of Health, Disability and Ageing, Communicable Diseases Network Australia (CDNA). </w:t>
      </w:r>
      <w:r w:rsidRPr="00617935">
        <w:rPr>
          <w:i/>
          <w:iCs/>
        </w:rPr>
        <w:t>Monkeypox Virus Infection CDNA National Guidelines for Public Health Units Version 5.0</w:t>
      </w:r>
      <w:r>
        <w:t xml:space="preserve">. Canberra: Australian Centre for Disease Control; 16 December 2025. Available from: </w:t>
      </w:r>
      <w:hyperlink r:id="rId17" w:history="1">
        <w:r>
          <w:rPr>
            <w:rStyle w:val="Hyperlink"/>
          </w:rPr>
          <w:t>https://www.cdc.gov.au/sites/default/files/2025-12/mpox-cdna-national-guidelines-for-public-health-units_2.pdf</w:t>
        </w:r>
      </w:hyperlink>
      <w:r>
        <w:t xml:space="preserve">. </w:t>
      </w:r>
    </w:p>
    <w:p w14:paraId="337747BA" w14:textId="77777777" w:rsidR="00617935" w:rsidRDefault="00617935" w:rsidP="00BD58FF">
      <w:pPr>
        <w:pStyle w:val="CDINumberedList1L1"/>
        <w:ind w:left="397" w:hanging="397"/>
      </w:pPr>
      <w:r>
        <w:t xml:space="preserve">Australian Government Department of Health, Disability and Ageing, CDNA. </w:t>
      </w:r>
      <w:r w:rsidRPr="00617935">
        <w:rPr>
          <w:i/>
          <w:iCs/>
        </w:rPr>
        <w:t>Monkeypox Virus Infection CDNA National Guidelines for Public Health Units Version 3.0</w:t>
      </w:r>
      <w:r>
        <w:t xml:space="preserve">. Canberra: Australian Government Department of Health, Disability and Ageing; 20 December 2022. [Accessed on 29 August 2024.] Available from: </w:t>
      </w:r>
      <w:hyperlink r:id="rId18" w:history="1">
        <w:r>
          <w:rPr>
            <w:rStyle w:val="Hyperlink"/>
          </w:rPr>
          <w:t>https://www.health.gov.au/sites/default/files/2022-12/monkeypox-virus-infection-cdna-national-guidelines-for-public-health-units.pdf</w:t>
        </w:r>
      </w:hyperlink>
      <w:r>
        <w:t xml:space="preserve">. </w:t>
      </w:r>
    </w:p>
    <w:p w14:paraId="020771C2" w14:textId="5BA2E476" w:rsidR="00617935" w:rsidRDefault="00617935" w:rsidP="00BD58FF">
      <w:pPr>
        <w:pStyle w:val="CDINumberedList1L1"/>
        <w:ind w:left="397" w:hanging="397"/>
      </w:pPr>
      <w:r>
        <w:t xml:space="preserve">Harris PA, Taylor R, Thielke R, Payne J, Gonzalez N, Conde JG. Research electronic data capture (REDCap)—a metadata-driven methodology and workflow process for providing translational research informatics support. </w:t>
      </w:r>
      <w:r w:rsidRPr="00617935">
        <w:rPr>
          <w:i/>
          <w:iCs/>
        </w:rPr>
        <w:t>J Biomed Inform</w:t>
      </w:r>
      <w:r>
        <w:t>. 2009;42(2):377–81. doi: </w:t>
      </w:r>
      <w:hyperlink r:id="rId19" w:history="1">
        <w:r>
          <w:rPr>
            <w:rStyle w:val="Hyperlink"/>
          </w:rPr>
          <w:t>https://doi.org/10.1016/j.jbi.2008.08.010</w:t>
        </w:r>
      </w:hyperlink>
      <w:r>
        <w:t>.</w:t>
      </w:r>
    </w:p>
    <w:p w14:paraId="72A3C204" w14:textId="51E4382E" w:rsidR="00617935" w:rsidRDefault="00617935" w:rsidP="00BD58FF">
      <w:pPr>
        <w:pStyle w:val="CDINumberedList1L1"/>
        <w:ind w:left="397" w:hanging="397"/>
      </w:pPr>
      <w:r>
        <w:t xml:space="preserve">Ward T, Christie R, Paton RS, Cumming F, Overton CE. Transmission dynamics of monkeypox in the United Kingdom: contact tracing study. BMJ. </w:t>
      </w:r>
      <w:proofErr w:type="gramStart"/>
      <w:r>
        <w:t>2022;2:379</w:t>
      </w:r>
      <w:proofErr w:type="gramEnd"/>
      <w:r>
        <w:t>:e073153. doi: </w:t>
      </w:r>
      <w:hyperlink r:id="rId20" w:history="1">
        <w:r>
          <w:rPr>
            <w:rStyle w:val="Hyperlink"/>
          </w:rPr>
          <w:t>https://doi.org/10.1136/bmj-2022-073153</w:t>
        </w:r>
      </w:hyperlink>
      <w:r>
        <w:t>.</w:t>
      </w:r>
    </w:p>
    <w:p w14:paraId="0F57098C" w14:textId="7154AD88" w:rsidR="00617935" w:rsidRDefault="00617935" w:rsidP="00BD58FF">
      <w:pPr>
        <w:pStyle w:val="CDINumberedList1L1"/>
        <w:ind w:left="397" w:hanging="397"/>
      </w:pPr>
      <w:r>
        <w:t xml:space="preserve">Diaz Brochero C, </w:t>
      </w:r>
      <w:proofErr w:type="spellStart"/>
      <w:r>
        <w:t>Nocua</w:t>
      </w:r>
      <w:proofErr w:type="spellEnd"/>
      <w:r>
        <w:t xml:space="preserve">-Báez LC, Cortes JA, </w:t>
      </w:r>
      <w:proofErr w:type="spellStart"/>
      <w:r>
        <w:t>Charniga</w:t>
      </w:r>
      <w:proofErr w:type="spellEnd"/>
      <w:r>
        <w:t xml:space="preserve"> K, Buitrago-Lopez A, </w:t>
      </w:r>
      <w:proofErr w:type="spellStart"/>
      <w:r>
        <w:t>Cucunubá</w:t>
      </w:r>
      <w:proofErr w:type="spellEnd"/>
      <w:r>
        <w:t xml:space="preserve"> ZM. Decoding mpox: a systematic review and meta-analysis of the transmission and severity parameters of the 2022–2023 global outbreak. </w:t>
      </w:r>
      <w:r w:rsidRPr="00617935">
        <w:rPr>
          <w:i/>
          <w:iCs/>
        </w:rPr>
        <w:t>BMJ Global Health</w:t>
      </w:r>
      <w:r>
        <w:t>. 2025;10(1</w:t>
      </w:r>
      <w:proofErr w:type="gramStart"/>
      <w:r>
        <w:t>):e</w:t>
      </w:r>
      <w:proofErr w:type="gramEnd"/>
      <w:r>
        <w:t>016906. doi: </w:t>
      </w:r>
      <w:hyperlink r:id="rId21" w:history="1">
        <w:r>
          <w:rPr>
            <w:rStyle w:val="Hyperlink"/>
          </w:rPr>
          <w:t>https://doi.org/10.1136/bmjgh-2024-016906</w:t>
        </w:r>
      </w:hyperlink>
      <w:r>
        <w:t>.</w:t>
      </w:r>
    </w:p>
    <w:p w14:paraId="1915EE3E" w14:textId="783EF9B3" w:rsidR="00617935" w:rsidRDefault="00617935" w:rsidP="00BD58FF">
      <w:pPr>
        <w:pStyle w:val="CDINumberedList1L1"/>
        <w:ind w:left="397" w:hanging="397"/>
      </w:pPr>
      <w:r>
        <w:t xml:space="preserve">Latham NH, Pett J, Katelaris AL, Templeton DJ, Donnan EJ, Amin J et al. Clinical features of mpox in fully vaccinated people in New South Wales, Australia: an outbreak investigation and retrospective cohort study. </w:t>
      </w:r>
      <w:r w:rsidRPr="00617935">
        <w:rPr>
          <w:i/>
          <w:iCs/>
        </w:rPr>
        <w:t>Lancet Prim Care</w:t>
      </w:r>
      <w:r>
        <w:t>. 2025;1(3):100018. doi: </w:t>
      </w:r>
      <w:hyperlink r:id="rId22" w:history="1">
        <w:r>
          <w:rPr>
            <w:rStyle w:val="Hyperlink"/>
          </w:rPr>
          <w:t>https://doi.org/10.1016/j.lanprc.2025.100018</w:t>
        </w:r>
      </w:hyperlink>
      <w:r>
        <w:t xml:space="preserve">. </w:t>
      </w:r>
    </w:p>
    <w:p w14:paraId="796184B4" w14:textId="77777777" w:rsidR="00617935" w:rsidRDefault="00617935" w:rsidP="00BD58FF">
      <w:pPr>
        <w:pStyle w:val="CDINumberedList1L1"/>
        <w:ind w:left="397" w:hanging="397"/>
      </w:pPr>
      <w:r>
        <w:t xml:space="preserve">Meridian. Mpox. [Webpage.] Canberra: Meridian; 2024. Available from: </w:t>
      </w:r>
      <w:hyperlink r:id="rId23" w:history="1">
        <w:r>
          <w:rPr>
            <w:rStyle w:val="Hyperlink"/>
          </w:rPr>
          <w:t>https://www.meridianact.org.au/mpox</w:t>
        </w:r>
      </w:hyperlink>
      <w:r>
        <w:t>.</w:t>
      </w:r>
    </w:p>
    <w:p w14:paraId="2D2CF8D5" w14:textId="77777777" w:rsidR="00617935" w:rsidRDefault="00617935" w:rsidP="00BD58FF">
      <w:pPr>
        <w:pStyle w:val="CDINumberedList1L1"/>
        <w:ind w:left="397" w:hanging="397"/>
      </w:pPr>
      <w:r>
        <w:t xml:space="preserve">Health Equity Matters, ASHM. Monkeypox and sex-on-premises-venues. [Policy paper.] Sydney: Health Equity Matters, ASHM; 21 October 2022. Available from: </w:t>
      </w:r>
      <w:hyperlink r:id="rId24" w:history="1">
        <w:r>
          <w:rPr>
            <w:rStyle w:val="Hyperlink"/>
          </w:rPr>
          <w:t>https://www.healthequitymatters.org.au/policy/policy-papers/monkeypox-and-sex-on-premises-venues</w:t>
        </w:r>
      </w:hyperlink>
      <w:r>
        <w:t xml:space="preserve">. </w:t>
      </w:r>
    </w:p>
    <w:p w14:paraId="4ECB69DA" w14:textId="2F77B304" w:rsidR="00CC05A5" w:rsidRPr="00B652E8" w:rsidRDefault="00617935" w:rsidP="00BD58FF">
      <w:pPr>
        <w:pStyle w:val="CDINumberedList1L1"/>
        <w:ind w:left="397" w:hanging="397"/>
      </w:pPr>
      <w:r>
        <w:t xml:space="preserve">Murayama H, Pearson CA, Abbott S, Miura F, Jung SM, Fearon E et al. Accumulation of immunity in heavy-tailed sexual contact networks shapes mpox outbreak sizes. </w:t>
      </w:r>
      <w:r w:rsidRPr="00617935">
        <w:rPr>
          <w:i/>
          <w:iCs/>
        </w:rPr>
        <w:t>J Infect Dis</w:t>
      </w:r>
      <w:r>
        <w:t xml:space="preserve">. 2024;229(1):59–63. doi: </w:t>
      </w:r>
      <w:hyperlink r:id="rId25" w:history="1">
        <w:r>
          <w:rPr>
            <w:rStyle w:val="Hyperlink"/>
          </w:rPr>
          <w:t>https://doi.org/10.1093/infdis/jiad254</w:t>
        </w:r>
      </w:hyperlink>
      <w:r>
        <w:t>.</w:t>
      </w:r>
      <w:r w:rsidR="00CC05A5" w:rsidRPr="00B652E8">
        <w:br w:type="page"/>
      </w:r>
    </w:p>
    <w:p w14:paraId="6CA8C2AF" w14:textId="77777777" w:rsidR="00CC05A5" w:rsidRPr="0089025E" w:rsidRDefault="00CC05A5" w:rsidP="00CC05A5">
      <w:pPr>
        <w:pStyle w:val="CDICopyright"/>
      </w:pPr>
      <w:bookmarkStart w:id="11" w:name="_Hlk185172676"/>
      <w:r w:rsidRPr="0089025E">
        <w:t xml:space="preserve">© </w:t>
      </w:r>
      <w:fldSimple w:instr=" DOCPROPERTY  Year  \* MERGEFORMAT ">
        <w:r w:rsidR="00AE1880">
          <w:t>2026</w:t>
        </w:r>
      </w:fldSimple>
      <w:r w:rsidRPr="0089025E">
        <w:t xml:space="preserve"> Commonwealth of Australia as represented by the </w:t>
      </w:r>
      <w:r w:rsidR="00B071B0">
        <w:t>Australian Centre for Disease Control</w:t>
      </w:r>
    </w:p>
    <w:p w14:paraId="2141A265" w14:textId="77777777" w:rsidR="00CC05A5" w:rsidRPr="0089025E" w:rsidRDefault="00CC05A5" w:rsidP="00CC05A5">
      <w:pPr>
        <w:pStyle w:val="CDICopyright"/>
      </w:pPr>
      <w:r w:rsidRPr="0089025E">
        <w:t>ISSN: 2209-6051 Online</w:t>
      </w:r>
    </w:p>
    <w:p w14:paraId="6DFFC90A" w14:textId="77777777" w:rsidR="00CC05A5" w:rsidRDefault="00CC05A5" w:rsidP="00CC05A5">
      <w:pPr>
        <w:pStyle w:val="CDICopyright"/>
      </w:pPr>
      <w:r w:rsidRPr="0089025E">
        <w:t>This journal is indexed by Index Medicus and Medline.</w:t>
      </w:r>
    </w:p>
    <w:p w14:paraId="08D0885C" w14:textId="77777777" w:rsidR="00CC05A5" w:rsidRPr="007F2B27" w:rsidRDefault="00CC05A5" w:rsidP="00CC05A5">
      <w:pPr>
        <w:pStyle w:val="CDICopyrightHeading"/>
      </w:pPr>
      <w:r w:rsidRPr="007F2B27">
        <w:t>Creative Commons Licence</w:t>
      </w:r>
    </w:p>
    <w:p w14:paraId="430BF17C" w14:textId="77777777" w:rsidR="00CC05A5" w:rsidRPr="0089025E" w:rsidRDefault="00CC05A5" w:rsidP="00CC05A5">
      <w:pPr>
        <w:pStyle w:val="CDICopyright"/>
      </w:pPr>
      <w:r w:rsidRPr="0089025E">
        <w:t xml:space="preserve">This publication is licensed under a Creative Commons </w:t>
      </w:r>
      <w:hyperlink r:id="rId26" w:history="1">
        <w:r w:rsidRPr="0022524E">
          <w:rPr>
            <w:rStyle w:val="Hyperlink"/>
          </w:rPr>
          <w:t>Attribution-NonCommercial-NoDerivatives 4.0 International Licence</w:t>
        </w:r>
      </w:hyperlink>
      <w:r w:rsidRPr="0089025E">
        <w:t xml:space="preserve"> (Licence). You</w:t>
      </w:r>
      <w:r>
        <w:t xml:space="preserve"> </w:t>
      </w:r>
      <w:r w:rsidRPr="0089025E">
        <w:t>must read and understand the Licence before using any material from this publication.</w:t>
      </w:r>
    </w:p>
    <w:bookmarkEnd w:id="11"/>
    <w:p w14:paraId="3C3C0780" w14:textId="77777777" w:rsidR="00CC05A5" w:rsidRPr="007F2B27" w:rsidRDefault="00CC05A5" w:rsidP="00CC05A5">
      <w:pPr>
        <w:pStyle w:val="CDICopyrightHeading"/>
      </w:pPr>
      <w:r w:rsidRPr="007F2B27">
        <w:t>Restrictions</w:t>
      </w:r>
    </w:p>
    <w:p w14:paraId="65F89117" w14:textId="77777777" w:rsidR="00CC05A5" w:rsidRPr="0089025E" w:rsidRDefault="00CC05A5" w:rsidP="00CC05A5">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0BE30629" w14:textId="77777777" w:rsidR="00CC05A5" w:rsidRPr="00E9313B" w:rsidRDefault="00CC05A5" w:rsidP="00CC05A5">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B071B0">
        <w:t>)</w:t>
      </w:r>
      <w:r w:rsidRPr="00E9313B">
        <w:t>;</w:t>
      </w:r>
    </w:p>
    <w:p w14:paraId="1F700E77" w14:textId="77777777" w:rsidR="00CC05A5" w:rsidRPr="003C23C9" w:rsidRDefault="00CC05A5" w:rsidP="00CC05A5">
      <w:pPr>
        <w:pStyle w:val="CDICopyrightBullets"/>
      </w:pPr>
      <w:r w:rsidRPr="0022524E">
        <w:t>any logos (including the Australian Centre for Disease Control’s logo) and trademarks</w:t>
      </w:r>
      <w:r w:rsidRPr="003C23C9">
        <w:t>;</w:t>
      </w:r>
    </w:p>
    <w:p w14:paraId="28E7AE38" w14:textId="77777777" w:rsidR="00CC05A5" w:rsidRPr="00E9313B" w:rsidRDefault="00CC05A5" w:rsidP="00CC05A5">
      <w:pPr>
        <w:pStyle w:val="CDICopyrightBullets"/>
      </w:pPr>
      <w:r w:rsidRPr="00E9313B">
        <w:t xml:space="preserve">any photographs and images; </w:t>
      </w:r>
    </w:p>
    <w:p w14:paraId="5B135CA7" w14:textId="77777777" w:rsidR="00CC05A5" w:rsidRPr="00E9313B" w:rsidRDefault="00CC05A5" w:rsidP="00CC05A5">
      <w:pPr>
        <w:pStyle w:val="CDICopyrightBullets"/>
      </w:pPr>
      <w:r w:rsidRPr="00E9313B">
        <w:t>any signatures; and</w:t>
      </w:r>
    </w:p>
    <w:p w14:paraId="10D6695C" w14:textId="77777777" w:rsidR="00CC05A5" w:rsidRPr="003C23C9" w:rsidRDefault="00CC05A5" w:rsidP="00CC05A5">
      <w:pPr>
        <w:pStyle w:val="CDICopyrightBullets"/>
      </w:pPr>
      <w:r w:rsidRPr="00E9313B">
        <w:t>any</w:t>
      </w:r>
      <w:r w:rsidRPr="003C23C9">
        <w:t xml:space="preserve"> material belonging to third parties.</w:t>
      </w:r>
    </w:p>
    <w:p w14:paraId="0C94971D" w14:textId="77777777" w:rsidR="00CC05A5" w:rsidRPr="00CC3648" w:rsidRDefault="00CC05A5" w:rsidP="00CC05A5">
      <w:pPr>
        <w:pStyle w:val="CDICopyrightHeading"/>
      </w:pPr>
      <w:r w:rsidRPr="00CC3648">
        <w:t>Disclaimer</w:t>
      </w:r>
    </w:p>
    <w:p w14:paraId="3B75D8DA" w14:textId="77777777" w:rsidR="00CC05A5" w:rsidRPr="0089025E" w:rsidRDefault="00CC05A5" w:rsidP="00CC05A5">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Pr="0022524E">
        <w:t>the Australian Government</w:t>
      </w:r>
      <w:r w:rsidR="00B071B0">
        <w:t xml:space="preserve"> or </w:t>
      </w:r>
      <w:r w:rsidRPr="0022524E">
        <w:t>the Australian Centre for Disease Control</w:t>
      </w:r>
      <w:r w:rsidRPr="0089025E">
        <w:t>. Data may be subject to revision.</w:t>
      </w:r>
    </w:p>
    <w:p w14:paraId="330CE835" w14:textId="77777777" w:rsidR="00CC05A5" w:rsidRPr="007F2B27" w:rsidRDefault="00CC05A5" w:rsidP="00CC05A5">
      <w:pPr>
        <w:pStyle w:val="CDICopyrightHeading"/>
      </w:pPr>
      <w:r w:rsidRPr="007F2B27">
        <w:t>Enquiries</w:t>
      </w:r>
    </w:p>
    <w:p w14:paraId="1134F7E6" w14:textId="77777777" w:rsidR="00CC05A5" w:rsidRPr="00863F8D" w:rsidRDefault="00CC05A5" w:rsidP="00CC05A5">
      <w:pPr>
        <w:pStyle w:val="CDICopyright"/>
      </w:pPr>
      <w:r w:rsidRPr="00863F8D">
        <w:t xml:space="preserve">Enquiries </w:t>
      </w:r>
      <w:r w:rsidRPr="00B52457">
        <w:t>regarding</w:t>
      </w:r>
      <w:r w:rsidRPr="00863F8D">
        <w:t xml:space="preserve"> any other use of this publication should be addressed to the </w:t>
      </w:r>
      <w:hyperlink r:id="rId27" w:history="1">
        <w:r w:rsidRPr="00E9313B">
          <w:rPr>
            <w:rStyle w:val="Hyperlink"/>
          </w:rPr>
          <w:t>CDI Editor</w:t>
        </w:r>
      </w:hyperlink>
      <w:r>
        <w:t>.</w:t>
      </w:r>
    </w:p>
    <w:p w14:paraId="3816E056" w14:textId="77777777" w:rsidR="00CC05A5" w:rsidRPr="00A65DFA" w:rsidRDefault="00CC05A5" w:rsidP="00CC05A5">
      <w:pPr>
        <w:pStyle w:val="CDIAbout"/>
      </w:pPr>
      <w:bookmarkStart w:id="12" w:name="_Toc190257376"/>
      <w:r>
        <w:t xml:space="preserve">About </w:t>
      </w:r>
      <w:bookmarkEnd w:id="12"/>
      <w:r>
        <w:t>CDI</w:t>
      </w:r>
    </w:p>
    <w:p w14:paraId="60A91C68" w14:textId="77777777" w:rsidR="00CC05A5" w:rsidRDefault="00CC05A5" w:rsidP="00CC05A5">
      <w:pPr>
        <w:pStyle w:val="CDIAbouttextLess"/>
      </w:pPr>
      <w:r w:rsidRPr="009572C6">
        <w:rPr>
          <w:i/>
          <w:iCs/>
        </w:rPr>
        <w:t xml:space="preserve">Communicable Diseases Intelligence </w:t>
      </w:r>
      <w:r w:rsidRPr="009572C6">
        <w:t>(CDI) is a peer-reviewed scientific journal published by the Australian Centre for Disease Control.</w:t>
      </w:r>
    </w:p>
    <w:p w14:paraId="52B3A177" w14:textId="77777777" w:rsidR="00CC05A5" w:rsidRDefault="00CC05A5" w:rsidP="00B071B0">
      <w:pPr>
        <w:pStyle w:val="CDIAbouttextLess"/>
        <w:spacing w:before="120"/>
      </w:pPr>
      <w:r w:rsidRPr="009572C6">
        <w:t>The journal aims to disseminate information on the epidemiology, surveillance, prevention and control of communicable diseases of relevance to Australia and the near region.</w:t>
      </w:r>
    </w:p>
    <w:p w14:paraId="50462A58" w14:textId="77777777" w:rsidR="00CC05A5" w:rsidRPr="00D8087F" w:rsidRDefault="00CC05A5" w:rsidP="00CC05A5">
      <w:pPr>
        <w:pStyle w:val="CDIAbouttext"/>
      </w:pPr>
      <w:r w:rsidRPr="00D8087F">
        <w:rPr>
          <w:b/>
          <w:bCs/>
        </w:rPr>
        <w:t>Editor</w:t>
      </w:r>
      <w:r w:rsidRPr="00D8087F">
        <w:t xml:space="preserve">: </w:t>
      </w:r>
      <w:r w:rsidR="00D066C6">
        <w:t xml:space="preserve">Dr </w:t>
      </w:r>
      <w:r w:rsidR="00934A24">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ED36330" w14:textId="77777777" w:rsidR="00CC05A5" w:rsidRPr="00D8087F" w:rsidRDefault="00CC05A5" w:rsidP="00CC05A5">
      <w:pPr>
        <w:pStyle w:val="CDIAbouttext"/>
      </w:pPr>
      <w:hyperlink r:id="rId28" w:history="1">
        <w:r w:rsidRPr="00C97898">
          <w:rPr>
            <w:rStyle w:val="Hyperlink"/>
            <w:b/>
            <w:bCs/>
          </w:rPr>
          <w:t>Editorial Advisory Board</w:t>
        </w:r>
      </w:hyperlink>
      <w:r w:rsidRPr="00D8087F">
        <w:t>: David Durrheim, Mark Ferson, Clare Huppatz, John Kaldor, Martyn Kirk and Meru Sheel</w:t>
      </w:r>
    </w:p>
    <w:p w14:paraId="7E90ED85" w14:textId="77777777" w:rsidR="00CC05A5" w:rsidRPr="00B87589" w:rsidRDefault="00CC05A5" w:rsidP="00CC05A5">
      <w:pPr>
        <w:pStyle w:val="CDIAbouttext"/>
        <w:rPr>
          <w:b/>
          <w:bCs/>
        </w:rPr>
      </w:pPr>
      <w:r w:rsidRPr="00B87589">
        <w:rPr>
          <w:b/>
          <w:bCs/>
        </w:rPr>
        <w:t xml:space="preserve">Submit an </w:t>
      </w:r>
      <w:proofErr w:type="gramStart"/>
      <w:r w:rsidRPr="00B87589">
        <w:rPr>
          <w:b/>
          <w:bCs/>
        </w:rPr>
        <w:t>Article</w:t>
      </w:r>
      <w:proofErr w:type="gramEnd"/>
    </w:p>
    <w:p w14:paraId="18F4F34A" w14:textId="77777777" w:rsidR="00CC05A5" w:rsidRPr="0089025E" w:rsidRDefault="00CC05A5" w:rsidP="00CC05A5">
      <w:pPr>
        <w:pStyle w:val="CDIAbouttextLess"/>
      </w:pPr>
      <w:hyperlink r:id="rId29" w:history="1">
        <w:r w:rsidRPr="009572C6">
          <w:rPr>
            <w:rStyle w:val="Hyperlink"/>
          </w:rPr>
          <w:t>Guidelines for authors</w:t>
        </w:r>
      </w:hyperlink>
      <w:r w:rsidRPr="009572C6">
        <w:t xml:space="preserve"> and details on how to submit your publication is available on our website, or by email to the</w:t>
      </w:r>
      <w:r>
        <w:br/>
      </w:r>
      <w:hyperlink r:id="rId30" w:history="1">
        <w:r w:rsidRPr="00E9313B">
          <w:rPr>
            <w:rStyle w:val="Hyperlink"/>
          </w:rPr>
          <w:t>CDI Editor</w:t>
        </w:r>
      </w:hyperlink>
      <w:r>
        <w:t>.</w:t>
      </w:r>
    </w:p>
    <w:p w14:paraId="08262DFC" w14:textId="77777777" w:rsidR="00CC05A5" w:rsidRPr="00B87589" w:rsidRDefault="00CC05A5" w:rsidP="00CC05A5">
      <w:pPr>
        <w:pStyle w:val="CDIAbouttext"/>
        <w:rPr>
          <w:b/>
          <w:bCs/>
        </w:rPr>
      </w:pPr>
      <w:r w:rsidRPr="00B87589">
        <w:rPr>
          <w:b/>
          <w:bCs/>
        </w:rPr>
        <w:t>Contact us</w:t>
      </w:r>
    </w:p>
    <w:p w14:paraId="3BBED6B1" w14:textId="77777777" w:rsidR="00CC05A5" w:rsidRPr="00087CC4" w:rsidRDefault="00CC05A5" w:rsidP="00CC05A5">
      <w:pPr>
        <w:pStyle w:val="CDIAbouttextLess"/>
      </w:pPr>
      <w:r w:rsidRPr="009572C6">
        <w:t>Communicable Diseases Intelligence</w:t>
      </w:r>
      <w:r w:rsidRPr="00087CC4">
        <w:t xml:space="preserve"> (CDI)</w:t>
      </w:r>
    </w:p>
    <w:p w14:paraId="233F1C58" w14:textId="77777777" w:rsidR="00CC05A5" w:rsidRPr="00087CC4" w:rsidRDefault="00CC05A5" w:rsidP="00CC05A5">
      <w:pPr>
        <w:pStyle w:val="CDIAbouttextLess"/>
      </w:pPr>
      <w:r>
        <w:t>Australian Centre for Disease Control</w:t>
      </w:r>
    </w:p>
    <w:p w14:paraId="472F1FDB" w14:textId="77777777" w:rsidR="00CC05A5" w:rsidRPr="0089025E" w:rsidRDefault="00CC05A5" w:rsidP="00CC05A5">
      <w:pPr>
        <w:pStyle w:val="CDIAbouttextLess"/>
      </w:pPr>
      <w:r w:rsidRPr="00087CC4">
        <w:t xml:space="preserve">GPO Box </w:t>
      </w:r>
      <w:r w:rsidR="003814F5">
        <w:t>79</w:t>
      </w:r>
      <w:r w:rsidRPr="00087CC4">
        <w:t>8, CANBERRA</w:t>
      </w:r>
      <w:r w:rsidRPr="0089025E">
        <w:t xml:space="preserve"> ACT 2601</w:t>
      </w:r>
    </w:p>
    <w:p w14:paraId="75E5DDC3" w14:textId="77777777" w:rsidR="00CC05A5" w:rsidRDefault="00CC05A5" w:rsidP="00CC05A5">
      <w:pPr>
        <w:pStyle w:val="CDIAbouttextLess"/>
      </w:pPr>
      <w:r w:rsidRPr="0089025E">
        <w:t xml:space="preserve">Website: </w:t>
      </w:r>
      <w:hyperlink r:id="rId31" w:history="1">
        <w:r>
          <w:rPr>
            <w:rStyle w:val="Hyperlink"/>
          </w:rPr>
          <w:t>cdc.gov.au/cdi</w:t>
        </w:r>
      </w:hyperlink>
    </w:p>
    <w:p w14:paraId="0E796D71" w14:textId="77777777" w:rsidR="00CC05A5" w:rsidRPr="00CA2A15" w:rsidRDefault="00CC05A5" w:rsidP="00CC05A5">
      <w:pPr>
        <w:pStyle w:val="CDIAbouttextLess"/>
      </w:pPr>
      <w:r w:rsidRPr="0089025E">
        <w:t xml:space="preserve">Email: </w:t>
      </w:r>
      <w:hyperlink r:id="rId32" w:history="1">
        <w:r w:rsidR="00C20A97">
          <w:rPr>
            <w:rStyle w:val="Hyperlink"/>
          </w:rPr>
          <w:t>cdi.editor@cdc.gov.au</w:t>
        </w:r>
      </w:hyperlink>
    </w:p>
    <w:sectPr w:rsidR="00CC05A5" w:rsidRPr="00CA2A15" w:rsidSect="00BD58FF">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72D2" w14:textId="77777777" w:rsidR="005E4004" w:rsidRDefault="005E4004" w:rsidP="00E54DBA">
      <w:r>
        <w:separator/>
      </w:r>
    </w:p>
    <w:p w14:paraId="2E40A2A7" w14:textId="77777777" w:rsidR="005E4004" w:rsidRDefault="005E4004"/>
    <w:p w14:paraId="00ACBBA3" w14:textId="77777777" w:rsidR="005E4004" w:rsidRDefault="005E4004" w:rsidP="008714B0"/>
  </w:endnote>
  <w:endnote w:type="continuationSeparator" w:id="0">
    <w:p w14:paraId="0A432B4F" w14:textId="77777777" w:rsidR="005E4004" w:rsidRDefault="005E4004" w:rsidP="00E54DBA">
      <w:r>
        <w:continuationSeparator/>
      </w:r>
    </w:p>
    <w:p w14:paraId="4DE12EB8" w14:textId="77777777" w:rsidR="005E4004" w:rsidRDefault="005E4004"/>
    <w:p w14:paraId="52CA2B73" w14:textId="77777777" w:rsidR="005E4004" w:rsidRDefault="005E400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7684" w14:textId="77777777" w:rsidR="00B87589" w:rsidRDefault="00256B63">
    <w:r>
      <w:rPr>
        <w:noProof/>
        <w14:ligatures w14:val="none"/>
      </w:rPr>
      <mc:AlternateContent>
        <mc:Choice Requires="wps">
          <w:drawing>
            <wp:anchor distT="0" distB="0" distL="0" distR="0" simplePos="0" relativeHeight="251662336" behindDoc="0" locked="0" layoutInCell="1" allowOverlap="1" wp14:anchorId="0DFE1C8F" wp14:editId="3E18AB42">
              <wp:simplePos x="635" y="635"/>
              <wp:positionH relativeFrom="page">
                <wp:align>center</wp:align>
              </wp:positionH>
              <wp:positionV relativeFrom="page">
                <wp:align>bottom</wp:align>
              </wp:positionV>
              <wp:extent cx="551815" cy="518795"/>
              <wp:effectExtent l="0" t="0" r="635" b="0"/>
              <wp:wrapNone/>
              <wp:docPr id="3212740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36CC60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E1C8F"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536CC608"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2D8F" w14:textId="0589A811"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AE1880">
        <w:t>2026</w:t>
      </w:r>
    </w:fldSimple>
    <w:r w:rsidR="009B78A9">
      <w:t>;</w:t>
    </w:r>
    <w:fldSimple w:instr=" DOCPROPERTY  Vol  \* MERGEFORMAT ">
      <w:r w:rsidR="00AE1880">
        <w:t>50</w:t>
      </w:r>
    </w:fldSimple>
    <w:r w:rsidR="00385655" w:rsidRPr="001D0612">
      <w:t xml:space="preserve"> </w:t>
    </w:r>
    <w:r w:rsidR="00385655" w:rsidRPr="00B85B74">
      <w:t>•</w:t>
    </w:r>
    <w:r w:rsidR="00385655">
      <w:t xml:space="preserve"> </w:t>
    </w:r>
    <w:fldSimple w:instr=" DOCPROPERTY  DOI  \* MERGEFORMAT ">
      <w:r w:rsidR="00617935">
        <w:t>doi.org/10.33321/cdi.2026.50.041</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617935">
        <w:t>16.06.2026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F21E8" w14:textId="77777777" w:rsidR="005E4004" w:rsidRPr="00B91FB5" w:rsidRDefault="005E4004" w:rsidP="00B91FB5">
      <w:pPr>
        <w:spacing w:line="240" w:lineRule="auto"/>
        <w:rPr>
          <w:sz w:val="18"/>
          <w:szCs w:val="18"/>
        </w:rPr>
      </w:pPr>
      <w:r w:rsidRPr="00B91FB5">
        <w:rPr>
          <w:sz w:val="18"/>
          <w:szCs w:val="18"/>
        </w:rPr>
        <w:separator/>
      </w:r>
    </w:p>
  </w:footnote>
  <w:footnote w:type="continuationSeparator" w:id="0">
    <w:p w14:paraId="6A0A37DA" w14:textId="77777777" w:rsidR="005E4004" w:rsidRDefault="005E4004" w:rsidP="00E54DBA">
      <w:r>
        <w:continuationSeparator/>
      </w:r>
    </w:p>
  </w:footnote>
  <w:footnote w:type="continuationNotice" w:id="1">
    <w:p w14:paraId="14908CF1" w14:textId="77777777" w:rsidR="005E4004" w:rsidRPr="00224EFF" w:rsidRDefault="005E4004"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AFFF" w14:textId="77777777" w:rsidR="00B87589" w:rsidRDefault="00256B63">
    <w:pPr>
      <w:pStyle w:val="Header"/>
    </w:pPr>
    <w:r>
      <w:rPr>
        <w:noProof/>
        <w14:ligatures w14:val="none"/>
      </w:rPr>
      <mc:AlternateContent>
        <mc:Choice Requires="wps">
          <w:drawing>
            <wp:anchor distT="0" distB="0" distL="0" distR="0" simplePos="0" relativeHeight="251659264" behindDoc="0" locked="0" layoutInCell="1" allowOverlap="1" wp14:anchorId="7BB08985" wp14:editId="1F055488">
              <wp:simplePos x="635" y="635"/>
              <wp:positionH relativeFrom="page">
                <wp:align>center</wp:align>
              </wp:positionH>
              <wp:positionV relativeFrom="page">
                <wp:align>top</wp:align>
              </wp:positionV>
              <wp:extent cx="551815" cy="518795"/>
              <wp:effectExtent l="0" t="0" r="635" b="14605"/>
              <wp:wrapNone/>
              <wp:docPr id="9290362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47AC81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B08985"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247AC816" w14:textId="77777777" w:rsidR="00256B63" w:rsidRPr="00256B63" w:rsidRDefault="00256B63" w:rsidP="00256B63">
                    <w:pPr>
                      <w:rPr>
                        <w:rFonts w:ascii="Calibri" w:eastAsia="Calibri" w:hAnsi="Calibri" w:cs="Calibri"/>
                        <w:noProof/>
                        <w:color w:val="FF0000"/>
                        <w:sz w:val="24"/>
                        <w:szCs w:val="24"/>
                      </w:rPr>
                    </w:pPr>
                    <w:r w:rsidRPr="00256B63">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48E4B608"/>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53847403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80"/>
    <w:rsid w:val="00000B5B"/>
    <w:rsid w:val="00001611"/>
    <w:rsid w:val="00002B8D"/>
    <w:rsid w:val="000073ED"/>
    <w:rsid w:val="0001020A"/>
    <w:rsid w:val="000104A8"/>
    <w:rsid w:val="0001246E"/>
    <w:rsid w:val="000124B1"/>
    <w:rsid w:val="00013B65"/>
    <w:rsid w:val="000147ED"/>
    <w:rsid w:val="00014B0F"/>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B6D"/>
    <w:rsid w:val="00110B7D"/>
    <w:rsid w:val="00112436"/>
    <w:rsid w:val="00112E44"/>
    <w:rsid w:val="00113D58"/>
    <w:rsid w:val="001176D5"/>
    <w:rsid w:val="001200CB"/>
    <w:rsid w:val="00122ADA"/>
    <w:rsid w:val="00126546"/>
    <w:rsid w:val="0013546A"/>
    <w:rsid w:val="001371D9"/>
    <w:rsid w:val="001378A3"/>
    <w:rsid w:val="00137C98"/>
    <w:rsid w:val="00142578"/>
    <w:rsid w:val="0014478C"/>
    <w:rsid w:val="00144F10"/>
    <w:rsid w:val="00146435"/>
    <w:rsid w:val="00153D94"/>
    <w:rsid w:val="00154C4B"/>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4D8C"/>
    <w:rsid w:val="001B552F"/>
    <w:rsid w:val="001C0893"/>
    <w:rsid w:val="001C1303"/>
    <w:rsid w:val="001C1BD1"/>
    <w:rsid w:val="001C2B4B"/>
    <w:rsid w:val="001C2C3A"/>
    <w:rsid w:val="001C5BB1"/>
    <w:rsid w:val="001C5F09"/>
    <w:rsid w:val="001C6866"/>
    <w:rsid w:val="001C70B2"/>
    <w:rsid w:val="001C7CE1"/>
    <w:rsid w:val="001D0612"/>
    <w:rsid w:val="001D37C7"/>
    <w:rsid w:val="001D5B20"/>
    <w:rsid w:val="001D6888"/>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018F"/>
    <w:rsid w:val="00242659"/>
    <w:rsid w:val="002428F7"/>
    <w:rsid w:val="00242A9E"/>
    <w:rsid w:val="0024315F"/>
    <w:rsid w:val="00245439"/>
    <w:rsid w:val="0024631C"/>
    <w:rsid w:val="00252C9A"/>
    <w:rsid w:val="00254E56"/>
    <w:rsid w:val="00256309"/>
    <w:rsid w:val="00256B63"/>
    <w:rsid w:val="00257484"/>
    <w:rsid w:val="00260636"/>
    <w:rsid w:val="00262EA6"/>
    <w:rsid w:val="002644A8"/>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6E55"/>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3D0"/>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526D8"/>
    <w:rsid w:val="003601C0"/>
    <w:rsid w:val="00360B3A"/>
    <w:rsid w:val="003635F5"/>
    <w:rsid w:val="00371080"/>
    <w:rsid w:val="0037146D"/>
    <w:rsid w:val="00372A88"/>
    <w:rsid w:val="00373D51"/>
    <w:rsid w:val="00374F80"/>
    <w:rsid w:val="003814F5"/>
    <w:rsid w:val="00381A0F"/>
    <w:rsid w:val="00381E8E"/>
    <w:rsid w:val="00385655"/>
    <w:rsid w:val="003858B4"/>
    <w:rsid w:val="00390F66"/>
    <w:rsid w:val="00392D07"/>
    <w:rsid w:val="00393B4D"/>
    <w:rsid w:val="003A1B3A"/>
    <w:rsid w:val="003A25A3"/>
    <w:rsid w:val="003A40F5"/>
    <w:rsid w:val="003A5BF3"/>
    <w:rsid w:val="003B3487"/>
    <w:rsid w:val="003B42D5"/>
    <w:rsid w:val="003B5B8C"/>
    <w:rsid w:val="003B7ADD"/>
    <w:rsid w:val="003C02BF"/>
    <w:rsid w:val="003C2299"/>
    <w:rsid w:val="003C23C9"/>
    <w:rsid w:val="003C554E"/>
    <w:rsid w:val="003C5E16"/>
    <w:rsid w:val="003C7841"/>
    <w:rsid w:val="003D0190"/>
    <w:rsid w:val="003D15AE"/>
    <w:rsid w:val="003D18AF"/>
    <w:rsid w:val="003D2AE3"/>
    <w:rsid w:val="003D3CAC"/>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C26"/>
    <w:rsid w:val="00492014"/>
    <w:rsid w:val="004973B4"/>
    <w:rsid w:val="004A19B8"/>
    <w:rsid w:val="004A2125"/>
    <w:rsid w:val="004A38F6"/>
    <w:rsid w:val="004B0C95"/>
    <w:rsid w:val="004B0E96"/>
    <w:rsid w:val="004B1266"/>
    <w:rsid w:val="004B4EB6"/>
    <w:rsid w:val="004B4F34"/>
    <w:rsid w:val="004C04D3"/>
    <w:rsid w:val="004C083C"/>
    <w:rsid w:val="004C3BDE"/>
    <w:rsid w:val="004C62AA"/>
    <w:rsid w:val="004C67C6"/>
    <w:rsid w:val="004D1D6A"/>
    <w:rsid w:val="004D29DE"/>
    <w:rsid w:val="004E1094"/>
    <w:rsid w:val="004E2E81"/>
    <w:rsid w:val="004F5434"/>
    <w:rsid w:val="00505184"/>
    <w:rsid w:val="0050662A"/>
    <w:rsid w:val="00510EAC"/>
    <w:rsid w:val="005138AF"/>
    <w:rsid w:val="005226F2"/>
    <w:rsid w:val="00526875"/>
    <w:rsid w:val="0052708C"/>
    <w:rsid w:val="00532189"/>
    <w:rsid w:val="00532FB6"/>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004"/>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17935"/>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362A"/>
    <w:rsid w:val="00663EA5"/>
    <w:rsid w:val="00666D94"/>
    <w:rsid w:val="00676161"/>
    <w:rsid w:val="006763A3"/>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512"/>
    <w:rsid w:val="006C5B50"/>
    <w:rsid w:val="006C74A3"/>
    <w:rsid w:val="006C76D0"/>
    <w:rsid w:val="006C7D54"/>
    <w:rsid w:val="006D1381"/>
    <w:rsid w:val="006D31BC"/>
    <w:rsid w:val="006D424A"/>
    <w:rsid w:val="006D4979"/>
    <w:rsid w:val="006D508B"/>
    <w:rsid w:val="006D6625"/>
    <w:rsid w:val="006E0B0E"/>
    <w:rsid w:val="006E0EA6"/>
    <w:rsid w:val="006E222D"/>
    <w:rsid w:val="006E7943"/>
    <w:rsid w:val="006E7AC3"/>
    <w:rsid w:val="006F24EA"/>
    <w:rsid w:val="006F5FEC"/>
    <w:rsid w:val="00700338"/>
    <w:rsid w:val="0070113C"/>
    <w:rsid w:val="00702D05"/>
    <w:rsid w:val="00703009"/>
    <w:rsid w:val="00704CA9"/>
    <w:rsid w:val="0071048D"/>
    <w:rsid w:val="00710F86"/>
    <w:rsid w:val="007111A8"/>
    <w:rsid w:val="00714CD2"/>
    <w:rsid w:val="00723B5F"/>
    <w:rsid w:val="00725C33"/>
    <w:rsid w:val="00726C6A"/>
    <w:rsid w:val="00731BC3"/>
    <w:rsid w:val="00731FF7"/>
    <w:rsid w:val="00733216"/>
    <w:rsid w:val="00734159"/>
    <w:rsid w:val="007360B8"/>
    <w:rsid w:val="007401FD"/>
    <w:rsid w:val="00741192"/>
    <w:rsid w:val="00742FA3"/>
    <w:rsid w:val="007430BF"/>
    <w:rsid w:val="00743A33"/>
    <w:rsid w:val="00743DF3"/>
    <w:rsid w:val="00745AE2"/>
    <w:rsid w:val="00746080"/>
    <w:rsid w:val="0075144A"/>
    <w:rsid w:val="0075709F"/>
    <w:rsid w:val="00760A97"/>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50D54"/>
    <w:rsid w:val="00852E2B"/>
    <w:rsid w:val="00854079"/>
    <w:rsid w:val="00856FF3"/>
    <w:rsid w:val="0086228F"/>
    <w:rsid w:val="00862C50"/>
    <w:rsid w:val="00863F8D"/>
    <w:rsid w:val="008673F6"/>
    <w:rsid w:val="00867976"/>
    <w:rsid w:val="008714B0"/>
    <w:rsid w:val="00872A7F"/>
    <w:rsid w:val="0087374B"/>
    <w:rsid w:val="00876331"/>
    <w:rsid w:val="00877B90"/>
    <w:rsid w:val="00880726"/>
    <w:rsid w:val="00884312"/>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4A24"/>
    <w:rsid w:val="00935DC9"/>
    <w:rsid w:val="00937B01"/>
    <w:rsid w:val="00937F3C"/>
    <w:rsid w:val="009446C0"/>
    <w:rsid w:val="00947BAF"/>
    <w:rsid w:val="00947D0A"/>
    <w:rsid w:val="00951883"/>
    <w:rsid w:val="009527E3"/>
    <w:rsid w:val="009533E1"/>
    <w:rsid w:val="0095410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91B09"/>
    <w:rsid w:val="0099319C"/>
    <w:rsid w:val="00993CB2"/>
    <w:rsid w:val="0099796D"/>
    <w:rsid w:val="009A0251"/>
    <w:rsid w:val="009A218B"/>
    <w:rsid w:val="009A5166"/>
    <w:rsid w:val="009A76F8"/>
    <w:rsid w:val="009B2B11"/>
    <w:rsid w:val="009B2B83"/>
    <w:rsid w:val="009B720F"/>
    <w:rsid w:val="009B78A9"/>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212"/>
    <w:rsid w:val="00A955B2"/>
    <w:rsid w:val="00A95A81"/>
    <w:rsid w:val="00AA075C"/>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1880"/>
    <w:rsid w:val="00AE3DCF"/>
    <w:rsid w:val="00AE4452"/>
    <w:rsid w:val="00AE6604"/>
    <w:rsid w:val="00AE7C38"/>
    <w:rsid w:val="00AF1538"/>
    <w:rsid w:val="00AF2679"/>
    <w:rsid w:val="00AF2814"/>
    <w:rsid w:val="00AF5008"/>
    <w:rsid w:val="00AF6920"/>
    <w:rsid w:val="00B01F99"/>
    <w:rsid w:val="00B02B37"/>
    <w:rsid w:val="00B05276"/>
    <w:rsid w:val="00B05373"/>
    <w:rsid w:val="00B0666B"/>
    <w:rsid w:val="00B071B0"/>
    <w:rsid w:val="00B07528"/>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652E8"/>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6F53"/>
    <w:rsid w:val="00BC086C"/>
    <w:rsid w:val="00BC0BD3"/>
    <w:rsid w:val="00BC4B9A"/>
    <w:rsid w:val="00BC4EAA"/>
    <w:rsid w:val="00BC5BA6"/>
    <w:rsid w:val="00BD0107"/>
    <w:rsid w:val="00BD2220"/>
    <w:rsid w:val="00BD4DBE"/>
    <w:rsid w:val="00BD58FF"/>
    <w:rsid w:val="00BE0C33"/>
    <w:rsid w:val="00BE0FE9"/>
    <w:rsid w:val="00BE262C"/>
    <w:rsid w:val="00BE4C25"/>
    <w:rsid w:val="00BE6C3D"/>
    <w:rsid w:val="00BE73E6"/>
    <w:rsid w:val="00BF42FE"/>
    <w:rsid w:val="00C02B29"/>
    <w:rsid w:val="00C06389"/>
    <w:rsid w:val="00C06DA4"/>
    <w:rsid w:val="00C07606"/>
    <w:rsid w:val="00C12542"/>
    <w:rsid w:val="00C130EE"/>
    <w:rsid w:val="00C20A97"/>
    <w:rsid w:val="00C24725"/>
    <w:rsid w:val="00C30BA9"/>
    <w:rsid w:val="00C32396"/>
    <w:rsid w:val="00C32715"/>
    <w:rsid w:val="00C3541E"/>
    <w:rsid w:val="00C36A8F"/>
    <w:rsid w:val="00C401C8"/>
    <w:rsid w:val="00C42834"/>
    <w:rsid w:val="00C42FFA"/>
    <w:rsid w:val="00C43021"/>
    <w:rsid w:val="00C460ED"/>
    <w:rsid w:val="00C47780"/>
    <w:rsid w:val="00C47C8C"/>
    <w:rsid w:val="00C47CC2"/>
    <w:rsid w:val="00C507D8"/>
    <w:rsid w:val="00C51F5A"/>
    <w:rsid w:val="00C526D3"/>
    <w:rsid w:val="00C57018"/>
    <w:rsid w:val="00C62EAC"/>
    <w:rsid w:val="00C63319"/>
    <w:rsid w:val="00C63F9F"/>
    <w:rsid w:val="00C6558E"/>
    <w:rsid w:val="00C66F97"/>
    <w:rsid w:val="00C735E0"/>
    <w:rsid w:val="00C7723C"/>
    <w:rsid w:val="00C81439"/>
    <w:rsid w:val="00C82027"/>
    <w:rsid w:val="00C838F5"/>
    <w:rsid w:val="00C841C0"/>
    <w:rsid w:val="00C91F37"/>
    <w:rsid w:val="00C94309"/>
    <w:rsid w:val="00C97898"/>
    <w:rsid w:val="00CA07E5"/>
    <w:rsid w:val="00CA1AF4"/>
    <w:rsid w:val="00CA2A15"/>
    <w:rsid w:val="00CA4725"/>
    <w:rsid w:val="00CA6068"/>
    <w:rsid w:val="00CA757A"/>
    <w:rsid w:val="00CB15E1"/>
    <w:rsid w:val="00CB3460"/>
    <w:rsid w:val="00CB3D46"/>
    <w:rsid w:val="00CB3D75"/>
    <w:rsid w:val="00CC05A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066C6"/>
    <w:rsid w:val="00D11736"/>
    <w:rsid w:val="00D12D8A"/>
    <w:rsid w:val="00D13E0C"/>
    <w:rsid w:val="00D20FB5"/>
    <w:rsid w:val="00D22CC8"/>
    <w:rsid w:val="00D25896"/>
    <w:rsid w:val="00D26EE6"/>
    <w:rsid w:val="00D32A59"/>
    <w:rsid w:val="00D33918"/>
    <w:rsid w:val="00D34AAF"/>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7E8"/>
    <w:rsid w:val="00D63E60"/>
    <w:rsid w:val="00D6407A"/>
    <w:rsid w:val="00D64A19"/>
    <w:rsid w:val="00D7189B"/>
    <w:rsid w:val="00D7327C"/>
    <w:rsid w:val="00D74140"/>
    <w:rsid w:val="00D74EC3"/>
    <w:rsid w:val="00D80045"/>
    <w:rsid w:val="00D8087F"/>
    <w:rsid w:val="00D842AC"/>
    <w:rsid w:val="00D84FBE"/>
    <w:rsid w:val="00D9122D"/>
    <w:rsid w:val="00D93AD4"/>
    <w:rsid w:val="00DA2E9E"/>
    <w:rsid w:val="00DA6E56"/>
    <w:rsid w:val="00DA78DD"/>
    <w:rsid w:val="00DB0DF2"/>
    <w:rsid w:val="00DB1C65"/>
    <w:rsid w:val="00DB4A67"/>
    <w:rsid w:val="00DB5461"/>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714F6"/>
    <w:rsid w:val="00E80F90"/>
    <w:rsid w:val="00E81FDE"/>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EF56E8"/>
    <w:rsid w:val="00F051E5"/>
    <w:rsid w:val="00F0647F"/>
    <w:rsid w:val="00F07EB7"/>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B03068"/>
  <w15:docId w15:val="{DB75201E-6AE4-4988-9BB6-D4AB2EA79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8C"/>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112436"/>
    <w:pPr>
      <w:keepNext/>
      <w:autoSpaceDE w:val="0"/>
      <w:autoSpaceDN w:val="0"/>
      <w:adjustRightInd w:val="0"/>
      <w:spacing w:before="360" w:line="240" w:lineRule="auto"/>
      <w:textAlignment w:val="center"/>
      <w:outlineLvl w:val="1"/>
    </w:pPr>
    <w:rPr>
      <w:rFonts w:asciiTheme="majorHAnsi" w:hAnsiTheme="majorHAnsi" w:cs="MyriadPro-Bold"/>
      <w:b/>
      <w:bCs/>
      <w:sz w:val="32"/>
      <w:szCs w:val="28"/>
    </w:rPr>
  </w:style>
  <w:style w:type="paragraph" w:styleId="Heading3">
    <w:name w:val="heading 3"/>
    <w:basedOn w:val="Normal"/>
    <w:next w:val="Normal"/>
    <w:link w:val="Heading3Char"/>
    <w:uiPriority w:val="9"/>
    <w:unhideWhenUsed/>
    <w:qFormat/>
    <w:rsid w:val="00112436"/>
    <w:pPr>
      <w:keepNext/>
      <w:keepLines/>
      <w:autoSpaceDE w:val="0"/>
      <w:autoSpaceDN w:val="0"/>
      <w:adjustRightInd w:val="0"/>
      <w:spacing w:before="360" w:line="240" w:lineRule="auto"/>
      <w:textAlignment w:val="center"/>
      <w:outlineLvl w:val="2"/>
    </w:pPr>
    <w:rPr>
      <w:rFonts w:asciiTheme="majorHAnsi" w:hAnsiTheme="majorHAnsi" w:cs="MyriadPro-Regular"/>
      <w:bCs/>
      <w:sz w:val="28"/>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112436"/>
    <w:rPr>
      <w:rFonts w:asciiTheme="majorHAnsi" w:hAnsiTheme="majorHAnsi" w:cs="MyriadPro-Bold"/>
      <w:b/>
      <w:bCs/>
      <w:sz w:val="32"/>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112436"/>
    <w:pPr>
      <w:spacing w:before="400"/>
    </w:pPr>
    <w:rPr>
      <w:rFonts w:asciiTheme="majorHAnsi" w:hAnsiTheme="majorHAnsi" w:cs="Arial"/>
      <w:b/>
      <w:bCs/>
      <w:sz w:val="52"/>
      <w:szCs w:val="54"/>
    </w:rPr>
  </w:style>
  <w:style w:type="character" w:customStyle="1" w:styleId="TitleChar">
    <w:name w:val="Title Char"/>
    <w:basedOn w:val="DefaultParagraphFont"/>
    <w:link w:val="Title"/>
    <w:uiPriority w:val="10"/>
    <w:rsid w:val="00112436"/>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112436"/>
    <w:rPr>
      <w:rFonts w:asciiTheme="majorHAnsi" w:hAnsiTheme="majorHAnsi" w:cs="MyriadPro-Regular"/>
      <w:bCs/>
      <w:sz w:val="28"/>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05373"/>
    <w:pPr>
      <w:spacing w:before="240"/>
    </w:pPr>
    <w:rPr>
      <w:rFonts w:asciiTheme="majorHAnsi" w:hAnsiTheme="majorHAnsi"/>
      <w:sz w:val="28"/>
    </w:rPr>
  </w:style>
  <w:style w:type="character" w:customStyle="1" w:styleId="SubtitleChar">
    <w:name w:val="Subtitle Char"/>
    <w:basedOn w:val="DefaultParagraphFont"/>
    <w:link w:val="Subtitle"/>
    <w:uiPriority w:val="11"/>
    <w:rsid w:val="00B0537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256B63"/>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6B63"/>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24018F"/>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24018F"/>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B652E8"/>
    <w:pPr>
      <w:spacing w:before="1920"/>
    </w:pPr>
    <w:rPr>
      <w:rFonts w:ascii="Arial" w:hAnsi="Arial"/>
      <w:noProof/>
      <w:sz w:val="20"/>
      <w14:ligatures w14:val="none"/>
    </w:rPr>
  </w:style>
  <w:style w:type="paragraph" w:customStyle="1" w:styleId="CDIFigure-Placeholder">
    <w:name w:val="CDI Figure - Placeholder"/>
    <w:basedOn w:val="Normal"/>
    <w:rsid w:val="006763A3"/>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256B63"/>
    <w:pPr>
      <w:spacing w:before="360"/>
    </w:pPr>
  </w:style>
  <w:style w:type="paragraph" w:customStyle="1" w:styleId="CDITable-HeaderRowLeft">
    <w:name w:val="CDI Table - Header Row Left"/>
    <w:basedOn w:val="CDITable-Title"/>
    <w:rsid w:val="006763A3"/>
    <w:pPr>
      <w:spacing w:beforeAutospacing="1" w:afterAutospacing="1" w:line="240" w:lineRule="auto"/>
    </w:pPr>
    <w:rPr>
      <w:color w:val="FFFFFF" w:themeColor="background1"/>
      <w:sz w:val="18"/>
    </w:rPr>
  </w:style>
  <w:style w:type="paragraph" w:customStyle="1" w:styleId="CDITable-RowLeft">
    <w:name w:val="CDI Table - Row Left"/>
    <w:basedOn w:val="Normal"/>
    <w:rsid w:val="0073415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AC46DC"/>
    <w:pPr>
      <w:jc w:val="center"/>
    </w:pPr>
  </w:style>
  <w:style w:type="paragraph" w:customStyle="1" w:styleId="CDITable-HeaderRowCentre">
    <w:name w:val="CDI Table - Header Row Centre"/>
    <w:basedOn w:val="Normal"/>
    <w:rsid w:val="006763A3"/>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B652E8"/>
    <w:rPr>
      <w:rFonts w:ascii="Arial" w:hAnsi="Arial"/>
      <w:noProof/>
      <w:sz w:val="20"/>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noProof/>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112436"/>
    <w:pPr>
      <w:pageBreakBefore w:val="0"/>
      <w:pBdr>
        <w:bottom w:val="none" w:sz="0" w:space="0" w:color="auto"/>
      </w:pBdr>
    </w:pPr>
    <w:rPr>
      <w:sz w:val="40"/>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154C4B"/>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154C4B"/>
    <w:rPr>
      <w:b/>
      <w:bCs/>
      <w:sz w:val="20"/>
      <w:szCs w:val="20"/>
      <w14:ligatures w14:val="standardContextual"/>
    </w:rPr>
  </w:style>
  <w:style w:type="paragraph" w:customStyle="1" w:styleId="Normal-morespaceafter">
    <w:name w:val="Normal - more space after"/>
    <w:basedOn w:val="Normal"/>
    <w:rsid w:val="00256B63"/>
    <w:pPr>
      <w:spacing w:after="360"/>
    </w:p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24018F"/>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styleId="Footer">
    <w:name w:val="footer"/>
    <w:basedOn w:val="Normal"/>
    <w:link w:val="FooterChar"/>
    <w:uiPriority w:val="99"/>
    <w:unhideWhenUsed/>
    <w:rsid w:val="00BD58F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D58FF"/>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sites/default/files/2022-12/monkeypox-virus-infection-cdna-national-guidelines-for-public-health-units.pdf" TargetMode="External"/><Relationship Id="rId26"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s://doi.org/10.1136/bmjgh-2024-01690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cdc.gov.au/sites/default/files/2025-12/mpox-cdna-national-guidelines-for-public-health-units_2.pdf" TargetMode="External"/><Relationship Id="rId25" Type="http://schemas.openxmlformats.org/officeDocument/2006/relationships/hyperlink" Target="https://doi.org/10.1093/infdis/jiad25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c.gov.au/topics/mpox" TargetMode="External"/><Relationship Id="rId20" Type="http://schemas.openxmlformats.org/officeDocument/2006/relationships/hyperlink" Target="https://doi.org/10.1136/bmj-2022-073153" TargetMode="External"/><Relationship Id="rId29" Type="http://schemas.openxmlformats.org/officeDocument/2006/relationships/hyperlink" Target="https://www.cdc.gov.au/resources/communicable-diseases-intelligence/guidelines-cdi-autho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www.healthequitymatters.org.au/policy/policy-papers/monkeypox-and-sex-on-premises-venues" TargetMode="External"/><Relationship Id="rId32" Type="http://schemas.openxmlformats.org/officeDocument/2006/relationships/hyperlink" Target="mailto:cdi.editor@cdc.gov.au" TargetMode="External"/><Relationship Id="rId5" Type="http://schemas.openxmlformats.org/officeDocument/2006/relationships/settings" Target="settings.xml"/><Relationship Id="rId15" Type="http://schemas.openxmlformats.org/officeDocument/2006/relationships/hyperlink" Target="mailto:Alexandra.Marmor%40act.gov.au?subject=" TargetMode="External"/><Relationship Id="rId23" Type="http://schemas.openxmlformats.org/officeDocument/2006/relationships/hyperlink" Target="https://www.meridianact.org.au/mpox" TargetMode="External"/><Relationship Id="rId28" Type="http://schemas.openxmlformats.org/officeDocument/2006/relationships/hyperlink" Target="https://www.cdc.gov.au/resources/communicable-diseases-intelligence/cdi-editorial-advisory-board-biographies" TargetMode="External"/><Relationship Id="rId10" Type="http://schemas.openxmlformats.org/officeDocument/2006/relationships/hyperlink" Target="https://www.cdc.gov.au/cdi" TargetMode="External"/><Relationship Id="rId19" Type="http://schemas.openxmlformats.org/officeDocument/2006/relationships/hyperlink" Target="https://doi.org/10.1016/j.jbi.2008.08.010" TargetMode="External"/><Relationship Id="rId31" Type="http://schemas.openxmlformats.org/officeDocument/2006/relationships/hyperlink" Target="https://www.cdc.gov.au/cdi"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hyperlink" Target="https://doi.org/10.1016/j.lanprc.2025.100018" TargetMode="External"/><Relationship Id="rId27" Type="http://schemas.openxmlformats.org/officeDocument/2006/relationships/hyperlink" Target="mailto:cdi.editor@cdc.gov.au" TargetMode="External"/><Relationship Id="rId30" Type="http://schemas.openxmlformats.org/officeDocument/2006/relationships/hyperlink" Target="mailto:cdi.editor@cdc.gov.au" TargetMode="Externa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banner-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CDI-banner-template-2026.dotx</Template>
  <TotalTime>6</TotalTime>
  <Pages>8</Pages>
  <Words>2215</Words>
  <Characters>13284</Characters>
  <Application>Microsoft Office Word</Application>
  <DocSecurity>0</DocSecurity>
  <Lines>467</Lines>
  <Paragraphs>214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Communicable Diseases Intelligence - Presymptomatic transmission, vaccine breakthrough and anonymous contacts: a cluster of mpox in Canberra, Australian Capital Territory, 2024</vt:lpstr>
      <vt:lpstr>Abstract</vt:lpstr>
      <vt:lpstr>Background and methods</vt:lpstr>
      <vt:lpstr>Description of cluster</vt:lpstr>
      <vt:lpstr>Public health response</vt:lpstr>
      <vt:lpstr>Discussion</vt:lpstr>
      <vt:lpstr>Conclusion</vt:lpstr>
      <vt:lpstr>Acknowledgments</vt:lpstr>
      <vt:lpstr>Author details</vt:lpstr>
      <vt:lpstr>    Corresponding author</vt:lpstr>
      <vt:lpstr>References</vt:lpstr>
    </vt:vector>
  </TitlesOfParts>
  <Company/>
  <LinksUpToDate>false</LinksUpToDate>
  <CharactersWithSpaces>15300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Presymptomatic transmission, vaccine breakthrough and anonymous contacts: a cluster of mpox in Canberra, Australian Capital Territory, 2024</dc:title>
  <dc:subject>This report describes a small cluster of mpox detected in Canberra in 2024. Investigation identified likely presymptomatic transmission by a primary case with a high-contact profile, and evidence of waning immunity following initial mpox vaccinations.</dc:subject>
  <dc:creator>Alexandra Marmor; Rachael Crane; Felicity Greenville; Julia Smythe; Cynthia Mathew; Timothy Sloan-Gardner; Joshua Anlezark</dc:creator>
  <cp:keywords>mpox; outbreak investigation; contact tracing; vaccination; presymptomatic transmission</cp:keywords>
  <dc:description>© 2026 Commonwealth of Australia as represented by the Australian Centre for Disease Control. This publication is licenced under a CC BY-NC-ND licence.</dc:description>
  <cp:revision>4</cp:revision>
  <cp:lastPrinted>2024-03-07T01:06:00Z</cp:lastPrinted>
  <dcterms:created xsi:type="dcterms:W3CDTF">2026-06-10T06:48:00Z</dcterms:created>
  <dcterms:modified xsi:type="dcterms:W3CDTF">2026-06-11T00:04:00Z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16.06.2026</vt:lpwstr>
  </property>
  <property fmtid="{D5CDD505-2E9C-101B-9397-08002B2CF9AE}" pid="5" name="DOI">
    <vt:lpwstr>doi.org/10.33321/cdi.2026.50.041</vt:lpwstr>
  </property>
  <property fmtid="{D5CDD505-2E9C-101B-9397-08002B2CF9AE}" pid="6" name="ClassificationContentMarkingHeaderShapeIds">
    <vt:lpwstr>5a669df4,375ff7dd,1fbb0bcc</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51aafa05,132640f1,64da1a32</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2025-08-25T22:55:46Z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84015998-5bb4-462f-9254-c4960bf3897b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