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50A1E" w14:textId="442F5417" w:rsidR="00D22CC8" w:rsidRPr="00B652E8" w:rsidRDefault="00CA2A15" w:rsidP="00B652E8">
      <w:pPr>
        <w:pStyle w:val="CDIPublicationstring"/>
      </w:pPr>
      <w:r w:rsidRPr="00B652E8">
        <w:drawing>
          <wp:anchor distT="0" distB="0" distL="114300" distR="114300" simplePos="0" relativeHeight="251658240" behindDoc="1" locked="1" layoutInCell="1" allowOverlap="1" wp14:anchorId="53712B6F" wp14:editId="60B82D6F">
            <wp:simplePos x="0" y="0"/>
            <wp:positionH relativeFrom="page">
              <wp:posOffset>0</wp:posOffset>
            </wp:positionH>
            <wp:positionV relativeFrom="page">
              <wp:posOffset>0</wp:posOffset>
            </wp:positionV>
            <wp:extent cx="7560000" cy="1620000"/>
            <wp:effectExtent l="0" t="0" r="3175" b="0"/>
            <wp:wrapNone/>
            <wp:docPr id="1160445182" name="Picture 1" descr="Dark and light blue shapes displaying the logo of Communicable Diseases Intelligence and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45182" name="Picture 1" descr="Dark and light blue shapes displaying the logo of Communicable Diseases Intelligence and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rcRect t="1315" b="1315"/>
                    <a:stretch>
                      <a:fillRect/>
                    </a:stretch>
                  </pic:blipFill>
                  <pic:spPr bwMode="auto">
                    <a:xfrm>
                      <a:off x="0" y="0"/>
                      <a:ext cx="75600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fldSimple w:instr=" DOCPROPERTY  Year  \* MERGEFORMAT ">
        <w:r w:rsidR="00B56F4E">
          <w:t>2026</w:t>
        </w:r>
      </w:fldSimple>
      <w:r w:rsidR="00D22CC8" w:rsidRPr="00B652E8">
        <w:t xml:space="preserve"> • Volume </w:t>
      </w:r>
      <w:fldSimple w:instr=" DOCPROPERTY  Vol  \* MERGEFORMAT ">
        <w:r w:rsidR="00B56F4E">
          <w:t>50</w:t>
        </w:r>
      </w:fldSimple>
      <w:r w:rsidR="00700338" w:rsidRPr="00B652E8">
        <w:t xml:space="preserve"> • </w:t>
      </w:r>
      <w:hyperlink r:id="rId10" w:history="1">
        <w:r w:rsidR="00700338" w:rsidRPr="00B652E8">
          <w:t>cdc.gov.au/cdi</w:t>
        </w:r>
      </w:hyperlink>
      <w:r w:rsidR="00D22CC8" w:rsidRPr="00B652E8">
        <w:t xml:space="preserve"> •</w:t>
      </w:r>
      <w:r w:rsidR="00700338" w:rsidRPr="00B652E8">
        <w:t xml:space="preserve"> Epub date: </w:t>
      </w:r>
      <w:fldSimple w:instr=" DOCPROPERTY  ePubDate  \* MERGEFORMAT ">
        <w:r w:rsidR="00330EF3">
          <w:t>26.05.2026</w:t>
        </w:r>
      </w:fldSimple>
      <w:r w:rsidR="00700338" w:rsidRPr="00B652E8">
        <w:t xml:space="preserve"> • </w:t>
      </w:r>
      <w:fldSimple w:instr=" DOCPROPERTY  DOI  \* MERGEFORMAT ">
        <w:r w:rsidR="00330EF3">
          <w:t>doi.org/10.33321/cdi.2026.50.037</w:t>
        </w:r>
      </w:fldSimple>
    </w:p>
    <w:p w14:paraId="47220022" w14:textId="463CBC30" w:rsidR="006B16A5" w:rsidRPr="00142578" w:rsidRDefault="00330EF3" w:rsidP="00CE2CC7">
      <w:pPr>
        <w:pStyle w:val="Title"/>
      </w:pPr>
      <w:r w:rsidRPr="00330EF3">
        <w:t>An outbreak of measles linked to</w:t>
      </w:r>
      <w:r>
        <w:t> </w:t>
      </w:r>
      <w:r w:rsidRPr="00330EF3">
        <w:t>healthcare services in Far</w:t>
      </w:r>
      <w:r>
        <w:t> </w:t>
      </w:r>
      <w:r w:rsidRPr="00330EF3">
        <w:t>North Queensland, 2025</w:t>
      </w:r>
    </w:p>
    <w:p w14:paraId="7E6BED04" w14:textId="58159B9E" w:rsidR="00112436" w:rsidRDefault="00330EF3" w:rsidP="00BB3320">
      <w:pPr>
        <w:pStyle w:val="Subtitle"/>
      </w:pPr>
      <w:r w:rsidRPr="00330EF3">
        <w:t>Tonia Marquardt, Simon Smith, Juliet Esmonde, Matthew O’Bryan, Lucy</w:t>
      </w:r>
      <w:r>
        <w:t> </w:t>
      </w:r>
      <w:r w:rsidRPr="00330EF3">
        <w:t>Thallon, Alireza Zahedi, Trent Yarwood, Jacqueline Murdoch</w:t>
      </w:r>
    </w:p>
    <w:p w14:paraId="38F857F7" w14:textId="77777777" w:rsidR="00F25C00" w:rsidRDefault="0098426C" w:rsidP="0024018F">
      <w:pPr>
        <w:pStyle w:val="Heading1-noline"/>
      </w:pPr>
      <w:bookmarkStart w:id="0" w:name="_Toc195530498"/>
      <w:bookmarkStart w:id="1" w:name="_Toc201743688"/>
      <w:r>
        <w:t>Abstract</w:t>
      </w:r>
      <w:bookmarkEnd w:id="0"/>
      <w:bookmarkEnd w:id="1"/>
    </w:p>
    <w:p w14:paraId="26A21EA0" w14:textId="77777777" w:rsidR="00330EF3" w:rsidRPr="00330EF3" w:rsidRDefault="00330EF3" w:rsidP="00330EF3">
      <w:pPr>
        <w:pStyle w:val="Normal-morespaceafter"/>
        <w:rPr>
          <w:lang w:val="en-GB"/>
        </w:rPr>
      </w:pPr>
      <w:r w:rsidRPr="00330EF3">
        <w:rPr>
          <w:lang w:val="en-GB"/>
        </w:rPr>
        <w:t>In September 2025, Cairns experienced its largest measles outbreak since 1997. An imported case from Indonesia subsequently transmitted to 11 secondary cases, including four hospital staff. No further transmission was identified despite identification of nearly 1,500 contacts. Most of the cases (11/12; 91.6%) reported or demonstrated prior vaccination or immunity. This outbreak demonstrates the continued potential for re-emergence of measles in a setting with validated elimination status; the outbreak resulted in disruption to healthcare staff and services. Australian healthcare services should consider use of measles serology and booster vaccination doses among susceptible healthcare workers to reduce the risk of future similar outbreaks.</w:t>
      </w:r>
    </w:p>
    <w:p w14:paraId="4CB83688" w14:textId="77777777" w:rsidR="00330EF3" w:rsidRDefault="00B73144" w:rsidP="00112436">
      <w:pPr>
        <w:pStyle w:val="CDIBoxText"/>
        <w:rPr>
          <w:lang w:val="en-GB"/>
        </w:rPr>
      </w:pPr>
      <w:r w:rsidRPr="00E61A68">
        <w:t>Keywords</w:t>
      </w:r>
      <w:r w:rsidR="0024018F">
        <w:t xml:space="preserve">: </w:t>
      </w:r>
      <w:r w:rsidR="00330EF3" w:rsidRPr="00330EF3">
        <w:rPr>
          <w:lang w:val="en-GB"/>
        </w:rPr>
        <w:t>public health; outbreak; measles; healthcare services; vaccination</w:t>
      </w:r>
    </w:p>
    <w:p w14:paraId="3B317007" w14:textId="23A21B82" w:rsidR="0037146D" w:rsidRDefault="00330EF3" w:rsidP="00112436">
      <w:pPr>
        <w:pStyle w:val="Heading1-noline"/>
      </w:pPr>
      <w:r>
        <w:t>Background</w:t>
      </w:r>
    </w:p>
    <w:p w14:paraId="2939CFA4" w14:textId="085A61E9" w:rsidR="00330EF3" w:rsidRDefault="00330EF3" w:rsidP="00330EF3">
      <w:pPr>
        <w:rPr>
          <w:lang w:val="en-GB"/>
        </w:rPr>
      </w:pPr>
      <w:r w:rsidRPr="00330EF3">
        <w:rPr>
          <w:lang w:val="en-GB"/>
        </w:rPr>
        <w:t>There has been a vaccine available for measles, a highly infectious human disease, since 1968.</w:t>
      </w:r>
      <w:r w:rsidRPr="00330EF3">
        <w:rPr>
          <w:vertAlign w:val="superscript"/>
          <w:lang w:val="en-GB"/>
        </w:rPr>
        <w:t>1</w:t>
      </w:r>
      <w:r w:rsidRPr="00330EF3">
        <w:rPr>
          <w:lang w:val="en-GB"/>
        </w:rPr>
        <w:t xml:space="preserve"> Australia eliminated sustained community transmission of measles in 2014 through high vaccine coverage,</w:t>
      </w:r>
      <w:r w:rsidRPr="00330EF3">
        <w:rPr>
          <w:vertAlign w:val="superscript"/>
          <w:lang w:val="en-GB"/>
        </w:rPr>
        <w:t>2</w:t>
      </w:r>
      <w:r w:rsidRPr="00330EF3">
        <w:rPr>
          <w:lang w:val="en-GB"/>
        </w:rPr>
        <w:t xml:space="preserve"> but sporadic cases and outbreaks still occur and require urgent public health responses to prevent ongoing transmission. In September 2025, the Cairns Public Health Unit (CPHU) responded to an outbreak of 12 measles cases.</w:t>
      </w:r>
      <w:r>
        <w:rPr>
          <w:lang w:val="en-GB"/>
        </w:rPr>
        <w:br w:type="page"/>
      </w:r>
    </w:p>
    <w:p w14:paraId="0734D1A4" w14:textId="22D5AFF3" w:rsidR="00A24E95" w:rsidRDefault="00330EF3" w:rsidP="00112436">
      <w:pPr>
        <w:pStyle w:val="Heading1-noline"/>
        <w:rPr>
          <w:lang w:val="en-GB"/>
        </w:rPr>
      </w:pPr>
      <w:r>
        <w:rPr>
          <w:lang w:val="en-GB"/>
        </w:rPr>
        <w:lastRenderedPageBreak/>
        <w:t>Outbreak detection</w:t>
      </w:r>
    </w:p>
    <w:p w14:paraId="74D5F74E" w14:textId="77777777" w:rsidR="00330EF3" w:rsidRPr="00330EF3" w:rsidRDefault="00330EF3" w:rsidP="00330EF3">
      <w:pPr>
        <w:rPr>
          <w:lang w:val="en-GB"/>
        </w:rPr>
      </w:pPr>
      <w:r w:rsidRPr="00330EF3">
        <w:rPr>
          <w:lang w:val="en-GB"/>
        </w:rPr>
        <w:t>On 2 September 2025, CPHU was informed of a suspected measles case at Cairns Hospital Emergency Department (ED). The patient—who had received two documented doses of measles vaccine as a child—had travelled recently from Indonesia to Cairns and was staying at a backpacker hostel. They were admitted to hospital for supplemental oxygen and isolated in airborne precautions. Measles infection was confirmed by polymerase chain reaction testing (PCR), leading to the implementation of a public health response following national guidelines.</w:t>
      </w:r>
      <w:r w:rsidRPr="00330EF3">
        <w:rPr>
          <w:vertAlign w:val="superscript"/>
          <w:lang w:val="en-GB"/>
        </w:rPr>
        <w:t>3</w:t>
      </w:r>
    </w:p>
    <w:p w14:paraId="4F7D5AD4" w14:textId="77777777" w:rsidR="00330EF3" w:rsidRPr="00330EF3" w:rsidRDefault="00330EF3" w:rsidP="00330EF3">
      <w:pPr>
        <w:rPr>
          <w:lang w:val="en-GB"/>
        </w:rPr>
      </w:pPr>
      <w:r w:rsidRPr="00330EF3">
        <w:rPr>
          <w:lang w:val="en-GB"/>
        </w:rPr>
        <w:t>Eleven subsequent cases were confirmed by PCR (see Figure 1).</w:t>
      </w:r>
      <w:r w:rsidRPr="00330EF3">
        <w:rPr>
          <w:vertAlign w:val="superscript"/>
          <w:lang w:val="en-GB"/>
        </w:rPr>
        <w:t>3</w:t>
      </w:r>
      <w:r w:rsidRPr="00330EF3">
        <w:rPr>
          <w:lang w:val="en-GB"/>
        </w:rPr>
        <w:t xml:space="preserve"> All secondary cases had epidemiological links to the index case; four cases were staying or working at the backpacker hostel, and seven were linked to two hospital ED visits (see Figure 2). Four of the cases linked to the hospital visits were among hospital staff. No onward transmission was identified from the secondary cases.</w:t>
      </w:r>
    </w:p>
    <w:p w14:paraId="17125BA6" w14:textId="77777777" w:rsidR="00330EF3" w:rsidRDefault="00330EF3" w:rsidP="00330EF3">
      <w:pPr>
        <w:pStyle w:val="CDIFigure-Title"/>
        <w:rPr>
          <w:lang w:val="en-GB"/>
        </w:rPr>
      </w:pPr>
      <w:r w:rsidRPr="00330EF3">
        <w:rPr>
          <w:lang w:val="en-GB"/>
        </w:rPr>
        <w:t xml:space="preserve">Figure 1: Epidemic curve of measles cases, by symptom onset, </w:t>
      </w:r>
      <w:proofErr w:type="gramStart"/>
      <w:r w:rsidRPr="00330EF3">
        <w:rPr>
          <w:lang w:val="en-GB"/>
        </w:rPr>
        <w:t>Cairns</w:t>
      </w:r>
      <w:proofErr w:type="gramEnd"/>
      <w:r w:rsidRPr="00330EF3">
        <w:rPr>
          <w:lang w:val="en-GB"/>
        </w:rPr>
        <w:t xml:space="preserve"> outbreak, Queensland, </w:t>
      </w:r>
      <w:proofErr w:type="spellStart"/>
      <w:proofErr w:type="gramStart"/>
      <w:r w:rsidRPr="00330EF3">
        <w:rPr>
          <w:lang w:val="en-GB"/>
        </w:rPr>
        <w:t>Australia,</w:t>
      </w:r>
      <w:r w:rsidRPr="00330EF3">
        <w:rPr>
          <w:vertAlign w:val="superscript"/>
          <w:lang w:val="en-GB"/>
        </w:rPr>
        <w:t>a</w:t>
      </w:r>
      <w:proofErr w:type="spellEnd"/>
      <w:proofErr w:type="gramEnd"/>
      <w:r w:rsidRPr="00330EF3">
        <w:rPr>
          <w:lang w:val="en-GB"/>
        </w:rPr>
        <w:t xml:space="preserve"> August–September 2025</w:t>
      </w:r>
    </w:p>
    <w:p w14:paraId="221D5747" w14:textId="3239BDE8" w:rsidR="00330EF3" w:rsidRPr="00330EF3" w:rsidRDefault="00330EF3" w:rsidP="00330EF3">
      <w:pPr>
        <w:pStyle w:val="CDIFigure-Placeholder"/>
        <w:rPr>
          <w:lang w:val="en-GB"/>
        </w:rPr>
      </w:pPr>
      <w:r>
        <w:rPr>
          <w:noProof/>
          <w:lang w:val="en-GB"/>
          <w14:ligatures w14:val="none"/>
        </w:rPr>
        <w:drawing>
          <wp:inline distT="0" distB="0" distL="0" distR="0" wp14:anchorId="6C373655" wp14:editId="3C48B05A">
            <wp:extent cx="6120765" cy="3181350"/>
            <wp:effectExtent l="0" t="0" r="0" b="0"/>
            <wp:docPr id="691906217" name="Picture 1" descr="A bar chart showing the index case with an onset of 27 August 2025 and a group of 11 secondary cases in a typical outbreak curve, with an onset during the 7–18 September 202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906217" name="Picture 1" descr="A bar chart showing the index case with an onset of 27 August 2025 and a group of 11 secondary cases in a typical outbreak curve, with an onset during the 7–18 September 2025. "/>
                    <pic:cNvPicPr/>
                  </pic:nvPicPr>
                  <pic:blipFill rotWithShape="1">
                    <a:blip r:embed="rId11">
                      <a:extLst>
                        <a:ext uri="{28A0092B-C50C-407E-A947-70E740481C1C}">
                          <a14:useLocalDpi xmlns:a14="http://schemas.microsoft.com/office/drawing/2010/main" val="0"/>
                        </a:ext>
                      </a:extLst>
                    </a:blip>
                    <a:srcRect b="1822"/>
                    <a:stretch>
                      <a:fillRect/>
                    </a:stretch>
                  </pic:blipFill>
                  <pic:spPr bwMode="auto">
                    <a:xfrm>
                      <a:off x="0" y="0"/>
                      <a:ext cx="6120765" cy="3181350"/>
                    </a:xfrm>
                    <a:prstGeom prst="rect">
                      <a:avLst/>
                    </a:prstGeom>
                    <a:ln>
                      <a:noFill/>
                    </a:ln>
                    <a:extLst>
                      <a:ext uri="{53640926-AAD7-44D8-BBD7-CCE9431645EC}">
                        <a14:shadowObscured xmlns:a14="http://schemas.microsoft.com/office/drawing/2010/main"/>
                      </a:ext>
                    </a:extLst>
                  </pic:spPr>
                </pic:pic>
              </a:graphicData>
            </a:graphic>
          </wp:inline>
        </w:drawing>
      </w:r>
    </w:p>
    <w:p w14:paraId="331D6C77" w14:textId="1E1493B9" w:rsidR="003E31EB" w:rsidRDefault="00330EF3" w:rsidP="003E31EB">
      <w:pPr>
        <w:pStyle w:val="CDITable-Footnote"/>
        <w:rPr>
          <w:lang w:val="en-GB"/>
        </w:rPr>
      </w:pPr>
      <w:proofErr w:type="spellStart"/>
      <w:r w:rsidRPr="00330EF3">
        <w:rPr>
          <w:lang w:val="en-GB"/>
        </w:rPr>
        <w:t>a</w:t>
      </w:r>
      <w:proofErr w:type="spellEnd"/>
      <w:r w:rsidRPr="00330EF3">
        <w:rPr>
          <w:lang w:val="en-GB"/>
        </w:rPr>
        <w:tab/>
      </w:r>
      <w:proofErr w:type="gramStart"/>
      <w:r w:rsidRPr="00330EF3">
        <w:rPr>
          <w:lang w:val="en-GB"/>
        </w:rPr>
        <w:t>All secondary</w:t>
      </w:r>
      <w:proofErr w:type="gramEnd"/>
      <w:r w:rsidRPr="00330EF3">
        <w:rPr>
          <w:lang w:val="en-GB"/>
        </w:rPr>
        <w:t xml:space="preserve"> cases had a standard incubation period with symptom onset 10–16 days after first exposure to the index case.</w:t>
      </w:r>
      <w:r w:rsidR="003E31EB">
        <w:rPr>
          <w:lang w:val="en-GB"/>
        </w:rPr>
        <w:br w:type="page"/>
      </w:r>
    </w:p>
    <w:p w14:paraId="1AE84815" w14:textId="77777777" w:rsidR="00330EF3" w:rsidRPr="00330EF3" w:rsidRDefault="00330EF3" w:rsidP="00330EF3">
      <w:pPr>
        <w:pStyle w:val="CDIFigure-Title"/>
        <w:rPr>
          <w:lang w:val="en-GB"/>
        </w:rPr>
      </w:pPr>
      <w:r w:rsidRPr="00330EF3">
        <w:rPr>
          <w:lang w:val="en-GB"/>
        </w:rPr>
        <w:t xml:space="preserve">Figure 2: Transmission links, </w:t>
      </w:r>
      <w:proofErr w:type="gramStart"/>
      <w:r w:rsidRPr="00330EF3">
        <w:rPr>
          <w:lang w:val="en-GB"/>
        </w:rPr>
        <w:t>Cairns</w:t>
      </w:r>
      <w:proofErr w:type="gramEnd"/>
      <w:r w:rsidRPr="00330EF3">
        <w:rPr>
          <w:lang w:val="en-GB"/>
        </w:rPr>
        <w:t xml:space="preserve"> measles outbreak, Queensland, Australia, August–September 2025</w:t>
      </w:r>
    </w:p>
    <w:p w14:paraId="105B3D59" w14:textId="0164E86B" w:rsidR="00BE73E6" w:rsidRPr="00BE73E6" w:rsidRDefault="00C32156" w:rsidP="00330EF3">
      <w:pPr>
        <w:pStyle w:val="CDIFigure-Placeholder"/>
        <w:rPr>
          <w:lang w:val="en-GB"/>
        </w:rPr>
      </w:pPr>
      <w:r>
        <w:rPr>
          <w:noProof/>
          <w:lang w:val="en-GB"/>
          <w14:ligatures w14:val="none"/>
        </w:rPr>
        <w:drawing>
          <wp:inline distT="0" distB="0" distL="0" distR="0" wp14:anchorId="1734EF25" wp14:editId="59A05444">
            <wp:extent cx="6120765" cy="3208655"/>
            <wp:effectExtent l="0" t="0" r="0" b="0"/>
            <wp:docPr id="335631879" name="Picture 3" descr="A graphic demonstrating three core exposures: the backpacker hostel and two Emergency Department presentations on 31 August and 2 September. These events resulted in transmission to 4 cases via the backpackers (2 staff and 2 residents), 2 cases from one ED visit (1 staff, 1 visitor) and 5 cases from the second ED visit (2 visitors and 3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631879" name="Picture 3" descr="A graphic demonstrating three core exposures: the backpacker hostel and two Emergency Department presentations on 31 August and 2 September. These events resulted in transmission to 4 cases via the backpackers (2 staff and 2 residents), 2 cases from one ED visit (1 staff, 1 visitor) and 5 cases from the second ED visit (2 visitors and 3 staff)."/>
                    <pic:cNvPicPr/>
                  </pic:nvPicPr>
                  <pic:blipFill>
                    <a:blip r:embed="rId12">
                      <a:extLst>
                        <a:ext uri="{28A0092B-C50C-407E-A947-70E740481C1C}">
                          <a14:useLocalDpi xmlns:a14="http://schemas.microsoft.com/office/drawing/2010/main" val="0"/>
                        </a:ext>
                      </a:extLst>
                    </a:blip>
                    <a:stretch>
                      <a:fillRect/>
                    </a:stretch>
                  </pic:blipFill>
                  <pic:spPr>
                    <a:xfrm>
                      <a:off x="0" y="0"/>
                      <a:ext cx="6120765" cy="3208655"/>
                    </a:xfrm>
                    <a:prstGeom prst="rect">
                      <a:avLst/>
                    </a:prstGeom>
                  </pic:spPr>
                </pic:pic>
              </a:graphicData>
            </a:graphic>
          </wp:inline>
        </w:drawing>
      </w:r>
    </w:p>
    <w:p w14:paraId="164A20E3" w14:textId="77777777" w:rsidR="003E31EB" w:rsidRPr="003E31EB" w:rsidRDefault="003E31EB" w:rsidP="003E31EB">
      <w:pPr>
        <w:pStyle w:val="Heading2"/>
        <w:rPr>
          <w:lang w:val="en-GB"/>
        </w:rPr>
      </w:pPr>
      <w:r w:rsidRPr="003E31EB">
        <w:rPr>
          <w:lang w:val="en-GB"/>
        </w:rPr>
        <w:t>Case demographics</w:t>
      </w:r>
    </w:p>
    <w:p w14:paraId="34DC5552" w14:textId="77777777" w:rsidR="003E31EB" w:rsidRPr="003E31EB" w:rsidRDefault="003E31EB" w:rsidP="003E31EB">
      <w:pPr>
        <w:rPr>
          <w:lang w:val="en-GB"/>
        </w:rPr>
      </w:pPr>
      <w:r w:rsidRPr="003E31EB">
        <w:rPr>
          <w:lang w:val="en-GB"/>
        </w:rPr>
        <w:t>The mean age of the twelve cases was 29 years, with eleven aged between 18 and 34 years; 10/12 were female. One case identified as a First Nations Australian.</w:t>
      </w:r>
    </w:p>
    <w:p w14:paraId="03C1EEC1" w14:textId="77777777" w:rsidR="003E31EB" w:rsidRPr="003E31EB" w:rsidRDefault="003E31EB" w:rsidP="003E31EB">
      <w:pPr>
        <w:pStyle w:val="Heading3"/>
        <w:rPr>
          <w:lang w:val="en-GB"/>
        </w:rPr>
      </w:pPr>
      <w:r w:rsidRPr="003E31EB">
        <w:rPr>
          <w:lang w:val="en-GB"/>
        </w:rPr>
        <w:t>Vaccination</w:t>
      </w:r>
    </w:p>
    <w:p w14:paraId="41F10BEC" w14:textId="77777777" w:rsidR="003E31EB" w:rsidRPr="003E31EB" w:rsidRDefault="003E31EB" w:rsidP="003E31EB">
      <w:pPr>
        <w:rPr>
          <w:lang w:val="en-GB"/>
        </w:rPr>
      </w:pPr>
      <w:r w:rsidRPr="003E31EB">
        <w:rPr>
          <w:lang w:val="en-GB"/>
        </w:rPr>
        <w:t>Most cases (11/12; 91.6%) indicated likely immunity; seven had two documented doses of measles vaccination, one had documented serological immunity and three advised of complete childhood vaccination overseas. Only one case was identified as unvaccinated; they received a single vaccine dose six days after initial exposure.</w:t>
      </w:r>
    </w:p>
    <w:p w14:paraId="57634436" w14:textId="77777777" w:rsidR="003E31EB" w:rsidRPr="003E31EB" w:rsidRDefault="003E31EB" w:rsidP="003E31EB">
      <w:pPr>
        <w:pStyle w:val="Heading3"/>
        <w:rPr>
          <w:lang w:val="en-GB"/>
        </w:rPr>
      </w:pPr>
      <w:r w:rsidRPr="003E31EB">
        <w:rPr>
          <w:lang w:val="en-GB"/>
        </w:rPr>
        <w:t>Clinical features</w:t>
      </w:r>
    </w:p>
    <w:p w14:paraId="163C9F8A" w14:textId="77777777" w:rsidR="003E31EB" w:rsidRPr="003E31EB" w:rsidRDefault="003E31EB" w:rsidP="003E31EB">
      <w:pPr>
        <w:rPr>
          <w:lang w:val="en-GB"/>
        </w:rPr>
      </w:pPr>
      <w:r w:rsidRPr="003E31EB">
        <w:rPr>
          <w:lang w:val="en-GB"/>
        </w:rPr>
        <w:t xml:space="preserve">The mean time from prodrome to rash onset was 2.2 days (range: 0–4 days). The only atypical feature from some cases was description of a pruritic rash which was likened to sunburn. Three cases were admitted to hospital. No cases reported ongoing complications. </w:t>
      </w:r>
    </w:p>
    <w:p w14:paraId="2EC13565" w14:textId="77777777" w:rsidR="003E31EB" w:rsidRPr="003E31EB" w:rsidRDefault="003E31EB" w:rsidP="003E31EB">
      <w:pPr>
        <w:pStyle w:val="Heading2"/>
        <w:rPr>
          <w:lang w:val="en-GB"/>
        </w:rPr>
      </w:pPr>
      <w:r w:rsidRPr="003E31EB">
        <w:rPr>
          <w:lang w:val="en-GB"/>
        </w:rPr>
        <w:t>Laboratory results</w:t>
      </w:r>
    </w:p>
    <w:p w14:paraId="7FE80D2E" w14:textId="77777777" w:rsidR="003E31EB" w:rsidRDefault="003E31EB" w:rsidP="003E31EB">
      <w:pPr>
        <w:rPr>
          <w:lang w:val="en-GB"/>
        </w:rPr>
        <w:sectPr w:rsidR="003E31EB" w:rsidSect="00256B63">
          <w:headerReference w:type="even" r:id="rId13"/>
          <w:footerReference w:type="even" r:id="rId14"/>
          <w:footerReference w:type="default" r:id="rId15"/>
          <w:footnotePr>
            <w:numFmt w:val="lowerRoman"/>
          </w:footnotePr>
          <w:pgSz w:w="11907" w:h="16840" w:code="9"/>
          <w:pgMar w:top="1134" w:right="1134" w:bottom="1134" w:left="1134" w:header="709" w:footer="567" w:gutter="0"/>
          <w:cols w:space="708"/>
          <w:titlePg/>
          <w:docGrid w:linePitch="360"/>
        </w:sectPr>
      </w:pPr>
      <w:r w:rsidRPr="003E31EB">
        <w:rPr>
          <w:lang w:val="en-GB"/>
        </w:rPr>
        <w:t>Serology was performed in eight cases (Table 1). Among three vaccinated cases, there was evidence suggestive of secondary vaccine failure, with high IgG titres (&gt; 300) and negative IgM on early testing,</w:t>
      </w:r>
      <w:r w:rsidRPr="003E31EB">
        <w:rPr>
          <w:vertAlign w:val="superscript"/>
          <w:lang w:val="en-GB"/>
        </w:rPr>
        <w:t>4,5</w:t>
      </w:r>
      <w:r w:rsidRPr="003E31EB">
        <w:rPr>
          <w:lang w:val="en-GB"/>
        </w:rPr>
        <w:t xml:space="preserve"> although avidity testing was not done to confirm.</w:t>
      </w:r>
      <w:r w:rsidRPr="003E31EB">
        <w:rPr>
          <w:vertAlign w:val="superscript"/>
          <w:lang w:val="en-GB"/>
        </w:rPr>
        <w:t>6,7</w:t>
      </w:r>
      <w:r w:rsidRPr="003E31EB">
        <w:rPr>
          <w:lang w:val="en-GB"/>
        </w:rPr>
        <w:t xml:space="preserve"> A further four vaccinated cases with non-reactive or no serology results had relatively higher PCR cycle threshold (Ct) values on throat swabs (&gt; 30 cycles), possibly reflecting a lower viral burden than those with lower Ct values.</w:t>
      </w:r>
      <w:r w:rsidRPr="003E31EB">
        <w:rPr>
          <w:vertAlign w:val="superscript"/>
          <w:lang w:val="en-GB"/>
        </w:rPr>
        <w:t>8</w:t>
      </w:r>
      <w:r w:rsidRPr="003E31EB">
        <w:rPr>
          <w:lang w:val="en-GB"/>
        </w:rPr>
        <w:t xml:space="preserve"> The lowest Ct values were in the index case (no serology was performed).</w:t>
      </w:r>
    </w:p>
    <w:p w14:paraId="5681436C" w14:textId="77777777" w:rsidR="003E31EB" w:rsidRPr="003E31EB" w:rsidRDefault="003E31EB" w:rsidP="003E31EB">
      <w:pPr>
        <w:pStyle w:val="CDITable-Title"/>
        <w:spacing w:before="0"/>
        <w:rPr>
          <w:lang w:val="en-GB"/>
        </w:rPr>
      </w:pPr>
      <w:bookmarkStart w:id="2" w:name="_Toc195519590"/>
      <w:bookmarkStart w:id="3" w:name="_Toc195522359"/>
      <w:r w:rsidRPr="003E31EB">
        <w:rPr>
          <w:lang w:val="en-GB"/>
        </w:rPr>
        <w:t xml:space="preserve">Table 1: Patient demographics, vaccination status, and laboratory results of confirmed measles cases during the Cairns outbreak, Queensland, </w:t>
      </w:r>
      <w:proofErr w:type="spellStart"/>
      <w:proofErr w:type="gramStart"/>
      <w:r w:rsidRPr="003E31EB">
        <w:rPr>
          <w:lang w:val="en-GB"/>
        </w:rPr>
        <w:t>Australia,</w:t>
      </w:r>
      <w:r w:rsidRPr="003E31EB">
        <w:rPr>
          <w:vertAlign w:val="superscript"/>
          <w:lang w:val="en-GB"/>
        </w:rPr>
        <w:t>a</w:t>
      </w:r>
      <w:proofErr w:type="spellEnd"/>
      <w:proofErr w:type="gramEnd"/>
      <w:r w:rsidRPr="003E31EB">
        <w:rPr>
          <w:lang w:val="en-GB"/>
        </w:rPr>
        <w:t xml:space="preserve"> August–September 2025</w:t>
      </w:r>
    </w:p>
    <w:tbl>
      <w:tblPr>
        <w:tblW w:w="0" w:type="auto"/>
        <w:tblLayout w:type="fixed"/>
        <w:tblCellMar>
          <w:left w:w="0" w:type="dxa"/>
          <w:right w:w="0" w:type="dxa"/>
        </w:tblCellMar>
        <w:tblLook w:val="0000" w:firstRow="0" w:lastRow="0" w:firstColumn="0" w:lastColumn="0" w:noHBand="0" w:noVBand="0"/>
        <w:tblCaption w:val="Table 1: Patient demographics, vaccination status, and laboratory results of confirmed measles cases during the Cairns outbreak, Queensland, Australia,a August–September 2025"/>
        <w:tblDescription w:val="The table shows the basic features of laboratory results and vaccination status of the cases where known. It also shows some indication of possible primary or secondary vaccine failure in those with known vaccination status and serology results."/>
      </w:tblPr>
      <w:tblGrid>
        <w:gridCol w:w="1417"/>
        <w:gridCol w:w="1418"/>
        <w:gridCol w:w="1700"/>
        <w:gridCol w:w="1701"/>
        <w:gridCol w:w="1758"/>
        <w:gridCol w:w="1417"/>
        <w:gridCol w:w="1758"/>
        <w:gridCol w:w="1587"/>
        <w:gridCol w:w="1587"/>
      </w:tblGrid>
      <w:tr w:rsidR="00C44EEB" w:rsidRPr="00C44EEB" w14:paraId="4404DB9F" w14:textId="77777777" w:rsidTr="007A22DB">
        <w:tblPrEx>
          <w:tblCellMar>
            <w:top w:w="0" w:type="dxa"/>
            <w:left w:w="0" w:type="dxa"/>
            <w:bottom w:w="0" w:type="dxa"/>
            <w:right w:w="0" w:type="dxa"/>
          </w:tblCellMar>
        </w:tblPrEx>
        <w:trPr>
          <w:trHeight w:val="60"/>
          <w:tblHeader/>
        </w:trPr>
        <w:tc>
          <w:tcPr>
            <w:tcW w:w="1417" w:type="dxa"/>
            <w:vMerge w:val="restart"/>
            <w:tcBorders>
              <w:top w:val="nil"/>
              <w:left w:val="nil"/>
            </w:tcBorders>
            <w:shd w:val="clear" w:color="auto" w:fill="1E4496" w:themeFill="text2"/>
            <w:tcMar>
              <w:top w:w="85" w:type="dxa"/>
              <w:left w:w="113" w:type="dxa"/>
              <w:bottom w:w="85" w:type="dxa"/>
              <w:right w:w="113" w:type="dxa"/>
            </w:tcMar>
            <w:vAlign w:val="bottom"/>
          </w:tcPr>
          <w:p w14:paraId="62B7D24E" w14:textId="77777777" w:rsidR="00C44EEB" w:rsidRPr="00C44EEB" w:rsidRDefault="00C44EEB" w:rsidP="00C44EEB">
            <w:pPr>
              <w:pStyle w:val="CDITable-HeaderRowCentre"/>
            </w:pPr>
            <w:r w:rsidRPr="00C44EEB">
              <w:t>Year of birth</w:t>
            </w:r>
          </w:p>
        </w:tc>
        <w:tc>
          <w:tcPr>
            <w:tcW w:w="1418" w:type="dxa"/>
            <w:vMerge w:val="restart"/>
            <w:tcBorders>
              <w:top w:val="nil"/>
            </w:tcBorders>
            <w:shd w:val="clear" w:color="auto" w:fill="1E4496" w:themeFill="text2"/>
            <w:tcMar>
              <w:top w:w="85" w:type="dxa"/>
              <w:left w:w="113" w:type="dxa"/>
              <w:bottom w:w="85" w:type="dxa"/>
              <w:right w:w="113" w:type="dxa"/>
            </w:tcMar>
            <w:vAlign w:val="bottom"/>
          </w:tcPr>
          <w:p w14:paraId="410BF388" w14:textId="77777777" w:rsidR="00C44EEB" w:rsidRPr="00C44EEB" w:rsidRDefault="00C44EEB" w:rsidP="00C44EEB">
            <w:pPr>
              <w:pStyle w:val="CDITable-HeaderRowCentre"/>
            </w:pPr>
            <w:r w:rsidRPr="00C44EEB">
              <w:t>Age (years)</w:t>
            </w:r>
          </w:p>
        </w:tc>
        <w:tc>
          <w:tcPr>
            <w:tcW w:w="3401" w:type="dxa"/>
            <w:gridSpan w:val="2"/>
            <w:tcBorders>
              <w:top w:val="nil"/>
              <w:bottom w:val="single" w:sz="6" w:space="0" w:color="FFFFFF" w:themeColor="background1"/>
            </w:tcBorders>
            <w:shd w:val="clear" w:color="auto" w:fill="1E4496" w:themeFill="text2"/>
            <w:tcMar>
              <w:top w:w="85" w:type="dxa"/>
              <w:left w:w="113" w:type="dxa"/>
              <w:bottom w:w="85" w:type="dxa"/>
              <w:right w:w="113" w:type="dxa"/>
            </w:tcMar>
            <w:vAlign w:val="bottom"/>
          </w:tcPr>
          <w:p w14:paraId="028A8DDD" w14:textId="77777777" w:rsidR="00C44EEB" w:rsidRPr="00C44EEB" w:rsidRDefault="00C44EEB" w:rsidP="00C44EEB">
            <w:pPr>
              <w:pStyle w:val="CDITable-HeaderRowCentre"/>
            </w:pPr>
            <w:r w:rsidRPr="00C44EEB">
              <w:t>Vaccination</w:t>
            </w:r>
          </w:p>
        </w:tc>
        <w:tc>
          <w:tcPr>
            <w:tcW w:w="1758" w:type="dxa"/>
            <w:tcBorders>
              <w:top w:val="nil"/>
              <w:bottom w:val="single" w:sz="6" w:space="0" w:color="FFFFFF" w:themeColor="background1"/>
            </w:tcBorders>
            <w:shd w:val="clear" w:color="auto" w:fill="1E4496" w:themeFill="text2"/>
            <w:tcMar>
              <w:top w:w="85" w:type="dxa"/>
              <w:left w:w="113" w:type="dxa"/>
              <w:bottom w:w="85" w:type="dxa"/>
              <w:right w:w="113" w:type="dxa"/>
            </w:tcMar>
            <w:vAlign w:val="bottom"/>
          </w:tcPr>
          <w:p w14:paraId="18710884" w14:textId="77777777" w:rsidR="00C44EEB" w:rsidRPr="00C44EEB" w:rsidRDefault="00C44EEB" w:rsidP="00C44EEB">
            <w:pPr>
              <w:pStyle w:val="CDITable-HeaderRowCentre"/>
            </w:pPr>
            <w:r w:rsidRPr="00C44EEB">
              <w:t>Day of test</w:t>
            </w:r>
          </w:p>
        </w:tc>
        <w:tc>
          <w:tcPr>
            <w:tcW w:w="3175" w:type="dxa"/>
            <w:gridSpan w:val="2"/>
            <w:tcBorders>
              <w:top w:val="nil"/>
              <w:bottom w:val="single" w:sz="6" w:space="0" w:color="FFFFFF" w:themeColor="background1"/>
            </w:tcBorders>
            <w:shd w:val="clear" w:color="auto" w:fill="1E4496" w:themeFill="text2"/>
            <w:tcMar>
              <w:top w:w="85" w:type="dxa"/>
              <w:left w:w="113" w:type="dxa"/>
              <w:bottom w:w="85" w:type="dxa"/>
              <w:right w:w="113" w:type="dxa"/>
            </w:tcMar>
            <w:vAlign w:val="bottom"/>
          </w:tcPr>
          <w:p w14:paraId="43607065" w14:textId="77777777" w:rsidR="00C44EEB" w:rsidRPr="00C44EEB" w:rsidRDefault="00C44EEB" w:rsidP="00C44EEB">
            <w:pPr>
              <w:pStyle w:val="CDITable-HeaderRowCentre"/>
            </w:pPr>
            <w:r w:rsidRPr="00C44EEB">
              <w:t xml:space="preserve">PCR cycle </w:t>
            </w:r>
            <w:proofErr w:type="spellStart"/>
            <w:proofErr w:type="gramStart"/>
            <w:r w:rsidRPr="00C44EEB">
              <w:t>threshold</w:t>
            </w:r>
            <w:r w:rsidRPr="00C44EEB">
              <w:rPr>
                <w:vertAlign w:val="superscript"/>
              </w:rPr>
              <w:t>b,c</w:t>
            </w:r>
            <w:proofErr w:type="spellEnd"/>
            <w:proofErr w:type="gramEnd"/>
          </w:p>
        </w:tc>
        <w:tc>
          <w:tcPr>
            <w:tcW w:w="3174" w:type="dxa"/>
            <w:gridSpan w:val="2"/>
            <w:tcBorders>
              <w:top w:val="nil"/>
              <w:bottom w:val="single" w:sz="6" w:space="0" w:color="FFFFFF" w:themeColor="background1"/>
            </w:tcBorders>
            <w:shd w:val="clear" w:color="auto" w:fill="1E4496" w:themeFill="text2"/>
            <w:tcMar>
              <w:top w:w="85" w:type="dxa"/>
              <w:left w:w="113" w:type="dxa"/>
              <w:bottom w:w="85" w:type="dxa"/>
              <w:right w:w="113" w:type="dxa"/>
            </w:tcMar>
            <w:vAlign w:val="bottom"/>
          </w:tcPr>
          <w:p w14:paraId="65C4A543" w14:textId="77777777" w:rsidR="00C44EEB" w:rsidRPr="00C44EEB" w:rsidRDefault="00C44EEB" w:rsidP="00C44EEB">
            <w:pPr>
              <w:pStyle w:val="CDITable-HeaderRowCentre"/>
            </w:pPr>
            <w:proofErr w:type="spellStart"/>
            <w:r w:rsidRPr="00C44EEB">
              <w:t>Serology</w:t>
            </w:r>
            <w:r w:rsidRPr="00C44EEB">
              <w:rPr>
                <w:vertAlign w:val="superscript"/>
              </w:rPr>
              <w:t>d</w:t>
            </w:r>
            <w:proofErr w:type="spellEnd"/>
          </w:p>
        </w:tc>
      </w:tr>
      <w:tr w:rsidR="00C44EEB" w:rsidRPr="00C44EEB" w14:paraId="56161F03" w14:textId="77777777" w:rsidTr="007A22DB">
        <w:tblPrEx>
          <w:tblCellMar>
            <w:top w:w="0" w:type="dxa"/>
            <w:left w:w="0" w:type="dxa"/>
            <w:bottom w:w="0" w:type="dxa"/>
            <w:right w:w="0" w:type="dxa"/>
          </w:tblCellMar>
        </w:tblPrEx>
        <w:trPr>
          <w:trHeight w:val="60"/>
          <w:tblHeader/>
        </w:trPr>
        <w:tc>
          <w:tcPr>
            <w:tcW w:w="1417" w:type="dxa"/>
            <w:vMerge/>
            <w:tcBorders>
              <w:left w:val="nil"/>
            </w:tcBorders>
            <w:shd w:val="clear" w:color="auto" w:fill="1E4496" w:themeFill="text2"/>
            <w:tcMar>
              <w:top w:w="85" w:type="dxa"/>
              <w:bottom w:w="85" w:type="dxa"/>
            </w:tcMar>
          </w:tcPr>
          <w:p w14:paraId="096A4C44" w14:textId="77777777" w:rsidR="00C44EEB" w:rsidRPr="00C44EEB" w:rsidRDefault="00C44EEB" w:rsidP="00C44EEB">
            <w:pPr>
              <w:pStyle w:val="CDITable-HeaderRowCentre"/>
            </w:pPr>
          </w:p>
        </w:tc>
        <w:tc>
          <w:tcPr>
            <w:tcW w:w="1418" w:type="dxa"/>
            <w:vMerge/>
            <w:tcBorders>
              <w:right w:val="single" w:sz="6" w:space="0" w:color="FFFFFF" w:themeColor="background1"/>
            </w:tcBorders>
            <w:shd w:val="clear" w:color="auto" w:fill="1E4496" w:themeFill="text2"/>
            <w:tcMar>
              <w:top w:w="85" w:type="dxa"/>
              <w:bottom w:w="85" w:type="dxa"/>
            </w:tcMar>
          </w:tcPr>
          <w:p w14:paraId="4DFC7696" w14:textId="77777777" w:rsidR="00C44EEB" w:rsidRPr="00C44EEB" w:rsidRDefault="00C44EEB" w:rsidP="00C44EEB">
            <w:pPr>
              <w:pStyle w:val="CDITable-HeaderRowCentre"/>
            </w:pPr>
          </w:p>
        </w:tc>
        <w:tc>
          <w:tcPr>
            <w:tcW w:w="1700" w:type="dxa"/>
            <w:tcBorders>
              <w:top w:val="single" w:sz="6" w:space="0" w:color="FFFFFF" w:themeColor="background1"/>
              <w:left w:val="single" w:sz="6" w:space="0" w:color="FFFFFF" w:themeColor="background1"/>
            </w:tcBorders>
            <w:shd w:val="clear" w:color="auto" w:fill="1E4496" w:themeFill="text2"/>
            <w:tcMar>
              <w:top w:w="85" w:type="dxa"/>
              <w:left w:w="113" w:type="dxa"/>
              <w:bottom w:w="85" w:type="dxa"/>
              <w:right w:w="113" w:type="dxa"/>
            </w:tcMar>
            <w:vAlign w:val="bottom"/>
          </w:tcPr>
          <w:p w14:paraId="695E46EF" w14:textId="77777777" w:rsidR="00C44EEB" w:rsidRPr="00C44EEB" w:rsidRDefault="00C44EEB" w:rsidP="00C44EEB">
            <w:pPr>
              <w:pStyle w:val="CDITable-HeaderRowCentre"/>
            </w:pPr>
            <w:r w:rsidRPr="00C44EEB">
              <w:t>Number of doses</w:t>
            </w:r>
          </w:p>
        </w:tc>
        <w:tc>
          <w:tcPr>
            <w:tcW w:w="1701" w:type="dxa"/>
            <w:tcBorders>
              <w:top w:val="single" w:sz="6" w:space="0" w:color="FFFFFF" w:themeColor="background1"/>
              <w:right w:val="single" w:sz="6" w:space="0" w:color="FFFFFF" w:themeColor="background1"/>
            </w:tcBorders>
            <w:shd w:val="clear" w:color="auto" w:fill="1E4496" w:themeFill="text2"/>
            <w:tcMar>
              <w:top w:w="85" w:type="dxa"/>
              <w:left w:w="113" w:type="dxa"/>
              <w:bottom w:w="85" w:type="dxa"/>
              <w:right w:w="113" w:type="dxa"/>
            </w:tcMar>
            <w:vAlign w:val="bottom"/>
          </w:tcPr>
          <w:p w14:paraId="60D434FC" w14:textId="77777777" w:rsidR="00C44EEB" w:rsidRPr="00C44EEB" w:rsidRDefault="00C44EEB" w:rsidP="00C44EEB">
            <w:pPr>
              <w:pStyle w:val="CDITable-HeaderRowCentre"/>
            </w:pPr>
            <w:r w:rsidRPr="00C44EEB">
              <w:t>Years</w:t>
            </w:r>
          </w:p>
        </w:tc>
        <w:tc>
          <w:tcPr>
            <w:tcW w:w="1758" w:type="dxa"/>
            <w:tcBorders>
              <w:top w:val="single" w:sz="6" w:space="0" w:color="FFFFFF" w:themeColor="background1"/>
              <w:left w:val="single" w:sz="6" w:space="0" w:color="FFFFFF" w:themeColor="background1"/>
              <w:right w:val="single" w:sz="6" w:space="0" w:color="FFFFFF" w:themeColor="background1"/>
            </w:tcBorders>
            <w:shd w:val="clear" w:color="auto" w:fill="1E4496" w:themeFill="text2"/>
            <w:tcMar>
              <w:top w:w="85" w:type="dxa"/>
              <w:left w:w="113" w:type="dxa"/>
              <w:bottom w:w="85" w:type="dxa"/>
              <w:right w:w="113" w:type="dxa"/>
            </w:tcMar>
            <w:vAlign w:val="bottom"/>
          </w:tcPr>
          <w:p w14:paraId="4801928B" w14:textId="77777777" w:rsidR="00C44EEB" w:rsidRPr="00C44EEB" w:rsidRDefault="00C44EEB" w:rsidP="00C44EEB">
            <w:pPr>
              <w:pStyle w:val="CDITable-HeaderRowCentre"/>
            </w:pPr>
            <w:r w:rsidRPr="00C44EEB">
              <w:t>(from rash onset)</w:t>
            </w:r>
          </w:p>
        </w:tc>
        <w:tc>
          <w:tcPr>
            <w:tcW w:w="1417" w:type="dxa"/>
            <w:tcBorders>
              <w:top w:val="single" w:sz="6" w:space="0" w:color="FFFFFF" w:themeColor="background1"/>
              <w:left w:val="single" w:sz="6" w:space="0" w:color="FFFFFF" w:themeColor="background1"/>
            </w:tcBorders>
            <w:shd w:val="clear" w:color="auto" w:fill="1E4496" w:themeFill="text2"/>
            <w:tcMar>
              <w:top w:w="85" w:type="dxa"/>
              <w:left w:w="113" w:type="dxa"/>
              <w:bottom w:w="85" w:type="dxa"/>
              <w:right w:w="113" w:type="dxa"/>
            </w:tcMar>
            <w:vAlign w:val="bottom"/>
          </w:tcPr>
          <w:p w14:paraId="7F5FC704" w14:textId="77777777" w:rsidR="00C44EEB" w:rsidRPr="00C44EEB" w:rsidRDefault="00C44EEB" w:rsidP="00C44EEB">
            <w:pPr>
              <w:pStyle w:val="CDITable-HeaderRowCentre"/>
            </w:pPr>
            <w:r w:rsidRPr="00C44EEB">
              <w:t>Urine</w:t>
            </w:r>
          </w:p>
        </w:tc>
        <w:tc>
          <w:tcPr>
            <w:tcW w:w="1758" w:type="dxa"/>
            <w:tcBorders>
              <w:top w:val="single" w:sz="6" w:space="0" w:color="FFFFFF" w:themeColor="background1"/>
              <w:right w:val="single" w:sz="6" w:space="0" w:color="FFFFFF" w:themeColor="background1"/>
            </w:tcBorders>
            <w:shd w:val="clear" w:color="auto" w:fill="1E4496" w:themeFill="text2"/>
            <w:tcMar>
              <w:top w:w="85" w:type="dxa"/>
              <w:left w:w="113" w:type="dxa"/>
              <w:bottom w:w="85" w:type="dxa"/>
              <w:right w:w="113" w:type="dxa"/>
            </w:tcMar>
            <w:vAlign w:val="bottom"/>
          </w:tcPr>
          <w:p w14:paraId="1862F392" w14:textId="77777777" w:rsidR="00C44EEB" w:rsidRPr="00C44EEB" w:rsidRDefault="00C44EEB" w:rsidP="00C44EEB">
            <w:pPr>
              <w:pStyle w:val="CDITable-HeaderRowCentre"/>
            </w:pPr>
            <w:r w:rsidRPr="00C44EEB">
              <w:t>Nasopharyngeal swab</w:t>
            </w:r>
          </w:p>
        </w:tc>
        <w:tc>
          <w:tcPr>
            <w:tcW w:w="1587" w:type="dxa"/>
            <w:tcBorders>
              <w:top w:val="single" w:sz="6" w:space="0" w:color="FFFFFF" w:themeColor="background1"/>
              <w:left w:val="single" w:sz="6" w:space="0" w:color="FFFFFF" w:themeColor="background1"/>
            </w:tcBorders>
            <w:shd w:val="clear" w:color="auto" w:fill="1E4496" w:themeFill="text2"/>
            <w:tcMar>
              <w:top w:w="85" w:type="dxa"/>
              <w:left w:w="113" w:type="dxa"/>
              <w:bottom w:w="85" w:type="dxa"/>
              <w:right w:w="113" w:type="dxa"/>
            </w:tcMar>
            <w:vAlign w:val="bottom"/>
          </w:tcPr>
          <w:p w14:paraId="2726D91E" w14:textId="77777777" w:rsidR="00C44EEB" w:rsidRPr="00C44EEB" w:rsidRDefault="00C44EEB" w:rsidP="00C44EEB">
            <w:pPr>
              <w:pStyle w:val="CDITable-HeaderRowCentre"/>
            </w:pPr>
            <w:r w:rsidRPr="00C44EEB">
              <w:t>IgM</w:t>
            </w:r>
          </w:p>
        </w:tc>
        <w:tc>
          <w:tcPr>
            <w:tcW w:w="1587" w:type="dxa"/>
            <w:tcBorders>
              <w:top w:val="single" w:sz="6" w:space="0" w:color="FFFFFF" w:themeColor="background1"/>
              <w:right w:val="nil"/>
            </w:tcBorders>
            <w:shd w:val="clear" w:color="auto" w:fill="1E4496" w:themeFill="text2"/>
            <w:tcMar>
              <w:top w:w="85" w:type="dxa"/>
              <w:left w:w="113" w:type="dxa"/>
              <w:bottom w:w="85" w:type="dxa"/>
              <w:right w:w="113" w:type="dxa"/>
            </w:tcMar>
            <w:vAlign w:val="bottom"/>
          </w:tcPr>
          <w:p w14:paraId="18642CC4" w14:textId="77777777" w:rsidR="00C44EEB" w:rsidRPr="00C44EEB" w:rsidRDefault="00C44EEB" w:rsidP="00C44EEB">
            <w:pPr>
              <w:pStyle w:val="CDITable-HeaderRowCentre"/>
            </w:pPr>
            <w:r w:rsidRPr="00C44EEB">
              <w:t>IgG</w:t>
            </w:r>
          </w:p>
        </w:tc>
      </w:tr>
      <w:tr w:rsidR="00C44EEB" w:rsidRPr="00C44EEB" w14:paraId="0CD1C5DB" w14:textId="77777777" w:rsidTr="00C44EEB">
        <w:tblPrEx>
          <w:tblCellMar>
            <w:top w:w="0" w:type="dxa"/>
            <w:left w:w="0" w:type="dxa"/>
            <w:bottom w:w="0" w:type="dxa"/>
            <w:right w:w="0" w:type="dxa"/>
          </w:tblCellMar>
        </w:tblPrEx>
        <w:trPr>
          <w:trHeight w:val="60"/>
        </w:trPr>
        <w:tc>
          <w:tcPr>
            <w:tcW w:w="1417" w:type="dxa"/>
            <w:tcBorders>
              <w:left w:val="nil"/>
              <w:bottom w:val="single" w:sz="6" w:space="0" w:color="1E4496" w:themeColor="text2"/>
            </w:tcBorders>
            <w:shd w:val="clear" w:color="auto" w:fill="DCF4FC" w:themeFill="background2" w:themeFillTint="33"/>
            <w:tcMar>
              <w:top w:w="85" w:type="dxa"/>
              <w:left w:w="113" w:type="dxa"/>
              <w:bottom w:w="85" w:type="dxa"/>
              <w:right w:w="113" w:type="dxa"/>
            </w:tcMar>
            <w:vAlign w:val="center"/>
          </w:tcPr>
          <w:p w14:paraId="29B09EB1" w14:textId="77777777" w:rsidR="00C44EEB" w:rsidRPr="00C44EEB" w:rsidRDefault="00C44EEB" w:rsidP="00C44EEB">
            <w:pPr>
              <w:pStyle w:val="CDITable-RowCentre"/>
              <w:rPr>
                <w:lang w:val="en-GB"/>
              </w:rPr>
            </w:pPr>
            <w:r w:rsidRPr="00C44EEB">
              <w:rPr>
                <w:lang w:val="en-GB"/>
              </w:rPr>
              <w:t>1969</w:t>
            </w:r>
          </w:p>
        </w:tc>
        <w:tc>
          <w:tcPr>
            <w:tcW w:w="1418" w:type="dxa"/>
            <w:tcBorders>
              <w:bottom w:val="single" w:sz="6" w:space="0" w:color="1E4496" w:themeColor="text2"/>
              <w:right w:val="single" w:sz="6" w:space="0" w:color="1E4496" w:themeColor="text2"/>
            </w:tcBorders>
            <w:shd w:val="solid" w:color="FFFFFF" w:fill="auto"/>
            <w:tcMar>
              <w:top w:w="85" w:type="dxa"/>
              <w:left w:w="113" w:type="dxa"/>
              <w:bottom w:w="85" w:type="dxa"/>
              <w:right w:w="113" w:type="dxa"/>
            </w:tcMar>
            <w:vAlign w:val="center"/>
          </w:tcPr>
          <w:p w14:paraId="77C4B5A7" w14:textId="77777777" w:rsidR="00C44EEB" w:rsidRPr="00C44EEB" w:rsidRDefault="00C44EEB" w:rsidP="00C44EEB">
            <w:pPr>
              <w:pStyle w:val="CDITable-RowCentre"/>
              <w:rPr>
                <w:lang w:val="en-GB"/>
              </w:rPr>
            </w:pPr>
            <w:r w:rsidRPr="00C44EEB">
              <w:rPr>
                <w:lang w:val="en-GB"/>
              </w:rPr>
              <w:t>56</w:t>
            </w:r>
          </w:p>
        </w:tc>
        <w:tc>
          <w:tcPr>
            <w:tcW w:w="1700" w:type="dxa"/>
            <w:tcBorders>
              <w:left w:val="single" w:sz="6" w:space="0" w:color="1E4496" w:themeColor="text2"/>
              <w:bottom w:val="single" w:sz="6" w:space="0" w:color="1E4496" w:themeColor="text2"/>
            </w:tcBorders>
            <w:shd w:val="solid" w:color="FFFFFF" w:fill="auto"/>
            <w:tcMar>
              <w:top w:w="85" w:type="dxa"/>
              <w:left w:w="113" w:type="dxa"/>
              <w:bottom w:w="85" w:type="dxa"/>
              <w:right w:w="113" w:type="dxa"/>
            </w:tcMar>
            <w:vAlign w:val="center"/>
          </w:tcPr>
          <w:p w14:paraId="5079C133" w14:textId="77777777" w:rsidR="00C44EEB" w:rsidRPr="00C44EEB" w:rsidRDefault="00C44EEB" w:rsidP="00C44EEB">
            <w:pPr>
              <w:pStyle w:val="CDITable-RowCentre"/>
              <w:rPr>
                <w:lang w:val="en-GB"/>
              </w:rPr>
            </w:pPr>
            <w:r w:rsidRPr="00C44EEB">
              <w:rPr>
                <w:lang w:val="en-GB"/>
              </w:rPr>
              <w:t>Serology (2015); reactive</w:t>
            </w:r>
          </w:p>
        </w:tc>
        <w:tc>
          <w:tcPr>
            <w:tcW w:w="1701" w:type="dxa"/>
            <w:tcBorders>
              <w:bottom w:val="single" w:sz="6" w:space="0" w:color="1E4496" w:themeColor="text2"/>
              <w:right w:val="single" w:sz="6" w:space="0" w:color="1E4496" w:themeColor="text2"/>
            </w:tcBorders>
            <w:shd w:val="solid" w:color="FFFFFF" w:fill="auto"/>
            <w:tcMar>
              <w:top w:w="85" w:type="dxa"/>
              <w:left w:w="113" w:type="dxa"/>
              <w:bottom w:w="85" w:type="dxa"/>
              <w:right w:w="113" w:type="dxa"/>
            </w:tcMar>
            <w:vAlign w:val="center"/>
          </w:tcPr>
          <w:p w14:paraId="69F5B357" w14:textId="77777777" w:rsidR="00C44EEB" w:rsidRPr="00C44EEB" w:rsidRDefault="00C44EEB" w:rsidP="00C44EEB">
            <w:pPr>
              <w:pStyle w:val="CDITable-RowCentre"/>
              <w:rPr>
                <w:lang w:val="en-GB"/>
              </w:rPr>
            </w:pPr>
            <w:r w:rsidRPr="00C44EEB">
              <w:rPr>
                <w:lang w:val="en-GB"/>
              </w:rPr>
              <w:t>—</w:t>
            </w:r>
          </w:p>
        </w:tc>
        <w:tc>
          <w:tcPr>
            <w:tcW w:w="1758" w:type="dxa"/>
            <w:tcBorders>
              <w:left w:val="single" w:sz="6" w:space="0" w:color="1E4496" w:themeColor="text2"/>
              <w:bottom w:val="single" w:sz="6" w:space="0" w:color="1E4496" w:themeColor="text2"/>
              <w:right w:val="single" w:sz="6" w:space="0" w:color="1E4496" w:themeColor="text2"/>
            </w:tcBorders>
            <w:shd w:val="solid" w:color="FFFFFF" w:fill="auto"/>
            <w:tcMar>
              <w:top w:w="85" w:type="dxa"/>
              <w:left w:w="113" w:type="dxa"/>
              <w:bottom w:w="85" w:type="dxa"/>
              <w:right w:w="113" w:type="dxa"/>
            </w:tcMar>
            <w:vAlign w:val="center"/>
          </w:tcPr>
          <w:p w14:paraId="11EE0D70" w14:textId="77777777" w:rsidR="00C44EEB" w:rsidRPr="00C44EEB" w:rsidRDefault="00C44EEB" w:rsidP="00C44EEB">
            <w:pPr>
              <w:pStyle w:val="CDITable-RowCentre"/>
              <w:rPr>
                <w:lang w:val="en-GB"/>
              </w:rPr>
            </w:pPr>
            <w:r w:rsidRPr="00C44EEB">
              <w:rPr>
                <w:lang w:val="en-GB"/>
              </w:rPr>
              <w:t>4</w:t>
            </w:r>
          </w:p>
        </w:tc>
        <w:tc>
          <w:tcPr>
            <w:tcW w:w="1417" w:type="dxa"/>
            <w:tcBorders>
              <w:left w:val="single" w:sz="6" w:space="0" w:color="1E4496" w:themeColor="text2"/>
              <w:bottom w:val="single" w:sz="6" w:space="0" w:color="1E4496" w:themeColor="text2"/>
            </w:tcBorders>
            <w:shd w:val="solid" w:color="FFFFFF" w:fill="auto"/>
            <w:tcMar>
              <w:top w:w="85" w:type="dxa"/>
              <w:left w:w="113" w:type="dxa"/>
              <w:bottom w:w="85" w:type="dxa"/>
              <w:right w:w="113" w:type="dxa"/>
            </w:tcMar>
            <w:vAlign w:val="center"/>
          </w:tcPr>
          <w:p w14:paraId="74864CB0" w14:textId="77777777" w:rsidR="00C44EEB" w:rsidRPr="00C44EEB" w:rsidRDefault="00C44EEB" w:rsidP="00C44EEB">
            <w:pPr>
              <w:pStyle w:val="CDITable-RowCentre"/>
              <w:rPr>
                <w:lang w:val="en-GB"/>
              </w:rPr>
            </w:pPr>
            <w:r w:rsidRPr="00C44EEB">
              <w:rPr>
                <w:lang w:val="en-GB"/>
              </w:rPr>
              <w:t>ND</w:t>
            </w:r>
          </w:p>
        </w:tc>
        <w:tc>
          <w:tcPr>
            <w:tcW w:w="1758" w:type="dxa"/>
            <w:tcBorders>
              <w:bottom w:val="single" w:sz="6" w:space="0" w:color="1E4496" w:themeColor="text2"/>
              <w:right w:val="single" w:sz="6" w:space="0" w:color="1E4496" w:themeColor="text2"/>
            </w:tcBorders>
            <w:shd w:val="solid" w:color="FFFFFF" w:fill="auto"/>
            <w:tcMar>
              <w:top w:w="85" w:type="dxa"/>
              <w:left w:w="113" w:type="dxa"/>
              <w:bottom w:w="85" w:type="dxa"/>
              <w:right w:w="113" w:type="dxa"/>
            </w:tcMar>
            <w:vAlign w:val="center"/>
          </w:tcPr>
          <w:p w14:paraId="5F38F552" w14:textId="77777777" w:rsidR="00C44EEB" w:rsidRPr="00C44EEB" w:rsidRDefault="00C44EEB" w:rsidP="00C44EEB">
            <w:pPr>
              <w:pStyle w:val="CDITable-RowCentre"/>
              <w:rPr>
                <w:lang w:val="en-GB"/>
              </w:rPr>
            </w:pPr>
            <w:r w:rsidRPr="00C44EEB">
              <w:rPr>
                <w:lang w:val="en-GB"/>
              </w:rPr>
              <w:t>36.6</w:t>
            </w:r>
          </w:p>
        </w:tc>
        <w:tc>
          <w:tcPr>
            <w:tcW w:w="1587" w:type="dxa"/>
            <w:tcBorders>
              <w:left w:val="single" w:sz="6" w:space="0" w:color="1E4496" w:themeColor="text2"/>
              <w:bottom w:val="single" w:sz="6" w:space="0" w:color="1E4496" w:themeColor="text2"/>
            </w:tcBorders>
            <w:shd w:val="solid" w:color="FFFFFF" w:fill="auto"/>
            <w:tcMar>
              <w:top w:w="85" w:type="dxa"/>
              <w:left w:w="113" w:type="dxa"/>
              <w:bottom w:w="85" w:type="dxa"/>
              <w:right w:w="113" w:type="dxa"/>
            </w:tcMar>
            <w:vAlign w:val="center"/>
          </w:tcPr>
          <w:p w14:paraId="27282E85" w14:textId="77777777" w:rsidR="00C44EEB" w:rsidRPr="00C44EEB" w:rsidRDefault="00C44EEB" w:rsidP="00C44EEB">
            <w:pPr>
              <w:pStyle w:val="CDITable-RowCentre"/>
              <w:rPr>
                <w:lang w:val="en-GB"/>
              </w:rPr>
            </w:pPr>
            <w:r w:rsidRPr="00C44EEB">
              <w:rPr>
                <w:lang w:val="en-GB"/>
              </w:rPr>
              <w:t>Neg</w:t>
            </w:r>
          </w:p>
        </w:tc>
        <w:tc>
          <w:tcPr>
            <w:tcW w:w="1587" w:type="dxa"/>
            <w:tcBorders>
              <w:bottom w:val="single" w:sz="6" w:space="0" w:color="1E4496" w:themeColor="text2"/>
              <w:right w:val="nil"/>
            </w:tcBorders>
            <w:shd w:val="solid" w:color="FFFFFF" w:fill="auto"/>
            <w:tcMar>
              <w:top w:w="85" w:type="dxa"/>
              <w:left w:w="113" w:type="dxa"/>
              <w:bottom w:w="85" w:type="dxa"/>
              <w:right w:w="113" w:type="dxa"/>
            </w:tcMar>
            <w:vAlign w:val="center"/>
          </w:tcPr>
          <w:p w14:paraId="4B8D7517" w14:textId="77777777" w:rsidR="00C44EEB" w:rsidRPr="00C44EEB" w:rsidRDefault="00C44EEB" w:rsidP="00C44EEB">
            <w:pPr>
              <w:pStyle w:val="CDITable-RowCentre"/>
              <w:rPr>
                <w:lang w:val="en-GB"/>
              </w:rPr>
            </w:pPr>
            <w:r w:rsidRPr="00C44EEB">
              <w:rPr>
                <w:lang w:val="en-GB"/>
              </w:rPr>
              <w:t>&gt; 300.0</w:t>
            </w:r>
          </w:p>
        </w:tc>
      </w:tr>
      <w:tr w:rsidR="00C44EEB" w:rsidRPr="00C44EEB" w14:paraId="567ED7BE" w14:textId="77777777" w:rsidTr="00C44EEB">
        <w:tblPrEx>
          <w:tblCellMar>
            <w:top w:w="0" w:type="dxa"/>
            <w:left w:w="0" w:type="dxa"/>
            <w:bottom w:w="0" w:type="dxa"/>
            <w:right w:w="0" w:type="dxa"/>
          </w:tblCellMar>
        </w:tblPrEx>
        <w:trPr>
          <w:trHeight w:val="60"/>
        </w:trPr>
        <w:tc>
          <w:tcPr>
            <w:tcW w:w="1417" w:type="dxa"/>
            <w:tcBorders>
              <w:top w:val="single" w:sz="6" w:space="0" w:color="1E4496" w:themeColor="text2"/>
              <w:left w:val="nil"/>
              <w:bottom w:val="single" w:sz="6" w:space="0" w:color="1E4496" w:themeColor="text2"/>
            </w:tcBorders>
            <w:shd w:val="clear" w:color="auto" w:fill="DCF4FC" w:themeFill="background2" w:themeFillTint="33"/>
            <w:tcMar>
              <w:top w:w="85" w:type="dxa"/>
              <w:left w:w="113" w:type="dxa"/>
              <w:bottom w:w="85" w:type="dxa"/>
              <w:right w:w="113" w:type="dxa"/>
            </w:tcMar>
            <w:vAlign w:val="center"/>
          </w:tcPr>
          <w:p w14:paraId="66A01582" w14:textId="77777777" w:rsidR="00C44EEB" w:rsidRPr="00C44EEB" w:rsidRDefault="00C44EEB" w:rsidP="00C44EEB">
            <w:pPr>
              <w:pStyle w:val="CDITable-RowCentre"/>
              <w:rPr>
                <w:lang w:val="en-GB"/>
              </w:rPr>
            </w:pPr>
            <w:r w:rsidRPr="00C44EEB">
              <w:rPr>
                <w:lang w:val="en-GB"/>
              </w:rPr>
              <w:t>1991</w:t>
            </w:r>
          </w:p>
        </w:tc>
        <w:tc>
          <w:tcPr>
            <w:tcW w:w="1418"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266609D9" w14:textId="77777777" w:rsidR="00C44EEB" w:rsidRPr="00C44EEB" w:rsidRDefault="00C44EEB" w:rsidP="00C44EEB">
            <w:pPr>
              <w:pStyle w:val="CDITable-RowCentre"/>
              <w:rPr>
                <w:lang w:val="en-GB"/>
              </w:rPr>
            </w:pPr>
            <w:r w:rsidRPr="00C44EEB">
              <w:rPr>
                <w:lang w:val="en-GB"/>
              </w:rPr>
              <w:t>34</w:t>
            </w:r>
          </w:p>
        </w:tc>
        <w:tc>
          <w:tcPr>
            <w:tcW w:w="1700"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339499B5" w14:textId="77777777" w:rsidR="00C44EEB" w:rsidRPr="00C44EEB" w:rsidRDefault="00C44EEB" w:rsidP="00C44EEB">
            <w:pPr>
              <w:pStyle w:val="CDITable-RowCentre"/>
              <w:rPr>
                <w:lang w:val="en-GB"/>
              </w:rPr>
            </w:pPr>
            <w:r w:rsidRPr="00C44EEB">
              <w:rPr>
                <w:lang w:val="en-GB"/>
              </w:rPr>
              <w:t>2</w:t>
            </w:r>
          </w:p>
        </w:tc>
        <w:tc>
          <w:tcPr>
            <w:tcW w:w="1701"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66D9805B" w14:textId="77777777" w:rsidR="00C44EEB" w:rsidRPr="00C44EEB" w:rsidRDefault="00C44EEB" w:rsidP="00C44EEB">
            <w:pPr>
              <w:pStyle w:val="CDITable-RowCentre"/>
              <w:rPr>
                <w:lang w:val="en-GB"/>
              </w:rPr>
            </w:pPr>
            <w:r w:rsidRPr="00C44EEB">
              <w:rPr>
                <w:lang w:val="en-GB"/>
              </w:rPr>
              <w:t>Verbal</w:t>
            </w:r>
          </w:p>
        </w:tc>
        <w:tc>
          <w:tcPr>
            <w:tcW w:w="1758"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411E0776" w14:textId="77777777" w:rsidR="00C44EEB" w:rsidRPr="00C44EEB" w:rsidRDefault="00C44EEB" w:rsidP="00C44EEB">
            <w:pPr>
              <w:pStyle w:val="CDITable-RowCentre"/>
              <w:rPr>
                <w:lang w:val="en-GB"/>
              </w:rPr>
            </w:pPr>
            <w:r w:rsidRPr="00C44EEB">
              <w:rPr>
                <w:lang w:val="en-GB"/>
              </w:rPr>
              <w:t>2</w:t>
            </w:r>
          </w:p>
        </w:tc>
        <w:tc>
          <w:tcPr>
            <w:tcW w:w="1417"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381122FE" w14:textId="77777777" w:rsidR="00C44EEB" w:rsidRPr="00C44EEB" w:rsidRDefault="00C44EEB" w:rsidP="00C44EEB">
            <w:pPr>
              <w:pStyle w:val="CDITable-RowCentre"/>
              <w:rPr>
                <w:lang w:val="en-GB"/>
              </w:rPr>
            </w:pPr>
            <w:r w:rsidRPr="00C44EEB">
              <w:rPr>
                <w:lang w:val="en-GB"/>
              </w:rPr>
              <w:t>ND</w:t>
            </w:r>
          </w:p>
        </w:tc>
        <w:tc>
          <w:tcPr>
            <w:tcW w:w="1758"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04783E0C" w14:textId="77777777" w:rsidR="00C44EEB" w:rsidRPr="00C44EEB" w:rsidRDefault="00C44EEB" w:rsidP="00C44EEB">
            <w:pPr>
              <w:pStyle w:val="CDITable-RowCentre"/>
              <w:rPr>
                <w:lang w:val="en-GB"/>
              </w:rPr>
            </w:pPr>
            <w:r w:rsidRPr="00C44EEB">
              <w:rPr>
                <w:lang w:val="en-GB"/>
              </w:rPr>
              <w:t>30.2</w:t>
            </w:r>
          </w:p>
        </w:tc>
        <w:tc>
          <w:tcPr>
            <w:tcW w:w="1587"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13F108AF" w14:textId="77777777" w:rsidR="00C44EEB" w:rsidRPr="00C44EEB" w:rsidRDefault="00C44EEB" w:rsidP="00C44EEB">
            <w:pPr>
              <w:pStyle w:val="CDITable-RowCentre"/>
              <w:rPr>
                <w:lang w:val="en-GB"/>
              </w:rPr>
            </w:pPr>
            <w:r w:rsidRPr="00C44EEB">
              <w:rPr>
                <w:lang w:val="en-GB"/>
              </w:rPr>
              <w:t>—</w:t>
            </w:r>
          </w:p>
        </w:tc>
        <w:tc>
          <w:tcPr>
            <w:tcW w:w="1587"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20E6EF80" w14:textId="77777777" w:rsidR="00C44EEB" w:rsidRPr="00C44EEB" w:rsidRDefault="00C44EEB" w:rsidP="00C44EEB">
            <w:pPr>
              <w:pStyle w:val="CDITable-RowCentre"/>
              <w:rPr>
                <w:lang w:val="en-GB"/>
              </w:rPr>
            </w:pPr>
            <w:r w:rsidRPr="00C44EEB">
              <w:rPr>
                <w:lang w:val="en-GB"/>
              </w:rPr>
              <w:t>—</w:t>
            </w:r>
          </w:p>
        </w:tc>
      </w:tr>
      <w:tr w:rsidR="00C44EEB" w:rsidRPr="00C44EEB" w14:paraId="53E62639" w14:textId="77777777" w:rsidTr="00C44EEB">
        <w:tblPrEx>
          <w:tblCellMar>
            <w:top w:w="0" w:type="dxa"/>
            <w:left w:w="0" w:type="dxa"/>
            <w:bottom w:w="0" w:type="dxa"/>
            <w:right w:w="0" w:type="dxa"/>
          </w:tblCellMar>
        </w:tblPrEx>
        <w:trPr>
          <w:trHeight w:val="60"/>
        </w:trPr>
        <w:tc>
          <w:tcPr>
            <w:tcW w:w="1417" w:type="dxa"/>
            <w:tcBorders>
              <w:top w:val="single" w:sz="6" w:space="0" w:color="1E4496" w:themeColor="text2"/>
              <w:left w:val="nil"/>
              <w:bottom w:val="single" w:sz="6" w:space="0" w:color="1E4496" w:themeColor="text2"/>
            </w:tcBorders>
            <w:shd w:val="clear" w:color="auto" w:fill="DCF4FC" w:themeFill="background2" w:themeFillTint="33"/>
            <w:tcMar>
              <w:top w:w="85" w:type="dxa"/>
              <w:left w:w="113" w:type="dxa"/>
              <w:bottom w:w="85" w:type="dxa"/>
              <w:right w:w="113" w:type="dxa"/>
            </w:tcMar>
            <w:vAlign w:val="center"/>
          </w:tcPr>
          <w:p w14:paraId="5B27707C" w14:textId="77777777" w:rsidR="00C44EEB" w:rsidRPr="00C44EEB" w:rsidRDefault="00C44EEB" w:rsidP="00C44EEB">
            <w:pPr>
              <w:pStyle w:val="CDITable-RowCentre"/>
              <w:rPr>
                <w:lang w:val="en-GB"/>
              </w:rPr>
            </w:pPr>
            <w:r w:rsidRPr="00C44EEB">
              <w:rPr>
                <w:lang w:val="en-GB"/>
              </w:rPr>
              <w:t>1992</w:t>
            </w:r>
          </w:p>
        </w:tc>
        <w:tc>
          <w:tcPr>
            <w:tcW w:w="1418"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1313246F" w14:textId="77777777" w:rsidR="00C44EEB" w:rsidRPr="00C44EEB" w:rsidRDefault="00C44EEB" w:rsidP="00C44EEB">
            <w:pPr>
              <w:pStyle w:val="CDITable-RowCentre"/>
              <w:rPr>
                <w:lang w:val="en-GB"/>
              </w:rPr>
            </w:pPr>
            <w:r w:rsidRPr="00C44EEB">
              <w:rPr>
                <w:lang w:val="en-GB"/>
              </w:rPr>
              <w:t>33</w:t>
            </w:r>
          </w:p>
        </w:tc>
        <w:tc>
          <w:tcPr>
            <w:tcW w:w="1700"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60697291" w14:textId="77777777" w:rsidR="00C44EEB" w:rsidRPr="00C44EEB" w:rsidRDefault="00C44EEB" w:rsidP="00C44EEB">
            <w:pPr>
              <w:pStyle w:val="CDITable-RowCentre"/>
              <w:rPr>
                <w:lang w:val="en-GB"/>
              </w:rPr>
            </w:pPr>
            <w:r w:rsidRPr="00C44EEB">
              <w:rPr>
                <w:lang w:val="en-GB"/>
              </w:rPr>
              <w:t>2</w:t>
            </w:r>
          </w:p>
        </w:tc>
        <w:tc>
          <w:tcPr>
            <w:tcW w:w="1701"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485D0003" w14:textId="77777777" w:rsidR="00C44EEB" w:rsidRPr="00C44EEB" w:rsidRDefault="00C44EEB" w:rsidP="00C44EEB">
            <w:pPr>
              <w:pStyle w:val="CDITable-RowCentre"/>
              <w:rPr>
                <w:lang w:val="en-GB"/>
              </w:rPr>
            </w:pPr>
            <w:r w:rsidRPr="00C44EEB">
              <w:rPr>
                <w:lang w:val="en-GB"/>
              </w:rPr>
              <w:t>Verbal</w:t>
            </w:r>
          </w:p>
        </w:tc>
        <w:tc>
          <w:tcPr>
            <w:tcW w:w="1758"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32D65D0A" w14:textId="77777777" w:rsidR="00C44EEB" w:rsidRPr="00C44EEB" w:rsidRDefault="00C44EEB" w:rsidP="00C44EEB">
            <w:pPr>
              <w:pStyle w:val="CDITable-RowCentre"/>
              <w:rPr>
                <w:lang w:val="en-GB"/>
              </w:rPr>
            </w:pPr>
            <w:r w:rsidRPr="00C44EEB">
              <w:rPr>
                <w:lang w:val="en-GB"/>
              </w:rPr>
              <w:t>2</w:t>
            </w:r>
          </w:p>
        </w:tc>
        <w:tc>
          <w:tcPr>
            <w:tcW w:w="1417"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64BC1C53" w14:textId="77777777" w:rsidR="00C44EEB" w:rsidRPr="00C44EEB" w:rsidRDefault="00C44EEB" w:rsidP="00C44EEB">
            <w:pPr>
              <w:pStyle w:val="CDITable-RowCentre"/>
              <w:rPr>
                <w:lang w:val="en-GB"/>
              </w:rPr>
            </w:pPr>
            <w:r w:rsidRPr="00C44EEB">
              <w:rPr>
                <w:lang w:val="en-GB"/>
              </w:rPr>
              <w:t>—</w:t>
            </w:r>
          </w:p>
        </w:tc>
        <w:tc>
          <w:tcPr>
            <w:tcW w:w="1758"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1F97983C" w14:textId="77777777" w:rsidR="00C44EEB" w:rsidRPr="00C44EEB" w:rsidRDefault="00C44EEB" w:rsidP="00C44EEB">
            <w:pPr>
              <w:pStyle w:val="CDITable-RowCentre"/>
              <w:rPr>
                <w:lang w:val="en-GB"/>
              </w:rPr>
            </w:pPr>
            <w:r w:rsidRPr="00C44EEB">
              <w:rPr>
                <w:lang w:val="en-GB"/>
              </w:rPr>
              <w:t>28</w:t>
            </w:r>
          </w:p>
        </w:tc>
        <w:tc>
          <w:tcPr>
            <w:tcW w:w="1587"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15B807D9" w14:textId="77777777" w:rsidR="00C44EEB" w:rsidRPr="00C44EEB" w:rsidRDefault="00C44EEB" w:rsidP="00C44EEB">
            <w:pPr>
              <w:pStyle w:val="CDITable-RowCentre"/>
              <w:rPr>
                <w:lang w:val="en-GB"/>
              </w:rPr>
            </w:pPr>
            <w:r w:rsidRPr="00C44EEB">
              <w:rPr>
                <w:lang w:val="en-GB"/>
              </w:rPr>
              <w:t>—</w:t>
            </w:r>
          </w:p>
        </w:tc>
        <w:tc>
          <w:tcPr>
            <w:tcW w:w="1587"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5011BF56" w14:textId="77777777" w:rsidR="00C44EEB" w:rsidRPr="00C44EEB" w:rsidRDefault="00C44EEB" w:rsidP="00C44EEB">
            <w:pPr>
              <w:pStyle w:val="CDITable-RowCentre"/>
              <w:rPr>
                <w:lang w:val="en-GB"/>
              </w:rPr>
            </w:pPr>
            <w:r w:rsidRPr="00C44EEB">
              <w:rPr>
                <w:lang w:val="en-GB"/>
              </w:rPr>
              <w:t>—</w:t>
            </w:r>
          </w:p>
        </w:tc>
      </w:tr>
      <w:tr w:rsidR="00C44EEB" w:rsidRPr="00C44EEB" w14:paraId="5464E4F4" w14:textId="77777777" w:rsidTr="00C44EEB">
        <w:tblPrEx>
          <w:tblCellMar>
            <w:top w:w="0" w:type="dxa"/>
            <w:left w:w="0" w:type="dxa"/>
            <w:bottom w:w="0" w:type="dxa"/>
            <w:right w:w="0" w:type="dxa"/>
          </w:tblCellMar>
        </w:tblPrEx>
        <w:trPr>
          <w:trHeight w:val="60"/>
        </w:trPr>
        <w:tc>
          <w:tcPr>
            <w:tcW w:w="1417" w:type="dxa"/>
            <w:tcBorders>
              <w:top w:val="single" w:sz="6" w:space="0" w:color="1E4496" w:themeColor="text2"/>
              <w:left w:val="nil"/>
              <w:bottom w:val="single" w:sz="6" w:space="0" w:color="1E4496" w:themeColor="text2"/>
            </w:tcBorders>
            <w:shd w:val="clear" w:color="auto" w:fill="DCF4FC" w:themeFill="background2" w:themeFillTint="33"/>
            <w:tcMar>
              <w:top w:w="85" w:type="dxa"/>
              <w:left w:w="113" w:type="dxa"/>
              <w:bottom w:w="85" w:type="dxa"/>
              <w:right w:w="113" w:type="dxa"/>
            </w:tcMar>
            <w:vAlign w:val="center"/>
          </w:tcPr>
          <w:p w14:paraId="3F554CB2" w14:textId="77777777" w:rsidR="00C44EEB" w:rsidRPr="00C44EEB" w:rsidRDefault="00C44EEB" w:rsidP="00C44EEB">
            <w:pPr>
              <w:pStyle w:val="CDITable-RowCentre"/>
              <w:rPr>
                <w:lang w:val="en-GB"/>
              </w:rPr>
            </w:pPr>
            <w:r w:rsidRPr="00C44EEB">
              <w:rPr>
                <w:lang w:val="en-GB"/>
              </w:rPr>
              <w:t>1994</w:t>
            </w:r>
          </w:p>
        </w:tc>
        <w:tc>
          <w:tcPr>
            <w:tcW w:w="1418"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466C2965" w14:textId="77777777" w:rsidR="00C44EEB" w:rsidRPr="00C44EEB" w:rsidRDefault="00C44EEB" w:rsidP="00C44EEB">
            <w:pPr>
              <w:pStyle w:val="CDITable-RowCentre"/>
              <w:rPr>
                <w:lang w:val="en-GB"/>
              </w:rPr>
            </w:pPr>
            <w:r w:rsidRPr="00C44EEB">
              <w:rPr>
                <w:lang w:val="en-GB"/>
              </w:rPr>
              <w:t>31</w:t>
            </w:r>
          </w:p>
        </w:tc>
        <w:tc>
          <w:tcPr>
            <w:tcW w:w="1700"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3E7CF4A3" w14:textId="77777777" w:rsidR="00C44EEB" w:rsidRPr="00C44EEB" w:rsidRDefault="00C44EEB" w:rsidP="00C44EEB">
            <w:pPr>
              <w:pStyle w:val="CDITable-RowCentre"/>
              <w:rPr>
                <w:lang w:val="en-GB"/>
              </w:rPr>
            </w:pPr>
            <w:r w:rsidRPr="00C44EEB">
              <w:rPr>
                <w:lang w:val="en-GB"/>
              </w:rPr>
              <w:t>Unvaccinated</w:t>
            </w:r>
          </w:p>
        </w:tc>
        <w:tc>
          <w:tcPr>
            <w:tcW w:w="1701"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5AC1EF19" w14:textId="77777777" w:rsidR="00C44EEB" w:rsidRPr="00C44EEB" w:rsidRDefault="00C44EEB" w:rsidP="00C44EEB">
            <w:pPr>
              <w:pStyle w:val="CDITable-RowCentre"/>
              <w:rPr>
                <w:lang w:val="en-GB"/>
              </w:rPr>
            </w:pPr>
            <w:r w:rsidRPr="00C44EEB">
              <w:rPr>
                <w:lang w:val="en-GB"/>
              </w:rPr>
              <w:t>—</w:t>
            </w:r>
          </w:p>
        </w:tc>
        <w:tc>
          <w:tcPr>
            <w:tcW w:w="1758"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5CFE82C6" w14:textId="77777777" w:rsidR="00C44EEB" w:rsidRPr="00C44EEB" w:rsidRDefault="00C44EEB" w:rsidP="00C44EEB">
            <w:pPr>
              <w:pStyle w:val="CDITable-RowCentre"/>
              <w:rPr>
                <w:lang w:val="en-GB"/>
              </w:rPr>
            </w:pPr>
            <w:r w:rsidRPr="00C44EEB">
              <w:rPr>
                <w:lang w:val="en-GB"/>
              </w:rPr>
              <w:t>-2</w:t>
            </w:r>
            <w:r w:rsidRPr="00C44EEB">
              <w:rPr>
                <w:vertAlign w:val="superscript"/>
                <w:lang w:val="en-GB"/>
              </w:rPr>
              <w:t>e</w:t>
            </w:r>
          </w:p>
        </w:tc>
        <w:tc>
          <w:tcPr>
            <w:tcW w:w="1417"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2AEBC6F7" w14:textId="77777777" w:rsidR="00C44EEB" w:rsidRPr="00C44EEB" w:rsidRDefault="00C44EEB" w:rsidP="00C44EEB">
            <w:pPr>
              <w:pStyle w:val="CDITable-RowCentre"/>
              <w:rPr>
                <w:lang w:val="en-GB"/>
              </w:rPr>
            </w:pPr>
            <w:r w:rsidRPr="00C44EEB">
              <w:rPr>
                <w:lang w:val="en-GB"/>
              </w:rPr>
              <w:t>31</w:t>
            </w:r>
          </w:p>
        </w:tc>
        <w:tc>
          <w:tcPr>
            <w:tcW w:w="1758"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323CADD3" w14:textId="77777777" w:rsidR="00C44EEB" w:rsidRPr="00C44EEB" w:rsidRDefault="00C44EEB" w:rsidP="00C44EEB">
            <w:pPr>
              <w:pStyle w:val="CDITable-RowCentre"/>
              <w:rPr>
                <w:lang w:val="en-GB"/>
              </w:rPr>
            </w:pPr>
            <w:r w:rsidRPr="00C44EEB">
              <w:rPr>
                <w:lang w:val="en-GB"/>
              </w:rPr>
              <w:t>21</w:t>
            </w:r>
          </w:p>
        </w:tc>
        <w:tc>
          <w:tcPr>
            <w:tcW w:w="1587"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5CE5450D" w14:textId="77777777" w:rsidR="00C44EEB" w:rsidRPr="00C44EEB" w:rsidRDefault="00C44EEB" w:rsidP="00C44EEB">
            <w:pPr>
              <w:pStyle w:val="CDITable-RowCentre"/>
              <w:rPr>
                <w:lang w:val="en-GB"/>
              </w:rPr>
            </w:pPr>
            <w:r w:rsidRPr="00C44EEB">
              <w:rPr>
                <w:lang w:val="en-GB"/>
              </w:rPr>
              <w:t>Neg</w:t>
            </w:r>
          </w:p>
        </w:tc>
        <w:tc>
          <w:tcPr>
            <w:tcW w:w="1587"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6296F5E9" w14:textId="77777777" w:rsidR="00C44EEB" w:rsidRPr="00C44EEB" w:rsidRDefault="00C44EEB" w:rsidP="00C44EEB">
            <w:pPr>
              <w:pStyle w:val="CDITable-RowCentre"/>
              <w:rPr>
                <w:lang w:val="en-GB"/>
              </w:rPr>
            </w:pPr>
            <w:r w:rsidRPr="00C44EEB">
              <w:rPr>
                <w:lang w:val="en-GB"/>
              </w:rPr>
              <w:t>NR</w:t>
            </w:r>
          </w:p>
        </w:tc>
      </w:tr>
      <w:tr w:rsidR="00C44EEB" w:rsidRPr="00C44EEB" w14:paraId="67D90437" w14:textId="77777777" w:rsidTr="00C44EEB">
        <w:tblPrEx>
          <w:tblCellMar>
            <w:top w:w="0" w:type="dxa"/>
            <w:left w:w="0" w:type="dxa"/>
            <w:bottom w:w="0" w:type="dxa"/>
            <w:right w:w="0" w:type="dxa"/>
          </w:tblCellMar>
        </w:tblPrEx>
        <w:trPr>
          <w:trHeight w:val="60"/>
        </w:trPr>
        <w:tc>
          <w:tcPr>
            <w:tcW w:w="1417" w:type="dxa"/>
            <w:tcBorders>
              <w:top w:val="single" w:sz="6" w:space="0" w:color="1E4496" w:themeColor="text2"/>
              <w:left w:val="nil"/>
              <w:bottom w:val="single" w:sz="6" w:space="0" w:color="1E4496" w:themeColor="text2"/>
            </w:tcBorders>
            <w:shd w:val="clear" w:color="auto" w:fill="DCF4FC" w:themeFill="background2" w:themeFillTint="33"/>
            <w:tcMar>
              <w:top w:w="85" w:type="dxa"/>
              <w:left w:w="113" w:type="dxa"/>
              <w:bottom w:w="85" w:type="dxa"/>
              <w:right w:w="113" w:type="dxa"/>
            </w:tcMar>
            <w:vAlign w:val="center"/>
          </w:tcPr>
          <w:p w14:paraId="3DB04167" w14:textId="77777777" w:rsidR="00C44EEB" w:rsidRPr="00C44EEB" w:rsidRDefault="00C44EEB" w:rsidP="00C44EEB">
            <w:pPr>
              <w:pStyle w:val="CDITable-RowCentre"/>
              <w:rPr>
                <w:lang w:val="en-GB"/>
              </w:rPr>
            </w:pPr>
            <w:r w:rsidRPr="00C44EEB">
              <w:rPr>
                <w:lang w:val="en-GB"/>
              </w:rPr>
              <w:t>1995</w:t>
            </w:r>
          </w:p>
        </w:tc>
        <w:tc>
          <w:tcPr>
            <w:tcW w:w="1418"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2DC9E150" w14:textId="77777777" w:rsidR="00C44EEB" w:rsidRPr="00C44EEB" w:rsidRDefault="00C44EEB" w:rsidP="00C44EEB">
            <w:pPr>
              <w:pStyle w:val="CDITable-RowCentre"/>
              <w:rPr>
                <w:lang w:val="en-GB"/>
              </w:rPr>
            </w:pPr>
            <w:r w:rsidRPr="00C44EEB">
              <w:rPr>
                <w:lang w:val="en-GB"/>
              </w:rPr>
              <w:t>30</w:t>
            </w:r>
          </w:p>
        </w:tc>
        <w:tc>
          <w:tcPr>
            <w:tcW w:w="1700"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34D58C2F" w14:textId="77777777" w:rsidR="00C44EEB" w:rsidRPr="00C44EEB" w:rsidRDefault="00C44EEB" w:rsidP="00C44EEB">
            <w:pPr>
              <w:pStyle w:val="CDITable-RowCentre"/>
              <w:rPr>
                <w:lang w:val="en-GB"/>
              </w:rPr>
            </w:pPr>
            <w:r w:rsidRPr="00C44EEB">
              <w:rPr>
                <w:lang w:val="en-GB"/>
              </w:rPr>
              <w:t>2</w:t>
            </w:r>
          </w:p>
        </w:tc>
        <w:tc>
          <w:tcPr>
            <w:tcW w:w="1701"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7F6FC3E8" w14:textId="77777777" w:rsidR="00C44EEB" w:rsidRPr="00C44EEB" w:rsidRDefault="00C44EEB" w:rsidP="00C44EEB">
            <w:pPr>
              <w:pStyle w:val="CDITable-RowCentre"/>
              <w:rPr>
                <w:lang w:val="en-GB"/>
              </w:rPr>
            </w:pPr>
            <w:r w:rsidRPr="00C44EEB">
              <w:rPr>
                <w:lang w:val="en-GB"/>
              </w:rPr>
              <w:t>1996; 2000</w:t>
            </w:r>
          </w:p>
        </w:tc>
        <w:tc>
          <w:tcPr>
            <w:tcW w:w="1758"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7DBB9D81" w14:textId="77777777" w:rsidR="00C44EEB" w:rsidRPr="00C44EEB" w:rsidRDefault="00C44EEB" w:rsidP="00C44EEB">
            <w:pPr>
              <w:pStyle w:val="CDITable-RowCentre"/>
              <w:rPr>
                <w:lang w:val="en-GB"/>
              </w:rPr>
            </w:pPr>
            <w:r w:rsidRPr="00C44EEB">
              <w:rPr>
                <w:lang w:val="en-GB"/>
              </w:rPr>
              <w:t>0</w:t>
            </w:r>
          </w:p>
        </w:tc>
        <w:tc>
          <w:tcPr>
            <w:tcW w:w="1417"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21965261" w14:textId="77777777" w:rsidR="00C44EEB" w:rsidRPr="00C44EEB" w:rsidRDefault="00C44EEB" w:rsidP="00C44EEB">
            <w:pPr>
              <w:pStyle w:val="CDITable-RowCentre"/>
              <w:rPr>
                <w:lang w:val="en-GB"/>
              </w:rPr>
            </w:pPr>
            <w:r w:rsidRPr="00C44EEB">
              <w:rPr>
                <w:lang w:val="en-GB"/>
              </w:rPr>
              <w:t>22.6</w:t>
            </w:r>
          </w:p>
        </w:tc>
        <w:tc>
          <w:tcPr>
            <w:tcW w:w="1758"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1EE3181A" w14:textId="77777777" w:rsidR="00C44EEB" w:rsidRPr="00C44EEB" w:rsidRDefault="00C44EEB" w:rsidP="00C44EEB">
            <w:pPr>
              <w:pStyle w:val="CDITable-RowCentre"/>
              <w:rPr>
                <w:lang w:val="en-GB"/>
              </w:rPr>
            </w:pPr>
            <w:r w:rsidRPr="00C44EEB">
              <w:rPr>
                <w:lang w:val="en-GB"/>
              </w:rPr>
              <w:t>24.6</w:t>
            </w:r>
          </w:p>
        </w:tc>
        <w:tc>
          <w:tcPr>
            <w:tcW w:w="1587"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09204E27" w14:textId="77777777" w:rsidR="00C44EEB" w:rsidRPr="00C44EEB" w:rsidRDefault="00C44EEB" w:rsidP="00C44EEB">
            <w:pPr>
              <w:pStyle w:val="CDITable-RowCentre"/>
              <w:rPr>
                <w:lang w:val="en-GB"/>
              </w:rPr>
            </w:pPr>
            <w:r w:rsidRPr="00C44EEB">
              <w:rPr>
                <w:lang w:val="en-GB"/>
              </w:rPr>
              <w:t>Neg</w:t>
            </w:r>
          </w:p>
        </w:tc>
        <w:tc>
          <w:tcPr>
            <w:tcW w:w="1587"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3762E431" w14:textId="77777777" w:rsidR="00C44EEB" w:rsidRPr="00C44EEB" w:rsidRDefault="00C44EEB" w:rsidP="00C44EEB">
            <w:pPr>
              <w:pStyle w:val="CDITable-RowCentre"/>
              <w:rPr>
                <w:lang w:val="en-GB"/>
              </w:rPr>
            </w:pPr>
            <w:r w:rsidRPr="00C44EEB">
              <w:rPr>
                <w:lang w:val="en-GB"/>
              </w:rPr>
              <w:t>&gt; 300.0</w:t>
            </w:r>
          </w:p>
        </w:tc>
      </w:tr>
      <w:tr w:rsidR="00C44EEB" w:rsidRPr="00C44EEB" w14:paraId="5CA8F74D" w14:textId="77777777" w:rsidTr="00C44EEB">
        <w:tblPrEx>
          <w:tblCellMar>
            <w:top w:w="0" w:type="dxa"/>
            <w:left w:w="0" w:type="dxa"/>
            <w:bottom w:w="0" w:type="dxa"/>
            <w:right w:w="0" w:type="dxa"/>
          </w:tblCellMar>
        </w:tblPrEx>
        <w:trPr>
          <w:trHeight w:val="60"/>
        </w:trPr>
        <w:tc>
          <w:tcPr>
            <w:tcW w:w="1417" w:type="dxa"/>
            <w:tcBorders>
              <w:top w:val="single" w:sz="6" w:space="0" w:color="1E4496" w:themeColor="text2"/>
              <w:left w:val="nil"/>
              <w:bottom w:val="single" w:sz="6" w:space="0" w:color="1E4496" w:themeColor="text2"/>
            </w:tcBorders>
            <w:shd w:val="clear" w:color="auto" w:fill="DCF4FC" w:themeFill="background2" w:themeFillTint="33"/>
            <w:tcMar>
              <w:top w:w="85" w:type="dxa"/>
              <w:left w:w="113" w:type="dxa"/>
              <w:bottom w:w="85" w:type="dxa"/>
              <w:right w:w="113" w:type="dxa"/>
            </w:tcMar>
            <w:vAlign w:val="center"/>
          </w:tcPr>
          <w:p w14:paraId="0B8398B6" w14:textId="77777777" w:rsidR="00C44EEB" w:rsidRPr="00C44EEB" w:rsidRDefault="00C44EEB" w:rsidP="00C44EEB">
            <w:pPr>
              <w:pStyle w:val="CDITable-RowCentre"/>
              <w:rPr>
                <w:lang w:val="en-GB"/>
              </w:rPr>
            </w:pPr>
            <w:r w:rsidRPr="00C44EEB">
              <w:rPr>
                <w:lang w:val="en-GB"/>
              </w:rPr>
              <w:t>1997</w:t>
            </w:r>
          </w:p>
        </w:tc>
        <w:tc>
          <w:tcPr>
            <w:tcW w:w="1418"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528632B7" w14:textId="77777777" w:rsidR="00C44EEB" w:rsidRPr="00C44EEB" w:rsidRDefault="00C44EEB" w:rsidP="00C44EEB">
            <w:pPr>
              <w:pStyle w:val="CDITable-RowCentre"/>
              <w:rPr>
                <w:lang w:val="en-GB"/>
              </w:rPr>
            </w:pPr>
            <w:r w:rsidRPr="00C44EEB">
              <w:rPr>
                <w:lang w:val="en-GB"/>
              </w:rPr>
              <w:t>28</w:t>
            </w:r>
          </w:p>
        </w:tc>
        <w:tc>
          <w:tcPr>
            <w:tcW w:w="1700"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015483F4" w14:textId="77777777" w:rsidR="00C44EEB" w:rsidRPr="00C44EEB" w:rsidRDefault="00C44EEB" w:rsidP="00C44EEB">
            <w:pPr>
              <w:pStyle w:val="CDITable-RowCentre"/>
              <w:rPr>
                <w:lang w:val="en-GB"/>
              </w:rPr>
            </w:pPr>
            <w:r w:rsidRPr="00C44EEB">
              <w:rPr>
                <w:lang w:val="en-GB"/>
              </w:rPr>
              <w:t>2</w:t>
            </w:r>
          </w:p>
        </w:tc>
        <w:tc>
          <w:tcPr>
            <w:tcW w:w="1701"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2256E994" w14:textId="77777777" w:rsidR="00C44EEB" w:rsidRPr="00C44EEB" w:rsidRDefault="00C44EEB" w:rsidP="00C44EEB">
            <w:pPr>
              <w:pStyle w:val="CDITable-RowCentre"/>
              <w:rPr>
                <w:lang w:val="en-GB"/>
              </w:rPr>
            </w:pPr>
            <w:r w:rsidRPr="00C44EEB">
              <w:rPr>
                <w:lang w:val="en-GB"/>
              </w:rPr>
              <w:t>1998; 2002</w:t>
            </w:r>
          </w:p>
        </w:tc>
        <w:tc>
          <w:tcPr>
            <w:tcW w:w="1758"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7B4BA69C" w14:textId="77777777" w:rsidR="00C44EEB" w:rsidRPr="00C44EEB" w:rsidRDefault="00C44EEB" w:rsidP="00C44EEB">
            <w:pPr>
              <w:pStyle w:val="CDITable-RowCentre"/>
              <w:rPr>
                <w:lang w:val="en-GB"/>
              </w:rPr>
            </w:pPr>
            <w:r w:rsidRPr="00C44EEB">
              <w:rPr>
                <w:lang w:val="en-GB"/>
              </w:rPr>
              <w:t>1</w:t>
            </w:r>
          </w:p>
        </w:tc>
        <w:tc>
          <w:tcPr>
            <w:tcW w:w="1417"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20439DD5" w14:textId="77777777" w:rsidR="00C44EEB" w:rsidRPr="00C44EEB" w:rsidRDefault="00C44EEB" w:rsidP="00C44EEB">
            <w:pPr>
              <w:pStyle w:val="CDITable-RowCentre"/>
              <w:rPr>
                <w:lang w:val="en-GB"/>
              </w:rPr>
            </w:pPr>
            <w:r w:rsidRPr="00C44EEB">
              <w:rPr>
                <w:lang w:val="en-GB"/>
              </w:rPr>
              <w:t>31.6</w:t>
            </w:r>
          </w:p>
        </w:tc>
        <w:tc>
          <w:tcPr>
            <w:tcW w:w="1758"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5D0AA681" w14:textId="77777777" w:rsidR="00C44EEB" w:rsidRPr="00C44EEB" w:rsidRDefault="00C44EEB" w:rsidP="00C44EEB">
            <w:pPr>
              <w:pStyle w:val="CDITable-RowCentre"/>
              <w:rPr>
                <w:lang w:val="en-GB"/>
              </w:rPr>
            </w:pPr>
            <w:r w:rsidRPr="00C44EEB">
              <w:rPr>
                <w:lang w:val="en-GB"/>
              </w:rPr>
              <w:t>32.9</w:t>
            </w:r>
          </w:p>
        </w:tc>
        <w:tc>
          <w:tcPr>
            <w:tcW w:w="1587"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7CA2908E" w14:textId="77777777" w:rsidR="00C44EEB" w:rsidRPr="00C44EEB" w:rsidRDefault="00C44EEB" w:rsidP="00C44EEB">
            <w:pPr>
              <w:pStyle w:val="CDITable-RowCentre"/>
              <w:rPr>
                <w:lang w:val="en-GB"/>
              </w:rPr>
            </w:pPr>
            <w:r w:rsidRPr="00C44EEB">
              <w:rPr>
                <w:lang w:val="en-GB"/>
              </w:rPr>
              <w:t>Neg</w:t>
            </w:r>
          </w:p>
        </w:tc>
        <w:tc>
          <w:tcPr>
            <w:tcW w:w="1587"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039094CC" w14:textId="77777777" w:rsidR="00C44EEB" w:rsidRPr="00C44EEB" w:rsidRDefault="00C44EEB" w:rsidP="00C44EEB">
            <w:pPr>
              <w:pStyle w:val="CDITable-RowCentre"/>
              <w:rPr>
                <w:lang w:val="en-GB"/>
              </w:rPr>
            </w:pPr>
            <w:r w:rsidRPr="00C44EEB">
              <w:rPr>
                <w:lang w:val="en-GB"/>
              </w:rPr>
              <w:t>44.5</w:t>
            </w:r>
          </w:p>
        </w:tc>
      </w:tr>
      <w:tr w:rsidR="00C44EEB" w:rsidRPr="00C44EEB" w14:paraId="289708C5" w14:textId="77777777" w:rsidTr="00C44EEB">
        <w:tblPrEx>
          <w:tblCellMar>
            <w:top w:w="0" w:type="dxa"/>
            <w:left w:w="0" w:type="dxa"/>
            <w:bottom w:w="0" w:type="dxa"/>
            <w:right w:w="0" w:type="dxa"/>
          </w:tblCellMar>
        </w:tblPrEx>
        <w:trPr>
          <w:trHeight w:val="60"/>
        </w:trPr>
        <w:tc>
          <w:tcPr>
            <w:tcW w:w="1417" w:type="dxa"/>
            <w:tcBorders>
              <w:top w:val="single" w:sz="6" w:space="0" w:color="1E4496" w:themeColor="text2"/>
              <w:left w:val="nil"/>
              <w:bottom w:val="single" w:sz="6" w:space="0" w:color="1E4496" w:themeColor="text2"/>
            </w:tcBorders>
            <w:shd w:val="clear" w:color="auto" w:fill="DCF4FC" w:themeFill="background2" w:themeFillTint="33"/>
            <w:tcMar>
              <w:top w:w="85" w:type="dxa"/>
              <w:left w:w="113" w:type="dxa"/>
              <w:bottom w:w="85" w:type="dxa"/>
              <w:right w:w="113" w:type="dxa"/>
            </w:tcMar>
            <w:vAlign w:val="center"/>
          </w:tcPr>
          <w:p w14:paraId="592430B8" w14:textId="77777777" w:rsidR="00C44EEB" w:rsidRPr="00C44EEB" w:rsidRDefault="00C44EEB" w:rsidP="00C44EEB">
            <w:pPr>
              <w:pStyle w:val="CDITable-RowCentre"/>
              <w:rPr>
                <w:lang w:val="en-GB"/>
              </w:rPr>
            </w:pPr>
            <w:r w:rsidRPr="00C44EEB">
              <w:rPr>
                <w:lang w:val="en-GB"/>
              </w:rPr>
              <w:t>1998</w:t>
            </w:r>
          </w:p>
        </w:tc>
        <w:tc>
          <w:tcPr>
            <w:tcW w:w="1418"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5C6DE453" w14:textId="77777777" w:rsidR="00C44EEB" w:rsidRPr="00C44EEB" w:rsidRDefault="00C44EEB" w:rsidP="00C44EEB">
            <w:pPr>
              <w:pStyle w:val="CDITable-RowCentre"/>
              <w:rPr>
                <w:lang w:val="en-GB"/>
              </w:rPr>
            </w:pPr>
            <w:r w:rsidRPr="00C44EEB">
              <w:rPr>
                <w:lang w:val="en-GB"/>
              </w:rPr>
              <w:t>26</w:t>
            </w:r>
          </w:p>
        </w:tc>
        <w:tc>
          <w:tcPr>
            <w:tcW w:w="1700"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7EDD2A0D" w14:textId="77777777" w:rsidR="00C44EEB" w:rsidRPr="00C44EEB" w:rsidRDefault="00C44EEB" w:rsidP="00C44EEB">
            <w:pPr>
              <w:pStyle w:val="CDITable-RowCentre"/>
              <w:rPr>
                <w:lang w:val="en-GB"/>
              </w:rPr>
            </w:pPr>
            <w:r w:rsidRPr="00C44EEB">
              <w:rPr>
                <w:lang w:val="en-GB"/>
              </w:rPr>
              <w:t>2</w:t>
            </w:r>
          </w:p>
        </w:tc>
        <w:tc>
          <w:tcPr>
            <w:tcW w:w="1701"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05A33621" w14:textId="77777777" w:rsidR="00C44EEB" w:rsidRPr="00C44EEB" w:rsidRDefault="00C44EEB" w:rsidP="00C44EEB">
            <w:pPr>
              <w:pStyle w:val="CDITable-RowCentre"/>
              <w:rPr>
                <w:lang w:val="en-GB"/>
              </w:rPr>
            </w:pPr>
            <w:r w:rsidRPr="00C44EEB">
              <w:rPr>
                <w:lang w:val="en-GB"/>
              </w:rPr>
              <w:t>1999; 2003</w:t>
            </w:r>
          </w:p>
        </w:tc>
        <w:tc>
          <w:tcPr>
            <w:tcW w:w="1758"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616037C6" w14:textId="77777777" w:rsidR="00C44EEB" w:rsidRPr="00C44EEB" w:rsidRDefault="00C44EEB" w:rsidP="00C44EEB">
            <w:pPr>
              <w:pStyle w:val="CDITable-RowCentre"/>
              <w:rPr>
                <w:lang w:val="en-GB"/>
              </w:rPr>
            </w:pPr>
            <w:r w:rsidRPr="00C44EEB">
              <w:rPr>
                <w:lang w:val="en-GB"/>
              </w:rPr>
              <w:t>1</w:t>
            </w:r>
          </w:p>
        </w:tc>
        <w:tc>
          <w:tcPr>
            <w:tcW w:w="1417"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43489214" w14:textId="77777777" w:rsidR="00C44EEB" w:rsidRPr="00C44EEB" w:rsidRDefault="00C44EEB" w:rsidP="00C44EEB">
            <w:pPr>
              <w:pStyle w:val="CDITable-RowCentre"/>
              <w:rPr>
                <w:lang w:val="en-GB"/>
              </w:rPr>
            </w:pPr>
            <w:r w:rsidRPr="00C44EEB">
              <w:rPr>
                <w:lang w:val="en-GB"/>
              </w:rPr>
              <w:t>ND</w:t>
            </w:r>
          </w:p>
        </w:tc>
        <w:tc>
          <w:tcPr>
            <w:tcW w:w="1758"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5218D95D" w14:textId="77777777" w:rsidR="00C44EEB" w:rsidRPr="00C44EEB" w:rsidRDefault="00C44EEB" w:rsidP="00C44EEB">
            <w:pPr>
              <w:pStyle w:val="CDITable-RowCentre"/>
              <w:rPr>
                <w:lang w:val="en-GB"/>
              </w:rPr>
            </w:pPr>
            <w:r w:rsidRPr="00C44EEB">
              <w:rPr>
                <w:lang w:val="en-GB"/>
              </w:rPr>
              <w:t>37.9</w:t>
            </w:r>
          </w:p>
        </w:tc>
        <w:tc>
          <w:tcPr>
            <w:tcW w:w="1587"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1E57A54C" w14:textId="77777777" w:rsidR="00C44EEB" w:rsidRPr="00C44EEB" w:rsidRDefault="00C44EEB" w:rsidP="00C44EEB">
            <w:pPr>
              <w:pStyle w:val="CDITable-RowCentre"/>
              <w:rPr>
                <w:lang w:val="en-GB"/>
              </w:rPr>
            </w:pPr>
            <w:r w:rsidRPr="00C44EEB">
              <w:rPr>
                <w:lang w:val="en-GB"/>
              </w:rPr>
              <w:t>—</w:t>
            </w:r>
          </w:p>
        </w:tc>
        <w:tc>
          <w:tcPr>
            <w:tcW w:w="1587"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236D064A" w14:textId="77777777" w:rsidR="00C44EEB" w:rsidRPr="00C44EEB" w:rsidRDefault="00C44EEB" w:rsidP="00C44EEB">
            <w:pPr>
              <w:pStyle w:val="CDITable-RowCentre"/>
              <w:rPr>
                <w:lang w:val="en-GB"/>
              </w:rPr>
            </w:pPr>
            <w:r w:rsidRPr="00C44EEB">
              <w:rPr>
                <w:lang w:val="en-GB"/>
              </w:rPr>
              <w:t>—</w:t>
            </w:r>
          </w:p>
        </w:tc>
      </w:tr>
      <w:tr w:rsidR="00C44EEB" w:rsidRPr="00C44EEB" w14:paraId="02220AD0" w14:textId="77777777" w:rsidTr="00C44EEB">
        <w:tblPrEx>
          <w:tblCellMar>
            <w:top w:w="0" w:type="dxa"/>
            <w:left w:w="0" w:type="dxa"/>
            <w:bottom w:w="0" w:type="dxa"/>
            <w:right w:w="0" w:type="dxa"/>
          </w:tblCellMar>
        </w:tblPrEx>
        <w:trPr>
          <w:trHeight w:val="60"/>
        </w:trPr>
        <w:tc>
          <w:tcPr>
            <w:tcW w:w="1417" w:type="dxa"/>
            <w:tcBorders>
              <w:top w:val="single" w:sz="6" w:space="0" w:color="1E4496" w:themeColor="text2"/>
              <w:left w:val="nil"/>
              <w:bottom w:val="single" w:sz="6" w:space="0" w:color="1E4496" w:themeColor="text2"/>
            </w:tcBorders>
            <w:shd w:val="clear" w:color="auto" w:fill="DCF4FC" w:themeFill="background2" w:themeFillTint="33"/>
            <w:tcMar>
              <w:top w:w="85" w:type="dxa"/>
              <w:left w:w="113" w:type="dxa"/>
              <w:bottom w:w="85" w:type="dxa"/>
              <w:right w:w="113" w:type="dxa"/>
            </w:tcMar>
            <w:vAlign w:val="center"/>
          </w:tcPr>
          <w:p w14:paraId="453836C5" w14:textId="77777777" w:rsidR="00C44EEB" w:rsidRPr="00C44EEB" w:rsidRDefault="00C44EEB" w:rsidP="00C44EEB">
            <w:pPr>
              <w:pStyle w:val="CDITable-RowCentre"/>
              <w:rPr>
                <w:lang w:val="en-GB"/>
              </w:rPr>
            </w:pPr>
            <w:r w:rsidRPr="00C44EEB">
              <w:rPr>
                <w:lang w:val="en-GB"/>
              </w:rPr>
              <w:t>1999</w:t>
            </w:r>
          </w:p>
        </w:tc>
        <w:tc>
          <w:tcPr>
            <w:tcW w:w="1418"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189A0F2B" w14:textId="77777777" w:rsidR="00C44EEB" w:rsidRPr="00C44EEB" w:rsidRDefault="00C44EEB" w:rsidP="00C44EEB">
            <w:pPr>
              <w:pStyle w:val="CDITable-RowCentre"/>
              <w:rPr>
                <w:lang w:val="en-GB"/>
              </w:rPr>
            </w:pPr>
            <w:r w:rsidRPr="00C44EEB">
              <w:rPr>
                <w:lang w:val="en-GB"/>
              </w:rPr>
              <w:t>26</w:t>
            </w:r>
          </w:p>
        </w:tc>
        <w:tc>
          <w:tcPr>
            <w:tcW w:w="1700"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694491CD" w14:textId="77777777" w:rsidR="00C44EEB" w:rsidRPr="00C44EEB" w:rsidRDefault="00C44EEB" w:rsidP="00C44EEB">
            <w:pPr>
              <w:pStyle w:val="CDITable-RowCentre"/>
              <w:rPr>
                <w:lang w:val="en-GB"/>
              </w:rPr>
            </w:pPr>
            <w:r w:rsidRPr="00C44EEB">
              <w:rPr>
                <w:lang w:val="en-GB"/>
              </w:rPr>
              <w:t>2</w:t>
            </w:r>
          </w:p>
        </w:tc>
        <w:tc>
          <w:tcPr>
            <w:tcW w:w="1701"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069A539F" w14:textId="77777777" w:rsidR="00C44EEB" w:rsidRPr="00C44EEB" w:rsidRDefault="00C44EEB" w:rsidP="00C44EEB">
            <w:pPr>
              <w:pStyle w:val="CDITable-RowCentre"/>
              <w:rPr>
                <w:lang w:val="en-GB"/>
              </w:rPr>
            </w:pPr>
            <w:r w:rsidRPr="00C44EEB">
              <w:rPr>
                <w:lang w:val="en-GB"/>
              </w:rPr>
              <w:t>2000; 2003</w:t>
            </w:r>
          </w:p>
        </w:tc>
        <w:tc>
          <w:tcPr>
            <w:tcW w:w="1758"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6986AEAF" w14:textId="77777777" w:rsidR="00C44EEB" w:rsidRPr="00C44EEB" w:rsidRDefault="00C44EEB" w:rsidP="00C44EEB">
            <w:pPr>
              <w:pStyle w:val="CDITable-RowCentre"/>
              <w:rPr>
                <w:lang w:val="en-GB"/>
              </w:rPr>
            </w:pPr>
            <w:r w:rsidRPr="00C44EEB">
              <w:rPr>
                <w:lang w:val="en-GB"/>
              </w:rPr>
              <w:t>1</w:t>
            </w:r>
          </w:p>
        </w:tc>
        <w:tc>
          <w:tcPr>
            <w:tcW w:w="1417"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6EE86B0E" w14:textId="77777777" w:rsidR="00C44EEB" w:rsidRPr="00C44EEB" w:rsidRDefault="00C44EEB" w:rsidP="00C44EEB">
            <w:pPr>
              <w:pStyle w:val="CDITable-RowCentre"/>
              <w:rPr>
                <w:lang w:val="en-GB"/>
              </w:rPr>
            </w:pPr>
            <w:r w:rsidRPr="00C44EEB">
              <w:rPr>
                <w:lang w:val="en-GB"/>
              </w:rPr>
              <w:t>30.8</w:t>
            </w:r>
          </w:p>
        </w:tc>
        <w:tc>
          <w:tcPr>
            <w:tcW w:w="1758"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655FDF1C" w14:textId="77777777" w:rsidR="00C44EEB" w:rsidRPr="00C44EEB" w:rsidRDefault="00C44EEB" w:rsidP="00C44EEB">
            <w:pPr>
              <w:pStyle w:val="CDITable-RowCentre"/>
              <w:rPr>
                <w:lang w:val="en-GB"/>
              </w:rPr>
            </w:pPr>
            <w:r w:rsidRPr="00C44EEB">
              <w:rPr>
                <w:lang w:val="en-GB"/>
              </w:rPr>
              <w:t>22.7</w:t>
            </w:r>
          </w:p>
        </w:tc>
        <w:tc>
          <w:tcPr>
            <w:tcW w:w="1587"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29FF2C16" w14:textId="77777777" w:rsidR="00C44EEB" w:rsidRPr="00C44EEB" w:rsidRDefault="00C44EEB" w:rsidP="00C44EEB">
            <w:pPr>
              <w:pStyle w:val="CDITable-RowCentre"/>
              <w:rPr>
                <w:lang w:val="en-GB"/>
              </w:rPr>
            </w:pPr>
            <w:r w:rsidRPr="00C44EEB">
              <w:rPr>
                <w:lang w:val="en-GB"/>
              </w:rPr>
              <w:t>1.1</w:t>
            </w:r>
          </w:p>
        </w:tc>
        <w:tc>
          <w:tcPr>
            <w:tcW w:w="1587"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3D4B0595" w14:textId="77777777" w:rsidR="00C44EEB" w:rsidRPr="00C44EEB" w:rsidRDefault="00C44EEB" w:rsidP="00C44EEB">
            <w:pPr>
              <w:pStyle w:val="CDITable-RowCentre"/>
              <w:rPr>
                <w:lang w:val="en-GB"/>
              </w:rPr>
            </w:pPr>
            <w:r w:rsidRPr="00C44EEB">
              <w:rPr>
                <w:lang w:val="en-GB"/>
              </w:rPr>
              <w:t>80.7</w:t>
            </w:r>
          </w:p>
        </w:tc>
      </w:tr>
      <w:tr w:rsidR="00C44EEB" w:rsidRPr="00C44EEB" w14:paraId="05ED8664" w14:textId="77777777" w:rsidTr="00C44EEB">
        <w:tblPrEx>
          <w:tblCellMar>
            <w:top w:w="0" w:type="dxa"/>
            <w:left w:w="0" w:type="dxa"/>
            <w:bottom w:w="0" w:type="dxa"/>
            <w:right w:w="0" w:type="dxa"/>
          </w:tblCellMar>
        </w:tblPrEx>
        <w:trPr>
          <w:trHeight w:val="60"/>
        </w:trPr>
        <w:tc>
          <w:tcPr>
            <w:tcW w:w="1417" w:type="dxa"/>
            <w:tcBorders>
              <w:top w:val="single" w:sz="6" w:space="0" w:color="1E4496" w:themeColor="text2"/>
              <w:left w:val="nil"/>
              <w:bottom w:val="single" w:sz="6" w:space="0" w:color="1E4496" w:themeColor="text2"/>
            </w:tcBorders>
            <w:shd w:val="clear" w:color="auto" w:fill="DCF4FC" w:themeFill="background2" w:themeFillTint="33"/>
            <w:tcMar>
              <w:top w:w="85" w:type="dxa"/>
              <w:left w:w="113" w:type="dxa"/>
              <w:bottom w:w="85" w:type="dxa"/>
              <w:right w:w="113" w:type="dxa"/>
            </w:tcMar>
            <w:vAlign w:val="center"/>
          </w:tcPr>
          <w:p w14:paraId="6F056D54" w14:textId="77777777" w:rsidR="00C44EEB" w:rsidRPr="00C44EEB" w:rsidRDefault="00C44EEB" w:rsidP="00C44EEB">
            <w:pPr>
              <w:pStyle w:val="CDITable-RowCentre"/>
              <w:rPr>
                <w:lang w:val="en-GB"/>
              </w:rPr>
            </w:pPr>
            <w:r w:rsidRPr="00C44EEB">
              <w:rPr>
                <w:lang w:val="en-GB"/>
              </w:rPr>
              <w:t>2001</w:t>
            </w:r>
          </w:p>
        </w:tc>
        <w:tc>
          <w:tcPr>
            <w:tcW w:w="1418"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3E403052" w14:textId="77777777" w:rsidR="00C44EEB" w:rsidRPr="00C44EEB" w:rsidRDefault="00C44EEB" w:rsidP="00C44EEB">
            <w:pPr>
              <w:pStyle w:val="CDITable-RowCentre"/>
              <w:rPr>
                <w:lang w:val="en-GB"/>
              </w:rPr>
            </w:pPr>
            <w:r w:rsidRPr="00C44EEB">
              <w:rPr>
                <w:lang w:val="en-GB"/>
              </w:rPr>
              <w:t>23</w:t>
            </w:r>
          </w:p>
        </w:tc>
        <w:tc>
          <w:tcPr>
            <w:tcW w:w="1700"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3F8A8D7C" w14:textId="77777777" w:rsidR="00C44EEB" w:rsidRPr="00C44EEB" w:rsidRDefault="00C44EEB" w:rsidP="00C44EEB">
            <w:pPr>
              <w:pStyle w:val="CDITable-RowCentre"/>
              <w:rPr>
                <w:lang w:val="en-GB"/>
              </w:rPr>
            </w:pPr>
            <w:r w:rsidRPr="00C44EEB">
              <w:rPr>
                <w:lang w:val="en-GB"/>
              </w:rPr>
              <w:t>2</w:t>
            </w:r>
          </w:p>
        </w:tc>
        <w:tc>
          <w:tcPr>
            <w:tcW w:w="1701"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4162A3C4" w14:textId="77777777" w:rsidR="00C44EEB" w:rsidRPr="00C44EEB" w:rsidRDefault="00C44EEB" w:rsidP="00C44EEB">
            <w:pPr>
              <w:pStyle w:val="CDITable-RowCentre"/>
              <w:rPr>
                <w:lang w:val="en-GB"/>
              </w:rPr>
            </w:pPr>
            <w:r w:rsidRPr="00C44EEB">
              <w:rPr>
                <w:lang w:val="en-GB"/>
              </w:rPr>
              <w:t>2002; 2002</w:t>
            </w:r>
          </w:p>
        </w:tc>
        <w:tc>
          <w:tcPr>
            <w:tcW w:w="1758"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00316841" w14:textId="77777777" w:rsidR="00C44EEB" w:rsidRPr="00C44EEB" w:rsidRDefault="00C44EEB" w:rsidP="00C44EEB">
            <w:pPr>
              <w:pStyle w:val="CDITable-RowCentre"/>
              <w:rPr>
                <w:lang w:val="en-GB"/>
              </w:rPr>
            </w:pPr>
            <w:r w:rsidRPr="00C44EEB">
              <w:rPr>
                <w:lang w:val="en-GB"/>
              </w:rPr>
              <w:t>1</w:t>
            </w:r>
          </w:p>
        </w:tc>
        <w:tc>
          <w:tcPr>
            <w:tcW w:w="1417"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0279351F" w14:textId="77777777" w:rsidR="00C44EEB" w:rsidRPr="00C44EEB" w:rsidRDefault="00C44EEB" w:rsidP="00C44EEB">
            <w:pPr>
              <w:pStyle w:val="CDITable-RowCentre"/>
              <w:rPr>
                <w:lang w:val="en-GB"/>
              </w:rPr>
            </w:pPr>
            <w:r w:rsidRPr="00C44EEB">
              <w:rPr>
                <w:lang w:val="en-GB"/>
              </w:rPr>
              <w:t>16</w:t>
            </w:r>
          </w:p>
        </w:tc>
        <w:tc>
          <w:tcPr>
            <w:tcW w:w="1758"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7EF79FE1" w14:textId="77777777" w:rsidR="00C44EEB" w:rsidRPr="00C44EEB" w:rsidRDefault="00C44EEB" w:rsidP="00C44EEB">
            <w:pPr>
              <w:pStyle w:val="CDITable-RowCentre"/>
              <w:rPr>
                <w:lang w:val="en-GB"/>
              </w:rPr>
            </w:pPr>
            <w:r w:rsidRPr="00C44EEB">
              <w:rPr>
                <w:lang w:val="en-GB"/>
              </w:rPr>
              <w:t>20</w:t>
            </w:r>
          </w:p>
        </w:tc>
        <w:tc>
          <w:tcPr>
            <w:tcW w:w="1587"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7CBD7D19" w14:textId="77777777" w:rsidR="00C44EEB" w:rsidRPr="00C44EEB" w:rsidRDefault="00C44EEB" w:rsidP="00C44EEB">
            <w:pPr>
              <w:pStyle w:val="CDITable-RowCentre"/>
              <w:rPr>
                <w:lang w:val="en-GB"/>
              </w:rPr>
            </w:pPr>
            <w:r w:rsidRPr="00C44EEB">
              <w:rPr>
                <w:lang w:val="en-GB"/>
              </w:rPr>
              <w:t>—</w:t>
            </w:r>
          </w:p>
        </w:tc>
        <w:tc>
          <w:tcPr>
            <w:tcW w:w="1587"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0C752A89" w14:textId="77777777" w:rsidR="00C44EEB" w:rsidRPr="00C44EEB" w:rsidRDefault="00C44EEB" w:rsidP="00C44EEB">
            <w:pPr>
              <w:pStyle w:val="CDITable-RowCentre"/>
              <w:rPr>
                <w:lang w:val="en-GB"/>
              </w:rPr>
            </w:pPr>
            <w:r w:rsidRPr="00C44EEB">
              <w:rPr>
                <w:lang w:val="en-GB"/>
              </w:rPr>
              <w:t>—</w:t>
            </w:r>
          </w:p>
        </w:tc>
      </w:tr>
      <w:tr w:rsidR="00C44EEB" w:rsidRPr="00C44EEB" w14:paraId="4DCEE16D" w14:textId="77777777" w:rsidTr="00C44EEB">
        <w:tblPrEx>
          <w:tblCellMar>
            <w:top w:w="0" w:type="dxa"/>
            <w:left w:w="0" w:type="dxa"/>
            <w:bottom w:w="0" w:type="dxa"/>
            <w:right w:w="0" w:type="dxa"/>
          </w:tblCellMar>
        </w:tblPrEx>
        <w:trPr>
          <w:trHeight w:val="60"/>
        </w:trPr>
        <w:tc>
          <w:tcPr>
            <w:tcW w:w="1417" w:type="dxa"/>
            <w:tcBorders>
              <w:top w:val="single" w:sz="6" w:space="0" w:color="1E4496" w:themeColor="text2"/>
              <w:left w:val="nil"/>
              <w:bottom w:val="single" w:sz="6" w:space="0" w:color="1E4496" w:themeColor="text2"/>
            </w:tcBorders>
            <w:shd w:val="clear" w:color="auto" w:fill="DCF4FC" w:themeFill="background2" w:themeFillTint="33"/>
            <w:tcMar>
              <w:top w:w="85" w:type="dxa"/>
              <w:left w:w="113" w:type="dxa"/>
              <w:bottom w:w="85" w:type="dxa"/>
              <w:right w:w="113" w:type="dxa"/>
            </w:tcMar>
            <w:vAlign w:val="center"/>
          </w:tcPr>
          <w:p w14:paraId="04495BC9" w14:textId="77777777" w:rsidR="00C44EEB" w:rsidRPr="00C44EEB" w:rsidRDefault="00C44EEB" w:rsidP="00C44EEB">
            <w:pPr>
              <w:pStyle w:val="CDITable-RowCentre"/>
              <w:rPr>
                <w:lang w:val="en-GB"/>
              </w:rPr>
            </w:pPr>
            <w:r w:rsidRPr="00C44EEB">
              <w:rPr>
                <w:lang w:val="en-GB"/>
              </w:rPr>
              <w:t>2003</w:t>
            </w:r>
          </w:p>
        </w:tc>
        <w:tc>
          <w:tcPr>
            <w:tcW w:w="1418"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0D52DD01" w14:textId="77777777" w:rsidR="00C44EEB" w:rsidRPr="00C44EEB" w:rsidRDefault="00C44EEB" w:rsidP="00C44EEB">
            <w:pPr>
              <w:pStyle w:val="CDITable-RowCentre"/>
              <w:rPr>
                <w:lang w:val="en-GB"/>
              </w:rPr>
            </w:pPr>
            <w:r w:rsidRPr="00C44EEB">
              <w:rPr>
                <w:lang w:val="en-GB"/>
              </w:rPr>
              <w:t>22</w:t>
            </w:r>
          </w:p>
        </w:tc>
        <w:tc>
          <w:tcPr>
            <w:tcW w:w="1700"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3EF51E92" w14:textId="77777777" w:rsidR="00C44EEB" w:rsidRPr="00C44EEB" w:rsidRDefault="00C44EEB" w:rsidP="00C44EEB">
            <w:pPr>
              <w:pStyle w:val="CDITable-RowCentre"/>
              <w:rPr>
                <w:lang w:val="en-GB"/>
              </w:rPr>
            </w:pPr>
            <w:r w:rsidRPr="00C44EEB">
              <w:rPr>
                <w:lang w:val="en-GB"/>
              </w:rPr>
              <w:t>2</w:t>
            </w:r>
          </w:p>
        </w:tc>
        <w:tc>
          <w:tcPr>
            <w:tcW w:w="1701"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5CA28B26" w14:textId="77777777" w:rsidR="00C44EEB" w:rsidRPr="00C44EEB" w:rsidRDefault="00C44EEB" w:rsidP="00C44EEB">
            <w:pPr>
              <w:pStyle w:val="CDITable-RowCentre"/>
              <w:rPr>
                <w:lang w:val="en-GB"/>
              </w:rPr>
            </w:pPr>
            <w:r w:rsidRPr="00C44EEB">
              <w:rPr>
                <w:lang w:val="en-GB"/>
              </w:rPr>
              <w:t>2004; 2007</w:t>
            </w:r>
          </w:p>
        </w:tc>
        <w:tc>
          <w:tcPr>
            <w:tcW w:w="1758"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62C10EEA" w14:textId="77777777" w:rsidR="00C44EEB" w:rsidRPr="00C44EEB" w:rsidRDefault="00C44EEB" w:rsidP="00C44EEB">
            <w:pPr>
              <w:pStyle w:val="CDITable-RowCentre"/>
              <w:rPr>
                <w:lang w:val="en-GB"/>
              </w:rPr>
            </w:pPr>
            <w:r w:rsidRPr="00C44EEB">
              <w:rPr>
                <w:lang w:val="en-GB"/>
              </w:rPr>
              <w:t>1</w:t>
            </w:r>
          </w:p>
        </w:tc>
        <w:tc>
          <w:tcPr>
            <w:tcW w:w="1417"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2366063E" w14:textId="77777777" w:rsidR="00C44EEB" w:rsidRPr="00C44EEB" w:rsidRDefault="00C44EEB" w:rsidP="00C44EEB">
            <w:pPr>
              <w:pStyle w:val="CDITable-RowCentre"/>
              <w:rPr>
                <w:lang w:val="en-GB"/>
              </w:rPr>
            </w:pPr>
            <w:r w:rsidRPr="00C44EEB">
              <w:rPr>
                <w:lang w:val="en-GB"/>
              </w:rPr>
              <w:t>29.9</w:t>
            </w:r>
          </w:p>
        </w:tc>
        <w:tc>
          <w:tcPr>
            <w:tcW w:w="1758"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1C0A4D32" w14:textId="77777777" w:rsidR="00C44EEB" w:rsidRPr="00C44EEB" w:rsidRDefault="00C44EEB" w:rsidP="00C44EEB">
            <w:pPr>
              <w:pStyle w:val="CDITable-RowCentre"/>
              <w:rPr>
                <w:lang w:val="en-GB"/>
              </w:rPr>
            </w:pPr>
            <w:r w:rsidRPr="00C44EEB">
              <w:rPr>
                <w:lang w:val="en-GB"/>
              </w:rPr>
              <w:t>26.9</w:t>
            </w:r>
          </w:p>
        </w:tc>
        <w:tc>
          <w:tcPr>
            <w:tcW w:w="1587"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52403461" w14:textId="77777777" w:rsidR="00C44EEB" w:rsidRPr="00C44EEB" w:rsidRDefault="00C44EEB" w:rsidP="00C44EEB">
            <w:pPr>
              <w:pStyle w:val="CDITable-RowCentre"/>
              <w:rPr>
                <w:lang w:val="en-GB"/>
              </w:rPr>
            </w:pPr>
            <w:r w:rsidRPr="00C44EEB">
              <w:rPr>
                <w:lang w:val="en-GB"/>
              </w:rPr>
              <w:t>Neg</w:t>
            </w:r>
          </w:p>
        </w:tc>
        <w:tc>
          <w:tcPr>
            <w:tcW w:w="1587"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04265671" w14:textId="77777777" w:rsidR="00C44EEB" w:rsidRPr="00C44EEB" w:rsidRDefault="00C44EEB" w:rsidP="00C44EEB">
            <w:pPr>
              <w:pStyle w:val="CDITable-RowCentre"/>
              <w:rPr>
                <w:lang w:val="en-GB"/>
              </w:rPr>
            </w:pPr>
            <w:r w:rsidRPr="00C44EEB">
              <w:rPr>
                <w:lang w:val="en-GB"/>
              </w:rPr>
              <w:t>&gt; 300.0</w:t>
            </w:r>
          </w:p>
        </w:tc>
      </w:tr>
      <w:tr w:rsidR="00C44EEB" w:rsidRPr="00C44EEB" w14:paraId="4D30933A" w14:textId="77777777" w:rsidTr="00C44EEB">
        <w:tblPrEx>
          <w:tblCellMar>
            <w:top w:w="0" w:type="dxa"/>
            <w:left w:w="0" w:type="dxa"/>
            <w:bottom w:w="0" w:type="dxa"/>
            <w:right w:w="0" w:type="dxa"/>
          </w:tblCellMar>
        </w:tblPrEx>
        <w:trPr>
          <w:trHeight w:val="60"/>
        </w:trPr>
        <w:tc>
          <w:tcPr>
            <w:tcW w:w="1417" w:type="dxa"/>
            <w:tcBorders>
              <w:top w:val="single" w:sz="6" w:space="0" w:color="1E4496" w:themeColor="text2"/>
              <w:left w:val="nil"/>
              <w:bottom w:val="single" w:sz="6" w:space="0" w:color="1E4496" w:themeColor="text2"/>
            </w:tcBorders>
            <w:shd w:val="clear" w:color="auto" w:fill="DCF4FC" w:themeFill="background2" w:themeFillTint="33"/>
            <w:tcMar>
              <w:top w:w="85" w:type="dxa"/>
              <w:left w:w="113" w:type="dxa"/>
              <w:bottom w:w="85" w:type="dxa"/>
              <w:right w:w="113" w:type="dxa"/>
            </w:tcMar>
            <w:vAlign w:val="center"/>
          </w:tcPr>
          <w:p w14:paraId="14AAEB2A" w14:textId="77777777" w:rsidR="00C44EEB" w:rsidRPr="00C44EEB" w:rsidRDefault="00C44EEB" w:rsidP="00C44EEB">
            <w:pPr>
              <w:pStyle w:val="CDITable-RowCentre"/>
              <w:rPr>
                <w:lang w:val="en-GB"/>
              </w:rPr>
            </w:pPr>
            <w:r w:rsidRPr="00C44EEB">
              <w:rPr>
                <w:lang w:val="en-GB"/>
              </w:rPr>
              <w:t>2004</w:t>
            </w:r>
          </w:p>
        </w:tc>
        <w:tc>
          <w:tcPr>
            <w:tcW w:w="1418"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7C0C788E" w14:textId="77777777" w:rsidR="00C44EEB" w:rsidRPr="00C44EEB" w:rsidRDefault="00C44EEB" w:rsidP="00C44EEB">
            <w:pPr>
              <w:pStyle w:val="CDITable-RowCentre"/>
              <w:rPr>
                <w:lang w:val="en-GB"/>
              </w:rPr>
            </w:pPr>
            <w:r w:rsidRPr="00C44EEB">
              <w:rPr>
                <w:lang w:val="en-GB"/>
              </w:rPr>
              <w:t>20</w:t>
            </w:r>
          </w:p>
        </w:tc>
        <w:tc>
          <w:tcPr>
            <w:tcW w:w="1700"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0579D8AD" w14:textId="77777777" w:rsidR="00C44EEB" w:rsidRPr="00C44EEB" w:rsidRDefault="00C44EEB" w:rsidP="00C44EEB">
            <w:pPr>
              <w:pStyle w:val="CDITable-RowCentre"/>
              <w:rPr>
                <w:lang w:val="en-GB"/>
              </w:rPr>
            </w:pPr>
            <w:r w:rsidRPr="00C44EEB">
              <w:rPr>
                <w:lang w:val="en-GB"/>
              </w:rPr>
              <w:t>2</w:t>
            </w:r>
          </w:p>
        </w:tc>
        <w:tc>
          <w:tcPr>
            <w:tcW w:w="1701"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2E7A0658" w14:textId="77777777" w:rsidR="00C44EEB" w:rsidRPr="00C44EEB" w:rsidRDefault="00C44EEB" w:rsidP="00C44EEB">
            <w:pPr>
              <w:pStyle w:val="CDITable-RowCentre"/>
              <w:rPr>
                <w:lang w:val="en-GB"/>
              </w:rPr>
            </w:pPr>
            <w:r w:rsidRPr="00C44EEB">
              <w:rPr>
                <w:lang w:val="en-GB"/>
              </w:rPr>
              <w:t>(seen)</w:t>
            </w:r>
          </w:p>
        </w:tc>
        <w:tc>
          <w:tcPr>
            <w:tcW w:w="1758"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1A5218DD" w14:textId="77777777" w:rsidR="00C44EEB" w:rsidRPr="00C44EEB" w:rsidRDefault="00C44EEB" w:rsidP="00C44EEB">
            <w:pPr>
              <w:pStyle w:val="CDITable-RowCentre"/>
              <w:rPr>
                <w:lang w:val="en-GB"/>
              </w:rPr>
            </w:pPr>
            <w:r w:rsidRPr="00C44EEB">
              <w:rPr>
                <w:lang w:val="en-GB"/>
              </w:rPr>
              <w:t>1</w:t>
            </w:r>
          </w:p>
        </w:tc>
        <w:tc>
          <w:tcPr>
            <w:tcW w:w="1417"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5A90A748" w14:textId="77777777" w:rsidR="00C44EEB" w:rsidRPr="00C44EEB" w:rsidRDefault="00C44EEB" w:rsidP="00C44EEB">
            <w:pPr>
              <w:pStyle w:val="CDITable-RowCentre"/>
              <w:rPr>
                <w:lang w:val="en-GB"/>
              </w:rPr>
            </w:pPr>
            <w:r w:rsidRPr="00C44EEB">
              <w:rPr>
                <w:lang w:val="en-GB"/>
              </w:rPr>
              <w:t>31</w:t>
            </w:r>
          </w:p>
        </w:tc>
        <w:tc>
          <w:tcPr>
            <w:tcW w:w="1758"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7A6E5C8E" w14:textId="77777777" w:rsidR="00C44EEB" w:rsidRPr="00C44EEB" w:rsidRDefault="00C44EEB" w:rsidP="00C44EEB">
            <w:pPr>
              <w:pStyle w:val="CDITable-RowCentre"/>
              <w:rPr>
                <w:lang w:val="en-GB"/>
              </w:rPr>
            </w:pPr>
            <w:r w:rsidRPr="00C44EEB">
              <w:rPr>
                <w:lang w:val="en-GB"/>
              </w:rPr>
              <w:t>35</w:t>
            </w:r>
          </w:p>
        </w:tc>
        <w:tc>
          <w:tcPr>
            <w:tcW w:w="1587"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76E1A6E6" w14:textId="77777777" w:rsidR="00C44EEB" w:rsidRPr="00C44EEB" w:rsidRDefault="00C44EEB" w:rsidP="00C44EEB">
            <w:pPr>
              <w:pStyle w:val="CDITable-RowCentre"/>
              <w:rPr>
                <w:lang w:val="en-GB"/>
              </w:rPr>
            </w:pPr>
            <w:r w:rsidRPr="00C44EEB">
              <w:rPr>
                <w:lang w:val="en-GB"/>
              </w:rPr>
              <w:t>Neg</w:t>
            </w:r>
          </w:p>
        </w:tc>
        <w:tc>
          <w:tcPr>
            <w:tcW w:w="1587"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49CCB460" w14:textId="77777777" w:rsidR="00C44EEB" w:rsidRPr="00C44EEB" w:rsidRDefault="00C44EEB" w:rsidP="00C44EEB">
            <w:pPr>
              <w:pStyle w:val="CDITable-RowCentre"/>
              <w:rPr>
                <w:lang w:val="en-GB"/>
              </w:rPr>
            </w:pPr>
            <w:r w:rsidRPr="00C44EEB">
              <w:rPr>
                <w:lang w:val="en-GB"/>
              </w:rPr>
              <w:t>NR</w:t>
            </w:r>
          </w:p>
        </w:tc>
      </w:tr>
      <w:tr w:rsidR="00C44EEB" w:rsidRPr="00C44EEB" w14:paraId="5D6991E6" w14:textId="77777777" w:rsidTr="00C44EEB">
        <w:tblPrEx>
          <w:tblCellMar>
            <w:top w:w="0" w:type="dxa"/>
            <w:left w:w="0" w:type="dxa"/>
            <w:bottom w:w="0" w:type="dxa"/>
            <w:right w:w="0" w:type="dxa"/>
          </w:tblCellMar>
        </w:tblPrEx>
        <w:trPr>
          <w:trHeight w:val="60"/>
        </w:trPr>
        <w:tc>
          <w:tcPr>
            <w:tcW w:w="1417" w:type="dxa"/>
            <w:tcBorders>
              <w:top w:val="single" w:sz="6" w:space="0" w:color="1E4496" w:themeColor="text2"/>
              <w:left w:val="nil"/>
              <w:bottom w:val="single" w:sz="6" w:space="0" w:color="1E4496" w:themeColor="text2"/>
            </w:tcBorders>
            <w:shd w:val="clear" w:color="auto" w:fill="DCF4FC" w:themeFill="background2" w:themeFillTint="33"/>
            <w:tcMar>
              <w:top w:w="85" w:type="dxa"/>
              <w:left w:w="113" w:type="dxa"/>
              <w:bottom w:w="85" w:type="dxa"/>
              <w:right w:w="113" w:type="dxa"/>
            </w:tcMar>
            <w:vAlign w:val="center"/>
          </w:tcPr>
          <w:p w14:paraId="5B8CF56E" w14:textId="77777777" w:rsidR="00C44EEB" w:rsidRPr="00C44EEB" w:rsidRDefault="00C44EEB" w:rsidP="00C44EEB">
            <w:pPr>
              <w:pStyle w:val="CDITable-RowCentre"/>
              <w:rPr>
                <w:lang w:val="en-GB"/>
              </w:rPr>
            </w:pPr>
            <w:r w:rsidRPr="00C44EEB">
              <w:rPr>
                <w:lang w:val="en-GB"/>
              </w:rPr>
              <w:t>2006</w:t>
            </w:r>
          </w:p>
        </w:tc>
        <w:tc>
          <w:tcPr>
            <w:tcW w:w="1418"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49B0633D" w14:textId="77777777" w:rsidR="00C44EEB" w:rsidRPr="00C44EEB" w:rsidRDefault="00C44EEB" w:rsidP="00C44EEB">
            <w:pPr>
              <w:pStyle w:val="CDITable-RowCentre"/>
              <w:rPr>
                <w:lang w:val="en-GB"/>
              </w:rPr>
            </w:pPr>
            <w:r w:rsidRPr="00C44EEB">
              <w:rPr>
                <w:lang w:val="en-GB"/>
              </w:rPr>
              <w:t>18</w:t>
            </w:r>
          </w:p>
        </w:tc>
        <w:tc>
          <w:tcPr>
            <w:tcW w:w="1700"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0EDBF2AE" w14:textId="77777777" w:rsidR="00C44EEB" w:rsidRPr="00C44EEB" w:rsidRDefault="00C44EEB" w:rsidP="00C44EEB">
            <w:pPr>
              <w:pStyle w:val="CDITable-RowCentre"/>
              <w:rPr>
                <w:lang w:val="en-GB"/>
              </w:rPr>
            </w:pPr>
            <w:r w:rsidRPr="00C44EEB">
              <w:rPr>
                <w:lang w:val="en-GB"/>
              </w:rPr>
              <w:t>2</w:t>
            </w:r>
          </w:p>
        </w:tc>
        <w:tc>
          <w:tcPr>
            <w:tcW w:w="1701"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26F9B6AF" w14:textId="77777777" w:rsidR="00C44EEB" w:rsidRPr="00C44EEB" w:rsidRDefault="00C44EEB" w:rsidP="00C44EEB">
            <w:pPr>
              <w:pStyle w:val="CDITable-RowCentre"/>
              <w:rPr>
                <w:lang w:val="en-GB"/>
              </w:rPr>
            </w:pPr>
            <w:r w:rsidRPr="00C44EEB">
              <w:rPr>
                <w:lang w:val="en-GB"/>
              </w:rPr>
              <w:t>Verbal</w:t>
            </w:r>
          </w:p>
        </w:tc>
        <w:tc>
          <w:tcPr>
            <w:tcW w:w="1758"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54E21743" w14:textId="77777777" w:rsidR="00C44EEB" w:rsidRPr="00C44EEB" w:rsidRDefault="00C44EEB" w:rsidP="00C44EEB">
            <w:pPr>
              <w:pStyle w:val="CDITable-RowCentre"/>
              <w:rPr>
                <w:lang w:val="en-GB"/>
              </w:rPr>
            </w:pPr>
            <w:r w:rsidRPr="00C44EEB">
              <w:rPr>
                <w:lang w:val="en-GB"/>
              </w:rPr>
              <w:t>1</w:t>
            </w:r>
          </w:p>
        </w:tc>
        <w:tc>
          <w:tcPr>
            <w:tcW w:w="1417"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00A34E52" w14:textId="77777777" w:rsidR="00C44EEB" w:rsidRPr="00C44EEB" w:rsidRDefault="00C44EEB" w:rsidP="00C44EEB">
            <w:pPr>
              <w:pStyle w:val="CDITable-RowCentre"/>
              <w:rPr>
                <w:lang w:val="en-GB"/>
              </w:rPr>
            </w:pPr>
            <w:r w:rsidRPr="00C44EEB">
              <w:rPr>
                <w:lang w:val="en-GB"/>
              </w:rPr>
              <w:t>19</w:t>
            </w:r>
          </w:p>
        </w:tc>
        <w:tc>
          <w:tcPr>
            <w:tcW w:w="1758"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14003F43" w14:textId="77777777" w:rsidR="00C44EEB" w:rsidRPr="00C44EEB" w:rsidRDefault="00C44EEB" w:rsidP="00C44EEB">
            <w:pPr>
              <w:pStyle w:val="CDITable-RowCentre"/>
              <w:rPr>
                <w:lang w:val="en-GB"/>
              </w:rPr>
            </w:pPr>
            <w:r w:rsidRPr="00C44EEB">
              <w:rPr>
                <w:lang w:val="en-GB"/>
              </w:rPr>
              <w:t>26</w:t>
            </w:r>
          </w:p>
        </w:tc>
        <w:tc>
          <w:tcPr>
            <w:tcW w:w="1587"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6887ABE7" w14:textId="77777777" w:rsidR="00C44EEB" w:rsidRPr="00C44EEB" w:rsidRDefault="00C44EEB" w:rsidP="00C44EEB">
            <w:pPr>
              <w:pStyle w:val="CDITable-RowCentre"/>
              <w:rPr>
                <w:lang w:val="en-GB"/>
              </w:rPr>
            </w:pPr>
            <w:r w:rsidRPr="00C44EEB">
              <w:rPr>
                <w:lang w:val="en-GB"/>
              </w:rPr>
              <w:t>—</w:t>
            </w:r>
          </w:p>
        </w:tc>
        <w:tc>
          <w:tcPr>
            <w:tcW w:w="1587"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37DABBF6" w14:textId="77777777" w:rsidR="00C44EEB" w:rsidRPr="00C44EEB" w:rsidRDefault="00C44EEB" w:rsidP="00C44EEB">
            <w:pPr>
              <w:pStyle w:val="CDITable-RowCentre"/>
              <w:rPr>
                <w:lang w:val="en-GB"/>
              </w:rPr>
            </w:pPr>
            <w:r w:rsidRPr="00C44EEB">
              <w:rPr>
                <w:lang w:val="en-GB"/>
              </w:rPr>
              <w:t>NR</w:t>
            </w:r>
          </w:p>
        </w:tc>
      </w:tr>
    </w:tbl>
    <w:p w14:paraId="33232CC1" w14:textId="77777777" w:rsidR="003E31EB" w:rsidRPr="003E31EB" w:rsidRDefault="003E31EB" w:rsidP="00C44EEB">
      <w:pPr>
        <w:pStyle w:val="CDITable-FirstFootnote"/>
        <w:rPr>
          <w:lang w:val="en-GB"/>
        </w:rPr>
      </w:pPr>
      <w:r w:rsidRPr="003E31EB">
        <w:rPr>
          <w:lang w:val="en-GB"/>
        </w:rPr>
        <w:t>a</w:t>
      </w:r>
      <w:r w:rsidRPr="003E31EB">
        <w:rPr>
          <w:lang w:val="en-GB"/>
        </w:rPr>
        <w:tab/>
        <w:t>Genomics: all samples were sequenced and clustered within a distinct subclade of MV genotype D8 forming a closely related group exhibiting high sequence similarity. An analysis for any genetic variation across the viral genome was also done, with particular attention to the hemagglutinin (H) gene, which encodes the antigenic protein targeted by neutralising antibodies. Sequences were compared against reference strains and previously characterised variants to identify any potential mutations associated with altered antigenicity or reduced vaccine effectiveness. No such mutations were observed in the sequences analysed.</w:t>
      </w:r>
    </w:p>
    <w:p w14:paraId="6778BFDA" w14:textId="77777777" w:rsidR="003E31EB" w:rsidRPr="003E31EB" w:rsidRDefault="003E31EB" w:rsidP="003E31EB">
      <w:pPr>
        <w:pStyle w:val="CDITable-Footnote"/>
        <w:rPr>
          <w:lang w:val="en-GB"/>
        </w:rPr>
      </w:pPr>
      <w:r w:rsidRPr="003E31EB">
        <w:rPr>
          <w:lang w:val="en-GB"/>
        </w:rPr>
        <w:t>b</w:t>
      </w:r>
      <w:r w:rsidRPr="003E31EB">
        <w:rPr>
          <w:lang w:val="en-GB"/>
        </w:rPr>
        <w:tab/>
        <w:t>PCR: polymerase chain reaction.</w:t>
      </w:r>
    </w:p>
    <w:p w14:paraId="1E6502F0" w14:textId="77777777" w:rsidR="003E31EB" w:rsidRPr="003E31EB" w:rsidRDefault="003E31EB" w:rsidP="003E31EB">
      <w:pPr>
        <w:pStyle w:val="CDITable-Footnote"/>
        <w:rPr>
          <w:lang w:val="en-GB"/>
        </w:rPr>
      </w:pPr>
      <w:r w:rsidRPr="003E31EB">
        <w:rPr>
          <w:lang w:val="en-GB"/>
        </w:rPr>
        <w:t>c</w:t>
      </w:r>
      <w:r w:rsidRPr="003E31EB">
        <w:rPr>
          <w:lang w:val="en-GB"/>
        </w:rPr>
        <w:tab/>
        <w:t>ND: not determined.</w:t>
      </w:r>
    </w:p>
    <w:p w14:paraId="242E6484" w14:textId="77777777" w:rsidR="003E31EB" w:rsidRPr="003E31EB" w:rsidRDefault="003E31EB" w:rsidP="003E31EB">
      <w:pPr>
        <w:pStyle w:val="CDITable-Footnote"/>
        <w:rPr>
          <w:lang w:val="en-GB"/>
        </w:rPr>
      </w:pPr>
      <w:r w:rsidRPr="003E31EB">
        <w:rPr>
          <w:lang w:val="en-GB"/>
        </w:rPr>
        <w:t>d</w:t>
      </w:r>
      <w:r w:rsidRPr="003E31EB">
        <w:rPr>
          <w:lang w:val="en-GB"/>
        </w:rPr>
        <w:tab/>
        <w:t>IgM: immunoglobulin M; IgG: immunoglobulin G; Neg: negative; NR: non-reactive.</w:t>
      </w:r>
    </w:p>
    <w:p w14:paraId="044E9C6B" w14:textId="77777777" w:rsidR="003E31EB" w:rsidRDefault="003E31EB" w:rsidP="003E31EB">
      <w:pPr>
        <w:pStyle w:val="CDITable-Footnote"/>
        <w:rPr>
          <w:lang w:val="en-GB"/>
        </w:rPr>
        <w:sectPr w:rsidR="003E31EB" w:rsidSect="003E31EB">
          <w:footnotePr>
            <w:numFmt w:val="lowerRoman"/>
          </w:footnotePr>
          <w:pgSz w:w="16840" w:h="11907" w:orient="landscape" w:code="9"/>
          <w:pgMar w:top="1134" w:right="1134" w:bottom="1134" w:left="1134" w:header="709" w:footer="567" w:gutter="0"/>
          <w:cols w:space="708"/>
          <w:titlePg/>
          <w:docGrid w:linePitch="360"/>
        </w:sectPr>
      </w:pPr>
      <w:r w:rsidRPr="003E31EB">
        <w:rPr>
          <w:lang w:val="en-GB"/>
        </w:rPr>
        <w:t>e</w:t>
      </w:r>
      <w:r w:rsidRPr="003E31EB">
        <w:rPr>
          <w:lang w:val="en-GB"/>
        </w:rPr>
        <w:tab/>
        <w:t>Case was tested two days prior to rash onset.</w:t>
      </w:r>
    </w:p>
    <w:p w14:paraId="43328008" w14:textId="1D4590B0" w:rsidR="006E0B0E" w:rsidRDefault="00330EF3" w:rsidP="003E31EB">
      <w:pPr>
        <w:pStyle w:val="Heading1-noline"/>
        <w:spacing w:before="0"/>
      </w:pPr>
      <w:r>
        <w:t>Public health response</w:t>
      </w:r>
    </w:p>
    <w:p w14:paraId="280CC60B" w14:textId="77777777" w:rsidR="003E31EB" w:rsidRPr="003E31EB" w:rsidRDefault="003E31EB" w:rsidP="003E31EB">
      <w:pPr>
        <w:rPr>
          <w:lang w:val="en-GB"/>
        </w:rPr>
      </w:pPr>
      <w:r w:rsidRPr="003E31EB">
        <w:rPr>
          <w:lang w:val="en-GB"/>
        </w:rPr>
        <w:t xml:space="preserve">This outbreak required extensive work in contact tracing, communication, coordination and documentation throughout the region and state. Contact tracing led to three cases being identified amongst symptomatic contacts. </w:t>
      </w:r>
    </w:p>
    <w:p w14:paraId="0D1652B7" w14:textId="77777777" w:rsidR="003E31EB" w:rsidRPr="003E31EB" w:rsidRDefault="003E31EB" w:rsidP="003E31EB">
      <w:pPr>
        <w:rPr>
          <w:lang w:val="en-GB"/>
        </w:rPr>
      </w:pPr>
      <w:r w:rsidRPr="003E31EB">
        <w:rPr>
          <w:lang w:val="en-GB"/>
        </w:rPr>
        <w:t xml:space="preserve">Expert Advisory Groups helped facilitate decision making and an Incident Management Team (IMT) was convened for the response to the outbreak. Multiple clinician alerts and public communications were disseminated. </w:t>
      </w:r>
    </w:p>
    <w:p w14:paraId="2C6FEB3B" w14:textId="77777777" w:rsidR="003E31EB" w:rsidRPr="003E31EB" w:rsidRDefault="003E31EB" w:rsidP="003E31EB">
      <w:pPr>
        <w:rPr>
          <w:lang w:val="en-GB"/>
        </w:rPr>
      </w:pPr>
      <w:r w:rsidRPr="003E31EB">
        <w:rPr>
          <w:lang w:val="en-GB"/>
        </w:rPr>
        <w:t>The backpacker hostel supported isolation accommodation, vaccination and messaging to potentially affected populations. Over 125 suspect cases reported from across the Cairns region had samples tested. Case investigation identified 48 venues as potential exposure sites, and 1,481 contacts were identified for communication about exposure risk and possible intervention if susceptible. Contact tracing methodologies, including the use of messaging apps and SMSs, were employed to expand reach and to facilitate ‘snowball’ communication to additional contacts not listed at venues (e.g. visitors to hospital). Normal Human Immunoglobulin (</w:t>
      </w:r>
      <w:proofErr w:type="spellStart"/>
      <w:r w:rsidRPr="003E31EB">
        <w:rPr>
          <w:lang w:val="en-GB"/>
        </w:rPr>
        <w:t>NHIg</w:t>
      </w:r>
      <w:proofErr w:type="spellEnd"/>
      <w:r w:rsidRPr="003E31EB">
        <w:rPr>
          <w:lang w:val="en-GB"/>
        </w:rPr>
        <w:t>) was recommended for 17 people, including eight neonates linked to a maternity ward exposure.</w:t>
      </w:r>
    </w:p>
    <w:bookmarkEnd w:id="2"/>
    <w:bookmarkEnd w:id="3"/>
    <w:p w14:paraId="0EF05B8C" w14:textId="59B20E84" w:rsidR="00FE2847" w:rsidRDefault="00330EF3" w:rsidP="00112436">
      <w:pPr>
        <w:pStyle w:val="Heading1-noline"/>
      </w:pPr>
      <w:r>
        <w:t>Discussion</w:t>
      </w:r>
    </w:p>
    <w:p w14:paraId="1139E4A4" w14:textId="77777777" w:rsidR="003E31EB" w:rsidRPr="003E31EB" w:rsidRDefault="003E31EB" w:rsidP="003E31EB">
      <w:pPr>
        <w:rPr>
          <w:lang w:val="en-GB"/>
        </w:rPr>
      </w:pPr>
      <w:r w:rsidRPr="003E31EB">
        <w:rPr>
          <w:lang w:val="en-GB"/>
        </w:rPr>
        <w:t>This measles outbreak occurred in regional Australia following an imported case at a time of increasing global circulation of the disease.</w:t>
      </w:r>
      <w:r w:rsidRPr="003E31EB">
        <w:rPr>
          <w:vertAlign w:val="superscript"/>
          <w:lang w:val="en-GB"/>
        </w:rPr>
        <w:t>2</w:t>
      </w:r>
      <w:r w:rsidRPr="003E31EB">
        <w:rPr>
          <w:lang w:val="en-GB"/>
        </w:rPr>
        <w:t xml:space="preserve"> This was the largest measles outbreak in the area in almost 30 years and highlighted the potential for introduction and onward transmission, including within healthcare settings, in an elimination context.</w:t>
      </w:r>
      <w:r w:rsidRPr="003E31EB">
        <w:rPr>
          <w:vertAlign w:val="superscript"/>
          <w:lang w:val="en-GB"/>
        </w:rPr>
        <w:t>9</w:t>
      </w:r>
      <w:r w:rsidRPr="003E31EB">
        <w:rPr>
          <w:lang w:val="en-GB"/>
        </w:rPr>
        <w:t xml:space="preserve"> The index case had documentation of two vaccinations. They had lower Ct values than the other cases in the outbreak and transmitted to multiple people; without further serology and avidity testing, it is not possible to be definitive about possible primary or secondary vaccine failure.</w:t>
      </w:r>
      <w:r w:rsidRPr="003E31EB">
        <w:rPr>
          <w:vertAlign w:val="superscript"/>
          <w:lang w:val="en-GB"/>
        </w:rPr>
        <w:t>5,8</w:t>
      </w:r>
      <w:r w:rsidRPr="003E31EB">
        <w:rPr>
          <w:lang w:val="en-GB"/>
        </w:rPr>
        <w:t xml:space="preserve"> Most of the secondary cases showed some evidence of potential immunity, which may explain why no onward transmission was identified.</w:t>
      </w:r>
      <w:r w:rsidRPr="003E31EB">
        <w:rPr>
          <w:vertAlign w:val="superscript"/>
          <w:lang w:val="en-GB"/>
        </w:rPr>
        <w:t>4,5</w:t>
      </w:r>
    </w:p>
    <w:p w14:paraId="75051FC5" w14:textId="77777777" w:rsidR="003E31EB" w:rsidRPr="003E31EB" w:rsidRDefault="003E31EB" w:rsidP="003E31EB">
      <w:pPr>
        <w:rPr>
          <w:lang w:val="en-GB"/>
        </w:rPr>
      </w:pPr>
      <w:r w:rsidRPr="003E31EB">
        <w:rPr>
          <w:lang w:val="en-GB"/>
        </w:rPr>
        <w:t>In a population with high vaccine coverage, it is likely that some cases will occur amongst immunised people.</w:t>
      </w:r>
      <w:r w:rsidRPr="003E31EB">
        <w:rPr>
          <w:vertAlign w:val="superscript"/>
          <w:lang w:val="en-GB"/>
        </w:rPr>
        <w:t>5,9,10</w:t>
      </w:r>
      <w:r w:rsidRPr="003E31EB">
        <w:rPr>
          <w:lang w:val="en-GB"/>
        </w:rPr>
        <w:t xml:space="preserve"> As seen in this outbreak with no second generation of cases, immunised people who get measles are less likely to continue transmission.</w:t>
      </w:r>
      <w:r w:rsidRPr="003E31EB">
        <w:rPr>
          <w:vertAlign w:val="superscript"/>
          <w:lang w:val="en-GB"/>
        </w:rPr>
        <w:t>4</w:t>
      </w:r>
      <w:r w:rsidRPr="003E31EB">
        <w:rPr>
          <w:lang w:val="en-GB"/>
        </w:rPr>
        <w:t xml:space="preserve"> Whilst the relatively narrow age range of the cases here could be partly influenced by the social links for transmission, it may also reflect a lack of immunity in specific birth cohorts that are no longer exposed to measles in an elimination context.</w:t>
      </w:r>
      <w:r w:rsidRPr="003E31EB">
        <w:rPr>
          <w:vertAlign w:val="superscript"/>
          <w:lang w:val="en-GB"/>
        </w:rPr>
        <w:t>11,12</w:t>
      </w:r>
      <w:r w:rsidRPr="003E31EB">
        <w:rPr>
          <w:lang w:val="en-GB"/>
        </w:rPr>
        <w:t xml:space="preserve"> Previous serosurveys in Australia have identified lower antibody levels in young adult groups, possibly indicative of waning immunity or of non-immunity.</w:t>
      </w:r>
      <w:r w:rsidRPr="003E31EB">
        <w:rPr>
          <w:vertAlign w:val="superscript"/>
          <w:lang w:val="en-GB"/>
        </w:rPr>
        <w:t>13,14</w:t>
      </w:r>
      <w:r w:rsidRPr="003E31EB">
        <w:rPr>
          <w:lang w:val="en-GB"/>
        </w:rPr>
        <w:t xml:space="preserve"> This is particularly significant as the 20 to 34 year old age group represents an increasing proportion of healthcare staff.</w:t>
      </w:r>
      <w:r w:rsidRPr="003E31EB">
        <w:rPr>
          <w:vertAlign w:val="superscript"/>
          <w:lang w:val="en-GB"/>
        </w:rPr>
        <w:t>15</w:t>
      </w:r>
      <w:r w:rsidRPr="003E31EB">
        <w:rPr>
          <w:lang w:val="en-GB"/>
        </w:rPr>
        <w:t xml:space="preserve"> </w:t>
      </w:r>
    </w:p>
    <w:p w14:paraId="60A0D19C" w14:textId="77777777" w:rsidR="003E31EB" w:rsidRPr="003E31EB" w:rsidRDefault="003E31EB" w:rsidP="003E31EB">
      <w:pPr>
        <w:rPr>
          <w:lang w:val="en-GB"/>
        </w:rPr>
      </w:pPr>
      <w:r w:rsidRPr="003E31EB">
        <w:rPr>
          <w:lang w:val="en-GB"/>
        </w:rPr>
        <w:t xml:space="preserve">Measles is now a rare condition in Australia and early symptoms are non-specific. This can cause delays in recognition for people presenting to hospital, leading to exposure risks to other patients, visitors and staff. Healthcare workers have a 2-to-19-fold higher risk of exposure to measles than the </w:t>
      </w:r>
      <w:proofErr w:type="gramStart"/>
      <w:r w:rsidRPr="003E31EB">
        <w:rPr>
          <w:lang w:val="en-GB"/>
        </w:rPr>
        <w:t>general public</w:t>
      </w:r>
      <w:proofErr w:type="gramEnd"/>
      <w:r w:rsidRPr="003E31EB">
        <w:rPr>
          <w:lang w:val="en-GB"/>
        </w:rPr>
        <w:t>.</w:t>
      </w:r>
      <w:r w:rsidRPr="003E31EB">
        <w:rPr>
          <w:vertAlign w:val="superscript"/>
          <w:lang w:val="en-GB"/>
        </w:rPr>
        <w:t>16</w:t>
      </w:r>
      <w:r w:rsidRPr="003E31EB">
        <w:rPr>
          <w:lang w:val="en-GB"/>
        </w:rPr>
        <w:t xml:space="preserve"> Infected hospital staff can lead to disruption of clinical services and to a need for interventions for vulnerable people, even if the risk of onward transmission is considered low.</w:t>
      </w:r>
      <w:r w:rsidRPr="003E31EB">
        <w:rPr>
          <w:vertAlign w:val="superscript"/>
          <w:lang w:val="en-GB"/>
        </w:rPr>
        <w:t>3,4,10</w:t>
      </w:r>
    </w:p>
    <w:p w14:paraId="1496300E" w14:textId="77777777" w:rsidR="003E31EB" w:rsidRPr="003E31EB" w:rsidRDefault="003E31EB" w:rsidP="003E31EB">
      <w:pPr>
        <w:keepLines/>
        <w:rPr>
          <w:lang w:val="en-GB"/>
        </w:rPr>
      </w:pPr>
      <w:r w:rsidRPr="003E31EB">
        <w:rPr>
          <w:lang w:val="en-GB"/>
        </w:rPr>
        <w:t>Some countries have advocated for systematic testing and booster doses of measles vaccine to healthcare staff in the context of outbreak risks such as seen here, whilst others have modified the public health approach for secondary vaccine failure cases.</w:t>
      </w:r>
      <w:r w:rsidRPr="003E31EB">
        <w:rPr>
          <w:vertAlign w:val="superscript"/>
          <w:lang w:val="en-GB"/>
        </w:rPr>
        <w:t>10,17</w:t>
      </w:r>
      <w:r w:rsidRPr="003E31EB">
        <w:rPr>
          <w:lang w:val="en-GB"/>
        </w:rPr>
        <w:t xml:space="preserve"> This outbreak highlights the potential for measles introduction, and the impact of control measures associated with a healthcare setting in Australia. At a time when antibody levels may be waning in healthcare worker cohorts,</w:t>
      </w:r>
      <w:r w:rsidRPr="003E31EB">
        <w:rPr>
          <w:vertAlign w:val="superscript"/>
          <w:lang w:val="en-GB"/>
        </w:rPr>
        <w:t>5</w:t>
      </w:r>
      <w:r w:rsidRPr="003E31EB">
        <w:rPr>
          <w:lang w:val="en-GB"/>
        </w:rPr>
        <w:t xml:space="preserve"> and when overall vaccination coverage is declining, the ongoing risk of reintroduction and onward transmission of measles in Australia must be recognised. Healthcare services should consider introducing measles serology screening and/or booster vaccination among healthcare workers to reduce the impact of future outbreaks.</w:t>
      </w:r>
    </w:p>
    <w:p w14:paraId="60BE4F84" w14:textId="77777777" w:rsidR="003E31EB" w:rsidRPr="003E31EB" w:rsidRDefault="003E31EB" w:rsidP="003E31EB">
      <w:pPr>
        <w:pStyle w:val="Heading2"/>
        <w:rPr>
          <w:lang w:val="en-GB"/>
        </w:rPr>
      </w:pPr>
      <w:r w:rsidRPr="003E31EB">
        <w:rPr>
          <w:lang w:val="en-GB"/>
        </w:rPr>
        <w:t>Ethics</w:t>
      </w:r>
    </w:p>
    <w:p w14:paraId="0D9E429C" w14:textId="7BCEB408" w:rsidR="003E31EB" w:rsidRDefault="003E31EB" w:rsidP="003E31EB">
      <w:pPr>
        <w:rPr>
          <w:lang w:val="en-GB"/>
        </w:rPr>
      </w:pPr>
      <w:r w:rsidRPr="003E31EB">
        <w:rPr>
          <w:lang w:val="en-GB"/>
        </w:rPr>
        <w:t xml:space="preserve">This report is endorsed for publication without the need for HREC review. Ref:2003OR per FNQ HREC. </w:t>
      </w:r>
      <w:r>
        <w:rPr>
          <w:lang w:val="en-GB"/>
        </w:rPr>
        <w:br w:type="page"/>
      </w:r>
    </w:p>
    <w:p w14:paraId="4EBD404F" w14:textId="77777777" w:rsidR="008A0736" w:rsidRDefault="008A0736" w:rsidP="00112436">
      <w:pPr>
        <w:pStyle w:val="Heading1-noline"/>
      </w:pPr>
      <w:bookmarkStart w:id="4" w:name="_Toc195530508"/>
      <w:bookmarkStart w:id="5" w:name="_Toc201743697"/>
      <w:r>
        <w:t>Author details</w:t>
      </w:r>
      <w:bookmarkEnd w:id="4"/>
      <w:bookmarkEnd w:id="5"/>
    </w:p>
    <w:p w14:paraId="1BAE9580" w14:textId="77777777" w:rsidR="003E31EB" w:rsidRPr="003E31EB" w:rsidRDefault="003E31EB" w:rsidP="003E31EB">
      <w:pPr>
        <w:rPr>
          <w:lang w:val="en-GB"/>
        </w:rPr>
      </w:pPr>
      <w:r w:rsidRPr="003E31EB">
        <w:rPr>
          <w:lang w:val="en-GB"/>
        </w:rPr>
        <w:t>Tonia Marquardt,</w:t>
      </w:r>
      <w:r w:rsidRPr="003E31EB">
        <w:rPr>
          <w:vertAlign w:val="superscript"/>
          <w:lang w:val="en-GB"/>
        </w:rPr>
        <w:t>1,</w:t>
      </w:r>
      <w:proofErr w:type="gramStart"/>
      <w:r w:rsidRPr="003E31EB">
        <w:rPr>
          <w:vertAlign w:val="superscript"/>
          <w:lang w:val="en-GB"/>
        </w:rPr>
        <w:t>3,*</w:t>
      </w:r>
      <w:proofErr w:type="gramEnd"/>
      <w:r w:rsidRPr="003E31EB">
        <w:rPr>
          <w:vertAlign w:val="superscript"/>
          <w:lang w:val="en-GB"/>
        </w:rPr>
        <w:t xml:space="preserve"> </w:t>
      </w:r>
    </w:p>
    <w:p w14:paraId="13AA109E" w14:textId="77777777" w:rsidR="003E31EB" w:rsidRPr="003E31EB" w:rsidRDefault="003E31EB" w:rsidP="003E31EB">
      <w:pPr>
        <w:pStyle w:val="Normal-lessspace"/>
      </w:pPr>
      <w:r w:rsidRPr="003E31EB">
        <w:t>Simon Smith,</w:t>
      </w:r>
      <w:r w:rsidRPr="003E31EB">
        <w:rPr>
          <w:vertAlign w:val="superscript"/>
        </w:rPr>
        <w:t>2</w:t>
      </w:r>
      <w:r w:rsidRPr="003E31EB">
        <w:t xml:space="preserve"> </w:t>
      </w:r>
    </w:p>
    <w:p w14:paraId="7E4C2AF4" w14:textId="77777777" w:rsidR="003E31EB" w:rsidRPr="003E31EB" w:rsidRDefault="003E31EB" w:rsidP="003E31EB">
      <w:pPr>
        <w:pStyle w:val="Normal-lessspace"/>
      </w:pPr>
      <w:r w:rsidRPr="003E31EB">
        <w:t>Juliet Esmonde,</w:t>
      </w:r>
      <w:r w:rsidRPr="003E31EB">
        <w:rPr>
          <w:vertAlign w:val="superscript"/>
        </w:rPr>
        <w:t>1</w:t>
      </w:r>
      <w:r w:rsidRPr="003E31EB">
        <w:t xml:space="preserve"> </w:t>
      </w:r>
    </w:p>
    <w:p w14:paraId="4B18BD43" w14:textId="77777777" w:rsidR="003E31EB" w:rsidRPr="003E31EB" w:rsidRDefault="003E31EB" w:rsidP="003E31EB">
      <w:pPr>
        <w:pStyle w:val="Normal-lessspace"/>
      </w:pPr>
      <w:r w:rsidRPr="003E31EB">
        <w:t>Matthew O’Bryan</w:t>
      </w:r>
      <w:r w:rsidRPr="003E31EB">
        <w:rPr>
          <w:vertAlign w:val="superscript"/>
        </w:rPr>
        <w:t>1,5</w:t>
      </w:r>
      <w:r w:rsidRPr="003E31EB">
        <w:t xml:space="preserve"> </w:t>
      </w:r>
    </w:p>
    <w:p w14:paraId="0F219F77" w14:textId="77777777" w:rsidR="003E31EB" w:rsidRPr="003E31EB" w:rsidRDefault="003E31EB" w:rsidP="003E31EB">
      <w:pPr>
        <w:pStyle w:val="Normal-lessspace"/>
      </w:pPr>
      <w:r w:rsidRPr="003E31EB">
        <w:t>Lucy Thallon,</w:t>
      </w:r>
      <w:r w:rsidRPr="003E31EB">
        <w:rPr>
          <w:vertAlign w:val="superscript"/>
        </w:rPr>
        <w:t>1</w:t>
      </w:r>
      <w:r w:rsidRPr="003E31EB">
        <w:t xml:space="preserve"> </w:t>
      </w:r>
    </w:p>
    <w:p w14:paraId="17EF4FD4" w14:textId="77777777" w:rsidR="003E31EB" w:rsidRPr="003E31EB" w:rsidRDefault="003E31EB" w:rsidP="003E31EB">
      <w:pPr>
        <w:pStyle w:val="Normal-lessspace"/>
      </w:pPr>
      <w:r w:rsidRPr="003E31EB">
        <w:t>Alireza Zahedi,</w:t>
      </w:r>
      <w:r w:rsidRPr="003E31EB">
        <w:rPr>
          <w:vertAlign w:val="superscript"/>
        </w:rPr>
        <w:t>1</w:t>
      </w:r>
      <w:r w:rsidRPr="003E31EB">
        <w:t xml:space="preserve"> </w:t>
      </w:r>
    </w:p>
    <w:p w14:paraId="52D64950" w14:textId="77777777" w:rsidR="003E31EB" w:rsidRPr="003E31EB" w:rsidRDefault="003E31EB" w:rsidP="003E31EB">
      <w:pPr>
        <w:pStyle w:val="Normal-lessspace"/>
      </w:pPr>
      <w:r w:rsidRPr="003E31EB">
        <w:t>Trent Yarwood,</w:t>
      </w:r>
      <w:r w:rsidRPr="003E31EB">
        <w:rPr>
          <w:vertAlign w:val="superscript"/>
        </w:rPr>
        <w:t>2,4,5</w:t>
      </w:r>
      <w:r w:rsidRPr="003E31EB">
        <w:t xml:space="preserve"> </w:t>
      </w:r>
    </w:p>
    <w:p w14:paraId="01C75EFA" w14:textId="77777777" w:rsidR="003E31EB" w:rsidRPr="003E31EB" w:rsidRDefault="003E31EB" w:rsidP="003E31EB">
      <w:pPr>
        <w:pStyle w:val="Normal-lessspace"/>
      </w:pPr>
      <w:r w:rsidRPr="003E31EB">
        <w:t>Jacqueline Murdoch</w:t>
      </w:r>
      <w:r w:rsidRPr="003E31EB">
        <w:rPr>
          <w:vertAlign w:val="superscript"/>
        </w:rPr>
        <w:t>1,4</w:t>
      </w:r>
    </w:p>
    <w:p w14:paraId="58935949" w14:textId="77777777" w:rsidR="003E31EB" w:rsidRPr="003E31EB" w:rsidRDefault="003E31EB" w:rsidP="00C44EEB">
      <w:pPr>
        <w:pStyle w:val="CDINumberedList1L1"/>
        <w:ind w:left="397" w:hanging="397"/>
        <w:rPr>
          <w:lang w:val="en-GB"/>
        </w:rPr>
      </w:pPr>
      <w:r w:rsidRPr="003E31EB">
        <w:rPr>
          <w:lang w:val="en-GB"/>
        </w:rPr>
        <w:t>Cairns Public Health Unit, Cairns and Hinterland Hospital &amp; Health Service, Cairns, Queensland, Australia</w:t>
      </w:r>
    </w:p>
    <w:p w14:paraId="27D535C4" w14:textId="77777777" w:rsidR="003E31EB" w:rsidRPr="003E31EB" w:rsidRDefault="003E31EB" w:rsidP="00C44EEB">
      <w:pPr>
        <w:pStyle w:val="CDINumberedList1L1"/>
        <w:ind w:left="397" w:hanging="397"/>
        <w:rPr>
          <w:lang w:val="en-GB"/>
        </w:rPr>
      </w:pPr>
      <w:r w:rsidRPr="003E31EB">
        <w:rPr>
          <w:lang w:val="en-GB"/>
        </w:rPr>
        <w:t>Cairns Hospital, Cairns and Hinterland Hospital &amp; Health Service, Cairns, Queensland, Australia</w:t>
      </w:r>
    </w:p>
    <w:p w14:paraId="397C6E6E" w14:textId="77777777" w:rsidR="003E31EB" w:rsidRPr="003E31EB" w:rsidRDefault="003E31EB" w:rsidP="00C44EEB">
      <w:pPr>
        <w:pStyle w:val="CDINumberedList1L1"/>
        <w:ind w:left="397" w:hanging="397"/>
        <w:rPr>
          <w:lang w:val="en-GB"/>
        </w:rPr>
      </w:pPr>
      <w:r w:rsidRPr="003E31EB">
        <w:rPr>
          <w:lang w:val="en-GB"/>
        </w:rPr>
        <w:t>National Centre for Immunisation Research and Surveillance, Sydney, New South Wales, Australia</w:t>
      </w:r>
    </w:p>
    <w:p w14:paraId="75A53DB6" w14:textId="77777777" w:rsidR="003E31EB" w:rsidRPr="003E31EB" w:rsidRDefault="003E31EB" w:rsidP="00C44EEB">
      <w:pPr>
        <w:pStyle w:val="CDINumberedList1L1"/>
        <w:ind w:left="397" w:hanging="397"/>
        <w:rPr>
          <w:lang w:val="en-GB"/>
        </w:rPr>
      </w:pPr>
      <w:r w:rsidRPr="003E31EB">
        <w:rPr>
          <w:lang w:val="en-GB"/>
        </w:rPr>
        <w:t>School of Public Health, James Cook University, Townsville, Queensland, Australia</w:t>
      </w:r>
    </w:p>
    <w:p w14:paraId="5F3D6175" w14:textId="77777777" w:rsidR="003E31EB" w:rsidRPr="003E31EB" w:rsidRDefault="003E31EB" w:rsidP="00C44EEB">
      <w:pPr>
        <w:pStyle w:val="CDINumberedList1L1"/>
        <w:ind w:left="397" w:hanging="397"/>
        <w:rPr>
          <w:lang w:val="en-GB"/>
        </w:rPr>
      </w:pPr>
      <w:r w:rsidRPr="003E31EB">
        <w:rPr>
          <w:lang w:val="en-GB"/>
        </w:rPr>
        <w:t>Rural Clinical School, University of Queensland, Herston, Queensland, Australia</w:t>
      </w:r>
    </w:p>
    <w:p w14:paraId="666D02AF" w14:textId="77777777" w:rsidR="00423436" w:rsidRDefault="00423436" w:rsidP="00423436">
      <w:pPr>
        <w:pStyle w:val="CDICorrespondingauthor"/>
      </w:pPr>
      <w:r>
        <w:t>Corresponding author</w:t>
      </w:r>
    </w:p>
    <w:p w14:paraId="0027BCE2" w14:textId="77777777" w:rsidR="00C44EEB" w:rsidRPr="00C44EEB" w:rsidRDefault="00C44EEB" w:rsidP="00C44EEB">
      <w:pPr>
        <w:rPr>
          <w:lang w:val="en-GB"/>
        </w:rPr>
      </w:pPr>
      <w:r w:rsidRPr="00C44EEB">
        <w:rPr>
          <w:lang w:val="en-GB"/>
        </w:rPr>
        <w:t>Dr Tonia Marquardt</w:t>
      </w:r>
    </w:p>
    <w:p w14:paraId="0F85E84C" w14:textId="77777777" w:rsidR="00C44EEB" w:rsidRPr="00C44EEB" w:rsidRDefault="00C44EEB" w:rsidP="00C44EEB">
      <w:pPr>
        <w:rPr>
          <w:lang w:val="en-GB"/>
        </w:rPr>
      </w:pPr>
      <w:r w:rsidRPr="00C44EEB">
        <w:rPr>
          <w:lang w:val="en-GB"/>
        </w:rPr>
        <w:t xml:space="preserve">Cairns Public Health Unit, L7, William McCormack Building, 5b Sheridan St, Cairns, Qld 4870, Australia </w:t>
      </w:r>
    </w:p>
    <w:p w14:paraId="1F2D55F3" w14:textId="77777777" w:rsidR="00C44EEB" w:rsidRPr="00C44EEB" w:rsidRDefault="00C44EEB" w:rsidP="00C44EEB">
      <w:pPr>
        <w:rPr>
          <w:lang w:val="en-GB"/>
        </w:rPr>
      </w:pPr>
      <w:r w:rsidRPr="00C44EEB">
        <w:rPr>
          <w:lang w:val="en-GB"/>
        </w:rPr>
        <w:t xml:space="preserve">Email: </w:t>
      </w:r>
      <w:hyperlink r:id="rId16" w:history="1">
        <w:r w:rsidRPr="00C44EEB">
          <w:rPr>
            <w:rStyle w:val="Hyperlink"/>
            <w:lang w:val="en-GB"/>
          </w:rPr>
          <w:t>tonia.marquardt@health.qld.gov.au</w:t>
        </w:r>
      </w:hyperlink>
      <w:r w:rsidRPr="00C44EEB">
        <w:rPr>
          <w:lang w:val="en-GB"/>
        </w:rPr>
        <w:t xml:space="preserve"> </w:t>
      </w:r>
    </w:p>
    <w:p w14:paraId="14E2CAAB" w14:textId="202E4AF6" w:rsidR="00C44EEB" w:rsidRDefault="00C44EEB" w:rsidP="00C44EEB">
      <w:pPr>
        <w:rPr>
          <w:lang w:val="en-GB"/>
        </w:rPr>
      </w:pPr>
      <w:r w:rsidRPr="00C44EEB">
        <w:rPr>
          <w:lang w:val="en-GB"/>
        </w:rPr>
        <w:t>Phone: +61 7 4226 5555</w:t>
      </w:r>
      <w:r>
        <w:rPr>
          <w:lang w:val="en-GB"/>
        </w:rPr>
        <w:br w:type="page"/>
      </w:r>
    </w:p>
    <w:p w14:paraId="2D0E00B1" w14:textId="77777777" w:rsidR="008A0736" w:rsidRDefault="008A0736" w:rsidP="00112436">
      <w:pPr>
        <w:pStyle w:val="Heading1-noline"/>
      </w:pPr>
      <w:bookmarkStart w:id="6" w:name="_Toc195530511"/>
      <w:bookmarkStart w:id="7" w:name="_Toc201743698"/>
      <w:r>
        <w:t>References</w:t>
      </w:r>
      <w:bookmarkEnd w:id="6"/>
      <w:bookmarkEnd w:id="7"/>
    </w:p>
    <w:p w14:paraId="3F1521FE" w14:textId="77777777" w:rsidR="00C44EEB" w:rsidRDefault="00C44EEB" w:rsidP="00C44EEB">
      <w:pPr>
        <w:pStyle w:val="CDINumberedList1L1"/>
        <w:numPr>
          <w:ilvl w:val="0"/>
          <w:numId w:val="10"/>
        </w:numPr>
        <w:ind w:left="397" w:hanging="397"/>
      </w:pPr>
      <w:r>
        <w:t xml:space="preserve">National Centre for Immunisation Research and Surveillance (NCIRS). </w:t>
      </w:r>
      <w:r w:rsidRPr="00C44EEB">
        <w:rPr>
          <w:i/>
          <w:iCs/>
        </w:rPr>
        <w:t>Significant events in measles, mumps and rubella vaccination practice in Australia</w:t>
      </w:r>
      <w:r>
        <w:t xml:space="preserve">. Sydney: Sydney Children’s Hospitals Network, NCIRS; September 2025. [Accessed on 4 February 2026.] Available from: </w:t>
      </w:r>
      <w:hyperlink r:id="rId17" w:history="1">
        <w:r>
          <w:rPr>
            <w:rStyle w:val="Hyperlink"/>
          </w:rPr>
          <w:t>https://ncirs.org.au/media/1148</w:t>
        </w:r>
      </w:hyperlink>
      <w:r>
        <w:t>.</w:t>
      </w:r>
    </w:p>
    <w:p w14:paraId="28C5E697" w14:textId="77777777" w:rsidR="00C44EEB" w:rsidRDefault="00C44EEB" w:rsidP="00C44EEB">
      <w:pPr>
        <w:pStyle w:val="CDINumberedList1L1"/>
        <w:ind w:left="397" w:hanging="397"/>
      </w:pPr>
      <w:r>
        <w:t xml:space="preserve">Gidding HF, Martin NV, </w:t>
      </w:r>
      <w:proofErr w:type="spellStart"/>
      <w:r>
        <w:t>Stambos</w:t>
      </w:r>
      <w:proofErr w:type="spellEnd"/>
      <w:r>
        <w:t xml:space="preserve"> V, Tran T, Dey A, Dowse GK et al. Verification of measles elimination in Australia: application of World Health Organization regional guidelines. </w:t>
      </w:r>
      <w:r w:rsidRPr="00C44EEB">
        <w:rPr>
          <w:i/>
          <w:iCs/>
        </w:rPr>
        <w:t>J Epidemiol Glob Health</w:t>
      </w:r>
      <w:r>
        <w:t xml:space="preserve">. 2016;6(3):197–209. doi: </w:t>
      </w:r>
      <w:hyperlink r:id="rId18" w:history="1">
        <w:r>
          <w:rPr>
            <w:rStyle w:val="Hyperlink"/>
          </w:rPr>
          <w:t>https://doi.org/10.1016/j.jegh.2015.12.004</w:t>
        </w:r>
      </w:hyperlink>
      <w:r>
        <w:t>.</w:t>
      </w:r>
    </w:p>
    <w:p w14:paraId="4B2BF61D" w14:textId="77777777" w:rsidR="00C44EEB" w:rsidRDefault="00C44EEB" w:rsidP="00C44EEB">
      <w:pPr>
        <w:pStyle w:val="CDINumberedList1L1"/>
        <w:ind w:left="397" w:hanging="397"/>
      </w:pPr>
      <w:r>
        <w:t xml:space="preserve">Australian Centre for Disease Control (Australian CDC). </w:t>
      </w:r>
      <w:r w:rsidRPr="00C44EEB">
        <w:rPr>
          <w:i/>
          <w:iCs/>
        </w:rPr>
        <w:t>Measles – CDNA National Guidelines for Public Health Units</w:t>
      </w:r>
      <w:r>
        <w:t xml:space="preserve">. Canberra: Australian CDC; 1 May 2019. [Accessed on 4 February 2026.] Available from: </w:t>
      </w:r>
      <w:hyperlink r:id="rId19" w:history="1">
        <w:r>
          <w:rPr>
            <w:rStyle w:val="Hyperlink"/>
          </w:rPr>
          <w:t>https://www.cdc.gov.au/resources/publications/measles-cdna-national-guidelines-public-health-units</w:t>
        </w:r>
      </w:hyperlink>
      <w:r>
        <w:t>.</w:t>
      </w:r>
    </w:p>
    <w:p w14:paraId="708D8668" w14:textId="77777777" w:rsidR="00C44EEB" w:rsidRDefault="00C44EEB" w:rsidP="00C44EEB">
      <w:pPr>
        <w:pStyle w:val="CDINumberedList1L1"/>
        <w:ind w:left="397" w:hanging="397"/>
      </w:pPr>
      <w:r>
        <w:t xml:space="preserve">Tranter I, Smoll N, Lau CL, Williams DL, </w:t>
      </w:r>
      <w:proofErr w:type="spellStart"/>
      <w:r>
        <w:t>Neucom</w:t>
      </w:r>
      <w:proofErr w:type="spellEnd"/>
      <w:r>
        <w:t xml:space="preserve"> D, Barnekow D et al. Onward virus transmission after measles secondary vaccination failure. </w:t>
      </w:r>
      <w:r w:rsidRPr="00C44EEB">
        <w:rPr>
          <w:i/>
          <w:iCs/>
        </w:rPr>
        <w:t>Emerg Infect Dis</w:t>
      </w:r>
      <w:r>
        <w:t>. 2024;30(9):1747–54. d</w:t>
      </w:r>
      <w:r>
        <w:t xml:space="preserve">oi: </w:t>
      </w:r>
      <w:hyperlink r:id="rId20" w:history="1">
        <w:r>
          <w:rPr>
            <w:rStyle w:val="Hyperlink"/>
          </w:rPr>
          <w:t>https://doi.org/10.3201/eid3009.240150</w:t>
        </w:r>
      </w:hyperlink>
      <w:r>
        <w:t>.</w:t>
      </w:r>
    </w:p>
    <w:p w14:paraId="006A35C0" w14:textId="2CF928FC" w:rsidR="00C44EEB" w:rsidRDefault="00C44EEB" w:rsidP="00C44EEB">
      <w:pPr>
        <w:pStyle w:val="CDINumberedList1L1"/>
        <w:ind w:left="397" w:hanging="397"/>
      </w:pPr>
      <w:proofErr w:type="spellStart"/>
      <w:r>
        <w:t>Fappani</w:t>
      </w:r>
      <w:proofErr w:type="spellEnd"/>
      <w:r>
        <w:t xml:space="preserve"> C, Gori M, </w:t>
      </w:r>
      <w:proofErr w:type="spellStart"/>
      <w:r>
        <w:t>Canuti</w:t>
      </w:r>
      <w:proofErr w:type="spellEnd"/>
      <w:r>
        <w:t xml:space="preserve"> M, </w:t>
      </w:r>
      <w:proofErr w:type="spellStart"/>
      <w:r>
        <w:t>Terraneo</w:t>
      </w:r>
      <w:proofErr w:type="spellEnd"/>
      <w:r>
        <w:t xml:space="preserve"> M, </w:t>
      </w:r>
      <w:proofErr w:type="spellStart"/>
      <w:r>
        <w:t>Colzani</w:t>
      </w:r>
      <w:proofErr w:type="spellEnd"/>
      <w:r>
        <w:t xml:space="preserve"> D, Tanzi E et al. Breakthrough infections: a challenge towards measles elimination? </w:t>
      </w:r>
      <w:r w:rsidRPr="00C44EEB">
        <w:rPr>
          <w:i/>
          <w:iCs/>
        </w:rPr>
        <w:t>Microorganisms</w:t>
      </w:r>
      <w:r>
        <w:t xml:space="preserve">. 2022;10(8):1567. </w:t>
      </w:r>
      <w:r>
        <w:t>doi: </w:t>
      </w:r>
      <w:hyperlink r:id="rId21" w:history="1">
        <w:r>
          <w:rPr>
            <w:rStyle w:val="Hyperlink"/>
          </w:rPr>
          <w:t>https://doi.org/10.3390/microorganisms10081567</w:t>
        </w:r>
      </w:hyperlink>
      <w:r>
        <w:t>.</w:t>
      </w:r>
    </w:p>
    <w:p w14:paraId="059CC4DF" w14:textId="77777777" w:rsidR="00C44EEB" w:rsidRDefault="00C44EEB" w:rsidP="00C44EEB">
      <w:pPr>
        <w:pStyle w:val="CDINumberedList1L1"/>
        <w:ind w:left="397" w:hanging="397"/>
      </w:pPr>
      <w:r>
        <w:t xml:space="preserve">Mercader S, Garcia P, Bellini WJ. Measles virus IgG avidity assay for use in classification of measles vaccine failure in measles elimination settings. </w:t>
      </w:r>
      <w:r w:rsidRPr="00C44EEB">
        <w:rPr>
          <w:i/>
          <w:iCs/>
        </w:rPr>
        <w:t>Clin Vaccine Immunol</w:t>
      </w:r>
      <w:r>
        <w:t xml:space="preserve">. 2012;19(11):1810–7. </w:t>
      </w:r>
      <w:r>
        <w:t xml:space="preserve">doi: </w:t>
      </w:r>
      <w:hyperlink r:id="rId22" w:history="1">
        <w:r>
          <w:rPr>
            <w:rStyle w:val="Hyperlink"/>
          </w:rPr>
          <w:t>https://doi.org/10.1128/CVI.00406-12</w:t>
        </w:r>
      </w:hyperlink>
      <w:r>
        <w:t>.</w:t>
      </w:r>
    </w:p>
    <w:p w14:paraId="6A394260" w14:textId="16BEFDA0" w:rsidR="00C44EEB" w:rsidRDefault="00C44EEB" w:rsidP="00C44EEB">
      <w:pPr>
        <w:pStyle w:val="CDINumberedList1L1"/>
        <w:ind w:left="397" w:hanging="397"/>
      </w:pPr>
      <w:r>
        <w:t xml:space="preserve">Elbert G, </w:t>
      </w:r>
      <w:proofErr w:type="spellStart"/>
      <w:r>
        <w:t>Biscayart</w:t>
      </w:r>
      <w:proofErr w:type="spellEnd"/>
      <w:r>
        <w:t xml:space="preserve"> C, López Yunes M, </w:t>
      </w:r>
      <w:proofErr w:type="spellStart"/>
      <w:r>
        <w:t>Avaro</w:t>
      </w:r>
      <w:proofErr w:type="spellEnd"/>
      <w:r>
        <w:t xml:space="preserve"> MM, Czech A, Pontoriero A et al. Measles outbreak in the context of post-elimination phase in individuals with prior evidence of immunity. Secondary immune response or re-infections? </w:t>
      </w:r>
      <w:r w:rsidRPr="00C44EEB">
        <w:rPr>
          <w:i/>
          <w:iCs/>
        </w:rPr>
        <w:t>Int J Infect Dis</w:t>
      </w:r>
      <w:r>
        <w:t xml:space="preserve">. 2018;73(2):21–2. </w:t>
      </w:r>
      <w:r>
        <w:t>doi: </w:t>
      </w:r>
      <w:hyperlink r:id="rId23" w:history="1">
        <w:r>
          <w:rPr>
            <w:rStyle w:val="Hyperlink"/>
          </w:rPr>
          <w:t>https://doi.org/10.1016/j.ijid.2018.04.3473</w:t>
        </w:r>
      </w:hyperlink>
      <w:r>
        <w:t>.</w:t>
      </w:r>
    </w:p>
    <w:p w14:paraId="31B45E63" w14:textId="3814B1E0" w:rsidR="00C44EEB" w:rsidRDefault="00C44EEB" w:rsidP="00C44EEB">
      <w:pPr>
        <w:pStyle w:val="CDINumberedList1L1"/>
        <w:ind w:left="397" w:hanging="397"/>
      </w:pPr>
      <w:r>
        <w:t xml:space="preserve">Sundell N, </w:t>
      </w:r>
      <w:proofErr w:type="spellStart"/>
      <w:r>
        <w:t>Dotevall</w:t>
      </w:r>
      <w:proofErr w:type="spellEnd"/>
      <w:r>
        <w:t xml:space="preserve"> L, </w:t>
      </w:r>
      <w:proofErr w:type="spellStart"/>
      <w:r>
        <w:t>Wahllof</w:t>
      </w:r>
      <w:proofErr w:type="spellEnd"/>
      <w:r>
        <w:t xml:space="preserve"> M, Andersson M, Lindh M, Wahlberg T et al. Measles outbreak in Gothenburg urban area, Sweden, 2017 to 2018: low viral load in breakthrough infections. </w:t>
      </w:r>
      <w:r w:rsidRPr="00C44EEB">
        <w:rPr>
          <w:i/>
          <w:iCs/>
        </w:rPr>
        <w:t xml:space="preserve">Euro </w:t>
      </w:r>
      <w:proofErr w:type="spellStart"/>
      <w:r w:rsidRPr="00C44EEB">
        <w:rPr>
          <w:i/>
          <w:iCs/>
        </w:rPr>
        <w:t>Surveill</w:t>
      </w:r>
      <w:proofErr w:type="spellEnd"/>
      <w:r>
        <w:t xml:space="preserve">. 2019;24(17):1900114. </w:t>
      </w:r>
      <w:r>
        <w:br/>
      </w:r>
      <w:r>
        <w:t xml:space="preserve">doi: </w:t>
      </w:r>
      <w:hyperlink r:id="rId24" w:history="1">
        <w:r>
          <w:rPr>
            <w:rStyle w:val="Hyperlink"/>
          </w:rPr>
          <w:t>https://doi.org/10.2807/1560-7917.ES.2019.24.17.1900114</w:t>
        </w:r>
      </w:hyperlink>
      <w:r>
        <w:t>.</w:t>
      </w:r>
    </w:p>
    <w:p w14:paraId="6F95B9B4" w14:textId="77777777" w:rsidR="00C44EEB" w:rsidRDefault="00C44EEB" w:rsidP="00C44EEB">
      <w:pPr>
        <w:pStyle w:val="CDINumberedList1L1"/>
        <w:ind w:left="397" w:hanging="397"/>
      </w:pPr>
      <w:r>
        <w:t xml:space="preserve">Hagan JE, Crooke SN, </w:t>
      </w:r>
      <w:proofErr w:type="spellStart"/>
      <w:r>
        <w:t>Gunregjav</w:t>
      </w:r>
      <w:proofErr w:type="spellEnd"/>
      <w:r>
        <w:t xml:space="preserve"> N, Sowers SB, Mercader S, Hickman CJ et al. Breakthrough measles among vaccinated adults born during the post-Soviet transition period in Mongolia. </w:t>
      </w:r>
      <w:r w:rsidRPr="00C44EEB">
        <w:rPr>
          <w:i/>
          <w:iCs/>
        </w:rPr>
        <w:t>Vaccines</w:t>
      </w:r>
      <w:r>
        <w:t xml:space="preserve">. 2024;12(6):695. doi: </w:t>
      </w:r>
      <w:hyperlink r:id="rId25" w:history="1">
        <w:r>
          <w:rPr>
            <w:rStyle w:val="Hyperlink"/>
          </w:rPr>
          <w:t>https://doi.org/10.3390/vaccines12060695</w:t>
        </w:r>
      </w:hyperlink>
      <w:r>
        <w:t>.</w:t>
      </w:r>
    </w:p>
    <w:p w14:paraId="5E022201" w14:textId="77777777" w:rsidR="00C44EEB" w:rsidRDefault="00C44EEB" w:rsidP="00C44EEB">
      <w:pPr>
        <w:pStyle w:val="CDINumberedList1L1"/>
        <w:ind w:left="397" w:hanging="397"/>
      </w:pPr>
      <w:r>
        <w:t xml:space="preserve">Government of the United Kingdom Health Security Agency (UK Health Security Agency). National measles guidelines. [Webpage.] London: UK Health Security Agency; 25 July 2024. [Accessed on 4 February 2026.] Available from: </w:t>
      </w:r>
      <w:hyperlink r:id="rId26" w:history="1">
        <w:r>
          <w:rPr>
            <w:rStyle w:val="Hyperlink"/>
          </w:rPr>
          <w:t>https://www.gov.uk/government/publications/national-measles-guidelines</w:t>
        </w:r>
      </w:hyperlink>
      <w:r>
        <w:t>.</w:t>
      </w:r>
    </w:p>
    <w:p w14:paraId="12DF64B2" w14:textId="3C330DFD" w:rsidR="00C44EEB" w:rsidRDefault="00C44EEB" w:rsidP="00C44EEB">
      <w:pPr>
        <w:pStyle w:val="CDINumberedList1L1"/>
        <w:ind w:left="397" w:hanging="397"/>
      </w:pPr>
      <w:r>
        <w:t xml:space="preserve">Bianchi FP, </w:t>
      </w:r>
      <w:proofErr w:type="spellStart"/>
      <w:r>
        <w:t>Mascipinto</w:t>
      </w:r>
      <w:proofErr w:type="spellEnd"/>
      <w:r>
        <w:t xml:space="preserve"> S, </w:t>
      </w:r>
      <w:proofErr w:type="spellStart"/>
      <w:r>
        <w:t>Stefanizzi</w:t>
      </w:r>
      <w:proofErr w:type="spellEnd"/>
      <w:r>
        <w:t xml:space="preserve"> P, De Nitto S, Germinario C, Tafuri S. Long-term immunogenicity after measles vaccine vs. wild infection: an Italian retrospective cohort study. </w:t>
      </w:r>
      <w:r w:rsidRPr="00C44EEB">
        <w:rPr>
          <w:i/>
          <w:iCs/>
        </w:rPr>
        <w:t xml:space="preserve">Hum Vaccines </w:t>
      </w:r>
      <w:proofErr w:type="spellStart"/>
      <w:r w:rsidRPr="00C44EEB">
        <w:rPr>
          <w:i/>
          <w:iCs/>
        </w:rPr>
        <w:t>Immunother</w:t>
      </w:r>
      <w:proofErr w:type="spellEnd"/>
      <w:r>
        <w:t>. 2021;17(7):2078–84. doi:</w:t>
      </w:r>
      <w:r>
        <w:t> </w:t>
      </w:r>
      <w:hyperlink r:id="rId27" w:history="1">
        <w:r>
          <w:rPr>
            <w:rStyle w:val="Hyperlink"/>
          </w:rPr>
          <w:t>https://doi.org/10.1080/21645515.2020.1871296</w:t>
        </w:r>
      </w:hyperlink>
      <w:r>
        <w:t>.</w:t>
      </w:r>
    </w:p>
    <w:p w14:paraId="1F26BC76" w14:textId="2EAD72BD" w:rsidR="00C44EEB" w:rsidRDefault="00C44EEB" w:rsidP="00C44EEB">
      <w:pPr>
        <w:pStyle w:val="CDINumberedList1L1"/>
        <w:ind w:left="397" w:hanging="397"/>
      </w:pPr>
      <w:r>
        <w:t xml:space="preserve">Robert A, Suffel AM, Kucharski AJ. Long-term waning of vaccine-induced immunity to measles in England: a mathematical modelling study. </w:t>
      </w:r>
      <w:r w:rsidRPr="00C44EEB">
        <w:rPr>
          <w:i/>
          <w:iCs/>
        </w:rPr>
        <w:t>Lancet Public Health</w:t>
      </w:r>
      <w:r>
        <w:t>. 2024;9(10</w:t>
      </w:r>
      <w:proofErr w:type="gramStart"/>
      <w:r>
        <w:t>):e</w:t>
      </w:r>
      <w:proofErr w:type="gramEnd"/>
      <w:r>
        <w:t xml:space="preserve">766–75. </w:t>
      </w:r>
      <w:r>
        <w:t>doi: </w:t>
      </w:r>
      <w:hyperlink r:id="rId28" w:history="1">
        <w:r>
          <w:rPr>
            <w:rStyle w:val="Hyperlink"/>
          </w:rPr>
          <w:t>https://doi.org/10.1016/S2468-2667(24)00181-6</w:t>
        </w:r>
      </w:hyperlink>
      <w:r>
        <w:t>.</w:t>
      </w:r>
    </w:p>
    <w:p w14:paraId="2C18AC65" w14:textId="57B61582" w:rsidR="00C44EEB" w:rsidRDefault="00C44EEB" w:rsidP="00C44EEB">
      <w:pPr>
        <w:pStyle w:val="CDINumberedList1L1"/>
        <w:ind w:left="397" w:hanging="397"/>
      </w:pPr>
      <w:r>
        <w:t xml:space="preserve">Gidding HF, Quinn HE, Hueston L, Dwyer DE, McIntyre PB. Declining measles antibodies in the era of elimination: Australia’s experience. </w:t>
      </w:r>
      <w:r w:rsidRPr="00C44EEB">
        <w:rPr>
          <w:i/>
          <w:iCs/>
        </w:rPr>
        <w:t>Vaccine</w:t>
      </w:r>
      <w:r>
        <w:t>. 2018;36(4):507–13. do</w:t>
      </w:r>
      <w:r>
        <w:t>i: </w:t>
      </w:r>
      <w:hyperlink r:id="rId29" w:history="1">
        <w:r>
          <w:rPr>
            <w:rStyle w:val="Hyperlink"/>
          </w:rPr>
          <w:t>https://doi.org/10.1016/j.vaccine.2017.12.002</w:t>
        </w:r>
      </w:hyperlink>
      <w:r>
        <w:t>.</w:t>
      </w:r>
    </w:p>
    <w:p w14:paraId="499A7B01" w14:textId="37B029B0" w:rsidR="00C44EEB" w:rsidRDefault="00C44EEB" w:rsidP="00C44EEB">
      <w:pPr>
        <w:pStyle w:val="CDINumberedList1L1"/>
        <w:ind w:left="397" w:hanging="397"/>
      </w:pPr>
      <w:r>
        <w:t xml:space="preserve">Williamson KM, Faddy H, Nicholson S, </w:t>
      </w:r>
      <w:proofErr w:type="spellStart"/>
      <w:r>
        <w:t>Stambos</w:t>
      </w:r>
      <w:proofErr w:type="spellEnd"/>
      <w:r>
        <w:t xml:space="preserve"> V, Hoad V, Butler M et al. A cross-sectional study of measles-specific antibody levels in Australian blood donors—implications for measles post-elimination countries. </w:t>
      </w:r>
      <w:r w:rsidRPr="00C44EEB">
        <w:rPr>
          <w:i/>
          <w:iCs/>
        </w:rPr>
        <w:t>Vaccines</w:t>
      </w:r>
      <w:r>
        <w:t>. 2024;12(7):818. doi:</w:t>
      </w:r>
      <w:r>
        <w:t> </w:t>
      </w:r>
      <w:hyperlink r:id="rId30" w:history="1">
        <w:r>
          <w:rPr>
            <w:rStyle w:val="Hyperlink"/>
          </w:rPr>
          <w:t>https://doi.org/10.3390/vaccines12070818</w:t>
        </w:r>
      </w:hyperlink>
      <w:r>
        <w:t>.</w:t>
      </w:r>
    </w:p>
    <w:p w14:paraId="466DA6CF" w14:textId="77777777" w:rsidR="00C44EEB" w:rsidRDefault="00C44EEB" w:rsidP="00C44EEB">
      <w:pPr>
        <w:pStyle w:val="CDINumberedList1L1"/>
        <w:ind w:left="397" w:hanging="397"/>
      </w:pPr>
      <w:r>
        <w:t xml:space="preserve">Australian Institute of Health and Welfare (AIHW). Health workforce. [Web article.] Canberra: AIHW; </w:t>
      </w:r>
      <w:r>
        <w:t>2 J</w:t>
      </w:r>
      <w:r>
        <w:t xml:space="preserve">uly 2024. [Accessed on 4 February 2026.] Available from: </w:t>
      </w:r>
      <w:hyperlink r:id="rId31" w:history="1">
        <w:r>
          <w:rPr>
            <w:rStyle w:val="Hyperlink"/>
          </w:rPr>
          <w:t>https://www.aihw.gov.au/reports/workforce/health-workforce</w:t>
        </w:r>
      </w:hyperlink>
      <w:r>
        <w:t>.</w:t>
      </w:r>
    </w:p>
    <w:p w14:paraId="77A53E0B" w14:textId="267EAC1C" w:rsidR="00C44EEB" w:rsidRDefault="00C44EEB" w:rsidP="00C44EEB">
      <w:pPr>
        <w:pStyle w:val="CDINumberedList1L1"/>
        <w:ind w:left="397" w:hanging="397"/>
      </w:pPr>
      <w:r>
        <w:t xml:space="preserve">Fiebelkorn AP, Seward JF, Orenstein WA. A global perspective of vaccination of healthcare personnel against measles: systematic review. </w:t>
      </w:r>
      <w:r w:rsidRPr="00C44EEB">
        <w:rPr>
          <w:i/>
          <w:iCs/>
        </w:rPr>
        <w:t>Vaccine</w:t>
      </w:r>
      <w:r>
        <w:t>. 2014;32(38):4823–39. d</w:t>
      </w:r>
      <w:r>
        <w:t>oi: </w:t>
      </w:r>
      <w:hyperlink r:id="rId32" w:history="1">
        <w:r>
          <w:rPr>
            <w:rStyle w:val="Hyperlink"/>
          </w:rPr>
          <w:t>https://doi.org/10.1016/j.vaccine.2013.11.005</w:t>
        </w:r>
      </w:hyperlink>
      <w:r>
        <w:t>.</w:t>
      </w:r>
    </w:p>
    <w:p w14:paraId="3B1E805C" w14:textId="6C7E9BCC" w:rsidR="00CC05A5" w:rsidRPr="00B652E8" w:rsidRDefault="00C44EEB" w:rsidP="00C44EEB">
      <w:pPr>
        <w:pStyle w:val="CDINumberedList1L1"/>
        <w:ind w:left="397" w:hanging="397"/>
      </w:pPr>
      <w:r>
        <w:t xml:space="preserve">Han SB, Park SH, Yi Y, Ji SK, Jang SH, Park MH et al. Measles seroprevalence among healthcare workers in South Korea during the post-elimination period. </w:t>
      </w:r>
      <w:r w:rsidRPr="00C44EEB">
        <w:rPr>
          <w:i/>
          <w:iCs/>
        </w:rPr>
        <w:t xml:space="preserve">Hum Vaccines </w:t>
      </w:r>
      <w:proofErr w:type="spellStart"/>
      <w:r w:rsidRPr="00C44EEB">
        <w:rPr>
          <w:i/>
          <w:iCs/>
        </w:rPr>
        <w:t>Immunother</w:t>
      </w:r>
      <w:proofErr w:type="spellEnd"/>
      <w:r>
        <w:t xml:space="preserve">. 2021;17(8):2517–21. doi: </w:t>
      </w:r>
      <w:hyperlink r:id="rId33" w:history="1">
        <w:r>
          <w:rPr>
            <w:rStyle w:val="Hyperlink"/>
          </w:rPr>
          <w:t>https://doi.org/10.1080/21645515.2021.1888623</w:t>
        </w:r>
      </w:hyperlink>
      <w:r>
        <w:t>.</w:t>
      </w:r>
      <w:r w:rsidR="00CC05A5" w:rsidRPr="00B652E8">
        <w:br w:type="page"/>
      </w:r>
    </w:p>
    <w:p w14:paraId="1C2F1B79" w14:textId="77777777" w:rsidR="00CC05A5" w:rsidRPr="0089025E" w:rsidRDefault="00CC05A5" w:rsidP="00CC05A5">
      <w:pPr>
        <w:pStyle w:val="CDICopyright"/>
      </w:pPr>
      <w:bookmarkStart w:id="8" w:name="_Hlk185172676"/>
      <w:r w:rsidRPr="0089025E">
        <w:t xml:space="preserve">© </w:t>
      </w:r>
      <w:fldSimple w:instr=" DOCPROPERTY  Year  \* MERGEFORMAT ">
        <w:r w:rsidR="00B56F4E">
          <w:t>2026</w:t>
        </w:r>
      </w:fldSimple>
      <w:r w:rsidRPr="0089025E">
        <w:t xml:space="preserve"> Commonwealth of Australia as represented by the </w:t>
      </w:r>
      <w:r w:rsidR="00B071B0">
        <w:t>Australian Centre for Disease Control</w:t>
      </w:r>
    </w:p>
    <w:p w14:paraId="563DA076" w14:textId="77777777" w:rsidR="00CC05A5" w:rsidRPr="0089025E" w:rsidRDefault="00CC05A5" w:rsidP="00CC05A5">
      <w:pPr>
        <w:pStyle w:val="CDICopyright"/>
      </w:pPr>
      <w:r w:rsidRPr="0089025E">
        <w:t>ISSN: 2209-6051 Online</w:t>
      </w:r>
    </w:p>
    <w:p w14:paraId="1541AEDA" w14:textId="77777777" w:rsidR="00CC05A5" w:rsidRDefault="00CC05A5" w:rsidP="00CC05A5">
      <w:pPr>
        <w:pStyle w:val="CDICopyright"/>
      </w:pPr>
      <w:r w:rsidRPr="0089025E">
        <w:t>This journal is indexed by Index Medicus and Medline.</w:t>
      </w:r>
    </w:p>
    <w:p w14:paraId="13DDAED3" w14:textId="77777777" w:rsidR="00CC05A5" w:rsidRPr="007F2B27" w:rsidRDefault="00CC05A5" w:rsidP="00CC05A5">
      <w:pPr>
        <w:pStyle w:val="CDICopyrightHeading"/>
      </w:pPr>
      <w:r w:rsidRPr="007F2B27">
        <w:t>Creative Commons Licence</w:t>
      </w:r>
    </w:p>
    <w:p w14:paraId="3A888F06" w14:textId="77777777" w:rsidR="00CC05A5" w:rsidRPr="0089025E" w:rsidRDefault="00CC05A5" w:rsidP="00CC05A5">
      <w:pPr>
        <w:pStyle w:val="CDICopyright"/>
      </w:pPr>
      <w:r w:rsidRPr="0089025E">
        <w:t xml:space="preserve">This publication is licensed under a Creative Commons </w:t>
      </w:r>
      <w:hyperlink r:id="rId34" w:history="1">
        <w:r w:rsidRPr="0022524E">
          <w:rPr>
            <w:rStyle w:val="Hyperlink"/>
          </w:rPr>
          <w:t>Attribution-NonCommercial-NoDerivatives 4.0 International Licence</w:t>
        </w:r>
      </w:hyperlink>
      <w:r w:rsidRPr="0089025E">
        <w:t xml:space="preserve"> (Licence). You</w:t>
      </w:r>
      <w:r>
        <w:t xml:space="preserve"> </w:t>
      </w:r>
      <w:r w:rsidRPr="0089025E">
        <w:t>must read and understand the Licence before using any material from this publication.</w:t>
      </w:r>
    </w:p>
    <w:bookmarkEnd w:id="8"/>
    <w:p w14:paraId="23E39FC4" w14:textId="77777777" w:rsidR="00CC05A5" w:rsidRPr="007F2B27" w:rsidRDefault="00CC05A5" w:rsidP="00CC05A5">
      <w:pPr>
        <w:pStyle w:val="CDICopyrightHeading"/>
      </w:pPr>
      <w:r w:rsidRPr="007F2B27">
        <w:t>Restrictions</w:t>
      </w:r>
    </w:p>
    <w:p w14:paraId="6E74D9B9" w14:textId="77777777" w:rsidR="00CC05A5" w:rsidRPr="0089025E" w:rsidRDefault="00CC05A5" w:rsidP="00CC05A5">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13D17EE7" w14:textId="77777777" w:rsidR="00CC05A5" w:rsidRPr="00E9313B" w:rsidRDefault="00CC05A5" w:rsidP="00CC05A5">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B071B0">
        <w:t>)</w:t>
      </w:r>
      <w:r w:rsidRPr="00E9313B">
        <w:t>;</w:t>
      </w:r>
    </w:p>
    <w:p w14:paraId="66FE1E96" w14:textId="77777777" w:rsidR="00CC05A5" w:rsidRPr="003C23C9" w:rsidRDefault="00CC05A5" w:rsidP="00CC05A5">
      <w:pPr>
        <w:pStyle w:val="CDICopyrightBullets"/>
      </w:pPr>
      <w:r w:rsidRPr="0022524E">
        <w:t>any logos (including the Australian Centre for Disease Control’s logo) and trademarks</w:t>
      </w:r>
      <w:r w:rsidRPr="003C23C9">
        <w:t>;</w:t>
      </w:r>
    </w:p>
    <w:p w14:paraId="3DE842F3" w14:textId="77777777" w:rsidR="00CC05A5" w:rsidRPr="00E9313B" w:rsidRDefault="00CC05A5" w:rsidP="00CC05A5">
      <w:pPr>
        <w:pStyle w:val="CDICopyrightBullets"/>
      </w:pPr>
      <w:r w:rsidRPr="00E9313B">
        <w:t xml:space="preserve">any photographs and images; </w:t>
      </w:r>
    </w:p>
    <w:p w14:paraId="125D31AE" w14:textId="77777777" w:rsidR="00CC05A5" w:rsidRPr="00E9313B" w:rsidRDefault="00CC05A5" w:rsidP="00CC05A5">
      <w:pPr>
        <w:pStyle w:val="CDICopyrightBullets"/>
      </w:pPr>
      <w:r w:rsidRPr="00E9313B">
        <w:t>any signatures; and</w:t>
      </w:r>
    </w:p>
    <w:p w14:paraId="1C47AC0A" w14:textId="77777777" w:rsidR="00CC05A5" w:rsidRPr="003C23C9" w:rsidRDefault="00CC05A5" w:rsidP="00CC05A5">
      <w:pPr>
        <w:pStyle w:val="CDICopyrightBullets"/>
      </w:pPr>
      <w:r w:rsidRPr="00E9313B">
        <w:t>any</w:t>
      </w:r>
      <w:r w:rsidRPr="003C23C9">
        <w:t xml:space="preserve"> material belonging to third parties.</w:t>
      </w:r>
    </w:p>
    <w:p w14:paraId="049FCE95" w14:textId="77777777" w:rsidR="00CC05A5" w:rsidRPr="00CC3648" w:rsidRDefault="00CC05A5" w:rsidP="00CC05A5">
      <w:pPr>
        <w:pStyle w:val="CDICopyrightHeading"/>
      </w:pPr>
      <w:r w:rsidRPr="00CC3648">
        <w:t>Disclaimer</w:t>
      </w:r>
    </w:p>
    <w:p w14:paraId="01C4E088" w14:textId="77777777" w:rsidR="00CC05A5" w:rsidRPr="0089025E" w:rsidRDefault="00CC05A5" w:rsidP="00CC05A5">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Pr="0022524E">
        <w:t>the Australian Government</w:t>
      </w:r>
      <w:r w:rsidR="00B071B0">
        <w:t xml:space="preserve"> or </w:t>
      </w:r>
      <w:r w:rsidRPr="0022524E">
        <w:t>the Australian Centre for Disease Control</w:t>
      </w:r>
      <w:r w:rsidRPr="0089025E">
        <w:t>. Data may be subject to revision.</w:t>
      </w:r>
    </w:p>
    <w:p w14:paraId="78E66FEF" w14:textId="77777777" w:rsidR="00CC05A5" w:rsidRPr="007F2B27" w:rsidRDefault="00CC05A5" w:rsidP="00CC05A5">
      <w:pPr>
        <w:pStyle w:val="CDICopyrightHeading"/>
      </w:pPr>
      <w:r w:rsidRPr="007F2B27">
        <w:t>Enquiries</w:t>
      </w:r>
    </w:p>
    <w:p w14:paraId="3B611C50" w14:textId="77777777" w:rsidR="00CC05A5" w:rsidRPr="00863F8D" w:rsidRDefault="00CC05A5" w:rsidP="00CC05A5">
      <w:pPr>
        <w:pStyle w:val="CDICopyright"/>
      </w:pPr>
      <w:r w:rsidRPr="00863F8D">
        <w:t xml:space="preserve">Enquiries </w:t>
      </w:r>
      <w:r w:rsidRPr="00B52457">
        <w:t>regarding</w:t>
      </w:r>
      <w:r w:rsidRPr="00863F8D">
        <w:t xml:space="preserve"> any other use of this publication should be addressed to the </w:t>
      </w:r>
      <w:hyperlink r:id="rId35" w:history="1">
        <w:r w:rsidRPr="00E9313B">
          <w:rPr>
            <w:rStyle w:val="Hyperlink"/>
          </w:rPr>
          <w:t>CDI Editor</w:t>
        </w:r>
      </w:hyperlink>
      <w:r>
        <w:t>.</w:t>
      </w:r>
    </w:p>
    <w:p w14:paraId="1787F69E" w14:textId="77777777" w:rsidR="00CC05A5" w:rsidRPr="00A65DFA" w:rsidRDefault="00CC05A5" w:rsidP="00CC05A5">
      <w:pPr>
        <w:pStyle w:val="CDIAbout"/>
      </w:pPr>
      <w:bookmarkStart w:id="9" w:name="_Toc190257376"/>
      <w:r>
        <w:t xml:space="preserve">About </w:t>
      </w:r>
      <w:bookmarkEnd w:id="9"/>
      <w:r>
        <w:t>CDI</w:t>
      </w:r>
    </w:p>
    <w:p w14:paraId="560CBECC" w14:textId="77777777" w:rsidR="00CC05A5" w:rsidRDefault="00CC05A5" w:rsidP="00CC05A5">
      <w:pPr>
        <w:pStyle w:val="CDIAbouttextLess"/>
      </w:pPr>
      <w:r w:rsidRPr="009572C6">
        <w:rPr>
          <w:i/>
          <w:iCs/>
        </w:rPr>
        <w:t xml:space="preserve">Communicable Diseases Intelligence </w:t>
      </w:r>
      <w:r w:rsidRPr="009572C6">
        <w:t>(CDI) is a peer-reviewed scientific journal published by the Australian Centre for Disease Control.</w:t>
      </w:r>
    </w:p>
    <w:p w14:paraId="4200892D" w14:textId="77777777" w:rsidR="00CC05A5" w:rsidRDefault="00CC05A5" w:rsidP="00B071B0">
      <w:pPr>
        <w:pStyle w:val="CDIAbouttextLess"/>
        <w:spacing w:before="120"/>
      </w:pPr>
      <w:r w:rsidRPr="009572C6">
        <w:t>The journal aims to disseminate information on the epidemiology, surveillance, prevention and control of communicable diseases of relevance to Australia and the near region.</w:t>
      </w:r>
    </w:p>
    <w:p w14:paraId="299B60DC" w14:textId="77777777" w:rsidR="00CC05A5" w:rsidRPr="00D8087F" w:rsidRDefault="00CC05A5" w:rsidP="00CC05A5">
      <w:pPr>
        <w:pStyle w:val="CDIAbouttext"/>
      </w:pPr>
      <w:r w:rsidRPr="00D8087F">
        <w:rPr>
          <w:b/>
          <w:bCs/>
        </w:rPr>
        <w:t>Editor</w:t>
      </w:r>
      <w:r w:rsidRPr="00D8087F">
        <w:t xml:space="preserve">: </w:t>
      </w:r>
      <w:r w:rsidR="00D066C6">
        <w:t xml:space="preserve">Dr </w:t>
      </w:r>
      <w:r w:rsidR="00934A24">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48DFA5C6" w14:textId="77777777" w:rsidR="00CC05A5" w:rsidRPr="00D8087F" w:rsidRDefault="00CC05A5" w:rsidP="00CC05A5">
      <w:pPr>
        <w:pStyle w:val="CDIAbouttext"/>
      </w:pPr>
      <w:hyperlink r:id="rId36" w:history="1">
        <w:r w:rsidRPr="00C97898">
          <w:rPr>
            <w:rStyle w:val="Hyperlink"/>
            <w:b/>
            <w:bCs/>
          </w:rPr>
          <w:t>Editorial Advisory Board</w:t>
        </w:r>
      </w:hyperlink>
      <w:r w:rsidRPr="00D8087F">
        <w:t>: David Durrheim, Mark Ferson, Clare Huppatz, John Kaldor, Martyn Kirk and Meru Sheel</w:t>
      </w:r>
    </w:p>
    <w:p w14:paraId="46E76C34" w14:textId="77777777" w:rsidR="00CC05A5" w:rsidRPr="00B87589" w:rsidRDefault="00CC05A5" w:rsidP="00CC05A5">
      <w:pPr>
        <w:pStyle w:val="CDIAbouttext"/>
        <w:rPr>
          <w:b/>
          <w:bCs/>
        </w:rPr>
      </w:pPr>
      <w:r w:rsidRPr="00B87589">
        <w:rPr>
          <w:b/>
          <w:bCs/>
        </w:rPr>
        <w:t xml:space="preserve">Submit an </w:t>
      </w:r>
      <w:proofErr w:type="gramStart"/>
      <w:r w:rsidRPr="00B87589">
        <w:rPr>
          <w:b/>
          <w:bCs/>
        </w:rPr>
        <w:t>Article</w:t>
      </w:r>
      <w:proofErr w:type="gramEnd"/>
    </w:p>
    <w:p w14:paraId="372EE779" w14:textId="77777777" w:rsidR="00CC05A5" w:rsidRPr="0089025E" w:rsidRDefault="00CC05A5" w:rsidP="00CC05A5">
      <w:pPr>
        <w:pStyle w:val="CDIAbouttextLess"/>
      </w:pPr>
      <w:hyperlink r:id="rId37" w:history="1">
        <w:r w:rsidRPr="009572C6">
          <w:rPr>
            <w:rStyle w:val="Hyperlink"/>
          </w:rPr>
          <w:t>Guidelines for authors</w:t>
        </w:r>
      </w:hyperlink>
      <w:r w:rsidRPr="009572C6">
        <w:t xml:space="preserve"> and details on how to submit your publication is available on our website, or by email to the</w:t>
      </w:r>
      <w:r>
        <w:br/>
      </w:r>
      <w:hyperlink r:id="rId38" w:history="1">
        <w:r w:rsidRPr="00E9313B">
          <w:rPr>
            <w:rStyle w:val="Hyperlink"/>
          </w:rPr>
          <w:t>CDI Editor</w:t>
        </w:r>
      </w:hyperlink>
      <w:r>
        <w:t>.</w:t>
      </w:r>
    </w:p>
    <w:p w14:paraId="1D72EBF8" w14:textId="77777777" w:rsidR="00CC05A5" w:rsidRPr="00B87589" w:rsidRDefault="00CC05A5" w:rsidP="00CC05A5">
      <w:pPr>
        <w:pStyle w:val="CDIAbouttext"/>
        <w:rPr>
          <w:b/>
          <w:bCs/>
        </w:rPr>
      </w:pPr>
      <w:r w:rsidRPr="00B87589">
        <w:rPr>
          <w:b/>
          <w:bCs/>
        </w:rPr>
        <w:t>Contact us</w:t>
      </w:r>
    </w:p>
    <w:p w14:paraId="5CD348DB" w14:textId="77777777" w:rsidR="00CC05A5" w:rsidRPr="00087CC4" w:rsidRDefault="00CC05A5" w:rsidP="00CC05A5">
      <w:pPr>
        <w:pStyle w:val="CDIAbouttextLess"/>
      </w:pPr>
      <w:r w:rsidRPr="009572C6">
        <w:t>Communicable Diseases Intelligence</w:t>
      </w:r>
      <w:r w:rsidRPr="00087CC4">
        <w:t xml:space="preserve"> (CDI)</w:t>
      </w:r>
    </w:p>
    <w:p w14:paraId="309EE981" w14:textId="77777777" w:rsidR="00CC05A5" w:rsidRPr="00087CC4" w:rsidRDefault="00CC05A5" w:rsidP="00CC05A5">
      <w:pPr>
        <w:pStyle w:val="CDIAbouttextLess"/>
      </w:pPr>
      <w:r>
        <w:t>Australian Centre for Disease Control</w:t>
      </w:r>
    </w:p>
    <w:p w14:paraId="5B70BB93" w14:textId="77777777" w:rsidR="00CC05A5" w:rsidRPr="0089025E" w:rsidRDefault="00CC05A5" w:rsidP="00CC05A5">
      <w:pPr>
        <w:pStyle w:val="CDIAbouttextLess"/>
      </w:pPr>
      <w:r w:rsidRPr="00087CC4">
        <w:t xml:space="preserve">GPO Box </w:t>
      </w:r>
      <w:r w:rsidR="003814F5">
        <w:t>79</w:t>
      </w:r>
      <w:r w:rsidRPr="00087CC4">
        <w:t>8, CANBERRA</w:t>
      </w:r>
      <w:r w:rsidRPr="0089025E">
        <w:t xml:space="preserve"> ACT 2601</w:t>
      </w:r>
    </w:p>
    <w:p w14:paraId="0ED8DBB5" w14:textId="77777777" w:rsidR="00CC05A5" w:rsidRDefault="00CC05A5" w:rsidP="00CC05A5">
      <w:pPr>
        <w:pStyle w:val="CDIAbouttextLess"/>
      </w:pPr>
      <w:r w:rsidRPr="0089025E">
        <w:t xml:space="preserve">Website: </w:t>
      </w:r>
      <w:hyperlink r:id="rId39" w:history="1">
        <w:r>
          <w:rPr>
            <w:rStyle w:val="Hyperlink"/>
          </w:rPr>
          <w:t>cdc.gov.au/cdi</w:t>
        </w:r>
      </w:hyperlink>
    </w:p>
    <w:p w14:paraId="30717869" w14:textId="77777777" w:rsidR="00CC05A5" w:rsidRPr="00CA2A15" w:rsidRDefault="00CC05A5" w:rsidP="00CC05A5">
      <w:pPr>
        <w:pStyle w:val="CDIAbouttextLess"/>
      </w:pPr>
      <w:r w:rsidRPr="0089025E">
        <w:t xml:space="preserve">Email: </w:t>
      </w:r>
      <w:hyperlink r:id="rId40" w:history="1">
        <w:r w:rsidR="00C20A97">
          <w:rPr>
            <w:rStyle w:val="Hyperlink"/>
          </w:rPr>
          <w:t>cdi.editor@cdc.gov.au</w:t>
        </w:r>
      </w:hyperlink>
    </w:p>
    <w:sectPr w:rsidR="00CC05A5" w:rsidRPr="00CA2A15" w:rsidSect="00256B63">
      <w:footnotePr>
        <w:numFmt w:val="lowerRoman"/>
      </w:footnotePr>
      <w:pgSz w:w="11907" w:h="16840" w:code="9"/>
      <w:pgMar w:top="1134"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AE790" w14:textId="77777777" w:rsidR="00B56F4E" w:rsidRDefault="00B56F4E" w:rsidP="00E54DBA">
      <w:r>
        <w:separator/>
      </w:r>
    </w:p>
    <w:p w14:paraId="14022A19" w14:textId="77777777" w:rsidR="00B56F4E" w:rsidRDefault="00B56F4E"/>
    <w:p w14:paraId="3215D00F" w14:textId="77777777" w:rsidR="00B56F4E" w:rsidRDefault="00B56F4E" w:rsidP="008714B0"/>
  </w:endnote>
  <w:endnote w:type="continuationSeparator" w:id="0">
    <w:p w14:paraId="47CFB206" w14:textId="77777777" w:rsidR="00B56F4E" w:rsidRDefault="00B56F4E" w:rsidP="00E54DBA">
      <w:r>
        <w:continuationSeparator/>
      </w:r>
    </w:p>
    <w:p w14:paraId="05ED74D0" w14:textId="77777777" w:rsidR="00B56F4E" w:rsidRDefault="00B56F4E"/>
    <w:p w14:paraId="01A700DF" w14:textId="77777777" w:rsidR="00B56F4E" w:rsidRDefault="00B56F4E"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AEEF9" w14:textId="77777777" w:rsidR="00B87589" w:rsidRDefault="00256B63">
    <w:r>
      <w:rPr>
        <w:noProof/>
        <w14:ligatures w14:val="none"/>
      </w:rPr>
      <mc:AlternateContent>
        <mc:Choice Requires="wps">
          <w:drawing>
            <wp:anchor distT="0" distB="0" distL="0" distR="0" simplePos="0" relativeHeight="251662336" behindDoc="0" locked="0" layoutInCell="1" allowOverlap="1" wp14:anchorId="0DFE1C8F" wp14:editId="3E18AB42">
              <wp:simplePos x="635" y="635"/>
              <wp:positionH relativeFrom="page">
                <wp:align>center</wp:align>
              </wp:positionH>
              <wp:positionV relativeFrom="page">
                <wp:align>bottom</wp:align>
              </wp:positionV>
              <wp:extent cx="551815" cy="518795"/>
              <wp:effectExtent l="0" t="0" r="635" b="0"/>
              <wp:wrapNone/>
              <wp:docPr id="3212740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49564A55"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FE1C8F"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49564A55"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C552A" w14:textId="5E19E91F"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B56F4E">
        <w:t>2026</w:t>
      </w:r>
    </w:fldSimple>
    <w:r w:rsidR="009B78A9">
      <w:t>;</w:t>
    </w:r>
    <w:fldSimple w:instr=" DOCPROPERTY  Vol  \* MERGEFORMAT ">
      <w:r w:rsidR="00B56F4E">
        <w:t>50</w:t>
      </w:r>
    </w:fldSimple>
    <w:r w:rsidR="00385655" w:rsidRPr="001D0612">
      <w:t xml:space="preserve"> </w:t>
    </w:r>
    <w:r w:rsidR="00385655" w:rsidRPr="00B85B74">
      <w:t>•</w:t>
    </w:r>
    <w:r w:rsidR="00385655">
      <w:t xml:space="preserve"> </w:t>
    </w:r>
    <w:fldSimple w:instr=" DOCPROPERTY  DOI  \* MERGEFORMAT ">
      <w:r w:rsidR="00330EF3">
        <w:t>doi.org/10.33321/cdi.2026.50.037</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330EF3">
        <w:t>26.05.2026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ABD7" w14:textId="77777777" w:rsidR="00B56F4E" w:rsidRPr="00B91FB5" w:rsidRDefault="00B56F4E" w:rsidP="00B91FB5">
      <w:pPr>
        <w:spacing w:line="240" w:lineRule="auto"/>
        <w:rPr>
          <w:sz w:val="18"/>
          <w:szCs w:val="18"/>
        </w:rPr>
      </w:pPr>
      <w:r w:rsidRPr="00B91FB5">
        <w:rPr>
          <w:sz w:val="18"/>
          <w:szCs w:val="18"/>
        </w:rPr>
        <w:separator/>
      </w:r>
    </w:p>
  </w:footnote>
  <w:footnote w:type="continuationSeparator" w:id="0">
    <w:p w14:paraId="62444316" w14:textId="77777777" w:rsidR="00B56F4E" w:rsidRDefault="00B56F4E" w:rsidP="00E54DBA">
      <w:r>
        <w:continuationSeparator/>
      </w:r>
    </w:p>
  </w:footnote>
  <w:footnote w:type="continuationNotice" w:id="1">
    <w:p w14:paraId="635ABDBA" w14:textId="77777777" w:rsidR="00B56F4E" w:rsidRPr="00224EFF" w:rsidRDefault="00B56F4E"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52E5" w14:textId="77777777" w:rsidR="00B87589" w:rsidRDefault="00256B63">
    <w:pPr>
      <w:pStyle w:val="Header"/>
    </w:pPr>
    <w:r>
      <w:rPr>
        <w:noProof/>
        <w14:ligatures w14:val="none"/>
      </w:rPr>
      <mc:AlternateContent>
        <mc:Choice Requires="wps">
          <w:drawing>
            <wp:anchor distT="0" distB="0" distL="0" distR="0" simplePos="0" relativeHeight="251659264" behindDoc="0" locked="0" layoutInCell="1" allowOverlap="1" wp14:anchorId="7BB08985" wp14:editId="1F055488">
              <wp:simplePos x="635" y="635"/>
              <wp:positionH relativeFrom="page">
                <wp:align>center</wp:align>
              </wp:positionH>
              <wp:positionV relativeFrom="page">
                <wp:align>top</wp:align>
              </wp:positionV>
              <wp:extent cx="551815" cy="518795"/>
              <wp:effectExtent l="0" t="0" r="635" b="14605"/>
              <wp:wrapNone/>
              <wp:docPr id="9290362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3005F145"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B08985"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3005F145"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CA76AA88"/>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1089355526">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F4E"/>
    <w:rsid w:val="00000B5B"/>
    <w:rsid w:val="00001611"/>
    <w:rsid w:val="00002B8D"/>
    <w:rsid w:val="000073ED"/>
    <w:rsid w:val="0001020A"/>
    <w:rsid w:val="000104A8"/>
    <w:rsid w:val="0001246E"/>
    <w:rsid w:val="000124B1"/>
    <w:rsid w:val="00013B65"/>
    <w:rsid w:val="000147ED"/>
    <w:rsid w:val="00014B0F"/>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5035"/>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B6D"/>
    <w:rsid w:val="00110B7D"/>
    <w:rsid w:val="00112436"/>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4C4B"/>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4D8C"/>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018F"/>
    <w:rsid w:val="00242659"/>
    <w:rsid w:val="002428F7"/>
    <w:rsid w:val="00242A9E"/>
    <w:rsid w:val="0024315F"/>
    <w:rsid w:val="00245439"/>
    <w:rsid w:val="0024631C"/>
    <w:rsid w:val="00252C9A"/>
    <w:rsid w:val="00254E56"/>
    <w:rsid w:val="00256309"/>
    <w:rsid w:val="00256B63"/>
    <w:rsid w:val="00257484"/>
    <w:rsid w:val="00260636"/>
    <w:rsid w:val="00262EA6"/>
    <w:rsid w:val="002644A8"/>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6E55"/>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3D0"/>
    <w:rsid w:val="00301626"/>
    <w:rsid w:val="003052F5"/>
    <w:rsid w:val="003059EC"/>
    <w:rsid w:val="00316727"/>
    <w:rsid w:val="00316CCD"/>
    <w:rsid w:val="00324F7E"/>
    <w:rsid w:val="0032526F"/>
    <w:rsid w:val="00325841"/>
    <w:rsid w:val="00330EF3"/>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4F5"/>
    <w:rsid w:val="00381A0F"/>
    <w:rsid w:val="00381E8E"/>
    <w:rsid w:val="00385655"/>
    <w:rsid w:val="003858B4"/>
    <w:rsid w:val="00390F66"/>
    <w:rsid w:val="00392D07"/>
    <w:rsid w:val="00393B4D"/>
    <w:rsid w:val="003A1B3A"/>
    <w:rsid w:val="003A25A3"/>
    <w:rsid w:val="003A40F5"/>
    <w:rsid w:val="003A5BF3"/>
    <w:rsid w:val="003B3487"/>
    <w:rsid w:val="003B42D5"/>
    <w:rsid w:val="003B5B8C"/>
    <w:rsid w:val="003B7ADD"/>
    <w:rsid w:val="003C02BF"/>
    <w:rsid w:val="003C2299"/>
    <w:rsid w:val="003C23C9"/>
    <w:rsid w:val="003C554E"/>
    <w:rsid w:val="003C5E16"/>
    <w:rsid w:val="003C7841"/>
    <w:rsid w:val="003D0190"/>
    <w:rsid w:val="003D15AE"/>
    <w:rsid w:val="003D18AF"/>
    <w:rsid w:val="003D2AE3"/>
    <w:rsid w:val="003D3CAC"/>
    <w:rsid w:val="003D5EAA"/>
    <w:rsid w:val="003D79B1"/>
    <w:rsid w:val="003E31EB"/>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C26"/>
    <w:rsid w:val="00492014"/>
    <w:rsid w:val="004973B4"/>
    <w:rsid w:val="004A19B8"/>
    <w:rsid w:val="004A2125"/>
    <w:rsid w:val="004A38F6"/>
    <w:rsid w:val="004B0C95"/>
    <w:rsid w:val="004B0E96"/>
    <w:rsid w:val="004B1266"/>
    <w:rsid w:val="004B4EB6"/>
    <w:rsid w:val="004B4F34"/>
    <w:rsid w:val="004C04D3"/>
    <w:rsid w:val="004C083C"/>
    <w:rsid w:val="004C3BDE"/>
    <w:rsid w:val="004C62AA"/>
    <w:rsid w:val="004C67C6"/>
    <w:rsid w:val="004D1D6A"/>
    <w:rsid w:val="004D29DE"/>
    <w:rsid w:val="004E1094"/>
    <w:rsid w:val="004E2E81"/>
    <w:rsid w:val="004F5434"/>
    <w:rsid w:val="00505184"/>
    <w:rsid w:val="0050662A"/>
    <w:rsid w:val="00510EAC"/>
    <w:rsid w:val="005138AF"/>
    <w:rsid w:val="005226F2"/>
    <w:rsid w:val="00526875"/>
    <w:rsid w:val="0052708C"/>
    <w:rsid w:val="00532189"/>
    <w:rsid w:val="00532FB6"/>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219D"/>
    <w:rsid w:val="00656427"/>
    <w:rsid w:val="00656FDA"/>
    <w:rsid w:val="00660255"/>
    <w:rsid w:val="00661FE1"/>
    <w:rsid w:val="0066362A"/>
    <w:rsid w:val="00663EA5"/>
    <w:rsid w:val="00666D94"/>
    <w:rsid w:val="00673341"/>
    <w:rsid w:val="00676161"/>
    <w:rsid w:val="006763A3"/>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4512"/>
    <w:rsid w:val="006C5B50"/>
    <w:rsid w:val="006C74A3"/>
    <w:rsid w:val="006C76D0"/>
    <w:rsid w:val="006C7D54"/>
    <w:rsid w:val="006D1381"/>
    <w:rsid w:val="006D31BC"/>
    <w:rsid w:val="006D424A"/>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4CD2"/>
    <w:rsid w:val="00723B5F"/>
    <w:rsid w:val="00725C33"/>
    <w:rsid w:val="00726C6A"/>
    <w:rsid w:val="00731BC3"/>
    <w:rsid w:val="00731FF7"/>
    <w:rsid w:val="00733216"/>
    <w:rsid w:val="00734159"/>
    <w:rsid w:val="007401FD"/>
    <w:rsid w:val="00741192"/>
    <w:rsid w:val="00742FA3"/>
    <w:rsid w:val="007430BF"/>
    <w:rsid w:val="00743A33"/>
    <w:rsid w:val="00743DF3"/>
    <w:rsid w:val="00745AE2"/>
    <w:rsid w:val="00746080"/>
    <w:rsid w:val="0075144A"/>
    <w:rsid w:val="0075709F"/>
    <w:rsid w:val="00760A97"/>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2DB"/>
    <w:rsid w:val="007A2D74"/>
    <w:rsid w:val="007A33B9"/>
    <w:rsid w:val="007A35A0"/>
    <w:rsid w:val="007A39B4"/>
    <w:rsid w:val="007A4B9B"/>
    <w:rsid w:val="007A5234"/>
    <w:rsid w:val="007A764D"/>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50D54"/>
    <w:rsid w:val="00852E2B"/>
    <w:rsid w:val="00854079"/>
    <w:rsid w:val="00856FF3"/>
    <w:rsid w:val="0086228F"/>
    <w:rsid w:val="00862C50"/>
    <w:rsid w:val="00863F8D"/>
    <w:rsid w:val="008673F6"/>
    <w:rsid w:val="00867976"/>
    <w:rsid w:val="008714B0"/>
    <w:rsid w:val="00872A7F"/>
    <w:rsid w:val="0087374B"/>
    <w:rsid w:val="00876331"/>
    <w:rsid w:val="00877B90"/>
    <w:rsid w:val="00880726"/>
    <w:rsid w:val="00884312"/>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4A24"/>
    <w:rsid w:val="00935DC9"/>
    <w:rsid w:val="00937B01"/>
    <w:rsid w:val="00937F3C"/>
    <w:rsid w:val="009446C0"/>
    <w:rsid w:val="00947BAF"/>
    <w:rsid w:val="00947D0A"/>
    <w:rsid w:val="00951883"/>
    <w:rsid w:val="009527E3"/>
    <w:rsid w:val="009533E1"/>
    <w:rsid w:val="0095410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91B09"/>
    <w:rsid w:val="0099319C"/>
    <w:rsid w:val="00993CB2"/>
    <w:rsid w:val="0099796D"/>
    <w:rsid w:val="009A0251"/>
    <w:rsid w:val="009A218B"/>
    <w:rsid w:val="009A5166"/>
    <w:rsid w:val="009A76F8"/>
    <w:rsid w:val="009B2B11"/>
    <w:rsid w:val="009B2B83"/>
    <w:rsid w:val="009B720F"/>
    <w:rsid w:val="009B78A9"/>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25EA"/>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212"/>
    <w:rsid w:val="00A955B2"/>
    <w:rsid w:val="00A95A81"/>
    <w:rsid w:val="00AA075C"/>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2679"/>
    <w:rsid w:val="00AF2814"/>
    <w:rsid w:val="00AF5008"/>
    <w:rsid w:val="00AF6920"/>
    <w:rsid w:val="00B01F99"/>
    <w:rsid w:val="00B02B37"/>
    <w:rsid w:val="00B05276"/>
    <w:rsid w:val="00B05373"/>
    <w:rsid w:val="00B0666B"/>
    <w:rsid w:val="00B071B0"/>
    <w:rsid w:val="00B07528"/>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56F4E"/>
    <w:rsid w:val="00B63C79"/>
    <w:rsid w:val="00B6408A"/>
    <w:rsid w:val="00B6478A"/>
    <w:rsid w:val="00B652E8"/>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42FE"/>
    <w:rsid w:val="00C02B29"/>
    <w:rsid w:val="00C06389"/>
    <w:rsid w:val="00C06DA4"/>
    <w:rsid w:val="00C07606"/>
    <w:rsid w:val="00C12542"/>
    <w:rsid w:val="00C130EE"/>
    <w:rsid w:val="00C20A97"/>
    <w:rsid w:val="00C24725"/>
    <w:rsid w:val="00C30BA9"/>
    <w:rsid w:val="00C32156"/>
    <w:rsid w:val="00C32396"/>
    <w:rsid w:val="00C32715"/>
    <w:rsid w:val="00C3541E"/>
    <w:rsid w:val="00C36A8F"/>
    <w:rsid w:val="00C401C8"/>
    <w:rsid w:val="00C42834"/>
    <w:rsid w:val="00C42FFA"/>
    <w:rsid w:val="00C43021"/>
    <w:rsid w:val="00C44EEB"/>
    <w:rsid w:val="00C47780"/>
    <w:rsid w:val="00C47C8C"/>
    <w:rsid w:val="00C47CC2"/>
    <w:rsid w:val="00C507D8"/>
    <w:rsid w:val="00C51F5A"/>
    <w:rsid w:val="00C526D3"/>
    <w:rsid w:val="00C57018"/>
    <w:rsid w:val="00C62EAC"/>
    <w:rsid w:val="00C63319"/>
    <w:rsid w:val="00C63F9F"/>
    <w:rsid w:val="00C6558E"/>
    <w:rsid w:val="00C66F97"/>
    <w:rsid w:val="00C735E0"/>
    <w:rsid w:val="00C7723C"/>
    <w:rsid w:val="00C81439"/>
    <w:rsid w:val="00C82027"/>
    <w:rsid w:val="00C838F5"/>
    <w:rsid w:val="00C841C0"/>
    <w:rsid w:val="00C91F37"/>
    <w:rsid w:val="00C94309"/>
    <w:rsid w:val="00C97898"/>
    <w:rsid w:val="00CA07E5"/>
    <w:rsid w:val="00CA1AF4"/>
    <w:rsid w:val="00CA2A15"/>
    <w:rsid w:val="00CA4725"/>
    <w:rsid w:val="00CA6068"/>
    <w:rsid w:val="00CA757A"/>
    <w:rsid w:val="00CB15E1"/>
    <w:rsid w:val="00CB3460"/>
    <w:rsid w:val="00CB3D46"/>
    <w:rsid w:val="00CB3D75"/>
    <w:rsid w:val="00CC05A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066C6"/>
    <w:rsid w:val="00D11736"/>
    <w:rsid w:val="00D12D8A"/>
    <w:rsid w:val="00D13E0C"/>
    <w:rsid w:val="00D20FB5"/>
    <w:rsid w:val="00D22CC8"/>
    <w:rsid w:val="00D25896"/>
    <w:rsid w:val="00D26EE6"/>
    <w:rsid w:val="00D32A59"/>
    <w:rsid w:val="00D33918"/>
    <w:rsid w:val="00D34AAF"/>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7E8"/>
    <w:rsid w:val="00D63E60"/>
    <w:rsid w:val="00D6407A"/>
    <w:rsid w:val="00D64A19"/>
    <w:rsid w:val="00D7189B"/>
    <w:rsid w:val="00D7327C"/>
    <w:rsid w:val="00D74140"/>
    <w:rsid w:val="00D74EC3"/>
    <w:rsid w:val="00D80045"/>
    <w:rsid w:val="00D8087F"/>
    <w:rsid w:val="00D842AC"/>
    <w:rsid w:val="00D84FBE"/>
    <w:rsid w:val="00D9122D"/>
    <w:rsid w:val="00D93AD4"/>
    <w:rsid w:val="00DA2E9E"/>
    <w:rsid w:val="00DA6E56"/>
    <w:rsid w:val="00DA78DD"/>
    <w:rsid w:val="00DB0DF2"/>
    <w:rsid w:val="00DB1C65"/>
    <w:rsid w:val="00DB4A67"/>
    <w:rsid w:val="00DB5461"/>
    <w:rsid w:val="00DC0C4C"/>
    <w:rsid w:val="00DC127D"/>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714F6"/>
    <w:rsid w:val="00E80F90"/>
    <w:rsid w:val="00E81FDE"/>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F082D"/>
    <w:rsid w:val="00EF55AE"/>
    <w:rsid w:val="00EF56E8"/>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6C6E18"/>
  <w15:docId w15:val="{78E660A7-9391-4D82-9A61-4474CE55B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C6"/>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112436"/>
    <w:pPr>
      <w:keepNext/>
      <w:autoSpaceDE w:val="0"/>
      <w:autoSpaceDN w:val="0"/>
      <w:adjustRightInd w:val="0"/>
      <w:spacing w:before="360" w:line="240" w:lineRule="auto"/>
      <w:textAlignment w:val="center"/>
      <w:outlineLvl w:val="1"/>
    </w:pPr>
    <w:rPr>
      <w:rFonts w:asciiTheme="majorHAnsi" w:hAnsiTheme="majorHAnsi" w:cs="MyriadPro-Bold"/>
      <w:b/>
      <w:bCs/>
      <w:sz w:val="32"/>
      <w:szCs w:val="28"/>
    </w:rPr>
  </w:style>
  <w:style w:type="paragraph" w:styleId="Heading3">
    <w:name w:val="heading 3"/>
    <w:basedOn w:val="Normal"/>
    <w:next w:val="Normal"/>
    <w:link w:val="Heading3Char"/>
    <w:uiPriority w:val="9"/>
    <w:unhideWhenUsed/>
    <w:qFormat/>
    <w:rsid w:val="00112436"/>
    <w:pPr>
      <w:keepNext/>
      <w:keepLines/>
      <w:autoSpaceDE w:val="0"/>
      <w:autoSpaceDN w:val="0"/>
      <w:adjustRightInd w:val="0"/>
      <w:spacing w:before="360" w:line="240" w:lineRule="auto"/>
      <w:textAlignment w:val="center"/>
      <w:outlineLvl w:val="2"/>
    </w:pPr>
    <w:rPr>
      <w:rFonts w:asciiTheme="majorHAnsi" w:hAnsiTheme="majorHAnsi" w:cs="MyriadPro-Regular"/>
      <w:bCs/>
      <w:sz w:val="28"/>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112436"/>
    <w:rPr>
      <w:rFonts w:asciiTheme="majorHAnsi" w:hAnsiTheme="majorHAnsi" w:cs="MyriadPro-Bold"/>
      <w:b/>
      <w:bCs/>
      <w:sz w:val="32"/>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330EF3"/>
    <w:pPr>
      <w:spacing w:before="400"/>
    </w:pPr>
    <w:rPr>
      <w:rFonts w:asciiTheme="majorHAnsi" w:hAnsiTheme="majorHAnsi" w:cs="Arial"/>
      <w:b/>
      <w:bCs/>
      <w:sz w:val="60"/>
      <w:szCs w:val="54"/>
    </w:rPr>
  </w:style>
  <w:style w:type="character" w:customStyle="1" w:styleId="TitleChar">
    <w:name w:val="Title Char"/>
    <w:basedOn w:val="DefaultParagraphFont"/>
    <w:link w:val="Title"/>
    <w:uiPriority w:val="10"/>
    <w:rsid w:val="00330EF3"/>
    <w:rPr>
      <w:rFonts w:asciiTheme="majorHAnsi" w:hAnsiTheme="majorHAnsi" w:cs="Arial"/>
      <w:b/>
      <w:bCs/>
      <w:sz w:val="60"/>
      <w:szCs w:val="54"/>
      <w14:ligatures w14:val="standardContextual"/>
    </w:rPr>
  </w:style>
  <w:style w:type="character" w:customStyle="1" w:styleId="Heading3Char">
    <w:name w:val="Heading 3 Char"/>
    <w:basedOn w:val="DefaultParagraphFont"/>
    <w:link w:val="Heading3"/>
    <w:uiPriority w:val="9"/>
    <w:rsid w:val="00112436"/>
    <w:rPr>
      <w:rFonts w:asciiTheme="majorHAnsi" w:hAnsiTheme="majorHAnsi" w:cs="MyriadPro-Regular"/>
      <w:bCs/>
      <w:sz w:val="28"/>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B05373"/>
    <w:pPr>
      <w:spacing w:before="240"/>
    </w:pPr>
    <w:rPr>
      <w:rFonts w:asciiTheme="majorHAnsi" w:hAnsiTheme="majorHAnsi"/>
      <w:sz w:val="28"/>
    </w:rPr>
  </w:style>
  <w:style w:type="character" w:customStyle="1" w:styleId="SubtitleChar">
    <w:name w:val="Subtitle Char"/>
    <w:basedOn w:val="DefaultParagraphFont"/>
    <w:link w:val="Subtitle"/>
    <w:uiPriority w:val="11"/>
    <w:rsid w:val="00B05373"/>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256B63"/>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6B63"/>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24018F"/>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24018F"/>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B652E8"/>
    <w:pPr>
      <w:spacing w:before="1920"/>
    </w:pPr>
    <w:rPr>
      <w:rFonts w:ascii="Arial" w:hAnsi="Arial"/>
      <w:noProof/>
      <w:sz w:val="20"/>
      <w14:ligatures w14:val="none"/>
    </w:rPr>
  </w:style>
  <w:style w:type="paragraph" w:customStyle="1" w:styleId="CDIFigure-Placeholder">
    <w:name w:val="CDI Figure - Placeholder"/>
    <w:basedOn w:val="Normal"/>
    <w:rsid w:val="006763A3"/>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256B63"/>
    <w:pPr>
      <w:spacing w:before="360"/>
    </w:pPr>
  </w:style>
  <w:style w:type="paragraph" w:customStyle="1" w:styleId="CDITable-HeaderRowLeft">
    <w:name w:val="CDI Table - Header Row Left"/>
    <w:basedOn w:val="CDITable-Title"/>
    <w:rsid w:val="006763A3"/>
    <w:pPr>
      <w:spacing w:beforeAutospacing="1" w:afterAutospacing="1" w:line="240" w:lineRule="auto"/>
    </w:pPr>
    <w:rPr>
      <w:color w:val="FFFFFF" w:themeColor="background1"/>
      <w:sz w:val="18"/>
    </w:rPr>
  </w:style>
  <w:style w:type="paragraph" w:customStyle="1" w:styleId="CDITable-RowLeft">
    <w:name w:val="CDI Table - Row Left"/>
    <w:basedOn w:val="Normal"/>
    <w:rsid w:val="0073415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AC46DC"/>
    <w:pPr>
      <w:jc w:val="center"/>
    </w:pPr>
  </w:style>
  <w:style w:type="paragraph" w:customStyle="1" w:styleId="CDITable-HeaderRowCentre">
    <w:name w:val="CDI Table - Header Row Centre"/>
    <w:basedOn w:val="Normal"/>
    <w:rsid w:val="006763A3"/>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B652E8"/>
    <w:rPr>
      <w:rFonts w:ascii="Arial" w:hAnsi="Arial"/>
      <w:noProof/>
      <w:sz w:val="20"/>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noProof/>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112436"/>
    <w:pPr>
      <w:pageBreakBefore w:val="0"/>
      <w:pBdr>
        <w:bottom w:val="none" w:sz="0" w:space="0" w:color="auto"/>
      </w:pBdr>
    </w:pPr>
    <w:rPr>
      <w:sz w:val="40"/>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154C4B"/>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154C4B"/>
    <w:rPr>
      <w:b/>
      <w:bCs/>
      <w:sz w:val="20"/>
      <w:szCs w:val="20"/>
      <w14:ligatures w14:val="standardContextual"/>
    </w:rPr>
  </w:style>
  <w:style w:type="paragraph" w:customStyle="1" w:styleId="Normal-morespaceafter">
    <w:name w:val="Normal - more space after"/>
    <w:basedOn w:val="Normal"/>
    <w:rsid w:val="00256B63"/>
    <w:pPr>
      <w:spacing w:after="360"/>
    </w:p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24018F"/>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styleId="Footer">
    <w:name w:val="footer"/>
    <w:basedOn w:val="Normal"/>
    <w:link w:val="FooterChar"/>
    <w:uiPriority w:val="99"/>
    <w:unhideWhenUsed/>
    <w:rsid w:val="003E31EB"/>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E31EB"/>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i.org/10.1016/j.jegh.2015.12.004" TargetMode="External"/><Relationship Id="rId26" Type="http://schemas.openxmlformats.org/officeDocument/2006/relationships/hyperlink" Target="https://www.gov.uk/government/publications/national-measles-guidelines" TargetMode="External"/><Relationship Id="rId39" Type="http://schemas.openxmlformats.org/officeDocument/2006/relationships/hyperlink" Target="https://www.cdc.gov.au/cdi" TargetMode="External"/><Relationship Id="rId21" Type="http://schemas.openxmlformats.org/officeDocument/2006/relationships/hyperlink" Target="https://doi.org/10.3390/microorganisms10081567" TargetMode="External"/><Relationship Id="rId34" Type="http://schemas.openxmlformats.org/officeDocument/2006/relationships/hyperlink" Target="https://creativecommons.org/licenses/by-nc-nd/4.0/legalcode"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tonia.marquardt@health.qld.gov.au" TargetMode="External"/><Relationship Id="rId20" Type="http://schemas.openxmlformats.org/officeDocument/2006/relationships/hyperlink" Target="https://doi.org/10.3201/eid3009.240150" TargetMode="External"/><Relationship Id="rId29" Type="http://schemas.openxmlformats.org/officeDocument/2006/relationships/hyperlink" Target="https://doi.org/10.1016/j.vaccine.2017.12.00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hyperlink" Target="https://doi.org/10.2807/1560-7917.ES.2019.24.17.1900114" TargetMode="External"/><Relationship Id="rId32" Type="http://schemas.openxmlformats.org/officeDocument/2006/relationships/hyperlink" Target="https://doi.org/10.1016/j.vaccine.2013.11.005" TargetMode="External"/><Relationship Id="rId37" Type="http://schemas.openxmlformats.org/officeDocument/2006/relationships/hyperlink" Target="https://www.cdc.gov.au/resources/communicable-diseases-intelligence/guidelines-cdi-authors" TargetMode="External"/><Relationship Id="rId40" Type="http://schemas.openxmlformats.org/officeDocument/2006/relationships/hyperlink" Target="mailto:cdi.editor@cdc.gov.au"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doi.org/10.1016/j.ijid.2018.04.3473" TargetMode="External"/><Relationship Id="rId28" Type="http://schemas.openxmlformats.org/officeDocument/2006/relationships/hyperlink" Target="https://doi.org/10.1016/S2468-2667(24)00181-6" TargetMode="External"/><Relationship Id="rId36" Type="http://schemas.openxmlformats.org/officeDocument/2006/relationships/hyperlink" Target="https://www.cdc.gov.au/resources/communicable-diseases-intelligence/cdi-editorial-advisory-board-biographies" TargetMode="External"/><Relationship Id="rId10" Type="http://schemas.openxmlformats.org/officeDocument/2006/relationships/hyperlink" Target="https://www.cdc.gov.au/cdi" TargetMode="External"/><Relationship Id="rId19" Type="http://schemas.openxmlformats.org/officeDocument/2006/relationships/hyperlink" Target="https://www.cdc.gov.au/resources/publications/measles-cdna-national-guidelines-public-health-units" TargetMode="External"/><Relationship Id="rId31" Type="http://schemas.openxmlformats.org/officeDocument/2006/relationships/hyperlink" Target="https://www.aihw.gov.au/reports/workforce/health-workforce"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 Id="rId22" Type="http://schemas.openxmlformats.org/officeDocument/2006/relationships/hyperlink" Target="https://doi.org/10.1128/CVI.00406-12" TargetMode="External"/><Relationship Id="rId27" Type="http://schemas.openxmlformats.org/officeDocument/2006/relationships/hyperlink" Target="https://doi.org/10.1080/21645515.2020.1871296" TargetMode="External"/><Relationship Id="rId30" Type="http://schemas.openxmlformats.org/officeDocument/2006/relationships/hyperlink" Target="https://doi.org/10.3390/vaccines12070818" TargetMode="External"/><Relationship Id="rId35" Type="http://schemas.openxmlformats.org/officeDocument/2006/relationships/hyperlink" Target="mailto:cdi.editor@cdc.gov.au"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jpg"/><Relationship Id="rId17" Type="http://schemas.openxmlformats.org/officeDocument/2006/relationships/hyperlink" Target="https://ncirs.org.au/media/1148" TargetMode="External"/><Relationship Id="rId25" Type="http://schemas.openxmlformats.org/officeDocument/2006/relationships/hyperlink" Target="https://doi.org/10.3390/vaccines12060695" TargetMode="External"/><Relationship Id="rId33" Type="http://schemas.openxmlformats.org/officeDocument/2006/relationships/hyperlink" Target="https://doi.org/10.1080/21645515.2021.1888623" TargetMode="External"/><Relationship Id="rId38" Type="http://schemas.openxmlformats.org/officeDocument/2006/relationships/hyperlink" Target="mailto:cdi.editor@cdc.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banner-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CDI-banner-template-2026.dotx</Template>
  <TotalTime>50</TotalTime>
  <Pages>10</Pages>
  <Words>2462</Words>
  <Characters>16826</Characters>
  <Application>Microsoft Office Word</Application>
  <DocSecurity>0</DocSecurity>
  <Lines>410</Lines>
  <Paragraphs>219</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Communicable Diseases Intelligence - An outbreak of measles linked to healthcare services in Far North Queensland, 2025</vt:lpstr>
      <vt:lpstr>Abstract</vt:lpstr>
      <vt:lpstr>Background</vt:lpstr>
      <vt:lpstr>Outbreak detection</vt:lpstr>
      <vt:lpstr>    Case demographics</vt:lpstr>
      <vt:lpstr>        Vaccination</vt:lpstr>
      <vt:lpstr>        Clinical features</vt:lpstr>
      <vt:lpstr>    Laboratory results</vt:lpstr>
      <vt:lpstr>Public health response</vt:lpstr>
      <vt:lpstr>Discussion</vt:lpstr>
      <vt:lpstr>    Ethics</vt:lpstr>
      <vt:lpstr>Author details</vt:lpstr>
      <vt:lpstr>    Corresponding author</vt:lpstr>
      <vt:lpstr>References</vt:lpstr>
    </vt:vector>
  </TitlesOfParts>
  <Company/>
  <LinksUpToDate>false</LinksUpToDate>
  <CharactersWithSpaces>19069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An outbreak of measles linked to healthcare services in Far North Queensland, 2025</dc:title>
  <dc:subject>This is a report describing an outbreak of 12 measles cases that took place in Cairns in September 2025. It describes the detection and response to the outbreak and considers the ongoing risk for re-emergence of this eliminated disease and the implications for healthcare settings.</dc:subject>
  <dc:creator>Tonia Marquardt;Simon Smith;Juliet Esmonde;Matthew O’Bryan;Lucy Thallon;Alireza Zahedi;Trent Yarwood;Jacqueline Murdoch</dc:creator>
  <cp:keywords>public health; outbreak; measles; healthcare services; vaccination</cp:keywords>
  <dc:description>© 2026 Commonwealth of Australia as represented by the Australian Centre for Disease Control. This publication is licenced under a CC BY-NC-ND licence.</dc:description>
  <cp:revision>3</cp:revision>
  <cp:lastPrinted>2024-03-07T01:06:00Z</cp:lastPrinted>
  <dcterms:created xsi:type="dcterms:W3CDTF">2026-05-18T03:38:00Z</dcterms:created>
  <dcterms:modified xsi:type="dcterms:W3CDTF">2026-05-18T04:27:00Z</dcterms:modified>
  <cp:category>Outbreak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26.05.2026</vt:lpwstr>
  </property>
  <property fmtid="{D5CDD505-2E9C-101B-9397-08002B2CF9AE}" pid="5" name="DOI">
    <vt:lpwstr>doi.org/10.33321/cdi.2026.50.037</vt:lpwstr>
  </property>
  <property fmtid="{D5CDD505-2E9C-101B-9397-08002B2CF9AE}" pid="6" name="ClassificationContentMarkingHeaderShapeIds">
    <vt:lpwstr>5a669df4,375ff7dd,1fbb0bcc</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51aafa05,132640f1,64da1a32</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2025-08-25T22:55:46Z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84015998-5bb4-462f-9254-c4960bf3897b</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